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olors1.xml" ContentType="application/vnd.ms-office.chartcolorstyle+xml"/>
  <Override PartName="/word/charts/style1.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outlineLvl w:val="0"/>
        <w:rPr>
          <w:rFonts w:ascii="方正小标宋简体" w:hAnsi="宋体" w:eastAsia="方正小标宋简体"/>
          <w:color w:val="auto"/>
          <w:sz w:val="21"/>
          <w:szCs w:val="21"/>
          <w:highlight w:val="none"/>
        </w:rPr>
      </w:pPr>
      <w:bookmarkStart w:id="0" w:name="_Toc15306267"/>
    </w:p>
    <w:p>
      <w:pPr>
        <w:spacing w:line="600" w:lineRule="exact"/>
        <w:jc w:val="center"/>
        <w:outlineLvl w:val="0"/>
        <w:rPr>
          <w:rFonts w:ascii="方正小标宋简体" w:hAnsi="宋体" w:eastAsia="方正小标宋简体"/>
          <w:color w:val="auto"/>
          <w:sz w:val="72"/>
          <w:szCs w:val="72"/>
          <w:highlight w:val="none"/>
        </w:rPr>
      </w:pPr>
    </w:p>
    <w:p>
      <w:pPr>
        <w:spacing w:line="600" w:lineRule="exact"/>
        <w:jc w:val="center"/>
        <w:outlineLvl w:val="0"/>
        <w:rPr>
          <w:rFonts w:ascii="方正小标宋简体" w:hAnsi="宋体" w:eastAsia="方正小标宋简体"/>
          <w:color w:val="auto"/>
          <w:sz w:val="72"/>
          <w:szCs w:val="72"/>
          <w:highlight w:val="none"/>
        </w:rPr>
      </w:pPr>
    </w:p>
    <w:p>
      <w:pPr>
        <w:adjustRightInd w:val="0"/>
        <w:snapToGrid w:val="0"/>
        <w:spacing w:line="360" w:lineRule="auto"/>
        <w:jc w:val="center"/>
        <w:outlineLvl w:val="0"/>
        <w:rPr>
          <w:rFonts w:hint="eastAsia" w:asciiTheme="majorEastAsia" w:hAnsiTheme="majorEastAsia" w:eastAsiaTheme="majorEastAsia" w:cstheme="majorEastAsia"/>
          <w:color w:val="auto"/>
          <w:sz w:val="72"/>
          <w:szCs w:val="72"/>
          <w:highlight w:val="none"/>
        </w:rPr>
      </w:pPr>
      <w:bookmarkStart w:id="1" w:name="_Toc15396597"/>
      <w:bookmarkStart w:id="2" w:name="_Toc15396475"/>
      <w:bookmarkStart w:id="3" w:name="_Toc15377425"/>
      <w:bookmarkStart w:id="4" w:name="_Toc15378441"/>
      <w:bookmarkStart w:id="5" w:name="_Toc15377193"/>
      <w:r>
        <w:rPr>
          <w:rFonts w:hint="eastAsia" w:asciiTheme="majorEastAsia" w:hAnsiTheme="majorEastAsia" w:eastAsiaTheme="majorEastAsia" w:cstheme="majorEastAsia"/>
          <w:color w:val="auto"/>
          <w:sz w:val="72"/>
          <w:szCs w:val="72"/>
          <w:highlight w:val="none"/>
        </w:rPr>
        <w:t>20</w:t>
      </w:r>
      <w:r>
        <w:rPr>
          <w:rFonts w:hint="eastAsia" w:asciiTheme="majorEastAsia" w:hAnsiTheme="majorEastAsia" w:eastAsiaTheme="majorEastAsia" w:cstheme="majorEastAsia"/>
          <w:color w:val="auto"/>
          <w:sz w:val="72"/>
          <w:szCs w:val="72"/>
          <w:highlight w:val="none"/>
          <w:lang w:val="en-US" w:eastAsia="zh-CN"/>
        </w:rPr>
        <w:t>22</w:t>
      </w:r>
      <w:r>
        <w:rPr>
          <w:rFonts w:hint="eastAsia" w:asciiTheme="majorEastAsia" w:hAnsiTheme="majorEastAsia" w:eastAsiaTheme="majorEastAsia" w:cstheme="majorEastAsia"/>
          <w:color w:val="auto"/>
          <w:sz w:val="72"/>
          <w:szCs w:val="72"/>
          <w:highlight w:val="none"/>
        </w:rPr>
        <w:t>年度</w:t>
      </w:r>
      <w:bookmarkEnd w:id="1"/>
      <w:bookmarkEnd w:id="2"/>
      <w:bookmarkEnd w:id="3"/>
      <w:bookmarkEnd w:id="4"/>
      <w:bookmarkEnd w:id="5"/>
    </w:p>
    <w:bookmarkEnd w:id="0"/>
    <w:p>
      <w:pPr>
        <w:adjustRightInd w:val="0"/>
        <w:snapToGrid w:val="0"/>
        <w:spacing w:line="360" w:lineRule="auto"/>
        <w:jc w:val="center"/>
        <w:outlineLvl w:val="0"/>
        <w:rPr>
          <w:rFonts w:hint="eastAsia" w:asciiTheme="majorEastAsia" w:hAnsiTheme="majorEastAsia" w:eastAsiaTheme="majorEastAsia" w:cstheme="majorEastAsia"/>
          <w:color w:val="auto"/>
          <w:sz w:val="72"/>
          <w:szCs w:val="72"/>
          <w:highlight w:val="none"/>
          <w:lang w:val="en-US" w:eastAsia="zh-CN"/>
        </w:rPr>
      </w:pPr>
      <w:bookmarkStart w:id="6" w:name="_Toc15396598"/>
      <w:bookmarkStart w:id="7" w:name="_Toc15396476"/>
      <w:bookmarkStart w:id="8" w:name="_Toc15378442"/>
      <w:bookmarkStart w:id="9" w:name="_Toc15306268"/>
      <w:bookmarkStart w:id="10" w:name="_Toc15377426"/>
      <w:bookmarkStart w:id="11" w:name="_Toc15377194"/>
      <w:r>
        <w:rPr>
          <w:rFonts w:hint="eastAsia" w:asciiTheme="majorEastAsia" w:hAnsiTheme="majorEastAsia" w:eastAsiaTheme="majorEastAsia" w:cstheme="majorEastAsia"/>
          <w:color w:val="auto"/>
          <w:sz w:val="72"/>
          <w:szCs w:val="72"/>
          <w:highlight w:val="none"/>
          <w:lang w:val="en-US" w:eastAsia="zh-CN"/>
        </w:rPr>
        <w:t>广元市利州区大石初级</w:t>
      </w:r>
    </w:p>
    <w:p>
      <w:pPr>
        <w:adjustRightInd w:val="0"/>
        <w:snapToGrid w:val="0"/>
        <w:spacing w:line="360" w:lineRule="auto"/>
        <w:jc w:val="center"/>
        <w:outlineLvl w:val="0"/>
        <w:rPr>
          <w:rFonts w:hint="eastAsia" w:asciiTheme="majorEastAsia" w:hAnsiTheme="majorEastAsia" w:eastAsiaTheme="majorEastAsia" w:cstheme="majorEastAsia"/>
          <w:color w:val="auto"/>
          <w:sz w:val="72"/>
          <w:szCs w:val="72"/>
          <w:highlight w:val="none"/>
        </w:rPr>
      </w:pPr>
      <w:r>
        <w:rPr>
          <w:rFonts w:hint="eastAsia" w:asciiTheme="majorEastAsia" w:hAnsiTheme="majorEastAsia" w:eastAsiaTheme="majorEastAsia" w:cstheme="majorEastAsia"/>
          <w:color w:val="auto"/>
          <w:sz w:val="72"/>
          <w:szCs w:val="72"/>
          <w:highlight w:val="none"/>
          <w:lang w:val="en-US" w:eastAsia="zh-CN"/>
        </w:rPr>
        <w:t>中学部门</w:t>
      </w:r>
      <w:r>
        <w:rPr>
          <w:rFonts w:hint="eastAsia" w:asciiTheme="majorEastAsia" w:hAnsiTheme="majorEastAsia" w:eastAsiaTheme="majorEastAsia" w:cstheme="majorEastAsia"/>
          <w:color w:val="auto"/>
          <w:sz w:val="72"/>
          <w:szCs w:val="72"/>
          <w:highlight w:val="none"/>
        </w:rPr>
        <w:t>决算</w:t>
      </w:r>
      <w:bookmarkEnd w:id="6"/>
      <w:bookmarkEnd w:id="7"/>
      <w:bookmarkEnd w:id="8"/>
      <w:bookmarkEnd w:id="9"/>
      <w:bookmarkEnd w:id="10"/>
      <w:bookmarkEnd w:id="11"/>
    </w:p>
    <w:p>
      <w:pPr>
        <w:widowControl/>
        <w:jc w:val="center"/>
        <w:rPr>
          <w:rFonts w:hint="eastAsia" w:ascii="黑体" w:hAnsi="黑体" w:eastAsia="黑体"/>
          <w:color w:val="auto"/>
          <w:sz w:val="48"/>
          <w:szCs w:val="48"/>
          <w:highlight w:val="none"/>
        </w:rPr>
        <w:sectPr>
          <w:headerReference r:id="rId3" w:type="default"/>
          <w:footerReference r:id="rId4" w:type="default"/>
          <w:pgSz w:w="11906" w:h="16838"/>
          <w:pgMar w:top="1440" w:right="1800" w:bottom="1440" w:left="1800" w:header="851" w:footer="992" w:gutter="0"/>
          <w:pgNumType w:start="1"/>
          <w:cols w:space="425" w:num="1"/>
          <w:titlePg/>
          <w:docGrid w:type="lines" w:linePitch="312" w:charSpace="0"/>
        </w:sectPr>
      </w:pPr>
    </w:p>
    <w:p>
      <w:pPr>
        <w:widowControl/>
        <w:jc w:val="center"/>
        <w:rPr>
          <w:rFonts w:ascii="黑体" w:hAnsi="黑体" w:eastAsia="黑体"/>
          <w:color w:val="auto"/>
          <w:sz w:val="48"/>
          <w:szCs w:val="48"/>
          <w:highlight w:val="none"/>
        </w:rPr>
      </w:pPr>
      <w:r>
        <w:rPr>
          <w:rFonts w:hint="eastAsia" w:ascii="黑体" w:hAnsi="黑体" w:eastAsia="黑体"/>
          <w:color w:val="auto"/>
          <w:sz w:val="48"/>
          <w:szCs w:val="48"/>
          <w:highlight w:val="none"/>
        </w:rPr>
        <w:t>目录</w:t>
      </w:r>
    </w:p>
    <w:p>
      <w:pPr>
        <w:widowControl/>
        <w:jc w:val="center"/>
        <w:rPr>
          <w:rFonts w:ascii="黑体" w:hAnsi="黑体" w:eastAsia="黑体" w:cstheme="minorBidi"/>
          <w:color w:val="auto"/>
          <w:sz w:val="28"/>
          <w:szCs w:val="28"/>
          <w:highlight w:val="none"/>
        </w:rPr>
      </w:pPr>
    </w:p>
    <w:p>
      <w:pPr>
        <w:pStyle w:val="10"/>
        <w:rPr>
          <w:color w:val="auto"/>
          <w:highlight w:val="none"/>
        </w:rPr>
      </w:pPr>
      <w:r>
        <w:rPr>
          <w:rFonts w:hint="eastAsia"/>
          <w:color w:val="auto"/>
          <w:highlight w:val="none"/>
        </w:rPr>
        <w:t>公开时间：20</w:t>
      </w:r>
      <w:r>
        <w:rPr>
          <w:rFonts w:hint="eastAsia"/>
          <w:color w:val="auto"/>
          <w:highlight w:val="none"/>
          <w:lang w:val="en-US" w:eastAsia="zh-CN"/>
        </w:rPr>
        <w:t>23</w:t>
      </w:r>
      <w:r>
        <w:rPr>
          <w:rFonts w:hint="eastAsia"/>
          <w:color w:val="auto"/>
          <w:highlight w:val="none"/>
        </w:rPr>
        <w:t>年</w:t>
      </w:r>
      <w:r>
        <w:rPr>
          <w:rFonts w:hint="eastAsia"/>
          <w:color w:val="auto"/>
          <w:highlight w:val="none"/>
          <w:lang w:val="en-US" w:eastAsia="zh-CN"/>
        </w:rPr>
        <w:t>10</w:t>
      </w:r>
      <w:r>
        <w:rPr>
          <w:rFonts w:hint="eastAsia"/>
          <w:color w:val="auto"/>
          <w:highlight w:val="none"/>
        </w:rPr>
        <w:t>月</w:t>
      </w:r>
      <w:r>
        <w:rPr>
          <w:rFonts w:hint="eastAsia"/>
          <w:color w:val="auto"/>
          <w:highlight w:val="none"/>
          <w:lang w:val="en-US" w:eastAsia="zh-CN"/>
        </w:rPr>
        <w:t>15</w:t>
      </w:r>
      <w:r>
        <w:rPr>
          <w:rFonts w:hint="eastAsia"/>
          <w:color w:val="auto"/>
          <w:highlight w:val="none"/>
        </w:rPr>
        <w:t>日</w:t>
      </w:r>
    </w:p>
    <w:p>
      <w:pPr>
        <w:rPr>
          <w:color w:val="auto"/>
          <w:highlight w:val="none"/>
        </w:rPr>
      </w:pPr>
    </w:p>
    <w:p>
      <w:pPr>
        <w:pStyle w:val="10"/>
        <w:adjustRightInd w:val="0"/>
        <w:snapToGrid w:val="0"/>
        <w:spacing w:before="0" w:line="440" w:lineRule="exact"/>
        <w:jc w:val="left"/>
        <w:rPr>
          <w:rFonts w:cstheme="minorBidi"/>
          <w:color w:val="auto"/>
          <w:sz w:val="24"/>
          <w:szCs w:val="24"/>
          <w:highlight w:val="none"/>
        </w:rPr>
      </w:pPr>
      <w:r>
        <w:rPr>
          <w:rFonts w:hint="eastAsia"/>
          <w:color w:val="auto"/>
          <w:sz w:val="24"/>
          <w:highlight w:val="none"/>
        </w:rPr>
        <w:t>第一部分</w:t>
      </w:r>
      <w:r>
        <w:rPr>
          <w:color w:val="auto"/>
          <w:sz w:val="24"/>
          <w:highlight w:val="none"/>
        </w:rPr>
        <w:t xml:space="preserve"> </w:t>
      </w:r>
      <w:r>
        <w:rPr>
          <w:rFonts w:hint="eastAsia"/>
          <w:color w:val="auto"/>
          <w:sz w:val="24"/>
          <w:highlight w:val="none"/>
          <w:lang w:eastAsia="zh-CN"/>
        </w:rPr>
        <w:t>单位</w:t>
      </w:r>
      <w:r>
        <w:rPr>
          <w:rFonts w:hint="eastAsia"/>
          <w:color w:val="auto"/>
          <w:sz w:val="24"/>
          <w:highlight w:val="none"/>
        </w:rPr>
        <w:t>概况</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一、</w:t>
      </w:r>
      <w:r>
        <w:rPr>
          <w:rFonts w:hint="eastAsia"/>
          <w:color w:val="auto"/>
          <w:sz w:val="24"/>
          <w:highlight w:val="none"/>
          <w:lang w:eastAsia="zh-CN"/>
        </w:rPr>
        <w:t>主要职责</w:t>
      </w:r>
    </w:p>
    <w:p>
      <w:pPr>
        <w:pStyle w:val="11"/>
        <w:adjustRightInd w:val="0"/>
        <w:snapToGrid w:val="0"/>
        <w:spacing w:line="440" w:lineRule="exact"/>
        <w:jc w:val="left"/>
        <w:rPr>
          <w:rFonts w:hint="default" w:eastAsia="宋体"/>
          <w:color w:val="auto"/>
          <w:lang w:val="en-US" w:eastAsia="zh-CN"/>
        </w:rPr>
      </w:pPr>
      <w:r>
        <w:rPr>
          <w:rFonts w:hint="eastAsia"/>
          <w:color w:val="auto"/>
          <w:sz w:val="24"/>
          <w:highlight w:val="none"/>
          <w:lang w:eastAsia="zh-CN"/>
        </w:rPr>
        <w:t>二</w:t>
      </w:r>
      <w:r>
        <w:rPr>
          <w:rFonts w:hint="eastAsia"/>
          <w:color w:val="auto"/>
          <w:sz w:val="24"/>
          <w:highlight w:val="none"/>
        </w:rPr>
        <w:t>、</w:t>
      </w:r>
      <w:r>
        <w:rPr>
          <w:rFonts w:hint="eastAsia"/>
          <w:color w:val="auto"/>
          <w:sz w:val="24"/>
          <w:highlight w:val="none"/>
          <w:lang w:eastAsia="zh-CN"/>
        </w:rPr>
        <w:t>机构设置</w:t>
      </w:r>
    </w:p>
    <w:p>
      <w:pPr>
        <w:pStyle w:val="10"/>
        <w:adjustRightInd w:val="0"/>
        <w:snapToGrid w:val="0"/>
        <w:spacing w:before="0" w:line="440" w:lineRule="exact"/>
        <w:jc w:val="left"/>
        <w:rPr>
          <w:rFonts w:hint="default" w:eastAsia="仿宋"/>
          <w:color w:val="auto"/>
          <w:sz w:val="24"/>
          <w:szCs w:val="24"/>
          <w:highlight w:val="none"/>
          <w:lang w:val="en-US" w:eastAsia="zh-CN"/>
        </w:rPr>
      </w:pPr>
      <w:r>
        <w:rPr>
          <w:rFonts w:hint="eastAsia"/>
          <w:color w:val="auto"/>
          <w:sz w:val="24"/>
          <w:highlight w:val="none"/>
        </w:rPr>
        <w:t>第二部分</w:t>
      </w:r>
      <w:r>
        <w:rPr>
          <w:rFonts w:hint="eastAsia"/>
          <w:color w:val="auto"/>
          <w:sz w:val="24"/>
          <w:highlight w:val="none"/>
          <w:lang w:val="en-US" w:eastAsia="zh-CN"/>
        </w:rPr>
        <w:t xml:space="preserve"> 2022年度</w:t>
      </w:r>
      <w:r>
        <w:rPr>
          <w:rFonts w:hint="eastAsia"/>
          <w:color w:val="auto"/>
          <w:sz w:val="24"/>
          <w:highlight w:val="none"/>
          <w:lang w:eastAsia="zh-CN"/>
        </w:rPr>
        <w:t>单位</w:t>
      </w:r>
      <w:r>
        <w:rPr>
          <w:rFonts w:hint="eastAsia"/>
          <w:color w:val="auto"/>
          <w:sz w:val="24"/>
          <w:highlight w:val="none"/>
        </w:rPr>
        <w:t>决算情况说明</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一、收入支出决算总体情况说明</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二、收入决算情况说明</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三、支出决算情况说明</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四、财政拨款收入支出决算总体情况说明</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五、一般公共预算财政拨款支出决算情况说明</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六、一般公共预算财政拨款基本支出决算情况说明</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七、财政拨款</w:t>
      </w:r>
      <w:r>
        <w:rPr>
          <w:rFonts w:hint="eastAsia"/>
          <w:color w:val="auto"/>
          <w:sz w:val="24"/>
          <w:highlight w:val="none"/>
          <w:lang w:eastAsia="zh-CN"/>
        </w:rPr>
        <w:t>“</w:t>
      </w:r>
      <w:r>
        <w:rPr>
          <w:rFonts w:hint="eastAsia"/>
          <w:color w:val="auto"/>
          <w:sz w:val="24"/>
          <w:highlight w:val="none"/>
        </w:rPr>
        <w:t>三公”经费支出决算情况说明</w:t>
      </w:r>
    </w:p>
    <w:p>
      <w:pPr>
        <w:pStyle w:val="11"/>
        <w:adjustRightInd w:val="0"/>
        <w:snapToGrid w:val="0"/>
        <w:spacing w:line="440" w:lineRule="exact"/>
        <w:jc w:val="left"/>
        <w:rPr>
          <w:rFonts w:hint="default" w:ascii="仿宋" w:hAnsi="仿宋" w:eastAsia="宋体" w:cstheme="minorBidi"/>
          <w:color w:val="auto"/>
          <w:sz w:val="24"/>
          <w:highlight w:val="none"/>
          <w:lang w:val="en-US" w:eastAsia="zh-CN"/>
        </w:rPr>
      </w:pPr>
      <w:r>
        <w:rPr>
          <w:rFonts w:hint="eastAsia"/>
          <w:color w:val="auto"/>
          <w:sz w:val="24"/>
          <w:highlight w:val="none"/>
        </w:rPr>
        <w:t>八、政府性基金预算支出决算情况说明</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九、国有资本经营预算支出决算情况说明</w:t>
      </w:r>
    </w:p>
    <w:p>
      <w:pPr>
        <w:pStyle w:val="11"/>
        <w:adjustRightInd w:val="0"/>
        <w:snapToGrid w:val="0"/>
        <w:spacing w:line="440" w:lineRule="exact"/>
        <w:jc w:val="left"/>
        <w:rPr>
          <w:rFonts w:hint="default" w:eastAsia="宋体"/>
          <w:color w:val="auto"/>
          <w:sz w:val="24"/>
          <w:highlight w:val="none"/>
          <w:lang w:val="en-US" w:eastAsia="zh-CN"/>
        </w:rPr>
      </w:pPr>
      <w:r>
        <w:rPr>
          <w:rFonts w:hint="eastAsia"/>
          <w:color w:val="auto"/>
          <w:sz w:val="24"/>
          <w:highlight w:val="none"/>
        </w:rPr>
        <w:t>十、其他重要事项的情况说明</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rPr>
        <w:t>第三部分</w:t>
      </w:r>
      <w:r>
        <w:rPr>
          <w:color w:val="auto"/>
          <w:sz w:val="24"/>
          <w:highlight w:val="none"/>
        </w:rPr>
        <w:t xml:space="preserve"> </w:t>
      </w:r>
      <w:r>
        <w:rPr>
          <w:rFonts w:hint="eastAsia"/>
          <w:color w:val="auto"/>
          <w:sz w:val="24"/>
          <w:highlight w:val="none"/>
        </w:rPr>
        <w:t>名词解释</w:t>
      </w:r>
    </w:p>
    <w:p>
      <w:pPr>
        <w:pStyle w:val="10"/>
        <w:adjustRightInd w:val="0"/>
        <w:snapToGrid w:val="0"/>
        <w:spacing w:before="0" w:line="440" w:lineRule="exact"/>
        <w:jc w:val="left"/>
        <w:rPr>
          <w:rFonts w:hint="eastAsia"/>
          <w:color w:val="auto"/>
          <w:sz w:val="24"/>
          <w:highlight w:val="none"/>
        </w:rPr>
      </w:pPr>
      <w:r>
        <w:rPr>
          <w:rFonts w:hint="eastAsia"/>
          <w:color w:val="auto"/>
          <w:sz w:val="24"/>
          <w:highlight w:val="none"/>
        </w:rPr>
        <w:t>第四部分</w:t>
      </w:r>
      <w:r>
        <w:rPr>
          <w:color w:val="auto"/>
          <w:sz w:val="24"/>
          <w:highlight w:val="none"/>
        </w:rPr>
        <w:t xml:space="preserve"> </w:t>
      </w:r>
      <w:r>
        <w:rPr>
          <w:rFonts w:hint="eastAsia"/>
          <w:color w:val="auto"/>
          <w:sz w:val="24"/>
          <w:highlight w:val="none"/>
        </w:rPr>
        <w:t>附件</w:t>
      </w:r>
    </w:p>
    <w:p>
      <w:pPr>
        <w:ind w:firstLine="480" w:firstLineChars="200"/>
        <w:rPr>
          <w:rFonts w:hint="default" w:ascii="Times New Roman" w:hAnsi="Times New Roman" w:eastAsia="宋体" w:cs="Times New Roman"/>
          <w:color w:val="auto"/>
          <w:kern w:val="2"/>
          <w:sz w:val="24"/>
          <w:szCs w:val="24"/>
          <w:highlight w:val="none"/>
          <w:lang w:val="en-US" w:eastAsia="zh-CN" w:bidi="ar-SA"/>
        </w:rPr>
      </w:pPr>
      <w:r>
        <w:rPr>
          <w:rFonts w:hint="eastAsia" w:ascii="Times New Roman" w:hAnsi="Times New Roman" w:eastAsia="宋体" w:cs="Times New Roman"/>
          <w:color w:val="auto"/>
          <w:kern w:val="2"/>
          <w:sz w:val="24"/>
          <w:szCs w:val="24"/>
          <w:highlight w:val="none"/>
          <w:lang w:val="en-US" w:eastAsia="zh-CN" w:bidi="ar-SA"/>
        </w:rPr>
        <w:t>部门预算项目支出绩效自评表（2022年度）</w:t>
      </w:r>
    </w:p>
    <w:p>
      <w:pPr>
        <w:pStyle w:val="10"/>
        <w:adjustRightInd w:val="0"/>
        <w:snapToGrid w:val="0"/>
        <w:spacing w:before="0" w:line="440" w:lineRule="exact"/>
        <w:jc w:val="left"/>
        <w:rPr>
          <w:rFonts w:hint="default" w:eastAsia="仿宋" w:cstheme="minorBidi"/>
          <w:color w:val="auto"/>
          <w:sz w:val="24"/>
          <w:szCs w:val="24"/>
          <w:highlight w:val="none"/>
          <w:lang w:val="en-US" w:eastAsia="zh-CN"/>
        </w:rPr>
      </w:pPr>
      <w:r>
        <w:rPr>
          <w:rFonts w:hint="eastAsia"/>
          <w:color w:val="auto"/>
          <w:sz w:val="24"/>
          <w:highlight w:val="none"/>
        </w:rPr>
        <w:t>第五部分</w:t>
      </w:r>
      <w:r>
        <w:rPr>
          <w:color w:val="auto"/>
          <w:sz w:val="24"/>
          <w:highlight w:val="none"/>
        </w:rPr>
        <w:t xml:space="preserve"> </w:t>
      </w:r>
      <w:r>
        <w:rPr>
          <w:rFonts w:hint="eastAsia"/>
          <w:color w:val="auto"/>
          <w:sz w:val="24"/>
          <w:highlight w:val="none"/>
        </w:rPr>
        <w:t>附表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一、收入支出决算总表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二、收入决算表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三、支出决算表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四、财政拨款收入支出决算总表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五、财政拨款支出决算明细表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六、一般公共预算财政拨款支出决算表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七、一般公共预算财政拨款支出决算明细表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八、一般公共预算财政拨款基本支出决算</w:t>
      </w:r>
      <w:r>
        <w:rPr>
          <w:rFonts w:hint="eastAsia"/>
          <w:color w:val="auto"/>
          <w:sz w:val="24"/>
          <w:highlight w:val="none"/>
          <w:lang w:eastAsia="zh-CN"/>
        </w:rPr>
        <w:t>明细</w:t>
      </w:r>
      <w:r>
        <w:rPr>
          <w:rFonts w:hint="eastAsia"/>
          <w:color w:val="auto"/>
          <w:sz w:val="24"/>
          <w:highlight w:val="none"/>
        </w:rPr>
        <w:t>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九、一般公共预算财政拨款项目支出决算表</w:t>
      </w:r>
    </w:p>
    <w:p>
      <w:pPr>
        <w:pStyle w:val="11"/>
        <w:adjustRightInd w:val="0"/>
        <w:snapToGrid w:val="0"/>
        <w:spacing w:line="440" w:lineRule="exact"/>
        <w:jc w:val="left"/>
        <w:rPr>
          <w:rFonts w:hint="eastAsia"/>
          <w:color w:val="auto"/>
          <w:sz w:val="24"/>
          <w:highlight w:val="none"/>
        </w:rPr>
        <w:sectPr>
          <w:footerReference r:id="rId6" w:type="first"/>
          <w:footerReference r:id="rId5" w:type="default"/>
          <w:pgSz w:w="11906" w:h="16838"/>
          <w:pgMar w:top="1440" w:right="1800" w:bottom="1440" w:left="1800" w:header="851" w:footer="992" w:gutter="0"/>
          <w:pgNumType w:start="1"/>
          <w:cols w:space="425" w:num="1"/>
          <w:titlePg/>
          <w:docGrid w:type="lines" w:linePitch="312" w:charSpace="0"/>
        </w:sectPr>
      </w:pP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十、政府性基金预算财政拨款收入支出决算表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十一、国有资本经营预算财政拨款收入支出决算表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十二、</w:t>
      </w:r>
      <w:r>
        <w:rPr>
          <w:rFonts w:hint="eastAsia"/>
          <w:color w:val="auto"/>
          <w:sz w:val="24"/>
          <w:highlight w:val="none"/>
          <w:lang w:val="en-US" w:eastAsia="zh-CN"/>
        </w:rPr>
        <w:t>国有资本经营预算财政拨款支出决算表</w:t>
      </w:r>
    </w:p>
    <w:p>
      <w:pPr>
        <w:pStyle w:val="11"/>
        <w:adjustRightInd w:val="0"/>
        <w:snapToGrid w:val="0"/>
        <w:spacing w:line="440" w:lineRule="exact"/>
        <w:jc w:val="left"/>
        <w:rPr>
          <w:rFonts w:hint="eastAsia"/>
          <w:color w:val="auto"/>
          <w:sz w:val="24"/>
          <w:highlight w:val="none"/>
        </w:rPr>
      </w:pPr>
      <w:r>
        <w:rPr>
          <w:rFonts w:hint="eastAsia"/>
          <w:color w:val="auto"/>
          <w:sz w:val="24"/>
          <w:highlight w:val="none"/>
        </w:rPr>
        <w:t>十三、财政拨款“三公”经费支出决算表</w:t>
      </w:r>
    </w:p>
    <w:p>
      <w:pPr>
        <w:widowControl/>
        <w:adjustRightInd w:val="0"/>
        <w:snapToGrid w:val="0"/>
        <w:spacing w:line="440" w:lineRule="exact"/>
        <w:ind w:firstLine="1320" w:firstLineChars="550"/>
        <w:jc w:val="left"/>
        <w:rPr>
          <w:rFonts w:ascii="仿宋" w:hAnsi="仿宋" w:eastAsia="仿宋"/>
          <w:color w:val="auto"/>
          <w:sz w:val="24"/>
          <w:highlight w:val="none"/>
        </w:rPr>
      </w:pPr>
    </w:p>
    <w:p>
      <w:pPr>
        <w:pStyle w:val="3"/>
        <w:jc w:val="center"/>
        <w:rPr>
          <w:rFonts w:hint="eastAsia" w:ascii="黑体" w:hAnsi="黑体" w:eastAsia="黑体"/>
          <w:b w:val="0"/>
          <w:color w:val="auto"/>
          <w:highlight w:val="none"/>
        </w:rPr>
        <w:sectPr>
          <w:footerReference r:id="rId8" w:type="first"/>
          <w:footerReference r:id="rId7" w:type="default"/>
          <w:pgSz w:w="11906" w:h="16838"/>
          <w:pgMar w:top="1440" w:right="1800" w:bottom="1440" w:left="1800" w:header="851" w:footer="992" w:gutter="0"/>
          <w:pgNumType w:start="1"/>
          <w:cols w:space="425" w:num="1"/>
          <w:docGrid w:type="lines" w:linePitch="312" w:charSpace="0"/>
        </w:sectPr>
      </w:pPr>
      <w:bookmarkStart w:id="12" w:name="_Toc15377196"/>
      <w:bookmarkStart w:id="13" w:name="_Toc15396599"/>
    </w:p>
    <w:p>
      <w:pPr>
        <w:pStyle w:val="3"/>
        <w:jc w:val="center"/>
        <w:rPr>
          <w:rFonts w:ascii="黑体" w:eastAsia="黑体"/>
          <w:color w:val="auto"/>
          <w:sz w:val="32"/>
          <w:szCs w:val="32"/>
          <w:highlight w:val="none"/>
        </w:rPr>
      </w:pPr>
      <w:r>
        <w:rPr>
          <w:rFonts w:hint="eastAsia" w:ascii="黑体" w:hAnsi="黑体" w:eastAsia="黑体"/>
          <w:b w:val="0"/>
          <w:color w:val="auto"/>
          <w:highlight w:val="none"/>
        </w:rPr>
        <w:t xml:space="preserve">第一部分 </w:t>
      </w:r>
      <w:r>
        <w:rPr>
          <w:rFonts w:hint="eastAsia" w:ascii="黑体" w:hAnsi="黑体" w:eastAsia="黑体"/>
          <w:b w:val="0"/>
          <w:color w:val="auto"/>
          <w:highlight w:val="none"/>
          <w:lang w:eastAsia="zh-CN"/>
        </w:rPr>
        <w:t>单位</w:t>
      </w:r>
      <w:r>
        <w:rPr>
          <w:rStyle w:val="24"/>
          <w:rFonts w:hint="eastAsia" w:ascii="黑体" w:hAnsi="黑体" w:eastAsia="黑体"/>
          <w:b w:val="0"/>
          <w:bCs w:val="0"/>
          <w:color w:val="auto"/>
          <w:highlight w:val="none"/>
        </w:rPr>
        <w:t>概况</w:t>
      </w:r>
      <w:bookmarkEnd w:id="12"/>
      <w:bookmarkEnd w:id="13"/>
    </w:p>
    <w:p>
      <w:pPr>
        <w:pStyle w:val="4"/>
        <w:keepNext/>
        <w:keepLines/>
        <w:pageBreakBefore w:val="0"/>
        <w:widowControl w:val="0"/>
        <w:numPr>
          <w:ilvl w:val="0"/>
          <w:numId w:val="1"/>
        </w:numPr>
        <w:kinsoku/>
        <w:wordWrap/>
        <w:overflowPunct/>
        <w:topLinePunct w:val="0"/>
        <w:autoSpaceDE/>
        <w:autoSpaceDN/>
        <w:bidi w:val="0"/>
        <w:adjustRightInd/>
        <w:snapToGrid/>
        <w:spacing w:before="0" w:after="0" w:line="416" w:lineRule="auto"/>
        <w:textAlignment w:val="auto"/>
        <w:rPr>
          <w:rFonts w:hint="eastAsia" w:ascii="楷体" w:hAnsi="楷体" w:eastAsia="楷体" w:cs="楷体"/>
          <w:bCs/>
          <w:sz w:val="28"/>
          <w:szCs w:val="28"/>
        </w:rPr>
      </w:pPr>
      <w:bookmarkStart w:id="14" w:name="_Toc15396600"/>
      <w:bookmarkStart w:id="15" w:name="_Toc15377197"/>
      <w:r>
        <w:rPr>
          <w:rStyle w:val="25"/>
          <w:rFonts w:hint="eastAsia" w:ascii="黑体" w:hAnsi="黑体" w:eastAsia="黑体"/>
          <w:b w:val="0"/>
          <w:bCs w:val="0"/>
          <w:color w:val="auto"/>
          <w:highlight w:val="none"/>
          <w:lang w:eastAsia="zh-CN"/>
        </w:rPr>
        <w:t>主要职责</w:t>
      </w:r>
      <w:bookmarkStart w:id="16" w:name="_Toc15378445"/>
      <w:bookmarkStart w:id="17" w:name="_Toc15377198"/>
      <w:bookmarkStart w:id="18" w:name="_Toc15378446"/>
      <w:bookmarkStart w:id="19" w:name="_Toc15377199"/>
    </w:p>
    <w:p>
      <w:pPr>
        <w:pStyle w:val="4"/>
        <w:keepNext/>
        <w:keepLines/>
        <w:pageBreakBefore w:val="0"/>
        <w:widowControl w:val="0"/>
        <w:numPr>
          <w:ilvl w:val="0"/>
          <w:numId w:val="0"/>
        </w:numPr>
        <w:kinsoku/>
        <w:wordWrap/>
        <w:overflowPunct/>
        <w:topLinePunct w:val="0"/>
        <w:autoSpaceDE/>
        <w:autoSpaceDN/>
        <w:bidi w:val="0"/>
        <w:adjustRightInd/>
        <w:snapToGrid/>
        <w:spacing w:before="0" w:after="0" w:line="416" w:lineRule="auto"/>
        <w:textAlignment w:val="auto"/>
        <w:rPr>
          <w:rFonts w:hint="eastAsia" w:ascii="楷体" w:hAnsi="楷体" w:eastAsia="楷体" w:cs="楷体"/>
          <w:bCs/>
          <w:sz w:val="28"/>
          <w:szCs w:val="28"/>
        </w:rPr>
      </w:pPr>
      <w:r>
        <w:rPr>
          <w:rFonts w:hint="eastAsia" w:ascii="楷体" w:hAnsi="楷体" w:eastAsia="楷体" w:cs="楷体"/>
          <w:bCs/>
          <w:sz w:val="28"/>
          <w:szCs w:val="28"/>
        </w:rPr>
        <w:t>（一）主要职能</w:t>
      </w:r>
      <w:bookmarkEnd w:id="16"/>
      <w:bookmarkEnd w:id="17"/>
    </w:p>
    <w:bookmarkEnd w:id="18"/>
    <w:bookmarkEnd w:id="19"/>
    <w:p>
      <w:pPr>
        <w:pageBreakBefore w:val="0"/>
        <w:widowControl w:val="0"/>
        <w:kinsoku/>
        <w:wordWrap/>
        <w:overflowPunct/>
        <w:topLinePunct w:val="0"/>
        <w:autoSpaceDE/>
        <w:autoSpaceDN/>
        <w:bidi w:val="0"/>
        <w:snapToGrid w:val="0"/>
        <w:spacing w:line="560" w:lineRule="exact"/>
        <w:ind w:firstLine="536" w:firstLineChars="200"/>
        <w:textAlignment w:val="auto"/>
        <w:rPr>
          <w:rFonts w:hint="eastAsia" w:ascii="仿宋" w:hAnsi="仿宋" w:eastAsia="仿宋" w:cs="仿宋"/>
          <w:spacing w:val="-6"/>
          <w:sz w:val="28"/>
          <w:szCs w:val="28"/>
        </w:rPr>
      </w:pPr>
      <w:bookmarkStart w:id="20" w:name="_Toc15377200"/>
      <w:bookmarkStart w:id="21" w:name="_Toc19089863"/>
      <w:r>
        <w:rPr>
          <w:rFonts w:hint="eastAsia" w:ascii="仿宋" w:hAnsi="仿宋" w:eastAsia="仿宋" w:cs="仿宋"/>
          <w:spacing w:val="-6"/>
          <w:sz w:val="28"/>
          <w:szCs w:val="28"/>
        </w:rPr>
        <w:t>1．贯彻执行党和国家关于教育改革和发展的各项方针、政策，拟订全校教育事业发展规划和有关教育的规范性文件并组织实施；指导协调学校各部门的教育、教学体制改革。</w:t>
      </w:r>
    </w:p>
    <w:p>
      <w:pPr>
        <w:pageBreakBefore w:val="0"/>
        <w:widowControl w:val="0"/>
        <w:kinsoku/>
        <w:wordWrap/>
        <w:overflowPunct/>
        <w:topLinePunct w:val="0"/>
        <w:autoSpaceDE/>
        <w:autoSpaceDN/>
        <w:bidi w:val="0"/>
        <w:snapToGrid w:val="0"/>
        <w:spacing w:line="560" w:lineRule="exact"/>
        <w:ind w:firstLine="536"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2．负责学校教育经费的统筹管理，参与拟订筹措学校经费、学校拨款、学校基建投资办法和方案；监督学校经费的筹措和使用；宣传贯彻执行国家和省市有关学生资助工作方针和政策，统筹管理学校贫困家庭学生资助工作。</w:t>
      </w:r>
    </w:p>
    <w:p>
      <w:pPr>
        <w:pageBreakBefore w:val="0"/>
        <w:widowControl w:val="0"/>
        <w:kinsoku/>
        <w:wordWrap/>
        <w:overflowPunct/>
        <w:topLinePunct w:val="0"/>
        <w:autoSpaceDE/>
        <w:autoSpaceDN/>
        <w:bidi w:val="0"/>
        <w:snapToGrid w:val="0"/>
        <w:spacing w:line="560" w:lineRule="exact"/>
        <w:ind w:firstLine="536"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3．负责推进义务教育均衡发展和促进教育公平，负责义务教育的宏观指导与协调；指导学校全面实施素质教育；督促检查学校各类学校的办学标准、教学基本要求、教学基本条件的落实情况。</w:t>
      </w:r>
    </w:p>
    <w:p>
      <w:pPr>
        <w:pageBreakBefore w:val="0"/>
        <w:widowControl w:val="0"/>
        <w:kinsoku/>
        <w:wordWrap/>
        <w:overflowPunct/>
        <w:topLinePunct w:val="0"/>
        <w:autoSpaceDE/>
        <w:autoSpaceDN/>
        <w:bidi w:val="0"/>
        <w:snapToGrid w:val="0"/>
        <w:spacing w:line="560" w:lineRule="exact"/>
        <w:ind w:firstLine="536"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4.促进基础教育发展，教育学生成长为德学兼备、思想端正的学生，让学生获得基本的基础知识，尽可能培养其自学能力。</w:t>
      </w:r>
    </w:p>
    <w:p>
      <w:pPr>
        <w:pStyle w:val="2"/>
        <w:pageBreakBefore w:val="0"/>
        <w:widowControl w:val="0"/>
        <w:kinsoku/>
        <w:wordWrap/>
        <w:overflowPunct/>
        <w:topLinePunct w:val="0"/>
        <w:autoSpaceDE/>
        <w:autoSpaceDN/>
        <w:bidi w:val="0"/>
        <w:adjustRightInd w:val="0"/>
        <w:snapToGrid w:val="0"/>
        <w:spacing w:beforeLines="0" w:line="560" w:lineRule="exact"/>
        <w:ind w:firstLine="560" w:firstLineChars="200"/>
        <w:textAlignment w:val="auto"/>
        <w:outlineLvl w:val="2"/>
        <w:rPr>
          <w:rFonts w:hint="eastAsia" w:ascii="楷体" w:hAnsi="楷体" w:eastAsia="楷体" w:cs="楷体"/>
          <w:bCs/>
          <w:sz w:val="28"/>
          <w:szCs w:val="28"/>
        </w:rPr>
      </w:pPr>
      <w:r>
        <w:rPr>
          <w:rFonts w:hint="eastAsia" w:ascii="楷体" w:hAnsi="楷体" w:eastAsia="楷体" w:cs="楷体"/>
          <w:bCs/>
          <w:sz w:val="28"/>
          <w:szCs w:val="28"/>
        </w:rPr>
        <w:t>（二）20</w:t>
      </w:r>
      <w:r>
        <w:rPr>
          <w:rFonts w:hint="eastAsia" w:ascii="楷体" w:hAnsi="楷体" w:eastAsia="楷体" w:cs="楷体"/>
          <w:bCs/>
          <w:sz w:val="28"/>
          <w:szCs w:val="28"/>
          <w:lang w:val="en-US" w:eastAsia="zh-CN"/>
        </w:rPr>
        <w:t>22</w:t>
      </w:r>
      <w:r>
        <w:rPr>
          <w:rFonts w:hint="eastAsia" w:ascii="楷体" w:hAnsi="楷体" w:eastAsia="楷体" w:cs="楷体"/>
          <w:bCs/>
          <w:sz w:val="28"/>
          <w:szCs w:val="28"/>
        </w:rPr>
        <w:t>年重点工作完成情况</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1.教育质量稳中有升，特色学校创建有质的飞跃。</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2.确保校园安全稳定，再创安全文明平安校园。</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建立学生自主管理委员会，促进学生自我管理、合作探究，力促“生本德育”在学校全面实施，并取得阶段性成果；学生评价机制健全完善。</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巩固全国文明卫生城市创建成果，全面深化学校卫生环境，校园文化建设上新台阶。</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5</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完善制度建设，以制度治校。</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6</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抓实安全教学常规工作，力争创新有亮点。</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7</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抓实德育工作，力争各项主题活动实效性强，为“生本德育”全面实施提供支撑。</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8</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落实精准扶贫政策，确保建档立卡贫困户享受国家资助政策，积极做好控辍保学工作。为控制流失率，学校建立健全了流失生报告制度。依法保障适龄儿童入学，确保适龄儿童入学率100％，巩固率100％，进城务工子女入学率100％，关注弱势学生的学习和成长。</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9</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认真实施学校发展规划，完善特色学校创建方案，加快特色学校创建工作，深入开展“文明校园”创建活动，巩固活动成果。抓好常态化“新冠病毒”防疫工作，确保师生平安。</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10</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建立健全安全管理制度，抓好“三防建设”，和</w:t>
      </w:r>
      <w:r>
        <w:rPr>
          <w:rFonts w:hint="eastAsia" w:ascii="仿宋_GB2312" w:hAnsi="仿宋_GB2312" w:eastAsia="仿宋_GB2312" w:cs="仿宋_GB2312"/>
          <w:sz w:val="28"/>
          <w:szCs w:val="28"/>
          <w:lang w:val="en-US" w:eastAsia="zh-CN"/>
        </w:rPr>
        <w:t>大石</w:t>
      </w:r>
      <w:r>
        <w:rPr>
          <w:rFonts w:hint="eastAsia" w:ascii="仿宋_GB2312" w:hAnsi="仿宋_GB2312" w:eastAsia="仿宋_GB2312" w:cs="仿宋_GB2312"/>
          <w:sz w:val="28"/>
          <w:szCs w:val="28"/>
        </w:rPr>
        <w:t>派出所建立警校联动机制，不断加强门卫管理，强化签到签离，严防社会闲散人员及可能危害学校安全的可疑人员进入校园。扎实开展综合治理工作，加强校园安全管理，确保重大安全事故的零记录。</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11</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关注学生的全面发展，严格执行课程标准，积极创造条件开齐课程，开足课时，办人民满意的学校。狠抓教师职业道德建设，重点学习省市区学校关于规范办学行为的文件和规定，切实要求教师遵照执行，规范执教行为。坚决杜绝有偿家辅及违规购买教辅资料；严控考试次数，不违规组织学生参加任何学科竞赛、考级活动；严禁教师歧视、侮辱、体罚和变相体罚学生，关注学生的身心健康。</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12</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做好校务、财务公开工作。坚持“公开、公平、公正”的工作原则，进一步规范工会代表大会和教职工代表会议制度，深化工会和教职工代表会议的民主监督工作。</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13</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加强班集体建设，做实“文明班级”评比活动。建设学校网站，加大学校对外宣传工作。</w:t>
      </w:r>
    </w:p>
    <w:p>
      <w:pPr>
        <w:pageBreakBefore w:val="0"/>
        <w:widowControl w:val="0"/>
        <w:kinsoku/>
        <w:wordWrap/>
        <w:overflowPunct/>
        <w:topLinePunct w:val="0"/>
        <w:autoSpaceDE/>
        <w:autoSpaceDN/>
        <w:bidi w:val="0"/>
        <w:snapToGrid w:val="0"/>
        <w:spacing w:line="560" w:lineRule="exact"/>
        <w:ind w:firstLine="560" w:firstLineChars="200"/>
        <w:textAlignment w:val="auto"/>
        <w:rPr>
          <w:rFonts w:ascii="仿宋_GB2312" w:hAnsi="仿宋_GB2312" w:eastAsia="仿宋_GB2312" w:cs="仿宋_GB2312"/>
          <w:sz w:val="28"/>
          <w:szCs w:val="28"/>
        </w:rPr>
      </w:pPr>
      <w:r>
        <w:rPr>
          <w:rFonts w:hint="eastAsia" w:ascii="仿宋_GB2312" w:hAnsi="仿宋_GB2312" w:eastAsia="仿宋_GB2312" w:cs="仿宋_GB2312"/>
          <w:sz w:val="28"/>
          <w:szCs w:val="28"/>
        </w:rPr>
        <w:t>14</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坚持开展安全主题教育活动，加强学生的自救、逃生、防自然灾害，防地质灾害等安全知识教育。</w:t>
      </w:r>
    </w:p>
    <w:p>
      <w:pPr>
        <w:pageBreakBefore w:val="0"/>
        <w:widowControl w:val="0"/>
        <w:kinsoku/>
        <w:wordWrap/>
        <w:overflowPunct/>
        <w:topLinePunct w:val="0"/>
        <w:autoSpaceDE/>
        <w:autoSpaceDN/>
        <w:bidi w:val="0"/>
        <w:snapToGrid w:val="0"/>
        <w:spacing w:line="560" w:lineRule="exact"/>
        <w:ind w:firstLine="536" w:firstLineChars="200"/>
        <w:textAlignment w:val="auto"/>
        <w:rPr>
          <w:rFonts w:hint="eastAsia" w:ascii="仿宋" w:hAnsi="仿宋" w:eastAsia="仿宋" w:cs="仿宋"/>
          <w:spacing w:val="-6"/>
          <w:sz w:val="28"/>
          <w:szCs w:val="28"/>
        </w:rPr>
      </w:pPr>
      <w:r>
        <w:rPr>
          <w:rFonts w:hint="eastAsia" w:ascii="仿宋" w:hAnsi="仿宋" w:eastAsia="仿宋" w:cs="仿宋"/>
          <w:spacing w:val="-6"/>
          <w:sz w:val="28"/>
          <w:szCs w:val="28"/>
        </w:rPr>
        <w:t>15.安全管理工作进一步加强：全面落实安全工作“一岗双责”制，坚持校园及周边安全隐患整治长效机制，加强校园安全保卫，加强学生安全教育宣传，继续深入开展学生“平安度假”“平安回家”“三千教师暑假进万家大走访”和暑假教师“义务巡河”活动，加强学校、社会、家庭安全网络建设，假期学生实现零伤亡指标。</w:t>
      </w:r>
    </w:p>
    <w:p>
      <w:pPr>
        <w:pStyle w:val="4"/>
        <w:keepNext/>
        <w:keepLines/>
        <w:pageBreakBefore w:val="0"/>
        <w:widowControl w:val="0"/>
        <w:numPr>
          <w:ilvl w:val="0"/>
          <w:numId w:val="0"/>
        </w:numPr>
        <w:kinsoku/>
        <w:wordWrap/>
        <w:overflowPunct/>
        <w:topLinePunct w:val="0"/>
        <w:autoSpaceDE/>
        <w:autoSpaceDN/>
        <w:bidi w:val="0"/>
        <w:adjustRightInd/>
        <w:snapToGrid/>
        <w:spacing w:before="140" w:after="140" w:line="416" w:lineRule="auto"/>
        <w:textAlignment w:val="auto"/>
        <w:rPr>
          <w:rFonts w:hint="eastAsia" w:ascii="黑体" w:hAnsi="黑体" w:eastAsia="黑体"/>
          <w:b w:val="0"/>
          <w:color w:val="auto"/>
          <w:highlight w:val="none"/>
          <w:lang w:val="en-US" w:eastAsia="zh-CN"/>
        </w:rPr>
      </w:pPr>
      <w:r>
        <w:rPr>
          <w:rFonts w:hint="eastAsia" w:ascii="黑体" w:hAnsi="黑体" w:eastAsia="黑体"/>
          <w:b w:val="0"/>
          <w:color w:val="auto"/>
          <w:highlight w:val="none"/>
          <w:lang w:val="en-US" w:eastAsia="zh-CN"/>
        </w:rPr>
        <w:t>二、机构设置</w:t>
      </w:r>
    </w:p>
    <w:p>
      <w:pPr>
        <w:pageBreakBefore w:val="0"/>
        <w:widowControl w:val="0"/>
        <w:kinsoku/>
        <w:wordWrap/>
        <w:overflowPunct/>
        <w:topLinePunct w:val="0"/>
        <w:autoSpaceDE/>
        <w:autoSpaceDN/>
        <w:bidi w:val="0"/>
        <w:snapToGrid w:val="0"/>
        <w:spacing w:line="560" w:lineRule="exact"/>
        <w:ind w:firstLine="560" w:firstLineChars="200"/>
        <w:textAlignment w:val="auto"/>
        <w:rPr>
          <w:rFonts w:hint="eastAsia" w:ascii="仿宋" w:hAnsi="仿宋" w:eastAsia="仿宋" w:cs="仿宋"/>
          <w:spacing w:val="-6"/>
          <w:sz w:val="28"/>
          <w:szCs w:val="28"/>
          <w:lang w:val="en-US" w:eastAsia="zh-CN"/>
        </w:rPr>
      </w:pPr>
      <w:r>
        <w:rPr>
          <w:rFonts w:hint="eastAsia" w:ascii="宋体" w:hAnsi="宋体" w:eastAsia="宋体" w:cs="宋体"/>
          <w:sz w:val="28"/>
          <w:szCs w:val="28"/>
          <w:lang w:val="en-US" w:eastAsia="zh-CN"/>
        </w:rPr>
        <w:t>1</w:t>
      </w:r>
      <w:r>
        <w:rPr>
          <w:rFonts w:hint="eastAsia" w:ascii="宋体" w:hAnsi="宋体" w:eastAsia="宋体" w:cs="宋体"/>
          <w:sz w:val="24"/>
          <w:szCs w:val="24"/>
          <w:lang w:val="en-US" w:eastAsia="zh-CN"/>
        </w:rPr>
        <w:t>.</w:t>
      </w:r>
      <w:r>
        <w:rPr>
          <w:rFonts w:hint="eastAsia" w:ascii="仿宋" w:hAnsi="仿宋" w:eastAsia="仿宋" w:cs="仿宋"/>
          <w:spacing w:val="-6"/>
          <w:sz w:val="28"/>
          <w:szCs w:val="28"/>
        </w:rPr>
        <w:t>广元市利州区大石</w:t>
      </w:r>
      <w:r>
        <w:rPr>
          <w:rFonts w:hint="eastAsia" w:ascii="仿宋" w:hAnsi="仿宋" w:eastAsia="仿宋" w:cs="仿宋"/>
          <w:spacing w:val="-6"/>
          <w:sz w:val="28"/>
          <w:szCs w:val="28"/>
          <w:lang w:val="en-US" w:eastAsia="zh-CN"/>
        </w:rPr>
        <w:t>初级</w:t>
      </w:r>
      <w:r>
        <w:rPr>
          <w:rFonts w:hint="eastAsia" w:ascii="仿宋" w:hAnsi="仿宋" w:eastAsia="仿宋" w:cs="仿宋"/>
          <w:spacing w:val="-6"/>
          <w:sz w:val="28"/>
          <w:szCs w:val="28"/>
        </w:rPr>
        <w:t>中学</w:t>
      </w:r>
      <w:r>
        <w:rPr>
          <w:rFonts w:hint="eastAsia" w:ascii="仿宋" w:hAnsi="仿宋" w:eastAsia="仿宋" w:cs="仿宋"/>
          <w:spacing w:val="-6"/>
          <w:sz w:val="28"/>
          <w:szCs w:val="28"/>
          <w:lang w:val="en-US" w:eastAsia="zh-CN"/>
        </w:rPr>
        <w:t>是经利州区编制委员会批准成立的，隶属区教育局领导下的一所单设农村初级中学。主要职能：实施初级中学义务教育，初级中学学历教育。</w:t>
      </w:r>
    </w:p>
    <w:p>
      <w:pPr>
        <w:pageBreakBefore w:val="0"/>
        <w:widowControl w:val="0"/>
        <w:kinsoku/>
        <w:wordWrap/>
        <w:overflowPunct/>
        <w:topLinePunct w:val="0"/>
        <w:autoSpaceDE/>
        <w:autoSpaceDN/>
        <w:bidi w:val="0"/>
        <w:snapToGrid w:val="0"/>
        <w:spacing w:line="560" w:lineRule="exact"/>
        <w:ind w:firstLine="536" w:firstLineChars="200"/>
        <w:textAlignment w:val="auto"/>
        <w:rPr>
          <w:rFonts w:hint="eastAsia" w:ascii="仿宋" w:hAnsi="仿宋" w:eastAsia="仿宋" w:cs="仿宋"/>
          <w:spacing w:val="-6"/>
          <w:sz w:val="28"/>
          <w:szCs w:val="28"/>
          <w:lang w:val="en-US" w:eastAsia="zh-CN"/>
        </w:rPr>
      </w:pPr>
      <w:r>
        <w:rPr>
          <w:rFonts w:hint="eastAsia" w:ascii="仿宋" w:hAnsi="仿宋" w:eastAsia="仿宋" w:cs="仿宋"/>
          <w:spacing w:val="-6"/>
          <w:sz w:val="28"/>
          <w:szCs w:val="28"/>
          <w:lang w:val="en-US" w:eastAsia="zh-CN"/>
        </w:rPr>
        <w:t xml:space="preserve">   2.</w:t>
      </w:r>
      <w:r>
        <w:rPr>
          <w:rFonts w:hint="eastAsia" w:ascii="仿宋" w:hAnsi="仿宋" w:eastAsia="仿宋" w:cs="仿宋"/>
          <w:spacing w:val="-6"/>
          <w:sz w:val="28"/>
          <w:szCs w:val="28"/>
        </w:rPr>
        <w:t>广元市利州区大石</w:t>
      </w:r>
      <w:r>
        <w:rPr>
          <w:rFonts w:hint="eastAsia" w:ascii="仿宋" w:hAnsi="仿宋" w:eastAsia="仿宋" w:cs="仿宋"/>
          <w:spacing w:val="-6"/>
          <w:sz w:val="28"/>
          <w:szCs w:val="28"/>
          <w:lang w:val="en-US" w:eastAsia="zh-CN"/>
        </w:rPr>
        <w:t>初级</w:t>
      </w:r>
      <w:r>
        <w:rPr>
          <w:rFonts w:hint="eastAsia" w:ascii="仿宋" w:hAnsi="仿宋" w:eastAsia="仿宋" w:cs="仿宋"/>
          <w:spacing w:val="-6"/>
          <w:sz w:val="28"/>
          <w:szCs w:val="28"/>
        </w:rPr>
        <w:t>中学</w:t>
      </w:r>
      <w:r>
        <w:rPr>
          <w:rFonts w:hint="eastAsia" w:ascii="仿宋" w:hAnsi="仿宋" w:eastAsia="仿宋" w:cs="仿宋"/>
          <w:spacing w:val="-6"/>
          <w:sz w:val="28"/>
          <w:szCs w:val="28"/>
          <w:lang w:val="en-US" w:eastAsia="zh-CN"/>
        </w:rPr>
        <w:t>是区编制委员会命名的独立法人机构，为经费独立核算单位。</w:t>
      </w:r>
    </w:p>
    <w:bookmarkEnd w:id="20"/>
    <w:bookmarkEnd w:id="21"/>
    <w:p>
      <w:pPr>
        <w:pageBreakBefore w:val="0"/>
        <w:widowControl w:val="0"/>
        <w:kinsoku/>
        <w:wordWrap/>
        <w:overflowPunct/>
        <w:topLinePunct w:val="0"/>
        <w:autoSpaceDE/>
        <w:autoSpaceDN/>
        <w:bidi w:val="0"/>
        <w:adjustRightInd/>
        <w:snapToGrid w:val="0"/>
        <w:spacing w:line="560" w:lineRule="exact"/>
        <w:ind w:firstLine="280" w:firstLineChars="100"/>
        <w:jc w:val="both"/>
        <w:textAlignment w:val="auto"/>
        <w:rPr>
          <w:rFonts w:hint="eastAsia" w:ascii="楷体" w:hAnsi="楷体" w:eastAsia="楷体" w:cs="楷体"/>
          <w:sz w:val="28"/>
          <w:szCs w:val="28"/>
        </w:rPr>
      </w:pPr>
      <w:r>
        <w:rPr>
          <w:rFonts w:hint="eastAsia" w:ascii="楷体" w:hAnsi="楷体" w:eastAsia="楷体" w:cs="楷体"/>
          <w:sz w:val="28"/>
          <w:szCs w:val="28"/>
          <w:lang w:eastAsia="zh-CN"/>
        </w:rPr>
        <w:t>（一）</w:t>
      </w:r>
      <w:r>
        <w:rPr>
          <w:rFonts w:hint="eastAsia" w:ascii="楷体" w:hAnsi="楷体" w:eastAsia="楷体" w:cs="楷体"/>
          <w:sz w:val="28"/>
          <w:szCs w:val="28"/>
        </w:rPr>
        <w:t>机构情况及增减变动原因</w:t>
      </w:r>
    </w:p>
    <w:p>
      <w:pPr>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学校共设办公室、教务处、</w:t>
      </w:r>
      <w:r>
        <w:rPr>
          <w:rFonts w:hint="eastAsia" w:ascii="仿宋" w:hAnsi="仿宋" w:eastAsia="仿宋" w:cs="仿宋"/>
          <w:sz w:val="28"/>
          <w:szCs w:val="28"/>
          <w:lang w:val="en-US" w:eastAsia="zh-CN"/>
        </w:rPr>
        <w:t>政教</w:t>
      </w:r>
      <w:r>
        <w:rPr>
          <w:rFonts w:hint="eastAsia" w:ascii="仿宋" w:hAnsi="仿宋" w:eastAsia="仿宋" w:cs="仿宋"/>
          <w:sz w:val="28"/>
          <w:szCs w:val="28"/>
        </w:rPr>
        <w:t>处、总务处、技装室、安办</w:t>
      </w:r>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廉勤委、团委八</w:t>
      </w:r>
      <w:r>
        <w:rPr>
          <w:rFonts w:hint="eastAsia" w:ascii="仿宋" w:hAnsi="仿宋" w:eastAsia="仿宋" w:cs="仿宋"/>
          <w:sz w:val="28"/>
          <w:szCs w:val="28"/>
        </w:rPr>
        <w:t>个部门，无变动情况。</w:t>
      </w:r>
    </w:p>
    <w:p>
      <w:pPr>
        <w:pageBreakBefore w:val="0"/>
        <w:widowControl w:val="0"/>
        <w:kinsoku/>
        <w:wordWrap/>
        <w:overflowPunct/>
        <w:topLinePunct w:val="0"/>
        <w:autoSpaceDE/>
        <w:autoSpaceDN/>
        <w:bidi w:val="0"/>
        <w:adjustRightInd/>
        <w:snapToGrid w:val="0"/>
        <w:spacing w:line="560" w:lineRule="exact"/>
        <w:ind w:firstLine="280" w:firstLineChars="100"/>
        <w:jc w:val="both"/>
        <w:textAlignment w:val="auto"/>
        <w:rPr>
          <w:rFonts w:hint="eastAsia" w:ascii="楷体" w:hAnsi="楷体" w:eastAsia="楷体" w:cs="楷体"/>
          <w:sz w:val="28"/>
          <w:szCs w:val="28"/>
          <w:lang w:eastAsia="zh-CN"/>
        </w:rPr>
      </w:pPr>
      <w:r>
        <w:rPr>
          <w:rFonts w:hint="eastAsia" w:ascii="楷体" w:hAnsi="楷体" w:eastAsia="楷体" w:cs="楷体"/>
          <w:sz w:val="28"/>
          <w:szCs w:val="28"/>
          <w:lang w:eastAsia="zh-CN"/>
        </w:rPr>
        <w:t>（二）人员情况及增减变动原因</w:t>
      </w:r>
    </w:p>
    <w:p>
      <w:pPr>
        <w:pageBreakBefore w:val="0"/>
        <w:widowControl w:val="0"/>
        <w:kinsoku/>
        <w:wordWrap/>
        <w:overflowPunct/>
        <w:topLinePunct w:val="0"/>
        <w:autoSpaceDE/>
        <w:autoSpaceDN/>
        <w:bidi w:val="0"/>
        <w:adjustRightInd/>
        <w:snapToGrid w:val="0"/>
        <w:spacing w:line="560" w:lineRule="exact"/>
        <w:ind w:left="0" w:leftChars="0" w:firstLine="560" w:firstLineChars="200"/>
        <w:jc w:val="both"/>
        <w:textAlignment w:val="auto"/>
        <w:rPr>
          <w:rFonts w:hint="eastAsia" w:ascii="仿宋" w:hAnsi="仿宋" w:eastAsia="仿宋" w:cs="仿宋"/>
          <w:sz w:val="28"/>
          <w:szCs w:val="28"/>
        </w:rPr>
      </w:pPr>
      <w:r>
        <w:rPr>
          <w:rFonts w:hint="eastAsia" w:ascii="仿宋" w:hAnsi="仿宋" w:eastAsia="仿宋" w:cs="仿宋"/>
          <w:sz w:val="28"/>
          <w:szCs w:val="28"/>
        </w:rPr>
        <w:t>学校现有在职教职工</w:t>
      </w:r>
      <w:r>
        <w:rPr>
          <w:rFonts w:hint="eastAsia" w:ascii="仿宋" w:hAnsi="仿宋" w:eastAsia="仿宋" w:cs="仿宋"/>
          <w:sz w:val="28"/>
          <w:szCs w:val="28"/>
          <w:lang w:val="en-US" w:eastAsia="zh-CN"/>
        </w:rPr>
        <w:t>54</w:t>
      </w:r>
      <w:r>
        <w:rPr>
          <w:rFonts w:hint="eastAsia" w:ascii="仿宋" w:hAnsi="仿宋" w:eastAsia="仿宋" w:cs="仿宋"/>
          <w:sz w:val="28"/>
          <w:szCs w:val="28"/>
        </w:rPr>
        <w:t>人（其中专业技术人员</w:t>
      </w:r>
      <w:r>
        <w:rPr>
          <w:rFonts w:hint="eastAsia" w:ascii="仿宋" w:hAnsi="仿宋" w:eastAsia="仿宋" w:cs="仿宋"/>
          <w:sz w:val="28"/>
          <w:szCs w:val="28"/>
          <w:lang w:val="en-US" w:eastAsia="zh-CN"/>
        </w:rPr>
        <w:t>51</w:t>
      </w:r>
      <w:r>
        <w:rPr>
          <w:rFonts w:hint="eastAsia" w:ascii="仿宋" w:hAnsi="仿宋" w:eastAsia="仿宋" w:cs="仿宋"/>
          <w:sz w:val="28"/>
          <w:szCs w:val="28"/>
        </w:rPr>
        <w:t>人，工勤</w:t>
      </w:r>
      <w:r>
        <w:rPr>
          <w:rFonts w:hint="eastAsia" w:ascii="仿宋" w:hAnsi="仿宋" w:eastAsia="仿宋" w:cs="仿宋"/>
          <w:sz w:val="28"/>
          <w:szCs w:val="28"/>
          <w:lang w:val="en-US" w:eastAsia="zh-CN"/>
        </w:rPr>
        <w:t>3</w:t>
      </w:r>
      <w:r>
        <w:rPr>
          <w:rFonts w:hint="eastAsia" w:ascii="仿宋" w:hAnsi="仿宋" w:eastAsia="仿宋" w:cs="仿宋"/>
          <w:sz w:val="28"/>
          <w:szCs w:val="28"/>
        </w:rPr>
        <w:t>人，退休人员</w:t>
      </w:r>
      <w:r>
        <w:rPr>
          <w:rFonts w:hint="eastAsia" w:ascii="仿宋" w:hAnsi="仿宋" w:eastAsia="仿宋" w:cs="仿宋"/>
          <w:sz w:val="28"/>
          <w:szCs w:val="28"/>
          <w:lang w:val="en-US" w:eastAsia="zh-CN"/>
        </w:rPr>
        <w:t>21</w:t>
      </w:r>
      <w:r>
        <w:rPr>
          <w:rFonts w:hint="eastAsia" w:ascii="仿宋" w:hAnsi="仿宋" w:eastAsia="仿宋" w:cs="仿宋"/>
          <w:sz w:val="28"/>
          <w:szCs w:val="28"/>
        </w:rPr>
        <w:t>人），</w:t>
      </w:r>
      <w:r>
        <w:rPr>
          <w:rFonts w:hint="eastAsia" w:ascii="仿宋" w:hAnsi="仿宋" w:eastAsia="仿宋" w:cs="仿宋"/>
          <w:sz w:val="28"/>
          <w:szCs w:val="28"/>
          <w:lang w:val="en-US" w:eastAsia="zh-CN"/>
        </w:rPr>
        <w:t>7</w:t>
      </w:r>
      <w:r>
        <w:rPr>
          <w:rFonts w:hint="eastAsia" w:ascii="仿宋" w:hAnsi="仿宋" w:eastAsia="仿宋" w:cs="仿宋"/>
          <w:sz w:val="28"/>
          <w:szCs w:val="28"/>
        </w:rPr>
        <w:t>-</w:t>
      </w:r>
      <w:r>
        <w:rPr>
          <w:rFonts w:hint="eastAsia" w:ascii="仿宋" w:hAnsi="仿宋" w:eastAsia="仿宋" w:cs="仿宋"/>
          <w:sz w:val="28"/>
          <w:szCs w:val="28"/>
          <w:lang w:val="en-US" w:eastAsia="zh-CN"/>
        </w:rPr>
        <w:t>9</w:t>
      </w:r>
      <w:r>
        <w:rPr>
          <w:rFonts w:hint="eastAsia" w:ascii="仿宋" w:hAnsi="仿宋" w:eastAsia="仿宋" w:cs="仿宋"/>
          <w:sz w:val="28"/>
          <w:szCs w:val="28"/>
        </w:rPr>
        <w:t>年级学生</w:t>
      </w:r>
      <w:r>
        <w:rPr>
          <w:rFonts w:hint="eastAsia" w:ascii="仿宋" w:hAnsi="仿宋" w:eastAsia="仿宋" w:cs="仿宋"/>
          <w:sz w:val="28"/>
          <w:szCs w:val="28"/>
          <w:lang w:val="en-US" w:eastAsia="zh-CN"/>
        </w:rPr>
        <w:t>319人</w:t>
      </w:r>
      <w:r>
        <w:rPr>
          <w:rFonts w:hint="eastAsia" w:ascii="仿宋" w:hAnsi="仿宋" w:eastAsia="仿宋" w:cs="仿宋"/>
          <w:sz w:val="28"/>
          <w:szCs w:val="28"/>
        </w:rPr>
        <w:t>，与去年同期比较，在职教职工人数减少</w:t>
      </w:r>
      <w:r>
        <w:rPr>
          <w:rFonts w:hint="eastAsia" w:ascii="仿宋" w:hAnsi="仿宋" w:eastAsia="仿宋" w:cs="仿宋"/>
          <w:sz w:val="28"/>
          <w:szCs w:val="28"/>
          <w:lang w:val="en-US" w:eastAsia="zh-CN"/>
        </w:rPr>
        <w:t>2</w:t>
      </w:r>
      <w:r>
        <w:rPr>
          <w:rFonts w:hint="eastAsia" w:ascii="仿宋" w:hAnsi="仿宋" w:eastAsia="仿宋" w:cs="仿宋"/>
          <w:sz w:val="28"/>
          <w:szCs w:val="28"/>
        </w:rPr>
        <w:t>人。</w:t>
      </w:r>
    </w:p>
    <w:bookmarkEnd w:id="14"/>
    <w:bookmarkEnd w:id="15"/>
    <w:p>
      <w:pPr>
        <w:widowControl/>
        <w:jc w:val="left"/>
        <w:rPr>
          <w:rFonts w:ascii="仿宋" w:hAnsi="仿宋" w:eastAsia="仿宋"/>
          <w:color w:val="auto"/>
          <w:kern w:val="0"/>
          <w:sz w:val="32"/>
          <w:szCs w:val="32"/>
          <w:highlight w:val="none"/>
        </w:rPr>
      </w:pPr>
      <w:r>
        <w:rPr>
          <w:rFonts w:ascii="仿宋" w:hAnsi="仿宋" w:eastAsia="仿宋"/>
          <w:color w:val="auto"/>
          <w:sz w:val="32"/>
          <w:szCs w:val="32"/>
          <w:highlight w:val="none"/>
        </w:rPr>
        <w:br w:type="page"/>
      </w:r>
    </w:p>
    <w:p>
      <w:pPr>
        <w:pStyle w:val="3"/>
        <w:keepNext/>
        <w:keepLines/>
        <w:pageBreakBefore w:val="0"/>
        <w:widowControl w:val="0"/>
        <w:kinsoku/>
        <w:wordWrap/>
        <w:overflowPunct/>
        <w:topLinePunct w:val="0"/>
        <w:autoSpaceDE/>
        <w:autoSpaceDN/>
        <w:bidi w:val="0"/>
        <w:adjustRightInd/>
        <w:snapToGrid/>
        <w:spacing w:before="100" w:after="0" w:line="480" w:lineRule="auto"/>
        <w:ind w:right="283"/>
        <w:jc w:val="center"/>
        <w:textAlignment w:val="auto"/>
        <w:rPr>
          <w:color w:val="auto"/>
          <w:highlight w:val="none"/>
        </w:rPr>
      </w:pPr>
      <w:bookmarkStart w:id="22" w:name="_Toc15377204"/>
      <w:bookmarkStart w:id="23" w:name="_Toc15396602"/>
      <w:r>
        <w:rPr>
          <w:rFonts w:hint="eastAsia" w:ascii="黑体" w:hAnsi="黑体" w:eastAsia="黑体"/>
          <w:b w:val="0"/>
          <w:bCs/>
          <w:color w:val="auto"/>
          <w:highlight w:val="none"/>
        </w:rPr>
        <w:t xml:space="preserve">第二部分 </w:t>
      </w:r>
      <w:r>
        <w:rPr>
          <w:rFonts w:hint="eastAsia" w:ascii="黑体" w:hAnsi="黑体" w:eastAsia="黑体"/>
          <w:b w:val="0"/>
          <w:bCs/>
          <w:color w:val="auto"/>
          <w:highlight w:val="none"/>
          <w:lang w:val="en-US" w:eastAsia="zh-CN"/>
        </w:rPr>
        <w:t>2022年度</w:t>
      </w:r>
      <w:r>
        <w:rPr>
          <w:rStyle w:val="24"/>
          <w:rFonts w:hint="eastAsia" w:ascii="黑体" w:hAnsi="黑体" w:eastAsia="黑体"/>
          <w:b w:val="0"/>
          <w:bCs/>
          <w:color w:val="auto"/>
          <w:highlight w:val="none"/>
          <w:lang w:eastAsia="zh-CN"/>
        </w:rPr>
        <w:t>单位</w:t>
      </w:r>
      <w:r>
        <w:rPr>
          <w:rStyle w:val="24"/>
          <w:rFonts w:hint="eastAsia" w:ascii="黑体" w:hAnsi="黑体" w:eastAsia="黑体"/>
          <w:b w:val="0"/>
          <w:bCs/>
          <w:color w:val="auto"/>
          <w:highlight w:val="none"/>
        </w:rPr>
        <w:t>决算情况说明</w:t>
      </w:r>
      <w:bookmarkEnd w:id="22"/>
      <w:bookmarkEnd w:id="23"/>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4" w:name="_Toc15377205"/>
      <w:bookmarkStart w:id="25" w:name="_Toc15396603"/>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入支出决算总体情况说明</w:t>
      </w:r>
      <w:bookmarkEnd w:id="24"/>
      <w:bookmarkEnd w:id="25"/>
    </w:p>
    <w:p>
      <w:pPr>
        <w:spacing w:line="52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年度利州区大石初级中学收入总计</w:t>
      </w:r>
      <w:r>
        <w:rPr>
          <w:rFonts w:hint="eastAsia" w:ascii="仿宋" w:hAnsi="仿宋" w:eastAsia="仿宋"/>
          <w:color w:val="auto"/>
          <w:sz w:val="32"/>
          <w:szCs w:val="32"/>
          <w:highlight w:val="none"/>
          <w:lang w:val="en-US" w:eastAsia="zh-CN"/>
        </w:rPr>
        <w:t>1,125.24</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年相比（1,0</w:t>
      </w:r>
      <w:r>
        <w:rPr>
          <w:rFonts w:hint="eastAsia" w:ascii="仿宋" w:hAnsi="仿宋" w:eastAsia="仿宋"/>
          <w:color w:val="auto"/>
          <w:sz w:val="32"/>
          <w:szCs w:val="32"/>
          <w:highlight w:val="none"/>
          <w:lang w:val="en-US" w:eastAsia="zh-CN"/>
        </w:rPr>
        <w:t>81</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万元），收入总计</w:t>
      </w:r>
      <w:r>
        <w:rPr>
          <w:rFonts w:hint="eastAsia" w:ascii="仿宋" w:hAnsi="仿宋" w:eastAsia="仿宋"/>
          <w:color w:val="auto"/>
          <w:sz w:val="32"/>
          <w:szCs w:val="32"/>
          <w:highlight w:val="none"/>
          <w:lang w:val="en-US" w:eastAsia="zh-CN"/>
        </w:rPr>
        <w:t>增加44</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02</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w:t>
      </w:r>
      <w:r>
        <w:rPr>
          <w:rFonts w:hint="eastAsia" w:ascii="仿宋" w:hAnsi="仿宋" w:eastAsia="仿宋"/>
          <w:color w:val="auto"/>
          <w:sz w:val="32"/>
          <w:szCs w:val="32"/>
          <w:highlight w:val="none"/>
        </w:rPr>
        <w:t>幅</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07</w:t>
      </w:r>
      <w:r>
        <w:rPr>
          <w:rFonts w:hint="eastAsia" w:ascii="仿宋" w:hAnsi="仿宋" w:eastAsia="仿宋"/>
          <w:color w:val="auto"/>
          <w:sz w:val="32"/>
          <w:szCs w:val="32"/>
          <w:highlight w:val="none"/>
        </w:rPr>
        <w:t>%。收入主要变动原因</w:t>
      </w:r>
      <w:r>
        <w:rPr>
          <w:rFonts w:hint="eastAsia" w:ascii="仿宋" w:hAnsi="仿宋" w:eastAsia="仿宋"/>
          <w:color w:val="auto"/>
          <w:sz w:val="32"/>
          <w:szCs w:val="32"/>
          <w:highlight w:val="none"/>
          <w:lang w:val="en-US" w:eastAsia="zh-CN"/>
        </w:rPr>
        <w:t>调资和项目资金增加</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rPr>
        <w:fldChar w:fldCharType="begin"/>
      </w:r>
      <w:r>
        <w:rPr>
          <w:rFonts w:hint="eastAsia" w:ascii="仿宋" w:hAnsi="仿宋" w:eastAsia="仿宋"/>
          <w:color w:val="auto"/>
          <w:sz w:val="32"/>
          <w:szCs w:val="32"/>
          <w:highlight w:val="none"/>
        </w:rPr>
        <w:instrText xml:space="preserve"> LINK Excel.Sheet.8 C:\\Users\\Administrator\\Desktop\\各学校决算公开表\\广元市利州区大石初级中学.XLS "Z01 收入支出决算总表(财决公开1表)!R31C3" \a \f 4 \h  \* MERGEFORMAT </w:instrText>
      </w:r>
      <w:r>
        <w:rPr>
          <w:rFonts w:hint="eastAsia" w:ascii="仿宋" w:hAnsi="仿宋" w:eastAsia="仿宋"/>
          <w:color w:val="auto"/>
          <w:sz w:val="32"/>
          <w:szCs w:val="32"/>
          <w:highlight w:val="none"/>
        </w:rPr>
        <w:fldChar w:fldCharType="separate"/>
      </w:r>
    </w:p>
    <w:p>
      <w:pPr>
        <w:spacing w:line="520" w:lineRule="exact"/>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fldChar w:fldCharType="end"/>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年度支出合计</w:t>
      </w:r>
      <w:r>
        <w:rPr>
          <w:rFonts w:hint="eastAsia" w:ascii="仿宋" w:hAnsi="仿宋" w:eastAsia="仿宋"/>
          <w:color w:val="auto"/>
          <w:sz w:val="32"/>
          <w:szCs w:val="32"/>
          <w:highlight w:val="none"/>
          <w:lang w:val="en-US" w:eastAsia="zh-CN"/>
        </w:rPr>
        <w:t>1,125.24</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年相比（1,</w:t>
      </w:r>
      <w:r>
        <w:rPr>
          <w:rFonts w:hint="eastAsia" w:ascii="仿宋" w:hAnsi="仿宋" w:eastAsia="仿宋"/>
          <w:color w:val="auto"/>
          <w:sz w:val="32"/>
          <w:szCs w:val="32"/>
          <w:highlight w:val="none"/>
          <w:lang w:val="en-US" w:eastAsia="zh-CN"/>
        </w:rPr>
        <w:t>178</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64</w:t>
      </w:r>
      <w:r>
        <w:rPr>
          <w:rFonts w:hint="eastAsia" w:ascii="仿宋" w:hAnsi="仿宋" w:eastAsia="仿宋"/>
          <w:color w:val="auto"/>
          <w:sz w:val="32"/>
          <w:szCs w:val="32"/>
          <w:highlight w:val="none"/>
        </w:rPr>
        <w:t>万元），支出</w:t>
      </w:r>
      <w:r>
        <w:rPr>
          <w:rFonts w:hint="eastAsia" w:ascii="仿宋" w:hAnsi="仿宋" w:eastAsia="仿宋"/>
          <w:color w:val="auto"/>
          <w:sz w:val="32"/>
          <w:szCs w:val="32"/>
          <w:highlight w:val="none"/>
          <w:lang w:val="en-US" w:eastAsia="zh-CN"/>
        </w:rPr>
        <w:t>减少53.4</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减少4</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53</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支出</w:t>
      </w:r>
      <w:r>
        <w:rPr>
          <w:rFonts w:hint="eastAsia" w:ascii="仿宋" w:hAnsi="仿宋" w:eastAsia="仿宋"/>
          <w:color w:val="auto"/>
          <w:sz w:val="32"/>
          <w:szCs w:val="32"/>
          <w:highlight w:val="none"/>
        </w:rPr>
        <w:t>主要变动原因是因人员</w:t>
      </w:r>
      <w:r>
        <w:rPr>
          <w:rFonts w:hint="eastAsia" w:ascii="仿宋" w:hAnsi="仿宋" w:eastAsia="仿宋"/>
          <w:color w:val="auto"/>
          <w:sz w:val="32"/>
          <w:szCs w:val="32"/>
          <w:highlight w:val="none"/>
          <w:lang w:val="en-US" w:eastAsia="zh-CN"/>
        </w:rPr>
        <w:t>调资</w:t>
      </w:r>
      <w:r>
        <w:rPr>
          <w:rFonts w:hint="eastAsia" w:ascii="仿宋" w:hAnsi="仿宋" w:eastAsia="仿宋"/>
          <w:color w:val="auto"/>
          <w:sz w:val="32"/>
          <w:szCs w:val="32"/>
          <w:highlight w:val="none"/>
        </w:rPr>
        <w:t>，工资支出</w:t>
      </w:r>
      <w:r>
        <w:rPr>
          <w:rFonts w:hint="eastAsia" w:ascii="仿宋" w:hAnsi="仿宋" w:eastAsia="仿宋"/>
          <w:color w:val="auto"/>
          <w:sz w:val="32"/>
          <w:szCs w:val="32"/>
          <w:highlight w:val="none"/>
          <w:lang w:val="en-US" w:eastAsia="zh-CN"/>
        </w:rPr>
        <w:t>减少</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w:t>
      </w:r>
      <w:r>
        <w:rPr>
          <w:rFonts w:ascii="仿宋" w:hAnsi="仿宋" w:eastAsia="仿宋"/>
          <w:color w:val="auto"/>
          <w:sz w:val="32"/>
          <w:szCs w:val="32"/>
          <w:highlight w:val="none"/>
        </w:rPr>
        <w:t>1</w:t>
      </w:r>
      <w:r>
        <w:rPr>
          <w:rFonts w:hint="eastAsia" w:ascii="仿宋" w:hAnsi="仿宋" w:eastAsia="仿宋"/>
          <w:color w:val="auto"/>
          <w:sz w:val="32"/>
          <w:szCs w:val="32"/>
          <w:highlight w:val="none"/>
        </w:rPr>
        <w:t>：收、支决算总计变动情况图）（柱状图）</w:t>
      </w:r>
    </w:p>
    <w:p>
      <w:pPr>
        <w:spacing w:line="600" w:lineRule="exact"/>
        <w:ind w:firstLine="560" w:firstLineChars="200"/>
        <w:jc w:val="center"/>
        <w:rPr>
          <w:rFonts w:ascii="仿宋_GB2312" w:eastAsia="仿宋_GB2312"/>
          <w:color w:val="auto"/>
          <w:sz w:val="32"/>
          <w:szCs w:val="32"/>
          <w:highlight w:val="none"/>
        </w:rPr>
      </w:pPr>
      <w:r>
        <w:rPr>
          <w:rFonts w:hint="eastAsia" w:ascii="仿宋" w:hAnsi="仿宋" w:eastAsia="仿宋"/>
          <w:sz w:val="28"/>
          <w:szCs w:val="28"/>
        </w:rPr>
        <w:t>收、支决算总计变动情况图</w:t>
      </w:r>
      <w:r>
        <w:rPr>
          <w:rFonts w:ascii="仿宋_GB2312" w:eastAsia="仿宋_GB2312"/>
          <w:sz w:val="28"/>
          <w:szCs w:val="28"/>
        </w:rPr>
        <w:drawing>
          <wp:anchor distT="0" distB="0" distL="114300" distR="114300" simplePos="0" relativeHeight="251659264" behindDoc="1" locked="0" layoutInCell="1" allowOverlap="1">
            <wp:simplePos x="0" y="0"/>
            <wp:positionH relativeFrom="column">
              <wp:posOffset>42545</wp:posOffset>
            </wp:positionH>
            <wp:positionV relativeFrom="paragraph">
              <wp:posOffset>104775</wp:posOffset>
            </wp:positionV>
            <wp:extent cx="5365115" cy="2196465"/>
            <wp:effectExtent l="4445" t="4445" r="6350" b="12065"/>
            <wp:wrapTight wrapText="bothSides">
              <wp:wrapPolygon>
                <wp:start x="-18" y="-44"/>
                <wp:lineTo x="-18" y="21400"/>
                <wp:lineTo x="21408" y="21400"/>
                <wp:lineTo x="21408" y="-44"/>
                <wp:lineTo x="-18" y="-44"/>
              </wp:wrapPolygon>
            </wp:wrapTight>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anchor>
        </w:drawing>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6" w:name="_Toc15377206"/>
      <w:bookmarkStart w:id="27" w:name="_Toc15396604"/>
      <w:r>
        <w:rPr>
          <w:rFonts w:hint="eastAsia" w:ascii="黑体" w:hAnsi="黑体" w:eastAsia="黑体"/>
          <w:color w:val="auto"/>
          <w:sz w:val="32"/>
          <w:szCs w:val="32"/>
          <w:highlight w:val="none"/>
        </w:rPr>
        <w:t>收</w:t>
      </w:r>
      <w:r>
        <w:rPr>
          <w:rStyle w:val="25"/>
          <w:rFonts w:hint="eastAsia" w:ascii="黑体" w:hAnsi="黑体" w:eastAsia="黑体"/>
          <w:b w:val="0"/>
          <w:color w:val="auto"/>
          <w:highlight w:val="none"/>
        </w:rPr>
        <w:t>入决算情况说明</w:t>
      </w:r>
      <w:bookmarkEnd w:id="26"/>
      <w:bookmarkEnd w:id="27"/>
    </w:p>
    <w:p>
      <w:pPr>
        <w:spacing w:line="600" w:lineRule="exact"/>
        <w:ind w:firstLine="640" w:firstLineChars="200"/>
        <w:outlineLvl w:val="1"/>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年本年收入合计</w:t>
      </w:r>
      <w:r>
        <w:rPr>
          <w:rFonts w:hint="eastAsia" w:ascii="仿宋" w:hAnsi="仿宋" w:eastAsia="仿宋"/>
          <w:color w:val="auto"/>
          <w:sz w:val="32"/>
          <w:szCs w:val="32"/>
          <w:highlight w:val="none"/>
          <w:lang w:val="en-US" w:eastAsia="zh-CN"/>
        </w:rPr>
        <w:t>1020.34</w:t>
      </w:r>
      <w:r>
        <w:rPr>
          <w:rFonts w:hint="eastAsia" w:ascii="仿宋" w:hAnsi="仿宋" w:eastAsia="仿宋"/>
          <w:color w:val="auto"/>
          <w:sz w:val="32"/>
          <w:szCs w:val="32"/>
          <w:highlight w:val="none"/>
        </w:rPr>
        <w:t>万元，其中：一般公共预算财政拨款收入</w:t>
      </w:r>
      <w:r>
        <w:rPr>
          <w:rFonts w:hint="eastAsia" w:ascii="仿宋" w:hAnsi="仿宋" w:eastAsia="仿宋"/>
          <w:color w:val="auto"/>
          <w:sz w:val="32"/>
          <w:szCs w:val="32"/>
          <w:highlight w:val="none"/>
          <w:lang w:val="en-US" w:eastAsia="zh-CN"/>
        </w:rPr>
        <w:t>1020.20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99.99</w:t>
      </w:r>
      <w:r>
        <w:rPr>
          <w:rFonts w:ascii="仿宋" w:hAnsi="仿宋" w:eastAsia="仿宋"/>
          <w:color w:val="auto"/>
          <w:sz w:val="32"/>
          <w:szCs w:val="32"/>
          <w:highlight w:val="none"/>
        </w:rPr>
        <w:t>%</w:t>
      </w:r>
      <w:r>
        <w:rPr>
          <w:rFonts w:hint="eastAsia" w:ascii="仿宋" w:hAnsi="仿宋" w:eastAsia="仿宋"/>
          <w:color w:val="auto"/>
          <w:sz w:val="32"/>
          <w:szCs w:val="32"/>
          <w:highlight w:val="none"/>
        </w:rPr>
        <w:t>；其他收入</w:t>
      </w:r>
      <w:r>
        <w:rPr>
          <w:rFonts w:hint="eastAsia" w:ascii="仿宋" w:hAnsi="仿宋" w:eastAsia="仿宋"/>
          <w:color w:val="auto"/>
          <w:sz w:val="32"/>
          <w:szCs w:val="32"/>
          <w:highlight w:val="none"/>
          <w:lang w:val="en-US" w:eastAsia="zh-CN"/>
        </w:rPr>
        <w:t>0.14</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0.01</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rPr>
          <w:rFonts w:ascii="仿宋_GB2312" w:eastAsia="仿宋_GB2312"/>
          <w:color w:val="auto"/>
          <w:sz w:val="32"/>
          <w:szCs w:val="32"/>
          <w:highlight w:val="none"/>
        </w:rPr>
      </w:pPr>
      <w:r>
        <w:rPr>
          <w:rFonts w:ascii="仿宋_GB2312" w:eastAsia="仿宋_GB2312"/>
          <w:sz w:val="28"/>
          <w:szCs w:val="28"/>
        </w:rPr>
        <w:drawing>
          <wp:anchor distT="0" distB="0" distL="114300" distR="114300" simplePos="0" relativeHeight="251660288" behindDoc="0" locked="0" layoutInCell="1" allowOverlap="1">
            <wp:simplePos x="0" y="0"/>
            <wp:positionH relativeFrom="column">
              <wp:posOffset>-9525</wp:posOffset>
            </wp:positionH>
            <wp:positionV relativeFrom="paragraph">
              <wp:posOffset>153035</wp:posOffset>
            </wp:positionV>
            <wp:extent cx="5274310" cy="2542540"/>
            <wp:effectExtent l="4445" t="4445" r="10795" b="11430"/>
            <wp:wrapSquare wrapText="bothSides"/>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Pr>
          <w:rFonts w:hint="eastAsia" w:ascii="仿宋" w:hAnsi="仿宋" w:eastAsia="仿宋"/>
          <w:color w:val="auto"/>
          <w:sz w:val="32"/>
          <w:szCs w:val="32"/>
          <w:highlight w:val="none"/>
        </w:rPr>
        <w:t>（图2：收入决算结构图）（饼状图）</w:t>
      </w:r>
    </w:p>
    <w:p>
      <w:pPr>
        <w:pStyle w:val="23"/>
        <w:numPr>
          <w:ilvl w:val="0"/>
          <w:numId w:val="2"/>
        </w:numPr>
        <w:spacing w:line="600" w:lineRule="exact"/>
        <w:ind w:firstLineChars="0"/>
        <w:outlineLvl w:val="1"/>
        <w:rPr>
          <w:rStyle w:val="25"/>
          <w:rFonts w:ascii="黑体" w:hAnsi="黑体" w:eastAsia="黑体"/>
          <w:b w:val="0"/>
          <w:color w:val="auto"/>
          <w:highlight w:val="none"/>
        </w:rPr>
      </w:pPr>
      <w:bookmarkStart w:id="28" w:name="_Toc15377207"/>
      <w:bookmarkStart w:id="29" w:name="_Toc15396605"/>
      <w:r>
        <w:rPr>
          <w:rFonts w:hint="eastAsia" w:ascii="黑体" w:hAnsi="黑体" w:eastAsia="黑体"/>
          <w:color w:val="auto"/>
          <w:sz w:val="32"/>
          <w:szCs w:val="32"/>
          <w:highlight w:val="none"/>
        </w:rPr>
        <w:t>支</w:t>
      </w:r>
      <w:r>
        <w:rPr>
          <w:rStyle w:val="25"/>
          <w:rFonts w:hint="eastAsia" w:ascii="黑体" w:hAnsi="黑体" w:eastAsia="黑体"/>
          <w:b w:val="0"/>
          <w:color w:val="auto"/>
          <w:highlight w:val="none"/>
        </w:rPr>
        <w:t>出决算情况说明</w:t>
      </w:r>
      <w:bookmarkEnd w:id="28"/>
      <w:bookmarkEnd w:id="29"/>
    </w:p>
    <w:p>
      <w:pPr>
        <w:spacing w:line="600" w:lineRule="exact"/>
        <w:ind w:firstLine="640" w:firstLineChars="200"/>
        <w:outlineLvl w:val="1"/>
        <w:rPr>
          <w:rFonts w:ascii="仿宋" w:hAnsi="仿宋" w:eastAsia="仿宋"/>
          <w:color w:val="auto"/>
          <w:sz w:val="32"/>
          <w:szCs w:val="32"/>
          <w:highlight w:val="none"/>
          <w:shd w:val="pct10" w:color="auto" w:fill="FFFFFF"/>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年本年支出合计</w:t>
      </w:r>
      <w:r>
        <w:rPr>
          <w:rFonts w:hint="eastAsia" w:ascii="仿宋" w:hAnsi="仿宋" w:eastAsia="仿宋"/>
          <w:color w:val="auto"/>
          <w:sz w:val="32"/>
          <w:szCs w:val="32"/>
          <w:highlight w:val="none"/>
          <w:lang w:val="en-US" w:eastAsia="zh-CN"/>
        </w:rPr>
        <w:t>1125.24</w:t>
      </w:r>
      <w:r>
        <w:rPr>
          <w:rFonts w:hint="eastAsia" w:ascii="仿宋" w:hAnsi="仿宋" w:eastAsia="仿宋"/>
          <w:color w:val="auto"/>
          <w:sz w:val="32"/>
          <w:szCs w:val="32"/>
          <w:highlight w:val="none"/>
        </w:rPr>
        <w:t>万元，其中：基本支出</w:t>
      </w:r>
      <w:r>
        <w:rPr>
          <w:rFonts w:hint="eastAsia" w:ascii="仿宋" w:hAnsi="仿宋" w:eastAsia="仿宋"/>
          <w:color w:val="auto"/>
          <w:sz w:val="32"/>
          <w:szCs w:val="32"/>
          <w:highlight w:val="none"/>
          <w:lang w:val="en-US" w:eastAsia="zh-CN"/>
        </w:rPr>
        <w:t>999.27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88.81</w:t>
      </w:r>
      <w:r>
        <w:rPr>
          <w:rFonts w:ascii="仿宋" w:hAnsi="仿宋" w:eastAsia="仿宋"/>
          <w:color w:val="auto"/>
          <w:sz w:val="32"/>
          <w:szCs w:val="32"/>
          <w:highlight w:val="none"/>
        </w:rPr>
        <w:t>%</w:t>
      </w:r>
      <w:r>
        <w:rPr>
          <w:rFonts w:hint="eastAsia" w:ascii="仿宋" w:hAnsi="仿宋" w:eastAsia="仿宋"/>
          <w:color w:val="auto"/>
          <w:sz w:val="32"/>
          <w:szCs w:val="32"/>
          <w:highlight w:val="none"/>
        </w:rPr>
        <w:t>；项目支出</w:t>
      </w:r>
      <w:r>
        <w:rPr>
          <w:rFonts w:hint="eastAsia" w:ascii="仿宋" w:hAnsi="仿宋" w:eastAsia="仿宋"/>
          <w:color w:val="auto"/>
          <w:sz w:val="32"/>
          <w:szCs w:val="32"/>
          <w:highlight w:val="none"/>
          <w:lang w:val="en-US" w:eastAsia="zh-CN"/>
        </w:rPr>
        <w:t>125.97</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11.19</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（图3：支出决算结构图）（饼状图）</w:t>
      </w:r>
    </w:p>
    <w:p>
      <w:pPr>
        <w:spacing w:line="600" w:lineRule="exact"/>
        <w:rPr>
          <w:rStyle w:val="25"/>
          <w:rFonts w:ascii="黑体" w:hAnsi="黑体" w:eastAsia="黑体"/>
          <w:b w:val="0"/>
          <w:color w:val="auto"/>
          <w:highlight w:val="none"/>
        </w:rPr>
      </w:pPr>
      <w:bookmarkStart w:id="30" w:name="_Toc15396606"/>
      <w:bookmarkStart w:id="31" w:name="_Toc15377208"/>
      <w:r>
        <w:rPr>
          <w:rFonts w:ascii="仿宋_GB2312" w:eastAsia="仿宋_GB2312"/>
          <w:sz w:val="32"/>
          <w:szCs w:val="32"/>
        </w:rPr>
        <w:drawing>
          <wp:anchor distT="0" distB="0" distL="114300" distR="114300" simplePos="0" relativeHeight="251661312" behindDoc="0" locked="0" layoutInCell="1" allowOverlap="1">
            <wp:simplePos x="0" y="0"/>
            <wp:positionH relativeFrom="column">
              <wp:posOffset>-59055</wp:posOffset>
            </wp:positionH>
            <wp:positionV relativeFrom="paragraph">
              <wp:posOffset>165100</wp:posOffset>
            </wp:positionV>
            <wp:extent cx="5274310" cy="2576195"/>
            <wp:effectExtent l="4445" t="4445" r="10795" b="10160"/>
            <wp:wrapSquare wrapText="bothSides"/>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anchor>
        </w:drawing>
      </w:r>
      <w:r>
        <w:rPr>
          <w:rFonts w:hint="eastAsia" w:ascii="黑体" w:hAnsi="黑体" w:eastAsia="黑体"/>
          <w:color w:val="auto"/>
          <w:sz w:val="32"/>
          <w:szCs w:val="32"/>
          <w:highlight w:val="none"/>
        </w:rPr>
        <w:t>四、财</w:t>
      </w:r>
      <w:r>
        <w:rPr>
          <w:rStyle w:val="25"/>
          <w:rFonts w:hint="eastAsia" w:ascii="黑体" w:hAnsi="黑体" w:eastAsia="黑体"/>
          <w:b w:val="0"/>
          <w:color w:val="auto"/>
          <w:highlight w:val="none"/>
        </w:rPr>
        <w:t>政拨款收入支出决算总体情况说明</w:t>
      </w:r>
      <w:bookmarkEnd w:id="30"/>
      <w:bookmarkEnd w:id="31"/>
    </w:p>
    <w:p>
      <w:pPr>
        <w:spacing w:line="520" w:lineRule="exact"/>
        <w:ind w:firstLine="640" w:firstLineChars="200"/>
        <w:rPr>
          <w:rFonts w:hint="eastAsia" w:ascii="仿宋" w:hAnsi="仿宋" w:eastAsia="仿宋"/>
          <w:color w:val="auto"/>
          <w:sz w:val="32"/>
          <w:szCs w:val="32"/>
          <w:highlight w:val="none"/>
        </w:rPr>
      </w:pP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年度利州区大石初级中学收入总计</w:t>
      </w:r>
      <w:r>
        <w:rPr>
          <w:rFonts w:hint="eastAsia" w:ascii="仿宋" w:hAnsi="仿宋" w:eastAsia="仿宋"/>
          <w:color w:val="auto"/>
          <w:sz w:val="32"/>
          <w:szCs w:val="32"/>
          <w:highlight w:val="none"/>
          <w:lang w:val="en-US" w:eastAsia="zh-CN"/>
        </w:rPr>
        <w:t>1,125.09</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年相比（1,0</w:t>
      </w:r>
      <w:r>
        <w:rPr>
          <w:rFonts w:hint="eastAsia" w:ascii="仿宋" w:hAnsi="仿宋" w:eastAsia="仿宋"/>
          <w:color w:val="auto"/>
          <w:sz w:val="32"/>
          <w:szCs w:val="32"/>
          <w:highlight w:val="none"/>
          <w:lang w:val="en-US" w:eastAsia="zh-CN"/>
        </w:rPr>
        <w:t>81</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万元），收入总计</w:t>
      </w:r>
      <w:r>
        <w:rPr>
          <w:rFonts w:hint="eastAsia" w:ascii="仿宋" w:hAnsi="仿宋" w:eastAsia="仿宋"/>
          <w:color w:val="auto"/>
          <w:sz w:val="32"/>
          <w:szCs w:val="32"/>
          <w:highlight w:val="none"/>
          <w:lang w:val="en-US" w:eastAsia="zh-CN"/>
        </w:rPr>
        <w:t>增加43</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87</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增</w:t>
      </w:r>
      <w:r>
        <w:rPr>
          <w:rFonts w:hint="eastAsia" w:ascii="仿宋" w:hAnsi="仿宋" w:eastAsia="仿宋"/>
          <w:color w:val="auto"/>
          <w:sz w:val="32"/>
          <w:szCs w:val="32"/>
          <w:highlight w:val="none"/>
        </w:rPr>
        <w:t>幅</w:t>
      </w:r>
      <w:r>
        <w:rPr>
          <w:rFonts w:hint="eastAsia" w:ascii="仿宋" w:hAnsi="仿宋" w:eastAsia="仿宋"/>
          <w:color w:val="auto"/>
          <w:sz w:val="32"/>
          <w:szCs w:val="32"/>
          <w:highlight w:val="none"/>
          <w:lang w:val="en-US" w:eastAsia="zh-CN"/>
        </w:rPr>
        <w:t>4</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06</w:t>
      </w:r>
      <w:r>
        <w:rPr>
          <w:rFonts w:hint="eastAsia" w:ascii="仿宋" w:hAnsi="仿宋" w:eastAsia="仿宋"/>
          <w:color w:val="auto"/>
          <w:sz w:val="32"/>
          <w:szCs w:val="32"/>
          <w:highlight w:val="none"/>
        </w:rPr>
        <w:t>%。收入主要变动原因</w:t>
      </w:r>
      <w:r>
        <w:rPr>
          <w:rFonts w:hint="eastAsia" w:ascii="仿宋" w:hAnsi="仿宋" w:eastAsia="仿宋"/>
          <w:color w:val="auto"/>
          <w:sz w:val="32"/>
          <w:szCs w:val="32"/>
          <w:highlight w:val="none"/>
          <w:lang w:val="en-US" w:eastAsia="zh-CN"/>
        </w:rPr>
        <w:t>调资和项目资金增加</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rPr>
        <w:fldChar w:fldCharType="begin"/>
      </w:r>
      <w:r>
        <w:rPr>
          <w:rFonts w:hint="eastAsia" w:ascii="仿宋" w:hAnsi="仿宋" w:eastAsia="仿宋"/>
          <w:color w:val="auto"/>
          <w:sz w:val="32"/>
          <w:szCs w:val="32"/>
          <w:highlight w:val="none"/>
        </w:rPr>
        <w:instrText xml:space="preserve"> LINK Excel.Sheet.8 C:\\Users\\Administrator\\Desktop\\各学校决算公开表\\广元市利州区大石初级中学.XLS "Z01 收入支出决算总表(财决公开1表)!R31C3" \a \f 4 \h  \* MERGEFORMAT </w:instrText>
      </w:r>
      <w:r>
        <w:rPr>
          <w:rFonts w:hint="eastAsia" w:ascii="仿宋" w:hAnsi="仿宋" w:eastAsia="仿宋"/>
          <w:color w:val="auto"/>
          <w:sz w:val="32"/>
          <w:szCs w:val="32"/>
          <w:highlight w:val="none"/>
        </w:rPr>
        <w:fldChar w:fldCharType="separate"/>
      </w:r>
    </w:p>
    <w:p>
      <w:pPr>
        <w:spacing w:line="520" w:lineRule="exact"/>
        <w:rPr>
          <w:rFonts w:hint="eastAsia" w:ascii="仿宋" w:hAnsi="仿宋" w:eastAsia="仿宋"/>
          <w:color w:val="0000FF"/>
          <w:sz w:val="32"/>
          <w:szCs w:val="32"/>
          <w:highlight w:val="none"/>
        </w:rPr>
      </w:pPr>
      <w:r>
        <w:rPr>
          <w:rFonts w:hint="eastAsia" w:ascii="仿宋" w:hAnsi="仿宋" w:eastAsia="仿宋"/>
          <w:color w:val="auto"/>
          <w:sz w:val="32"/>
          <w:szCs w:val="32"/>
          <w:highlight w:val="none"/>
        </w:rPr>
        <w:fldChar w:fldCharType="end"/>
      </w:r>
      <w:r>
        <w:rPr>
          <w:rFonts w:hint="eastAsia" w:ascii="仿宋" w:hAnsi="仿宋" w:eastAsia="仿宋"/>
          <w:color w:val="auto"/>
          <w:sz w:val="32"/>
          <w:szCs w:val="32"/>
          <w:highlight w:val="none"/>
          <w:lang w:val="en-US" w:eastAsia="zh-CN"/>
        </w:rPr>
        <w:t xml:space="preserve">    </w:t>
      </w:r>
      <w:r>
        <w:rPr>
          <w:rFonts w:hint="eastAsia"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年度支出合计</w:t>
      </w:r>
      <w:r>
        <w:rPr>
          <w:rFonts w:hint="eastAsia" w:ascii="仿宋" w:hAnsi="仿宋" w:eastAsia="仿宋"/>
          <w:color w:val="auto"/>
          <w:sz w:val="32"/>
          <w:szCs w:val="32"/>
          <w:highlight w:val="none"/>
          <w:lang w:val="en-US" w:eastAsia="zh-CN"/>
        </w:rPr>
        <w:t>1,125.09</w:t>
      </w:r>
      <w:r>
        <w:rPr>
          <w:rFonts w:hint="eastAsia" w:ascii="仿宋" w:hAnsi="仿宋" w:eastAsia="仿宋"/>
          <w:color w:val="auto"/>
          <w:sz w:val="32"/>
          <w:szCs w:val="32"/>
          <w:highlight w:val="none"/>
        </w:rPr>
        <w:t>万元，与20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年相比（1,</w:t>
      </w:r>
      <w:r>
        <w:rPr>
          <w:rFonts w:hint="eastAsia" w:ascii="仿宋" w:hAnsi="仿宋" w:eastAsia="仿宋"/>
          <w:color w:val="auto"/>
          <w:sz w:val="32"/>
          <w:szCs w:val="32"/>
          <w:highlight w:val="none"/>
          <w:lang w:val="en-US" w:eastAsia="zh-CN"/>
        </w:rPr>
        <w:t>172</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59</w:t>
      </w:r>
      <w:r>
        <w:rPr>
          <w:rFonts w:hint="eastAsia" w:ascii="仿宋" w:hAnsi="仿宋" w:eastAsia="仿宋"/>
          <w:color w:val="auto"/>
          <w:sz w:val="32"/>
          <w:szCs w:val="32"/>
          <w:highlight w:val="none"/>
        </w:rPr>
        <w:t>万元），支出</w:t>
      </w:r>
      <w:r>
        <w:rPr>
          <w:rFonts w:hint="eastAsia" w:ascii="仿宋" w:hAnsi="仿宋" w:eastAsia="仿宋"/>
          <w:color w:val="auto"/>
          <w:sz w:val="32"/>
          <w:szCs w:val="32"/>
          <w:highlight w:val="none"/>
          <w:lang w:val="en-US" w:eastAsia="zh-CN"/>
        </w:rPr>
        <w:t>减少47.5</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val="en-US" w:eastAsia="zh-CN"/>
        </w:rPr>
        <w:t>减少4</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val="en-US" w:eastAsia="zh-CN"/>
        </w:rPr>
        <w:t>05</w:t>
      </w:r>
      <w:r>
        <w:rPr>
          <w:rFonts w:hint="eastAsia"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支出</w:t>
      </w:r>
      <w:r>
        <w:rPr>
          <w:rFonts w:hint="eastAsia" w:ascii="仿宋" w:hAnsi="仿宋" w:eastAsia="仿宋"/>
          <w:color w:val="auto"/>
          <w:sz w:val="32"/>
          <w:szCs w:val="32"/>
          <w:highlight w:val="none"/>
        </w:rPr>
        <w:t>主要变动原因是因人员</w:t>
      </w:r>
      <w:r>
        <w:rPr>
          <w:rFonts w:hint="eastAsia" w:ascii="仿宋" w:hAnsi="仿宋" w:eastAsia="仿宋"/>
          <w:color w:val="auto"/>
          <w:sz w:val="32"/>
          <w:szCs w:val="32"/>
          <w:highlight w:val="none"/>
          <w:lang w:val="en-US" w:eastAsia="zh-CN"/>
        </w:rPr>
        <w:t>调资</w:t>
      </w:r>
      <w:r>
        <w:rPr>
          <w:rFonts w:hint="eastAsia" w:ascii="仿宋" w:hAnsi="仿宋" w:eastAsia="仿宋"/>
          <w:color w:val="auto"/>
          <w:sz w:val="32"/>
          <w:szCs w:val="32"/>
          <w:highlight w:val="none"/>
        </w:rPr>
        <w:t>，工资支出</w:t>
      </w:r>
      <w:r>
        <w:rPr>
          <w:rFonts w:hint="eastAsia" w:ascii="仿宋" w:hAnsi="仿宋" w:eastAsia="仿宋"/>
          <w:color w:val="auto"/>
          <w:sz w:val="32"/>
          <w:szCs w:val="32"/>
          <w:highlight w:val="none"/>
          <w:lang w:val="en-US" w:eastAsia="zh-CN"/>
        </w:rPr>
        <w:t>减少</w:t>
      </w:r>
      <w:r>
        <w:rPr>
          <w:rFonts w:hint="eastAsia" w:ascii="仿宋" w:hAnsi="仿宋" w:eastAsia="仿宋"/>
          <w:color w:val="auto"/>
          <w:sz w:val="32"/>
          <w:szCs w:val="32"/>
          <w:highlight w:val="none"/>
        </w:rPr>
        <w:t>。</w:t>
      </w:r>
    </w:p>
    <w:p>
      <w:pPr>
        <w:spacing w:line="600" w:lineRule="exact"/>
        <w:ind w:firstLine="562" w:firstLineChars="200"/>
        <w:outlineLvl w:val="1"/>
        <w:rPr>
          <w:rFonts w:ascii="仿宋" w:hAnsi="仿宋" w:eastAsia="仿宋"/>
          <w:color w:val="auto"/>
          <w:sz w:val="32"/>
          <w:szCs w:val="32"/>
          <w:highlight w:val="none"/>
        </w:rPr>
      </w:pPr>
      <w:r>
        <w:rPr>
          <w:rFonts w:hint="eastAsia" w:ascii="仿宋" w:hAnsi="仿宋" w:eastAsia="仿宋"/>
          <w:b/>
          <w:color w:val="0000FF"/>
          <w:sz w:val="28"/>
          <w:szCs w:val="28"/>
        </w:rPr>
        <w:drawing>
          <wp:anchor distT="0" distB="0" distL="114300" distR="114300" simplePos="0" relativeHeight="251662336" behindDoc="0" locked="0" layoutInCell="1" allowOverlap="1">
            <wp:simplePos x="0" y="0"/>
            <wp:positionH relativeFrom="column">
              <wp:posOffset>81280</wp:posOffset>
            </wp:positionH>
            <wp:positionV relativeFrom="paragraph">
              <wp:posOffset>393065</wp:posOffset>
            </wp:positionV>
            <wp:extent cx="5246370" cy="2752090"/>
            <wp:effectExtent l="4445" t="4445" r="6350" b="6985"/>
            <wp:wrapSquare wrapText="bothSides"/>
            <wp:docPr id="5"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anchor>
        </w:drawing>
      </w:r>
      <w:r>
        <w:rPr>
          <w:rFonts w:hint="eastAsia" w:ascii="仿宋" w:hAnsi="仿宋" w:eastAsia="仿宋"/>
          <w:color w:val="auto"/>
          <w:sz w:val="32"/>
          <w:szCs w:val="32"/>
          <w:highlight w:val="none"/>
        </w:rPr>
        <w:t>（图4：财政拨款收、支决算总计变动情况）（柱状图）</w:t>
      </w:r>
    </w:p>
    <w:p>
      <w:pPr>
        <w:spacing w:line="600" w:lineRule="exact"/>
        <w:ind w:firstLine="640" w:firstLineChars="200"/>
        <w:outlineLvl w:val="1"/>
        <w:rPr>
          <w:rStyle w:val="25"/>
          <w:rFonts w:ascii="黑体" w:hAnsi="黑体" w:eastAsia="黑体"/>
          <w:b w:val="0"/>
          <w:color w:val="auto"/>
          <w:highlight w:val="none"/>
        </w:rPr>
      </w:pPr>
      <w:bookmarkStart w:id="32" w:name="_Toc15396607"/>
      <w:bookmarkStart w:id="33" w:name="_Toc15377209"/>
      <w:r>
        <w:rPr>
          <w:rFonts w:hint="eastAsia" w:ascii="黑体" w:hAnsi="黑体" w:eastAsia="黑体"/>
          <w:color w:val="auto"/>
          <w:sz w:val="32"/>
          <w:szCs w:val="32"/>
          <w:highlight w:val="none"/>
        </w:rPr>
        <w:t>五、</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般公共预算财政拨款支出决算情况说明</w:t>
      </w:r>
      <w:bookmarkEnd w:id="32"/>
      <w:bookmarkEnd w:id="33"/>
    </w:p>
    <w:p>
      <w:pPr>
        <w:spacing w:line="600" w:lineRule="exact"/>
        <w:ind w:firstLine="643" w:firstLineChars="200"/>
        <w:outlineLvl w:val="2"/>
        <w:rPr>
          <w:rFonts w:ascii="仿宋" w:hAnsi="仿宋" w:eastAsia="仿宋"/>
          <w:b/>
          <w:color w:val="auto"/>
          <w:sz w:val="32"/>
          <w:szCs w:val="32"/>
          <w:highlight w:val="none"/>
        </w:rPr>
      </w:pPr>
      <w:bookmarkStart w:id="34" w:name="_Toc15377210"/>
      <w:r>
        <w:rPr>
          <w:rFonts w:hint="eastAsia" w:ascii="仿宋" w:hAnsi="仿宋" w:eastAsia="仿宋"/>
          <w:b/>
          <w:color w:val="auto"/>
          <w:sz w:val="32"/>
          <w:szCs w:val="32"/>
          <w:highlight w:val="none"/>
        </w:rPr>
        <w:t>（一）一般公共预算财政拨款支出决算总体情况</w:t>
      </w:r>
      <w:bookmarkEnd w:id="34"/>
    </w:p>
    <w:p>
      <w:pPr>
        <w:spacing w:line="600" w:lineRule="exact"/>
        <w:ind w:firstLine="562" w:firstLineChars="200"/>
        <w:rPr>
          <w:rFonts w:hint="eastAsia" w:ascii="仿宋" w:hAnsi="仿宋" w:eastAsia="仿宋"/>
          <w:color w:val="auto"/>
          <w:sz w:val="32"/>
          <w:szCs w:val="32"/>
          <w:highlight w:val="none"/>
          <w:lang w:val="en-US" w:eastAsia="zh-CN"/>
        </w:rPr>
      </w:pPr>
      <w:r>
        <w:rPr>
          <w:rFonts w:hint="eastAsia" w:ascii="仿宋" w:hAnsi="仿宋" w:eastAsia="仿宋"/>
          <w:b/>
          <w:sz w:val="28"/>
          <w:szCs w:val="28"/>
        </w:rPr>
        <w:drawing>
          <wp:anchor distT="0" distB="0" distL="114300" distR="114300" simplePos="0" relativeHeight="251663360" behindDoc="0" locked="0" layoutInCell="1" allowOverlap="1">
            <wp:simplePos x="0" y="0"/>
            <wp:positionH relativeFrom="column">
              <wp:posOffset>-13335</wp:posOffset>
            </wp:positionH>
            <wp:positionV relativeFrom="paragraph">
              <wp:posOffset>1572260</wp:posOffset>
            </wp:positionV>
            <wp:extent cx="5202555" cy="1798320"/>
            <wp:effectExtent l="4445" t="4445" r="6985" b="10795"/>
            <wp:wrapSquare wrapText="bothSides"/>
            <wp:docPr id="6"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1125.09</w:t>
      </w:r>
      <w:r>
        <w:rPr>
          <w:rFonts w:hint="eastAsia" w:ascii="仿宋" w:hAnsi="仿宋" w:eastAsia="仿宋"/>
          <w:color w:val="auto"/>
          <w:sz w:val="32"/>
          <w:szCs w:val="32"/>
          <w:highlight w:val="none"/>
        </w:rPr>
        <w:t>万元，占本年支出合计的</w:t>
      </w:r>
      <w:r>
        <w:rPr>
          <w:rFonts w:hint="eastAsia" w:ascii="仿宋" w:hAnsi="仿宋" w:eastAsia="仿宋"/>
          <w:color w:val="auto"/>
          <w:sz w:val="32"/>
          <w:szCs w:val="32"/>
          <w:highlight w:val="none"/>
          <w:lang w:val="en-US" w:eastAsia="zh-CN"/>
        </w:rPr>
        <w:t>99.99</w:t>
      </w:r>
      <w:r>
        <w:rPr>
          <w:rFonts w:ascii="仿宋" w:hAnsi="仿宋" w:eastAsia="仿宋"/>
          <w:color w:val="auto"/>
          <w:sz w:val="32"/>
          <w:szCs w:val="32"/>
          <w:highlight w:val="none"/>
        </w:rPr>
        <w:t>%</w:t>
      </w:r>
      <w:r>
        <w:rPr>
          <w:rFonts w:hint="eastAsia" w:ascii="仿宋" w:hAnsi="仿宋" w:eastAsia="仿宋"/>
          <w:color w:val="auto"/>
          <w:sz w:val="32"/>
          <w:szCs w:val="32"/>
          <w:highlight w:val="none"/>
        </w:rPr>
        <w:t>。与</w:t>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21</w:t>
      </w:r>
      <w:r>
        <w:rPr>
          <w:rFonts w:hint="eastAsia" w:ascii="仿宋" w:hAnsi="仿宋" w:eastAsia="仿宋"/>
          <w:color w:val="auto"/>
          <w:sz w:val="32"/>
          <w:szCs w:val="32"/>
          <w:highlight w:val="none"/>
        </w:rPr>
        <w:t>年相比</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1172.59万元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rPr>
        <w:t>，一般公共预算财政拨款</w:t>
      </w:r>
      <w:r>
        <w:rPr>
          <w:rFonts w:hint="eastAsia" w:ascii="仿宋" w:hAnsi="仿宋" w:eastAsia="仿宋"/>
          <w:color w:val="auto"/>
          <w:sz w:val="32"/>
          <w:szCs w:val="32"/>
          <w:highlight w:val="none"/>
          <w:lang w:eastAsia="zh-CN"/>
        </w:rPr>
        <w:t>支出</w:t>
      </w:r>
      <w:r>
        <w:rPr>
          <w:rFonts w:hint="eastAsia" w:ascii="仿宋" w:hAnsi="仿宋" w:eastAsia="仿宋"/>
          <w:color w:val="auto"/>
          <w:sz w:val="32"/>
          <w:szCs w:val="32"/>
          <w:highlight w:val="none"/>
        </w:rPr>
        <w:t>减少</w:t>
      </w:r>
      <w:r>
        <w:rPr>
          <w:rFonts w:hint="eastAsia" w:ascii="仿宋" w:hAnsi="仿宋" w:eastAsia="仿宋"/>
          <w:color w:val="auto"/>
          <w:sz w:val="32"/>
          <w:szCs w:val="32"/>
          <w:highlight w:val="none"/>
          <w:lang w:val="en-US" w:eastAsia="zh-CN"/>
        </w:rPr>
        <w:t>47.5</w:t>
      </w:r>
      <w:r>
        <w:rPr>
          <w:rFonts w:hint="eastAsia" w:ascii="仿宋" w:hAnsi="仿宋" w:eastAsia="仿宋"/>
          <w:color w:val="auto"/>
          <w:sz w:val="32"/>
          <w:szCs w:val="32"/>
          <w:highlight w:val="none"/>
        </w:rPr>
        <w:t>万元，下降</w:t>
      </w:r>
      <w:r>
        <w:rPr>
          <w:rFonts w:hint="eastAsia" w:ascii="仿宋" w:hAnsi="仿宋" w:eastAsia="仿宋"/>
          <w:color w:val="auto"/>
          <w:sz w:val="32"/>
          <w:szCs w:val="32"/>
          <w:highlight w:val="none"/>
          <w:lang w:val="en-US" w:eastAsia="zh-CN"/>
        </w:rPr>
        <w:t>4.05</w:t>
      </w:r>
      <w:r>
        <w:rPr>
          <w:rFonts w:ascii="仿宋" w:hAnsi="仿宋" w:eastAsia="仿宋"/>
          <w:color w:val="auto"/>
          <w:sz w:val="32"/>
          <w:szCs w:val="32"/>
          <w:highlight w:val="none"/>
        </w:rPr>
        <w:t>%</w:t>
      </w:r>
      <w:r>
        <w:rPr>
          <w:rFonts w:hint="eastAsia" w:ascii="仿宋" w:hAnsi="仿宋" w:eastAsia="仿宋"/>
          <w:color w:val="auto"/>
          <w:sz w:val="32"/>
          <w:szCs w:val="32"/>
          <w:highlight w:val="none"/>
        </w:rPr>
        <w:t>。主要变动原因是</w:t>
      </w:r>
      <w:r>
        <w:rPr>
          <w:rFonts w:hint="eastAsia" w:ascii="仿宋" w:hAnsi="仿宋" w:eastAsia="仿宋"/>
          <w:color w:val="auto"/>
          <w:sz w:val="32"/>
          <w:szCs w:val="32"/>
          <w:highlight w:val="none"/>
          <w:lang w:val="en-US" w:eastAsia="zh-CN"/>
        </w:rPr>
        <w:t>项目支出减少。</w:t>
      </w:r>
    </w:p>
    <w:p>
      <w:pPr>
        <w:spacing w:line="600" w:lineRule="exact"/>
        <w:rPr>
          <w:rFonts w:ascii="仿宋" w:hAnsi="仿宋" w:eastAsia="仿宋"/>
          <w:color w:val="auto"/>
          <w:sz w:val="32"/>
          <w:szCs w:val="32"/>
          <w:highlight w:val="none"/>
        </w:rPr>
      </w:pPr>
      <w:r>
        <w:rPr>
          <w:rFonts w:hint="eastAsia" w:ascii="仿宋" w:hAnsi="仿宋" w:eastAsia="仿宋"/>
          <w:color w:val="auto"/>
          <w:sz w:val="28"/>
          <w:szCs w:val="28"/>
          <w:highlight w:val="none"/>
        </w:rPr>
        <w:t>（图5：一般公共预算财政拨款支出决算变动情况）（柱状图）</w:t>
      </w:r>
    </w:p>
    <w:p>
      <w:pPr>
        <w:spacing w:line="600" w:lineRule="exact"/>
        <w:ind w:firstLine="643" w:firstLineChars="200"/>
        <w:outlineLvl w:val="2"/>
        <w:rPr>
          <w:rFonts w:ascii="仿宋" w:hAnsi="仿宋" w:eastAsia="仿宋"/>
          <w:b/>
          <w:color w:val="auto"/>
          <w:sz w:val="32"/>
          <w:szCs w:val="32"/>
          <w:highlight w:val="none"/>
        </w:rPr>
      </w:pPr>
      <w:bookmarkStart w:id="35" w:name="_Toc15377211"/>
      <w:r>
        <w:rPr>
          <w:rFonts w:hint="eastAsia" w:ascii="仿宋" w:hAnsi="仿宋" w:eastAsia="仿宋"/>
          <w:b/>
          <w:color w:val="auto"/>
          <w:sz w:val="32"/>
          <w:szCs w:val="32"/>
          <w:highlight w:val="none"/>
        </w:rPr>
        <w:t>（二）一般公共预算财政拨款支出决算结构情况</w:t>
      </w:r>
      <w:bookmarkEnd w:id="35"/>
    </w:p>
    <w:p>
      <w:pPr>
        <w:spacing w:line="600" w:lineRule="exact"/>
        <w:ind w:firstLine="640"/>
        <w:rPr>
          <w:rFonts w:ascii="仿宋" w:hAnsi="仿宋" w:eastAsia="仿宋"/>
          <w:color w:val="auto"/>
          <w:sz w:val="32"/>
          <w:szCs w:val="32"/>
          <w:highlight w:val="none"/>
        </w:rPr>
      </w:pPr>
      <w:r>
        <w:rPr>
          <w:rFonts w:ascii="仿宋" w:hAnsi="仿宋" w:eastAsia="仿宋"/>
          <w:sz w:val="28"/>
          <w:szCs w:val="28"/>
        </w:rPr>
        <w:drawing>
          <wp:anchor distT="0" distB="0" distL="114300" distR="114300" simplePos="0" relativeHeight="251664384" behindDoc="0" locked="0" layoutInCell="1" allowOverlap="1">
            <wp:simplePos x="0" y="0"/>
            <wp:positionH relativeFrom="column">
              <wp:posOffset>-21590</wp:posOffset>
            </wp:positionH>
            <wp:positionV relativeFrom="paragraph">
              <wp:posOffset>2459990</wp:posOffset>
            </wp:positionV>
            <wp:extent cx="5496560" cy="2667000"/>
            <wp:effectExtent l="4445" t="4445" r="15240" b="5715"/>
            <wp:wrapSquare wrapText="bothSides"/>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anchor>
        </w:drawing>
      </w: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年一般公共预算财政拨款支出</w:t>
      </w:r>
      <w:r>
        <w:rPr>
          <w:rFonts w:hint="eastAsia" w:ascii="仿宋" w:hAnsi="仿宋" w:eastAsia="仿宋"/>
          <w:color w:val="auto"/>
          <w:sz w:val="32"/>
          <w:szCs w:val="32"/>
          <w:highlight w:val="none"/>
          <w:lang w:val="en-US" w:eastAsia="zh-CN"/>
        </w:rPr>
        <w:t>1125.09</w:t>
      </w:r>
      <w:r>
        <w:rPr>
          <w:rFonts w:hint="eastAsia" w:ascii="仿宋" w:hAnsi="仿宋" w:eastAsia="仿宋"/>
          <w:color w:val="auto"/>
          <w:sz w:val="32"/>
          <w:szCs w:val="32"/>
          <w:highlight w:val="none"/>
        </w:rPr>
        <w:t>万元，主要用于以下方面</w:t>
      </w:r>
      <w:r>
        <w:rPr>
          <w:rFonts w:ascii="仿宋" w:hAnsi="仿宋" w:eastAsia="仿宋"/>
          <w:color w:val="auto"/>
          <w:sz w:val="32"/>
          <w:szCs w:val="32"/>
          <w:highlight w:val="none"/>
        </w:rPr>
        <w:t>:</w:t>
      </w:r>
      <w:r>
        <w:rPr>
          <w:rFonts w:hint="eastAsia" w:ascii="仿宋" w:hAnsi="仿宋" w:eastAsia="仿宋"/>
          <w:b/>
          <w:color w:val="auto"/>
          <w:sz w:val="32"/>
          <w:szCs w:val="32"/>
          <w:highlight w:val="none"/>
        </w:rPr>
        <w:t>教育支出</w:t>
      </w:r>
      <w:r>
        <w:rPr>
          <w:rFonts w:hint="eastAsia" w:ascii="仿宋" w:hAnsi="仿宋" w:eastAsia="仿宋"/>
          <w:color w:val="auto"/>
          <w:sz w:val="32"/>
          <w:szCs w:val="32"/>
          <w:highlight w:val="none"/>
          <w:lang w:val="en-US" w:eastAsia="zh-CN"/>
        </w:rPr>
        <w:t>1014.61</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90.18</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r>
        <w:rPr>
          <w:rFonts w:hint="eastAsia" w:ascii="仿宋" w:hAnsi="仿宋" w:eastAsia="仿宋"/>
          <w:b/>
          <w:color w:val="auto"/>
          <w:sz w:val="32"/>
          <w:szCs w:val="32"/>
          <w:highlight w:val="none"/>
        </w:rPr>
        <w:t>社会保障和就业</w:t>
      </w:r>
      <w:r>
        <w:rPr>
          <w:rFonts w:hint="eastAsia" w:ascii="仿宋" w:hAnsi="仿宋" w:eastAsia="仿宋"/>
          <w:b/>
          <w:bCs/>
          <w:color w:val="auto"/>
          <w:sz w:val="32"/>
          <w:szCs w:val="32"/>
          <w:highlight w:val="none"/>
        </w:rPr>
        <w:t>支出</w:t>
      </w:r>
      <w:r>
        <w:rPr>
          <w:rFonts w:hint="eastAsia" w:ascii="仿宋" w:hAnsi="仿宋" w:eastAsia="仿宋"/>
          <w:color w:val="auto"/>
          <w:sz w:val="32"/>
          <w:szCs w:val="32"/>
          <w:highlight w:val="none"/>
          <w:lang w:val="en-US" w:eastAsia="zh-CN"/>
        </w:rPr>
        <w:t>110.48</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9.82</w:t>
      </w:r>
      <w:r>
        <w:rPr>
          <w:rFonts w:ascii="仿宋" w:hAnsi="仿宋" w:eastAsia="仿宋"/>
          <w:color w:val="auto"/>
          <w:sz w:val="32"/>
          <w:szCs w:val="32"/>
          <w:highlight w:val="none"/>
        </w:rPr>
        <w:t>%</w:t>
      </w:r>
      <w:r>
        <w:rPr>
          <w:rFonts w:hint="eastAsia" w:ascii="仿宋" w:hAnsi="仿宋" w:eastAsia="仿宋"/>
          <w:color w:val="auto"/>
          <w:sz w:val="32"/>
          <w:szCs w:val="32"/>
          <w:highlight w:val="none"/>
        </w:rPr>
        <w:t>。</w:t>
      </w:r>
    </w:p>
    <w:p>
      <w:pPr>
        <w:spacing w:line="600" w:lineRule="exact"/>
        <w:ind w:firstLine="640" w:firstLineChars="200"/>
        <w:rPr>
          <w:rFonts w:ascii="仿宋" w:hAnsi="仿宋" w:eastAsia="仿宋"/>
          <w:color w:val="auto"/>
          <w:sz w:val="32"/>
          <w:szCs w:val="32"/>
          <w:highlight w:val="none"/>
        </w:rPr>
      </w:pPr>
      <w:r>
        <w:rPr>
          <w:rFonts w:hint="eastAsia" w:ascii="仿宋" w:hAnsi="仿宋" w:eastAsia="仿宋"/>
          <w:color w:val="auto"/>
          <w:sz w:val="32"/>
          <w:szCs w:val="32"/>
          <w:highlight w:val="none"/>
        </w:rPr>
        <w:t>（图6：一般公共预算财政拨款支出决算结构）（饼状图）</w:t>
      </w:r>
    </w:p>
    <w:p>
      <w:pPr>
        <w:spacing w:line="600" w:lineRule="exact"/>
        <w:ind w:firstLine="643" w:firstLineChars="200"/>
        <w:outlineLvl w:val="2"/>
        <w:rPr>
          <w:rFonts w:ascii="仿宋" w:hAnsi="仿宋" w:eastAsia="仿宋"/>
          <w:b/>
          <w:color w:val="auto"/>
          <w:sz w:val="32"/>
          <w:szCs w:val="32"/>
          <w:highlight w:val="none"/>
        </w:rPr>
      </w:pPr>
      <w:bookmarkStart w:id="36" w:name="_Toc15377212"/>
      <w:r>
        <w:rPr>
          <w:rFonts w:hint="eastAsia" w:ascii="仿宋" w:hAnsi="仿宋" w:eastAsia="仿宋"/>
          <w:b/>
          <w:color w:val="auto"/>
          <w:sz w:val="32"/>
          <w:szCs w:val="32"/>
          <w:highlight w:val="none"/>
        </w:rPr>
        <w:t>（三）一般公共预算财政拨款支出决算具体情况</w:t>
      </w:r>
      <w:bookmarkEnd w:id="36"/>
    </w:p>
    <w:p>
      <w:pPr>
        <w:spacing w:line="600" w:lineRule="exact"/>
        <w:ind w:firstLine="643" w:firstLineChars="200"/>
        <w:outlineLvl w:val="2"/>
        <w:rPr>
          <w:rFonts w:ascii="仿宋" w:hAnsi="仿宋" w:eastAsia="仿宋"/>
          <w:color w:val="auto"/>
          <w:sz w:val="32"/>
          <w:szCs w:val="32"/>
          <w:highlight w:val="none"/>
        </w:rPr>
      </w:pPr>
      <w:bookmarkStart w:id="37" w:name="_Toc15378460"/>
      <w:bookmarkStart w:id="38" w:name="_Toc15377213"/>
      <w:bookmarkStart w:id="39" w:name="_Toc15377444"/>
      <w:r>
        <w:rPr>
          <w:rFonts w:hint="eastAsia" w:ascii="仿宋" w:hAnsi="仿宋" w:eastAsia="仿宋"/>
          <w:b/>
          <w:color w:val="auto"/>
          <w:sz w:val="32"/>
          <w:szCs w:val="32"/>
          <w:highlight w:val="none"/>
        </w:rPr>
        <w:t>20</w:t>
      </w:r>
      <w:r>
        <w:rPr>
          <w:rFonts w:hint="eastAsia" w:ascii="仿宋" w:hAnsi="仿宋" w:eastAsia="仿宋"/>
          <w:b/>
          <w:color w:val="auto"/>
          <w:sz w:val="32"/>
          <w:szCs w:val="32"/>
          <w:highlight w:val="none"/>
          <w:lang w:val="en-US" w:eastAsia="zh-CN"/>
        </w:rPr>
        <w:t>22</w:t>
      </w:r>
      <w:r>
        <w:rPr>
          <w:rFonts w:hint="eastAsia" w:ascii="仿宋" w:hAnsi="仿宋" w:eastAsia="仿宋"/>
          <w:b/>
          <w:color w:val="auto"/>
          <w:sz w:val="32"/>
          <w:szCs w:val="32"/>
          <w:highlight w:val="none"/>
        </w:rPr>
        <w:t>年</w:t>
      </w:r>
      <w:r>
        <w:rPr>
          <w:rFonts w:hint="eastAsia" w:ascii="仿宋" w:hAnsi="仿宋" w:eastAsia="仿宋"/>
          <w:b/>
          <w:color w:val="auto"/>
          <w:sz w:val="32"/>
          <w:szCs w:val="32"/>
          <w:highlight w:val="none"/>
          <w:lang w:eastAsia="zh-CN"/>
        </w:rPr>
        <w:t>一</w:t>
      </w:r>
      <w:r>
        <w:rPr>
          <w:rFonts w:hint="eastAsia" w:ascii="仿宋" w:hAnsi="仿宋" w:eastAsia="仿宋"/>
          <w:b/>
          <w:color w:val="auto"/>
          <w:sz w:val="32"/>
          <w:szCs w:val="32"/>
          <w:highlight w:val="none"/>
        </w:rPr>
        <w:t>般公共预算支出决算数为</w:t>
      </w:r>
      <w:r>
        <w:rPr>
          <w:rFonts w:hint="eastAsia" w:ascii="仿宋" w:hAnsi="仿宋" w:eastAsia="仿宋"/>
          <w:b/>
          <w:color w:val="auto"/>
          <w:sz w:val="32"/>
          <w:szCs w:val="32"/>
          <w:highlight w:val="none"/>
          <w:lang w:val="en-US" w:eastAsia="zh-CN"/>
        </w:rPr>
        <w:t>1125.09</w:t>
      </w:r>
      <w:r>
        <w:rPr>
          <w:rFonts w:hint="eastAsia" w:ascii="仿宋" w:hAnsi="仿宋" w:eastAsia="仿宋"/>
          <w:color w:val="auto"/>
          <w:sz w:val="32"/>
          <w:szCs w:val="32"/>
          <w:highlight w:val="none"/>
        </w:rPr>
        <w:t>，</w:t>
      </w:r>
      <w:r>
        <w:rPr>
          <w:rStyle w:val="14"/>
          <w:rFonts w:hint="eastAsia" w:ascii="仿宋" w:hAnsi="仿宋" w:eastAsia="仿宋"/>
          <w:bCs/>
          <w:color w:val="auto"/>
          <w:sz w:val="32"/>
          <w:szCs w:val="32"/>
          <w:highlight w:val="none"/>
        </w:rPr>
        <w:t>完成预算</w:t>
      </w:r>
      <w:r>
        <w:rPr>
          <w:rStyle w:val="14"/>
          <w:rFonts w:hint="eastAsia" w:ascii="仿宋" w:hAnsi="仿宋" w:eastAsia="仿宋"/>
          <w:bCs/>
          <w:color w:val="auto"/>
          <w:sz w:val="32"/>
          <w:szCs w:val="32"/>
          <w:highlight w:val="none"/>
          <w:lang w:val="en-US" w:eastAsia="zh-CN"/>
        </w:rPr>
        <w:t>100</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。其中：</w:t>
      </w:r>
      <w:bookmarkEnd w:id="37"/>
      <w:bookmarkEnd w:id="38"/>
      <w:bookmarkEnd w:id="39"/>
    </w:p>
    <w:p>
      <w:pPr>
        <w:spacing w:line="520" w:lineRule="exact"/>
        <w:ind w:firstLine="643" w:firstLineChars="200"/>
        <w:rPr>
          <w:rFonts w:hint="eastAsia" w:ascii="仿宋" w:hAnsi="仿宋" w:eastAsia="仿宋" w:cs="Times New Roman"/>
          <w:sz w:val="28"/>
          <w:szCs w:val="28"/>
        </w:rPr>
      </w:pPr>
      <w:r>
        <w:rPr>
          <w:rStyle w:val="14"/>
          <w:rFonts w:ascii="仿宋" w:hAnsi="仿宋" w:eastAsia="仿宋"/>
          <w:bCs/>
          <w:color w:val="auto"/>
          <w:sz w:val="32"/>
          <w:szCs w:val="32"/>
          <w:highlight w:val="none"/>
        </w:rPr>
        <w:t>1.</w:t>
      </w:r>
      <w:r>
        <w:rPr>
          <w:rStyle w:val="14"/>
          <w:rFonts w:hint="eastAsia" w:ascii="仿宋" w:hAnsi="仿宋" w:eastAsia="仿宋"/>
          <w:bCs/>
          <w:color w:val="auto"/>
          <w:sz w:val="32"/>
          <w:szCs w:val="32"/>
          <w:highlight w:val="none"/>
        </w:rPr>
        <w:t>教育支出（类）</w:t>
      </w:r>
      <w:r>
        <w:rPr>
          <w:rStyle w:val="14"/>
          <w:rFonts w:hint="eastAsia" w:ascii="仿宋" w:hAnsi="仿宋" w:eastAsia="仿宋"/>
          <w:bCs/>
          <w:color w:val="auto"/>
          <w:sz w:val="32"/>
          <w:szCs w:val="32"/>
          <w:highlight w:val="none"/>
          <w:lang w:val="en-US" w:eastAsia="zh-CN"/>
        </w:rPr>
        <w:t>普通教育</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初中教育</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1012.61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cstheme="minorBidi"/>
          <w:b w:val="0"/>
          <w:bCs/>
          <w:color w:val="auto"/>
          <w:sz w:val="32"/>
          <w:szCs w:val="32"/>
          <w:highlight w:val="none"/>
          <w:lang w:val="en-US" w:eastAsia="zh-CN"/>
        </w:rPr>
        <w:t>收支平衡</w:t>
      </w:r>
      <w:r>
        <w:rPr>
          <w:rFonts w:hint="eastAsia" w:ascii="仿宋" w:hAnsi="仿宋" w:eastAsia="仿宋" w:cs="Times New Roman"/>
          <w:sz w:val="28"/>
          <w:szCs w:val="28"/>
        </w:rPr>
        <w:t>。</w:t>
      </w:r>
    </w:p>
    <w:p>
      <w:pPr>
        <w:spacing w:line="520" w:lineRule="exact"/>
        <w:ind w:firstLine="643" w:firstLineChars="200"/>
        <w:rPr>
          <w:rFonts w:ascii="仿宋" w:hAnsi="仿宋" w:eastAsia="仿宋"/>
          <w:b/>
          <w:color w:val="auto"/>
          <w:sz w:val="32"/>
          <w:szCs w:val="32"/>
          <w:highlight w:val="none"/>
        </w:rPr>
      </w:pPr>
      <w:r>
        <w:rPr>
          <w:rStyle w:val="14"/>
          <w:rFonts w:ascii="仿宋" w:hAnsi="仿宋" w:eastAsia="仿宋"/>
          <w:bCs/>
          <w:color w:val="auto"/>
          <w:sz w:val="32"/>
          <w:szCs w:val="32"/>
          <w:highlight w:val="none"/>
        </w:rPr>
        <w:t>2.</w:t>
      </w:r>
      <w:r>
        <w:rPr>
          <w:rStyle w:val="14"/>
          <w:rFonts w:hint="eastAsia" w:ascii="仿宋" w:hAnsi="仿宋" w:eastAsia="仿宋"/>
          <w:bCs/>
          <w:color w:val="auto"/>
          <w:sz w:val="32"/>
          <w:szCs w:val="32"/>
          <w:highlight w:val="none"/>
        </w:rPr>
        <w:t>教育支出（类）</w:t>
      </w:r>
      <w:r>
        <w:rPr>
          <w:rStyle w:val="14"/>
          <w:rFonts w:hint="eastAsia" w:ascii="仿宋" w:hAnsi="仿宋" w:eastAsia="仿宋"/>
          <w:bCs/>
          <w:color w:val="auto"/>
          <w:sz w:val="32"/>
          <w:szCs w:val="32"/>
          <w:highlight w:val="none"/>
          <w:lang w:val="en-US" w:eastAsia="zh-CN"/>
        </w:rPr>
        <w:t>普通教育</w:t>
      </w:r>
      <w:r>
        <w:rPr>
          <w:rStyle w:val="14"/>
          <w:rFonts w:hint="eastAsia" w:ascii="仿宋" w:hAnsi="仿宋" w:eastAsia="仿宋"/>
          <w:bCs/>
          <w:color w:val="auto"/>
          <w:sz w:val="32"/>
          <w:szCs w:val="32"/>
          <w:highlight w:val="none"/>
        </w:rPr>
        <w:t>（款）</w:t>
      </w:r>
      <w:r>
        <w:rPr>
          <w:rStyle w:val="14"/>
          <w:rFonts w:hint="eastAsia" w:ascii="仿宋" w:hAnsi="仿宋" w:eastAsia="仿宋"/>
          <w:bCs/>
          <w:color w:val="auto"/>
          <w:sz w:val="32"/>
          <w:szCs w:val="32"/>
          <w:highlight w:val="none"/>
          <w:lang w:val="en-US" w:eastAsia="zh-CN"/>
        </w:rPr>
        <w:t>其他普通教育支出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2</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cstheme="minorBidi"/>
          <w:b w:val="0"/>
          <w:bCs/>
          <w:color w:val="auto"/>
          <w:sz w:val="32"/>
          <w:szCs w:val="32"/>
          <w:highlight w:val="none"/>
          <w:lang w:val="en-US" w:eastAsia="zh-CN"/>
        </w:rPr>
        <w:t>收支平衡</w:t>
      </w:r>
      <w:r>
        <w:rPr>
          <w:rFonts w:hint="eastAsia" w:ascii="仿宋" w:hAnsi="仿宋" w:eastAsia="仿宋" w:cs="Times New Roman"/>
          <w:sz w:val="28"/>
          <w:szCs w:val="28"/>
        </w:rPr>
        <w:t>。</w:t>
      </w:r>
    </w:p>
    <w:p>
      <w:pPr>
        <w:spacing w:line="600" w:lineRule="exact"/>
        <w:ind w:firstLine="643" w:firstLineChars="200"/>
        <w:rPr>
          <w:rFonts w:ascii="仿宋" w:hAnsi="仿宋" w:eastAsia="仿宋"/>
          <w:b/>
          <w:color w:val="auto"/>
          <w:sz w:val="32"/>
          <w:szCs w:val="32"/>
          <w:highlight w:val="none"/>
        </w:rPr>
      </w:pPr>
      <w:r>
        <w:rPr>
          <w:rStyle w:val="14"/>
          <w:rFonts w:hint="eastAsia" w:ascii="仿宋" w:hAnsi="仿宋" w:eastAsia="仿宋"/>
          <w:bCs/>
          <w:color w:val="auto"/>
          <w:sz w:val="32"/>
          <w:szCs w:val="32"/>
          <w:highlight w:val="none"/>
          <w:lang w:val="en-US" w:eastAsia="zh-CN"/>
        </w:rPr>
        <w:t>3</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社会保障和就业支出（类）行政事业单位养老支出（款）</w:t>
      </w:r>
      <w:r>
        <w:rPr>
          <w:rStyle w:val="14"/>
          <w:rFonts w:hint="eastAsia" w:ascii="仿宋" w:hAnsi="仿宋" w:eastAsia="仿宋"/>
          <w:bCs/>
          <w:color w:val="auto"/>
          <w:sz w:val="32"/>
          <w:szCs w:val="32"/>
          <w:highlight w:val="none"/>
          <w:lang w:val="en-US" w:eastAsia="zh-CN"/>
        </w:rPr>
        <w:t>事业单位离退休</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37.57</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b w:val="0"/>
          <w:bCs/>
          <w:color w:val="auto"/>
          <w:sz w:val="32"/>
          <w:szCs w:val="32"/>
          <w:highlight w:val="none"/>
          <w:lang w:val="en-US" w:eastAsia="zh-CN"/>
        </w:rPr>
        <w:t>收支平衡</w:t>
      </w:r>
      <w:r>
        <w:rPr>
          <w:rStyle w:val="14"/>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14"/>
          <w:rFonts w:hint="eastAsia" w:ascii="仿宋" w:hAnsi="仿宋" w:eastAsia="仿宋"/>
          <w:b w:val="0"/>
          <w:bCs/>
          <w:color w:val="auto"/>
          <w:sz w:val="32"/>
          <w:szCs w:val="32"/>
          <w:highlight w:val="none"/>
        </w:rPr>
      </w:pPr>
      <w:bookmarkStart w:id="40" w:name="_Toc15396608"/>
      <w:bookmarkStart w:id="41" w:name="_Toc15377214"/>
      <w:r>
        <w:rPr>
          <w:rStyle w:val="14"/>
          <w:rFonts w:hint="eastAsia" w:ascii="仿宋" w:hAnsi="仿宋" w:eastAsia="仿宋"/>
          <w:bCs/>
          <w:color w:val="auto"/>
          <w:sz w:val="32"/>
          <w:szCs w:val="32"/>
          <w:highlight w:val="none"/>
          <w:lang w:val="en-US" w:eastAsia="zh-CN"/>
        </w:rPr>
        <w:t>4</w:t>
      </w:r>
      <w:r>
        <w:rPr>
          <w:rStyle w:val="14"/>
          <w:rFonts w:ascii="仿宋" w:hAnsi="仿宋" w:eastAsia="仿宋"/>
          <w:bCs/>
          <w:color w:val="auto"/>
          <w:sz w:val="32"/>
          <w:szCs w:val="32"/>
          <w:highlight w:val="none"/>
        </w:rPr>
        <w:t>.</w:t>
      </w:r>
      <w:r>
        <w:rPr>
          <w:rStyle w:val="14"/>
          <w:rFonts w:hint="eastAsia" w:ascii="仿宋" w:hAnsi="仿宋" w:eastAsia="仿宋"/>
          <w:bCs/>
          <w:color w:val="auto"/>
          <w:sz w:val="32"/>
          <w:szCs w:val="32"/>
          <w:highlight w:val="none"/>
        </w:rPr>
        <w:t>社会保障和就业支出（类）行政事业单位养老支出（款）</w:t>
      </w:r>
      <w:r>
        <w:rPr>
          <w:rStyle w:val="14"/>
          <w:rFonts w:hint="eastAsia" w:ascii="仿宋" w:hAnsi="仿宋" w:eastAsia="仿宋"/>
          <w:bCs/>
          <w:color w:val="auto"/>
          <w:sz w:val="32"/>
          <w:szCs w:val="32"/>
          <w:highlight w:val="none"/>
          <w:lang w:val="en-US" w:eastAsia="zh-CN"/>
        </w:rPr>
        <w:t>机关事业单位基本养老保险缴费支出</w:t>
      </w:r>
      <w:r>
        <w:rPr>
          <w:rStyle w:val="14"/>
          <w:rFonts w:hint="eastAsia" w:ascii="仿宋" w:hAnsi="仿宋" w:eastAsia="仿宋"/>
          <w:bCs/>
          <w:color w:val="auto"/>
          <w:sz w:val="32"/>
          <w:szCs w:val="32"/>
          <w:highlight w:val="none"/>
        </w:rPr>
        <w:t>（项）</w:t>
      </w:r>
      <w:r>
        <w:rPr>
          <w:rStyle w:val="14"/>
          <w:rFonts w:ascii="仿宋" w:hAnsi="仿宋" w:eastAsia="仿宋"/>
          <w:bCs/>
          <w:color w:val="auto"/>
          <w:sz w:val="32"/>
          <w:szCs w:val="32"/>
          <w:highlight w:val="none"/>
        </w:rPr>
        <w:t>:</w:t>
      </w:r>
      <w:r>
        <w:rPr>
          <w:rStyle w:val="14"/>
          <w:rFonts w:ascii="仿宋" w:hAnsi="仿宋" w:eastAsia="仿宋"/>
          <w:b w:val="0"/>
          <w:bCs/>
          <w:color w:val="auto"/>
          <w:sz w:val="32"/>
          <w:szCs w:val="32"/>
          <w:highlight w:val="none"/>
        </w:rPr>
        <w:t xml:space="preserve"> </w:t>
      </w:r>
      <w:r>
        <w:rPr>
          <w:rStyle w:val="14"/>
          <w:rFonts w:hint="eastAsia" w:ascii="仿宋" w:hAnsi="仿宋" w:eastAsia="仿宋"/>
          <w:b w:val="0"/>
          <w:bCs/>
          <w:color w:val="auto"/>
          <w:sz w:val="32"/>
          <w:szCs w:val="32"/>
          <w:highlight w:val="none"/>
        </w:rPr>
        <w:t>支出决算为</w:t>
      </w:r>
      <w:r>
        <w:rPr>
          <w:rStyle w:val="14"/>
          <w:rFonts w:hint="eastAsia" w:ascii="仿宋" w:hAnsi="仿宋" w:eastAsia="仿宋"/>
          <w:b w:val="0"/>
          <w:bCs/>
          <w:color w:val="auto"/>
          <w:sz w:val="32"/>
          <w:szCs w:val="32"/>
          <w:highlight w:val="none"/>
          <w:lang w:val="en-US" w:eastAsia="zh-CN"/>
        </w:rPr>
        <w:t>72.91</w:t>
      </w:r>
      <w:r>
        <w:rPr>
          <w:rStyle w:val="14"/>
          <w:rFonts w:hint="eastAsia" w:ascii="仿宋" w:hAnsi="仿宋" w:eastAsia="仿宋"/>
          <w:b w:val="0"/>
          <w:bCs/>
          <w:color w:val="auto"/>
          <w:sz w:val="32"/>
          <w:szCs w:val="32"/>
          <w:highlight w:val="none"/>
        </w:rPr>
        <w:t>万元，完成预算</w:t>
      </w:r>
      <w:r>
        <w:rPr>
          <w:rStyle w:val="14"/>
          <w:rFonts w:hint="eastAsia" w:ascii="仿宋" w:hAnsi="仿宋" w:eastAsia="仿宋"/>
          <w:b w:val="0"/>
          <w:bCs/>
          <w:color w:val="auto"/>
          <w:sz w:val="32"/>
          <w:szCs w:val="32"/>
          <w:highlight w:val="none"/>
          <w:lang w:val="en-US" w:eastAsia="zh-CN"/>
        </w:rPr>
        <w:t>100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，决算数等于预算数的主要原因是</w:t>
      </w:r>
      <w:r>
        <w:rPr>
          <w:rStyle w:val="14"/>
          <w:rFonts w:hint="eastAsia" w:ascii="仿宋" w:hAnsi="仿宋" w:eastAsia="仿宋"/>
          <w:b w:val="0"/>
          <w:bCs/>
          <w:color w:val="auto"/>
          <w:sz w:val="32"/>
          <w:szCs w:val="32"/>
          <w:highlight w:val="none"/>
          <w:lang w:val="en-US" w:eastAsia="zh-CN"/>
        </w:rPr>
        <w:t>收支平衡</w:t>
      </w:r>
      <w:r>
        <w:rPr>
          <w:rStyle w:val="14"/>
          <w:rFonts w:hint="eastAsia" w:ascii="仿宋" w:hAnsi="仿宋" w:eastAsia="仿宋"/>
          <w:b w:val="0"/>
          <w:bCs/>
          <w:color w:val="auto"/>
          <w:sz w:val="32"/>
          <w:szCs w:val="32"/>
          <w:highlight w:val="none"/>
        </w:rPr>
        <w:t>。</w:t>
      </w:r>
    </w:p>
    <w:p>
      <w:pPr>
        <w:tabs>
          <w:tab w:val="right" w:pos="8306"/>
        </w:tabs>
        <w:spacing w:line="600" w:lineRule="exact"/>
        <w:ind w:firstLine="640"/>
        <w:outlineLvl w:val="1"/>
        <w:rPr>
          <w:rStyle w:val="25"/>
          <w:color w:val="auto"/>
          <w:highlight w:val="none"/>
        </w:rPr>
      </w:pPr>
      <w:r>
        <w:rPr>
          <w:rFonts w:hint="eastAsia" w:ascii="黑体" w:eastAsia="黑体"/>
          <w:color w:val="auto"/>
          <w:sz w:val="32"/>
          <w:szCs w:val="32"/>
          <w:highlight w:val="none"/>
        </w:rPr>
        <w:t>六</w:t>
      </w:r>
      <w:r>
        <w:rPr>
          <w:rFonts w:hint="eastAsia" w:ascii="黑体" w:eastAsia="黑体"/>
          <w:b/>
          <w:color w:val="auto"/>
          <w:sz w:val="32"/>
          <w:szCs w:val="32"/>
          <w:highlight w:val="none"/>
        </w:rPr>
        <w:t>、</w:t>
      </w:r>
      <w:r>
        <w:rPr>
          <w:rFonts w:hint="eastAsia" w:ascii="黑体" w:hAnsi="黑体" w:eastAsia="黑体"/>
          <w:b/>
          <w:color w:val="auto"/>
          <w:sz w:val="32"/>
          <w:szCs w:val="32"/>
          <w:highlight w:val="none"/>
        </w:rPr>
        <w:t>一</w:t>
      </w:r>
      <w:r>
        <w:rPr>
          <w:rStyle w:val="25"/>
          <w:rFonts w:hint="eastAsia" w:ascii="黑体" w:hAnsi="黑体" w:eastAsia="黑体"/>
          <w:b w:val="0"/>
          <w:color w:val="auto"/>
          <w:highlight w:val="none"/>
        </w:rPr>
        <w:t>般公共预算财政拨款基本支出决算情况说明</w:t>
      </w:r>
      <w:bookmarkEnd w:id="40"/>
      <w:bookmarkEnd w:id="41"/>
      <w:r>
        <w:rPr>
          <w:rStyle w:val="25"/>
          <w:rFonts w:ascii="黑体" w:hAnsi="黑体" w:eastAsia="黑体"/>
          <w:b w:val="0"/>
          <w:color w:val="auto"/>
          <w:highlight w:val="none"/>
        </w:rPr>
        <w:tab/>
      </w:r>
    </w:p>
    <w:p>
      <w:pPr>
        <w:spacing w:line="600" w:lineRule="exact"/>
        <w:ind w:firstLine="645"/>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年一般公共预算财政拨款基本支出</w:t>
      </w:r>
      <w:r>
        <w:rPr>
          <w:rFonts w:hint="eastAsia" w:ascii="仿宋" w:hAnsi="仿宋" w:eastAsia="仿宋"/>
          <w:color w:val="auto"/>
          <w:sz w:val="32"/>
          <w:szCs w:val="32"/>
          <w:highlight w:val="none"/>
          <w:lang w:val="en-US" w:eastAsia="zh-CN"/>
        </w:rPr>
        <w:t>999.12</w:t>
      </w:r>
      <w:r>
        <w:rPr>
          <w:rFonts w:hint="eastAsia" w:ascii="仿宋" w:hAnsi="仿宋" w:eastAsia="仿宋"/>
          <w:color w:val="auto"/>
          <w:sz w:val="32"/>
          <w:szCs w:val="32"/>
          <w:highlight w:val="none"/>
        </w:rPr>
        <w:t>万元，其中：</w:t>
      </w:r>
    </w:p>
    <w:p>
      <w:pPr>
        <w:spacing w:line="600" w:lineRule="exact"/>
        <w:ind w:firstLine="645"/>
        <w:rPr>
          <w:rFonts w:hint="eastAsia" w:ascii="仿宋" w:hAnsi="仿宋" w:eastAsia="仿宋"/>
          <w:color w:val="auto"/>
          <w:sz w:val="32"/>
          <w:szCs w:val="32"/>
          <w:highlight w:val="none"/>
          <w:lang w:eastAsia="zh-CN"/>
        </w:rPr>
      </w:pPr>
      <w:r>
        <w:rPr>
          <w:rFonts w:hint="eastAsia" w:ascii="仿宋" w:hAnsi="仿宋" w:eastAsia="仿宋"/>
          <w:color w:val="auto"/>
          <w:sz w:val="32"/>
          <w:szCs w:val="32"/>
          <w:highlight w:val="none"/>
        </w:rPr>
        <w:t>人员经费</w:t>
      </w:r>
      <w:r>
        <w:rPr>
          <w:rFonts w:hint="eastAsia" w:ascii="仿宋" w:hAnsi="仿宋" w:eastAsia="仿宋"/>
          <w:color w:val="auto"/>
          <w:sz w:val="32"/>
          <w:szCs w:val="32"/>
          <w:highlight w:val="none"/>
          <w:lang w:val="en-US" w:eastAsia="zh-CN"/>
        </w:rPr>
        <w:t>961.18</w:t>
      </w:r>
      <w:r>
        <w:rPr>
          <w:rFonts w:hint="eastAsia" w:ascii="仿宋" w:hAnsi="仿宋" w:eastAsia="仿宋"/>
          <w:color w:val="auto"/>
          <w:sz w:val="32"/>
          <w:szCs w:val="32"/>
          <w:highlight w:val="none"/>
        </w:rPr>
        <w:t>万元，主要包括：基本工资、津贴补贴、奖金、绩效工资、机关事业单位基本养老保险缴费、职业年金缴费、其他社会保障缴费、其他工资福利支出、抚恤金、生活补助、奖励金、住房公积金、其他对个人和家庭的补助支出等。</w:t>
      </w:r>
    </w:p>
    <w:p>
      <w:pPr>
        <w:spacing w:line="600" w:lineRule="exact"/>
        <w:ind w:firstLine="645"/>
        <w:rPr>
          <w:rFonts w:hint="eastAsia" w:ascii="黑体" w:eastAsia="黑体"/>
          <w:color w:val="auto"/>
          <w:sz w:val="32"/>
          <w:szCs w:val="32"/>
          <w:highlight w:val="none"/>
        </w:rPr>
      </w:pPr>
      <w:r>
        <w:rPr>
          <w:rFonts w:hint="eastAsia" w:ascii="仿宋" w:hAnsi="仿宋" w:eastAsia="仿宋"/>
          <w:color w:val="auto"/>
          <w:sz w:val="32"/>
          <w:szCs w:val="32"/>
          <w:highlight w:val="none"/>
        </w:rPr>
        <w:t>公用经费</w:t>
      </w:r>
      <w:r>
        <w:rPr>
          <w:rFonts w:hint="eastAsia" w:ascii="仿宋" w:hAnsi="仿宋" w:eastAsia="仿宋"/>
          <w:color w:val="auto"/>
          <w:sz w:val="32"/>
          <w:szCs w:val="32"/>
          <w:highlight w:val="none"/>
          <w:lang w:val="en-US" w:eastAsia="zh-CN"/>
        </w:rPr>
        <w:t>37.94</w:t>
      </w:r>
      <w:r>
        <w:rPr>
          <w:rFonts w:hint="eastAsia" w:ascii="仿宋" w:hAnsi="仿宋" w:eastAsia="仿宋"/>
          <w:color w:val="auto"/>
          <w:sz w:val="32"/>
          <w:szCs w:val="32"/>
          <w:highlight w:val="none"/>
        </w:rPr>
        <w:t>万元，主要包括：办公费、印刷费、咨询费、手续费、水费、电费、邮电费、取暖费、差旅费、维修（护）费、租赁费、会议费、培训费、劳务费、工会经费、福利费、其他交通费、其他商品和服务支出、办公设备购置、专用设备购置、信息网络及软件购置更新、其他资本性支出等。</w:t>
      </w:r>
      <w:bookmarkStart w:id="42" w:name="_Toc15377215"/>
      <w:bookmarkStart w:id="43" w:name="_Toc15396609"/>
    </w:p>
    <w:p>
      <w:pPr>
        <w:spacing w:line="600" w:lineRule="exact"/>
        <w:ind w:firstLine="640"/>
        <w:outlineLvl w:val="1"/>
        <w:rPr>
          <w:rStyle w:val="25"/>
          <w:rFonts w:ascii="黑体" w:hAnsi="黑体" w:eastAsia="黑体"/>
          <w:b w:val="0"/>
          <w:color w:val="auto"/>
          <w:highlight w:val="none"/>
        </w:rPr>
      </w:pPr>
      <w:r>
        <w:rPr>
          <w:rFonts w:hint="eastAsia" w:ascii="黑体" w:eastAsia="黑体"/>
          <w:color w:val="auto"/>
          <w:sz w:val="32"/>
          <w:szCs w:val="32"/>
          <w:highlight w:val="none"/>
        </w:rPr>
        <w:t>七、</w:t>
      </w:r>
      <w:r>
        <w:rPr>
          <w:rStyle w:val="25"/>
          <w:rFonts w:hint="eastAsia" w:ascii="黑体" w:hAnsi="黑体" w:eastAsia="黑体"/>
          <w:b w:val="0"/>
          <w:color w:val="auto"/>
          <w:highlight w:val="none"/>
        </w:rPr>
        <w:t>财政拨款</w:t>
      </w:r>
      <w:r>
        <w:rPr>
          <w:rStyle w:val="25"/>
          <w:rFonts w:hint="eastAsia" w:ascii="黑体" w:hAnsi="黑体" w:eastAsia="黑体"/>
          <w:color w:val="auto"/>
          <w:highlight w:val="none"/>
        </w:rPr>
        <w:t>“</w:t>
      </w:r>
      <w:r>
        <w:rPr>
          <w:rStyle w:val="25"/>
          <w:rFonts w:hint="eastAsia" w:ascii="黑体" w:hAnsi="黑体" w:eastAsia="黑体"/>
          <w:b w:val="0"/>
          <w:color w:val="auto"/>
          <w:highlight w:val="none"/>
        </w:rPr>
        <w:t>三公”经费支出决算情况说明</w:t>
      </w:r>
      <w:bookmarkEnd w:id="42"/>
      <w:bookmarkEnd w:id="43"/>
    </w:p>
    <w:p>
      <w:pPr>
        <w:spacing w:line="600" w:lineRule="exact"/>
        <w:ind w:firstLine="640"/>
        <w:outlineLvl w:val="2"/>
        <w:rPr>
          <w:rFonts w:ascii="仿宋" w:hAnsi="仿宋" w:eastAsia="仿宋"/>
          <w:b/>
          <w:color w:val="auto"/>
          <w:sz w:val="32"/>
          <w:szCs w:val="32"/>
          <w:highlight w:val="none"/>
        </w:rPr>
      </w:pPr>
      <w:bookmarkStart w:id="44" w:name="_Toc15377216"/>
      <w:r>
        <w:rPr>
          <w:rFonts w:hint="eastAsia" w:ascii="仿宋" w:hAnsi="仿宋" w:eastAsia="仿宋"/>
          <w:b/>
          <w:color w:val="auto"/>
          <w:sz w:val="32"/>
          <w:szCs w:val="32"/>
          <w:highlight w:val="none"/>
        </w:rPr>
        <w:t>（一）“三公”经费财政拨款支出决算总体情况说明</w:t>
      </w:r>
      <w:bookmarkEnd w:id="44"/>
    </w:p>
    <w:p>
      <w:pPr>
        <w:spacing w:line="600" w:lineRule="exact"/>
        <w:ind w:firstLine="640"/>
        <w:rPr>
          <w:rFonts w:hint="default" w:ascii="仿宋" w:hAnsi="仿宋" w:eastAsia="仿宋"/>
          <w:color w:val="auto"/>
          <w:sz w:val="32"/>
          <w:szCs w:val="32"/>
          <w:highlight w:val="none"/>
          <w:lang w:val="en-US" w:eastAsia="zh-CN"/>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年“三公”经费财政拨款支出决算为</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与2021年持平。</w:t>
      </w:r>
    </w:p>
    <w:p>
      <w:pPr>
        <w:spacing w:line="600" w:lineRule="exact"/>
        <w:ind w:firstLine="640"/>
        <w:outlineLvl w:val="2"/>
        <w:rPr>
          <w:rFonts w:ascii="仿宋" w:hAnsi="仿宋" w:eastAsia="仿宋"/>
          <w:b/>
          <w:color w:val="auto"/>
          <w:sz w:val="32"/>
          <w:szCs w:val="32"/>
          <w:highlight w:val="none"/>
        </w:rPr>
      </w:pPr>
      <w:bookmarkStart w:id="45" w:name="_Toc15377217"/>
      <w:r>
        <w:rPr>
          <w:rFonts w:hint="eastAsia" w:ascii="仿宋" w:hAnsi="仿宋" w:eastAsia="仿宋"/>
          <w:b/>
          <w:color w:val="auto"/>
          <w:sz w:val="32"/>
          <w:szCs w:val="32"/>
          <w:highlight w:val="none"/>
        </w:rPr>
        <w:t>（二）“三公”经费财政拨款支出决算具体情况说明</w:t>
      </w:r>
      <w:bookmarkEnd w:id="45"/>
    </w:p>
    <w:p>
      <w:pPr>
        <w:spacing w:line="600" w:lineRule="exact"/>
        <w:ind w:firstLine="640"/>
        <w:rPr>
          <w:rFonts w:ascii="仿宋" w:hAnsi="仿宋" w:eastAsia="仿宋"/>
          <w:color w:val="auto"/>
          <w:sz w:val="32"/>
          <w:szCs w:val="32"/>
          <w:highlight w:val="none"/>
        </w:rPr>
      </w:pPr>
      <w:r>
        <w:rPr>
          <w:rFonts w:ascii="仿宋" w:hAnsi="仿宋" w:eastAsia="仿宋"/>
          <w:color w:val="auto"/>
          <w:sz w:val="32"/>
          <w:szCs w:val="32"/>
          <w:highlight w:val="none"/>
        </w:rPr>
        <w:t>20</w:t>
      </w:r>
      <w:r>
        <w:rPr>
          <w:rFonts w:hint="eastAsia" w:ascii="仿宋" w:hAnsi="仿宋" w:eastAsia="仿宋"/>
          <w:color w:val="auto"/>
          <w:sz w:val="32"/>
          <w:szCs w:val="32"/>
          <w:highlight w:val="none"/>
          <w:lang w:val="en-US" w:eastAsia="zh-CN"/>
        </w:rPr>
        <w:t>22</w:t>
      </w:r>
      <w:r>
        <w:rPr>
          <w:rFonts w:hint="eastAsia" w:ascii="仿宋" w:hAnsi="仿宋" w:eastAsia="仿宋"/>
          <w:color w:val="auto"/>
          <w:sz w:val="32"/>
          <w:szCs w:val="32"/>
          <w:highlight w:val="none"/>
        </w:rPr>
        <w:t>年“三公”经费财政拨款支出决算中，因公出国（境）费支出决算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；公务用车购置及运行维护费支出决算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rPr>
        <w:t>；公务接待费支出决算</w:t>
      </w:r>
      <w:r>
        <w:rPr>
          <w:rFonts w:hint="eastAsia" w:ascii="仿宋" w:hAnsi="仿宋" w:eastAsia="仿宋"/>
          <w:color w:val="auto"/>
          <w:sz w:val="32"/>
          <w:szCs w:val="32"/>
          <w:highlight w:val="none"/>
          <w:lang w:val="en-US" w:eastAsia="zh-CN"/>
        </w:rPr>
        <w:t>0</w:t>
      </w:r>
      <w:r>
        <w:rPr>
          <w:rFonts w:hint="eastAsia" w:ascii="仿宋" w:hAnsi="仿宋" w:eastAsia="仿宋"/>
          <w:color w:val="auto"/>
          <w:sz w:val="32"/>
          <w:szCs w:val="32"/>
          <w:highlight w:val="none"/>
        </w:rPr>
        <w:t>万元，占</w:t>
      </w:r>
      <w:r>
        <w:rPr>
          <w:rFonts w:hint="eastAsia" w:ascii="仿宋" w:hAnsi="仿宋" w:eastAsia="仿宋"/>
          <w:color w:val="auto"/>
          <w:sz w:val="32"/>
          <w:szCs w:val="32"/>
          <w:highlight w:val="none"/>
          <w:lang w:val="en-US" w:eastAsia="zh-CN"/>
        </w:rPr>
        <w:t>0.00</w:t>
      </w:r>
      <w:r>
        <w:rPr>
          <w:rFonts w:ascii="仿宋" w:hAnsi="仿宋" w:eastAsia="仿宋"/>
          <w:color w:val="auto"/>
          <w:sz w:val="32"/>
          <w:szCs w:val="32"/>
          <w:highlight w:val="none"/>
        </w:rPr>
        <w:t>%</w:t>
      </w:r>
      <w:r>
        <w:rPr>
          <w:rFonts w:hint="eastAsia" w:ascii="仿宋" w:hAnsi="仿宋" w:eastAsia="仿宋"/>
          <w:color w:val="auto"/>
          <w:sz w:val="32"/>
          <w:szCs w:val="32"/>
          <w:highlight w:val="none"/>
          <w:lang w:eastAsia="zh-CN"/>
        </w:rPr>
        <w:t>，</w:t>
      </w:r>
      <w:r>
        <w:rPr>
          <w:rFonts w:hint="eastAsia" w:ascii="仿宋" w:hAnsi="仿宋" w:eastAsia="仿宋"/>
          <w:color w:val="auto"/>
          <w:sz w:val="32"/>
          <w:szCs w:val="32"/>
          <w:highlight w:val="none"/>
          <w:lang w:val="en-US" w:eastAsia="zh-CN"/>
        </w:rPr>
        <w:t>与2021年持平。</w:t>
      </w:r>
      <w:r>
        <w:rPr>
          <w:rFonts w:hint="eastAsia" w:ascii="仿宋" w:hAnsi="仿宋" w:eastAsia="仿宋"/>
          <w:color w:val="auto"/>
          <w:sz w:val="32"/>
          <w:szCs w:val="32"/>
          <w:highlight w:val="none"/>
        </w:rPr>
        <w:t>具体情况如下：</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1.</w:t>
      </w:r>
      <w:r>
        <w:rPr>
          <w:rFonts w:hint="eastAsia" w:ascii="仿宋_GB2312" w:eastAsia="仿宋_GB2312"/>
          <w:b/>
          <w:color w:val="auto"/>
          <w:sz w:val="32"/>
          <w:szCs w:val="32"/>
          <w:highlight w:val="none"/>
        </w:rPr>
        <w:t>因公出国（境）经费支出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0.00</w:t>
      </w:r>
      <w:r>
        <w:rPr>
          <w:rStyle w:val="14"/>
          <w:rFonts w:ascii="仿宋" w:hAnsi="仿宋" w:eastAsia="仿宋"/>
          <w:b w:val="0"/>
          <w:bCs/>
          <w:color w:val="auto"/>
          <w:sz w:val="32"/>
          <w:szCs w:val="32"/>
          <w:highlight w:val="none"/>
        </w:rPr>
        <w:t>%</w:t>
      </w:r>
      <w:r>
        <w:rPr>
          <w:rStyle w:val="14"/>
          <w:rFonts w:hint="eastAsia" w:ascii="仿宋" w:hAnsi="仿宋" w:eastAsia="仿宋"/>
          <w:b w:val="0"/>
          <w:bCs/>
          <w:color w:val="auto"/>
          <w:sz w:val="32"/>
          <w:szCs w:val="32"/>
          <w:highlight w:val="none"/>
        </w:rPr>
        <w:t>。</w:t>
      </w:r>
      <w:r>
        <w:rPr>
          <w:rFonts w:hint="eastAsia" w:ascii="仿宋_GB2312" w:eastAsia="仿宋_GB2312"/>
          <w:color w:val="auto"/>
          <w:sz w:val="32"/>
          <w:szCs w:val="32"/>
          <w:highlight w:val="none"/>
        </w:rPr>
        <w:t>全年安排因公出国（境）团组</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次，出国（境）</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人。</w:t>
      </w:r>
    </w:p>
    <w:p>
      <w:pPr>
        <w:spacing w:line="600" w:lineRule="exact"/>
        <w:ind w:firstLine="640"/>
        <w:rPr>
          <w:rFonts w:ascii="仿宋_GB2312" w:eastAsia="仿宋_GB2312"/>
          <w:b/>
          <w:color w:val="auto"/>
          <w:sz w:val="32"/>
          <w:szCs w:val="32"/>
          <w:highlight w:val="none"/>
        </w:rPr>
      </w:pPr>
      <w:r>
        <w:rPr>
          <w:rFonts w:ascii="仿宋_GB2312" w:eastAsia="仿宋_GB2312"/>
          <w:b/>
          <w:color w:val="auto"/>
          <w:sz w:val="32"/>
          <w:szCs w:val="32"/>
          <w:highlight w:val="none"/>
        </w:rPr>
        <w:t>2.</w:t>
      </w:r>
      <w:r>
        <w:rPr>
          <w:rFonts w:hint="eastAsia" w:ascii="仿宋_GB2312" w:eastAsia="仿宋_GB2312"/>
          <w:b/>
          <w:color w:val="auto"/>
          <w:sz w:val="32"/>
          <w:szCs w:val="32"/>
          <w:highlight w:val="none"/>
        </w:rPr>
        <w:t>公务用车购置及运行维护费支出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r>
        <w:rPr>
          <w:rStyle w:val="14"/>
          <w:rFonts w:hint="eastAsia" w:ascii="仿宋" w:hAnsi="仿宋" w:eastAsia="仿宋"/>
          <w:b w:val="0"/>
          <w:bCs/>
          <w:color w:val="auto"/>
          <w:sz w:val="32"/>
          <w:szCs w:val="32"/>
          <w:highlight w:val="none"/>
        </w:rPr>
        <w:t>完成预算</w:t>
      </w:r>
      <w:r>
        <w:rPr>
          <w:rStyle w:val="14"/>
          <w:rFonts w:hint="eastAsia" w:ascii="仿宋" w:hAnsi="仿宋" w:eastAsia="仿宋"/>
          <w:b w:val="0"/>
          <w:bCs/>
          <w:color w:val="auto"/>
          <w:sz w:val="32"/>
          <w:szCs w:val="32"/>
          <w:highlight w:val="none"/>
          <w:lang w:val="en-US" w:eastAsia="zh-CN"/>
        </w:rPr>
        <w:t>0.00</w:t>
      </w:r>
      <w:r>
        <w:rPr>
          <w:rStyle w:val="14"/>
          <w:rFonts w:ascii="仿宋" w:hAnsi="仿宋" w:eastAsia="仿宋"/>
          <w:b w:val="0"/>
          <w:bCs/>
          <w:color w:val="auto"/>
          <w:sz w:val="32"/>
          <w:szCs w:val="32"/>
          <w:highlight w:val="none"/>
        </w:rPr>
        <w:t>%</w:t>
      </w:r>
      <w:r>
        <w:rPr>
          <w:rFonts w:hint="eastAsia" w:ascii="仿宋_GB2312" w:eastAsia="仿宋_GB2312"/>
          <w:color w:val="auto"/>
          <w:sz w:val="32"/>
          <w:szCs w:val="32"/>
          <w:highlight w:val="none"/>
        </w:rPr>
        <w:t>。</w:t>
      </w:r>
    </w:p>
    <w:p>
      <w:pPr>
        <w:spacing w:line="600" w:lineRule="exact"/>
        <w:ind w:firstLine="640" w:firstLineChars="200"/>
        <w:rPr>
          <w:rFonts w:ascii="仿宋_GB2312" w:eastAsia="仿宋_GB2312"/>
          <w:b/>
          <w:color w:val="auto"/>
          <w:sz w:val="32"/>
          <w:szCs w:val="32"/>
          <w:highlight w:val="none"/>
        </w:rPr>
      </w:pPr>
      <w:r>
        <w:rPr>
          <w:rFonts w:hint="eastAsia" w:ascii="仿宋_GB2312" w:eastAsia="仿宋_GB2312"/>
          <w:color w:val="auto"/>
          <w:sz w:val="32"/>
          <w:szCs w:val="32"/>
          <w:highlight w:val="none"/>
        </w:rPr>
        <w:t>其中：</w:t>
      </w:r>
      <w:r>
        <w:rPr>
          <w:rFonts w:hint="eastAsia" w:ascii="仿宋_GB2312" w:eastAsia="仿宋_GB2312"/>
          <w:b/>
          <w:color w:val="auto"/>
          <w:sz w:val="32"/>
          <w:szCs w:val="32"/>
          <w:highlight w:val="none"/>
        </w:rPr>
        <w:t>公务用车购置支出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月底，单位共有公务用车</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p>
    <w:p>
      <w:pPr>
        <w:spacing w:line="600" w:lineRule="exact"/>
        <w:ind w:firstLine="640"/>
        <w:rPr>
          <w:rFonts w:ascii="仿宋_GB2312" w:eastAsia="仿宋_GB2312"/>
          <w:color w:val="auto"/>
          <w:sz w:val="32"/>
          <w:szCs w:val="32"/>
          <w:highlight w:val="none"/>
        </w:rPr>
      </w:pPr>
      <w:r>
        <w:rPr>
          <w:rFonts w:hint="eastAsia" w:ascii="仿宋_GB2312" w:eastAsia="仿宋_GB2312"/>
          <w:b/>
          <w:color w:val="auto"/>
          <w:sz w:val="32"/>
          <w:szCs w:val="32"/>
          <w:highlight w:val="none"/>
        </w:rPr>
        <w:t>公务用车运行维护费支出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3" w:firstLineChars="200"/>
        <w:rPr>
          <w:rFonts w:hint="eastAsia" w:ascii="仿宋_GB2312" w:eastAsia="仿宋_GB2312"/>
          <w:color w:val="auto"/>
          <w:sz w:val="32"/>
          <w:szCs w:val="32"/>
          <w:highlight w:val="none"/>
        </w:rPr>
      </w:pPr>
      <w:r>
        <w:rPr>
          <w:rFonts w:hint="eastAsia" w:ascii="仿宋_GB2312" w:eastAsia="仿宋_GB2312"/>
          <w:b/>
          <w:color w:val="auto"/>
          <w:sz w:val="32"/>
          <w:szCs w:val="32"/>
          <w:highlight w:val="none"/>
        </w:rPr>
        <w:t>公务接待费支出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0"/>
        </w:numPr>
        <w:spacing w:line="600" w:lineRule="exact"/>
        <w:ind w:firstLine="643" w:firstLineChars="200"/>
        <w:rPr>
          <w:rFonts w:ascii="仿宋_GB2312" w:eastAsia="仿宋_GB2312"/>
          <w:color w:val="auto"/>
          <w:sz w:val="32"/>
          <w:szCs w:val="32"/>
          <w:highlight w:val="none"/>
        </w:rPr>
      </w:pPr>
      <w:r>
        <w:rPr>
          <w:rFonts w:hint="eastAsia" w:ascii="仿宋" w:hAnsi="仿宋" w:eastAsia="仿宋"/>
          <w:b/>
          <w:color w:val="auto"/>
          <w:sz w:val="32"/>
          <w:szCs w:val="32"/>
          <w:highlight w:val="none"/>
        </w:rPr>
        <w:t>国内公务接待支出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p>
    <w:p>
      <w:pPr>
        <w:spacing w:line="600" w:lineRule="exact"/>
        <w:ind w:firstLine="643" w:firstLineChars="200"/>
        <w:rPr>
          <w:rFonts w:ascii="黑体" w:eastAsia="黑体"/>
          <w:color w:val="auto"/>
          <w:sz w:val="32"/>
          <w:szCs w:val="32"/>
          <w:highlight w:val="none"/>
        </w:rPr>
      </w:pPr>
      <w:r>
        <w:rPr>
          <w:rFonts w:hint="eastAsia" w:ascii="仿宋" w:hAnsi="仿宋" w:eastAsia="仿宋"/>
          <w:b/>
          <w:color w:val="auto"/>
          <w:sz w:val="32"/>
          <w:szCs w:val="32"/>
          <w:highlight w:val="none"/>
        </w:rPr>
        <w:t>外事接待支出</w:t>
      </w:r>
      <w:r>
        <w:rPr>
          <w:rFonts w:hint="eastAsia" w:ascii="仿宋" w:hAnsi="仿宋" w:eastAsia="仿宋"/>
          <w:color w:val="auto"/>
          <w:sz w:val="32"/>
          <w:szCs w:val="32"/>
          <w:highlight w:val="none"/>
          <w:lang w:val="en-US" w:eastAsia="zh-CN"/>
        </w:rPr>
        <w:t>0</w:t>
      </w:r>
      <w:r>
        <w:rPr>
          <w:rFonts w:hint="eastAsia" w:ascii="仿宋_GB2312" w:eastAsia="仿宋_GB2312"/>
          <w:color w:val="auto"/>
          <w:sz w:val="32"/>
          <w:szCs w:val="32"/>
          <w:highlight w:val="none"/>
        </w:rPr>
        <w:t>万元。</w:t>
      </w:r>
      <w:bookmarkStart w:id="46" w:name="_Toc15396610"/>
      <w:bookmarkStart w:id="47" w:name="_Toc15377218"/>
    </w:p>
    <w:p>
      <w:pPr>
        <w:spacing w:line="600" w:lineRule="exact"/>
        <w:ind w:firstLine="640"/>
        <w:outlineLvl w:val="1"/>
        <w:rPr>
          <w:rStyle w:val="25"/>
          <w:rFonts w:ascii="黑体" w:hAnsi="黑体" w:eastAsia="黑体"/>
          <w:color w:val="auto"/>
          <w:highlight w:val="none"/>
        </w:rPr>
      </w:pPr>
      <w:r>
        <w:rPr>
          <w:rFonts w:hint="eastAsia" w:ascii="黑体" w:eastAsia="黑体"/>
          <w:color w:val="auto"/>
          <w:sz w:val="32"/>
          <w:szCs w:val="32"/>
          <w:highlight w:val="none"/>
        </w:rPr>
        <w:t>八、</w:t>
      </w:r>
      <w:r>
        <w:rPr>
          <w:rStyle w:val="25"/>
          <w:rFonts w:hint="eastAsia" w:ascii="黑体" w:hAnsi="黑体" w:eastAsia="黑体"/>
          <w:b w:val="0"/>
          <w:color w:val="auto"/>
          <w:highlight w:val="none"/>
        </w:rPr>
        <w:t>政府性基金预算支出决算情况说明</w:t>
      </w:r>
      <w:bookmarkEnd w:id="46"/>
      <w:bookmarkEnd w:id="47"/>
    </w:p>
    <w:p>
      <w:pPr>
        <w:spacing w:line="600" w:lineRule="exact"/>
        <w:ind w:firstLine="64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年政府性基金预算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ascii="黑体" w:hAnsi="黑体" w:eastAsia="黑体"/>
          <w:b w:val="0"/>
          <w:color w:val="auto"/>
          <w:highlight w:val="none"/>
        </w:rPr>
      </w:pPr>
      <w:bookmarkStart w:id="48" w:name="_Toc15377219"/>
      <w:bookmarkStart w:id="49" w:name="_Toc15396611"/>
      <w:r>
        <w:rPr>
          <w:rStyle w:val="25"/>
          <w:rFonts w:hint="eastAsia" w:ascii="黑体" w:hAnsi="黑体" w:eastAsia="黑体"/>
          <w:b w:val="0"/>
          <w:color w:val="auto"/>
          <w:highlight w:val="none"/>
        </w:rPr>
        <w:t>国有资本经营预算支出决算情况说明</w:t>
      </w:r>
      <w:bookmarkEnd w:id="48"/>
      <w:bookmarkEnd w:id="49"/>
    </w:p>
    <w:p>
      <w:pPr>
        <w:spacing w:line="600" w:lineRule="exact"/>
        <w:ind w:firstLine="640"/>
        <w:rPr>
          <w:rFonts w:ascii="方正小标宋简体" w:hAnsi="方正小标宋简体" w:eastAsia="方正小标宋简体" w:cs="方正小标宋简体"/>
          <w:color w:val="auto"/>
          <w:sz w:val="44"/>
          <w:szCs w:val="44"/>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年国有资本经营预算</w:t>
      </w:r>
      <w:r>
        <w:rPr>
          <w:rFonts w:hint="eastAsia" w:ascii="仿宋_GB2312" w:eastAsia="仿宋_GB2312"/>
          <w:color w:val="auto"/>
          <w:sz w:val="32"/>
          <w:szCs w:val="32"/>
          <w:highlight w:val="none"/>
          <w:lang w:eastAsia="zh-CN"/>
        </w:rPr>
        <w:t>财政</w:t>
      </w:r>
      <w:r>
        <w:rPr>
          <w:rFonts w:hint="eastAsia" w:ascii="仿宋_GB2312" w:eastAsia="仿宋_GB2312"/>
          <w:color w:val="auto"/>
          <w:sz w:val="32"/>
          <w:szCs w:val="32"/>
          <w:highlight w:val="none"/>
        </w:rPr>
        <w:t>拨款支出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w:t>
      </w:r>
    </w:p>
    <w:p>
      <w:pPr>
        <w:numPr>
          <w:ilvl w:val="0"/>
          <w:numId w:val="3"/>
        </w:numPr>
        <w:spacing w:line="600" w:lineRule="exact"/>
        <w:ind w:firstLine="640"/>
        <w:outlineLvl w:val="1"/>
        <w:rPr>
          <w:rStyle w:val="25"/>
          <w:rFonts w:hint="eastAsia" w:ascii="黑体" w:hAnsi="黑体" w:eastAsia="黑体"/>
          <w:b w:val="0"/>
          <w:color w:val="auto"/>
          <w:highlight w:val="none"/>
        </w:rPr>
      </w:pPr>
      <w:bookmarkStart w:id="50" w:name="_Toc15377221"/>
      <w:bookmarkStart w:id="51" w:name="_Toc15396612"/>
      <w:r>
        <w:rPr>
          <w:rStyle w:val="25"/>
          <w:rFonts w:hint="eastAsia" w:ascii="黑体" w:hAnsi="黑体" w:eastAsia="黑体"/>
          <w:b w:val="0"/>
          <w:color w:val="auto"/>
          <w:highlight w:val="none"/>
        </w:rPr>
        <w:t>其他重要事项的情况说明</w:t>
      </w:r>
      <w:bookmarkEnd w:id="50"/>
      <w:bookmarkEnd w:id="51"/>
    </w:p>
    <w:p>
      <w:pPr>
        <w:spacing w:line="600" w:lineRule="exact"/>
        <w:ind w:firstLine="643" w:firstLineChars="200"/>
        <w:outlineLvl w:val="2"/>
        <w:rPr>
          <w:rFonts w:ascii="仿宋" w:hAnsi="仿宋" w:eastAsia="仿宋"/>
          <w:color w:val="auto"/>
          <w:sz w:val="32"/>
          <w:szCs w:val="32"/>
          <w:highlight w:val="none"/>
        </w:rPr>
      </w:pPr>
      <w:bookmarkStart w:id="52" w:name="_Toc15377222"/>
      <w:r>
        <w:rPr>
          <w:rFonts w:hint="eastAsia" w:ascii="仿宋" w:hAnsi="仿宋" w:eastAsia="仿宋"/>
          <w:b/>
          <w:color w:val="auto"/>
          <w:sz w:val="32"/>
          <w:szCs w:val="32"/>
          <w:highlight w:val="none"/>
        </w:rPr>
        <w:t>（一）机关运行经费支出情况</w:t>
      </w:r>
      <w:bookmarkEnd w:id="52"/>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大石初级中学</w:t>
      </w:r>
      <w:r>
        <w:rPr>
          <w:rFonts w:hint="eastAsia" w:ascii="仿宋_GB2312" w:eastAsia="仿宋_GB2312"/>
          <w:color w:val="auto"/>
          <w:sz w:val="32"/>
          <w:szCs w:val="32"/>
          <w:highlight w:val="none"/>
        </w:rPr>
        <w:t>机关运行经费支出</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万元，与</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w:t>
      </w:r>
      <w:r>
        <w:rPr>
          <w:rFonts w:hint="eastAsia" w:ascii="仿宋_GB2312" w:eastAsia="仿宋_GB2312"/>
          <w:color w:val="auto"/>
          <w:sz w:val="32"/>
          <w:szCs w:val="32"/>
          <w:highlight w:val="none"/>
        </w:rPr>
        <w:t>年决算数持平。</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3" w:name="_Toc15377223"/>
      <w:r>
        <w:rPr>
          <w:rFonts w:hint="eastAsia" w:ascii="仿宋" w:hAnsi="仿宋" w:eastAsia="仿宋"/>
          <w:b/>
          <w:color w:val="auto"/>
          <w:sz w:val="32"/>
          <w:szCs w:val="32"/>
          <w:highlight w:val="none"/>
        </w:rPr>
        <w:t>（二）政府采购支出情况</w:t>
      </w:r>
      <w:bookmarkEnd w:id="53"/>
    </w:p>
    <w:p>
      <w:pPr>
        <w:spacing w:line="60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val="en-US" w:eastAsia="zh-CN"/>
        </w:rPr>
        <w:t>大石初级中学</w:t>
      </w:r>
      <w:r>
        <w:rPr>
          <w:rFonts w:hint="eastAsia" w:ascii="仿宋_GB2312" w:eastAsia="仿宋_GB2312"/>
          <w:color w:val="auto"/>
          <w:sz w:val="32"/>
          <w:szCs w:val="32"/>
          <w:highlight w:val="none"/>
        </w:rPr>
        <w:t>政府采购支出总额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万元。授予中小企业合同金额</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万元，占政府采购支出总额的</w:t>
      </w:r>
      <w:r>
        <w:rPr>
          <w:rFonts w:hint="eastAsia" w:ascii="仿宋_GB2312" w:eastAsia="仿宋_GB2312"/>
          <w:color w:val="auto"/>
          <w:sz w:val="32"/>
          <w:szCs w:val="32"/>
          <w:highlight w:val="none"/>
          <w:lang w:val="en-US" w:eastAsia="zh-CN"/>
        </w:rPr>
        <w:t>0</w:t>
      </w:r>
      <w:r>
        <w:rPr>
          <w:rFonts w:ascii="仿宋_GB2312" w:eastAsia="仿宋_GB2312"/>
          <w:color w:val="auto"/>
          <w:sz w:val="32"/>
          <w:szCs w:val="32"/>
          <w:highlight w:val="none"/>
        </w:rPr>
        <w:t>%</w:t>
      </w:r>
      <w:r>
        <w:rPr>
          <w:rFonts w:hint="eastAsia" w:ascii="仿宋_GB2312" w:eastAsia="仿宋_GB2312"/>
          <w:color w:val="auto"/>
          <w:sz w:val="32"/>
          <w:szCs w:val="32"/>
          <w:highlight w:val="none"/>
        </w:rPr>
        <w:t>。</w:t>
      </w:r>
    </w:p>
    <w:p>
      <w:pPr>
        <w:autoSpaceDE w:val="0"/>
        <w:autoSpaceDN w:val="0"/>
        <w:adjustRightInd w:val="0"/>
        <w:spacing w:line="600" w:lineRule="exact"/>
        <w:ind w:firstLine="643" w:firstLineChars="200"/>
        <w:jc w:val="left"/>
        <w:outlineLvl w:val="2"/>
        <w:rPr>
          <w:rFonts w:ascii="仿宋" w:hAnsi="仿宋" w:eastAsia="仿宋"/>
          <w:b/>
          <w:color w:val="auto"/>
          <w:sz w:val="32"/>
          <w:szCs w:val="32"/>
          <w:highlight w:val="none"/>
        </w:rPr>
      </w:pPr>
      <w:bookmarkStart w:id="54" w:name="_Toc15377224"/>
      <w:r>
        <w:rPr>
          <w:rFonts w:hint="eastAsia" w:ascii="仿宋" w:hAnsi="仿宋" w:eastAsia="仿宋"/>
          <w:b/>
          <w:color w:val="auto"/>
          <w:sz w:val="32"/>
          <w:szCs w:val="32"/>
          <w:highlight w:val="none"/>
        </w:rPr>
        <w:t>（三）国有资产占有使用情况</w:t>
      </w:r>
      <w:bookmarkEnd w:id="54"/>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截至</w:t>
      </w:r>
      <w:r>
        <w:rPr>
          <w:rFonts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22</w:t>
      </w:r>
      <w:r>
        <w:rPr>
          <w:rFonts w:hint="eastAsia" w:ascii="仿宋_GB2312" w:eastAsia="仿宋_GB2312"/>
          <w:color w:val="auto"/>
          <w:sz w:val="32"/>
          <w:szCs w:val="32"/>
          <w:highlight w:val="none"/>
        </w:rPr>
        <w:t>年</w:t>
      </w:r>
      <w:r>
        <w:rPr>
          <w:rFonts w:ascii="仿宋_GB2312" w:eastAsia="仿宋_GB2312"/>
          <w:color w:val="auto"/>
          <w:sz w:val="32"/>
          <w:szCs w:val="32"/>
          <w:highlight w:val="none"/>
        </w:rPr>
        <w:t>12</w:t>
      </w:r>
      <w:r>
        <w:rPr>
          <w:rFonts w:hint="eastAsia" w:ascii="仿宋_GB2312" w:eastAsia="仿宋_GB2312"/>
          <w:color w:val="auto"/>
          <w:sz w:val="32"/>
          <w:szCs w:val="32"/>
          <w:highlight w:val="none"/>
        </w:rPr>
        <w:t>月</w:t>
      </w:r>
      <w:r>
        <w:rPr>
          <w:rFonts w:ascii="仿宋_GB2312" w:eastAsia="仿宋_GB2312"/>
          <w:color w:val="auto"/>
          <w:sz w:val="32"/>
          <w:szCs w:val="32"/>
          <w:highlight w:val="none"/>
        </w:rPr>
        <w:t>31</w:t>
      </w:r>
      <w:r>
        <w:rPr>
          <w:rFonts w:hint="eastAsia" w:ascii="仿宋_GB2312" w:eastAsia="仿宋_GB2312"/>
          <w:color w:val="auto"/>
          <w:sz w:val="32"/>
          <w:szCs w:val="32"/>
          <w:highlight w:val="none"/>
        </w:rPr>
        <w:t>日，</w:t>
      </w:r>
      <w:r>
        <w:rPr>
          <w:rFonts w:hint="eastAsia" w:ascii="仿宋_GB2312" w:eastAsia="仿宋_GB2312"/>
          <w:color w:val="auto"/>
          <w:sz w:val="32"/>
          <w:szCs w:val="32"/>
          <w:highlight w:val="none"/>
          <w:lang w:val="en-US" w:eastAsia="zh-CN"/>
        </w:rPr>
        <w:t>大石初级中学</w:t>
      </w:r>
      <w:r>
        <w:rPr>
          <w:rFonts w:hint="eastAsia" w:ascii="仿宋_GB2312" w:eastAsia="仿宋_GB2312"/>
          <w:color w:val="auto"/>
          <w:sz w:val="32"/>
          <w:szCs w:val="32"/>
          <w:highlight w:val="none"/>
        </w:rPr>
        <w:t>共有车辆</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辆</w:t>
      </w:r>
      <w:r>
        <w:rPr>
          <w:rFonts w:hint="eastAsia" w:ascii="仿宋_GB2312" w:eastAsia="仿宋_GB2312"/>
          <w:color w:val="auto"/>
          <w:sz w:val="32"/>
          <w:szCs w:val="32"/>
          <w:highlight w:val="none"/>
          <w:lang w:eastAsia="zh-CN"/>
        </w:rPr>
        <w:t>。</w:t>
      </w:r>
      <w:r>
        <w:rPr>
          <w:rFonts w:hint="eastAsia" w:ascii="仿宋_GB2312" w:eastAsia="仿宋_GB2312"/>
          <w:color w:val="auto"/>
          <w:sz w:val="32"/>
          <w:szCs w:val="32"/>
          <w:highlight w:val="none"/>
        </w:rPr>
        <w:t>单价</w:t>
      </w:r>
      <w:r>
        <w:rPr>
          <w:rFonts w:ascii="仿宋_GB2312" w:eastAsia="仿宋_GB2312"/>
          <w:color w:val="auto"/>
          <w:sz w:val="32"/>
          <w:szCs w:val="32"/>
          <w:highlight w:val="none"/>
        </w:rPr>
        <w:t>100</w:t>
      </w:r>
      <w:r>
        <w:rPr>
          <w:rFonts w:hint="eastAsia" w:ascii="仿宋_GB2312" w:eastAsia="仿宋_GB2312"/>
          <w:color w:val="auto"/>
          <w:sz w:val="32"/>
          <w:szCs w:val="32"/>
          <w:highlight w:val="none"/>
        </w:rPr>
        <w:t>万元以上专用设备</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台（套）。</w:t>
      </w:r>
    </w:p>
    <w:p>
      <w:pPr>
        <w:autoSpaceDE w:val="0"/>
        <w:autoSpaceDN w:val="0"/>
        <w:adjustRightInd w:val="0"/>
        <w:spacing w:line="600" w:lineRule="exact"/>
        <w:ind w:firstLine="640" w:firstLineChars="200"/>
        <w:jc w:val="left"/>
        <w:rPr>
          <w:rFonts w:hint="eastAsia" w:ascii="仿宋_GB2312" w:eastAsia="仿宋_GB2312"/>
          <w:color w:val="auto"/>
          <w:sz w:val="32"/>
          <w:szCs w:val="32"/>
          <w:highlight w:val="none"/>
        </w:rPr>
      </w:pPr>
    </w:p>
    <w:p>
      <w:pPr>
        <w:autoSpaceDE w:val="0"/>
        <w:autoSpaceDN w:val="0"/>
        <w:adjustRightInd w:val="0"/>
        <w:spacing w:line="600" w:lineRule="exact"/>
        <w:ind w:firstLine="643" w:firstLineChars="200"/>
        <w:jc w:val="left"/>
        <w:outlineLvl w:val="2"/>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rPr>
        <w:t>（四）预算绩效管理情况</w:t>
      </w:r>
    </w:p>
    <w:p>
      <w:pPr>
        <w:pStyle w:val="2"/>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Times New Roman" w:eastAsia="仿宋_GB2312" w:cs="Times New Roman"/>
          <w:color w:val="auto"/>
          <w:kern w:val="2"/>
          <w:sz w:val="32"/>
          <w:szCs w:val="32"/>
          <w:highlight w:val="none"/>
          <w:lang w:val="en-US" w:eastAsia="zh-CN" w:bidi="ar-SA"/>
        </w:rPr>
      </w:pPr>
      <w:r>
        <w:rPr>
          <w:rFonts w:hint="eastAsia" w:ascii="仿宋_GB2312" w:hAnsi="Times New Roman" w:eastAsia="仿宋_GB2312" w:cs="Times New Roman"/>
          <w:color w:val="auto"/>
          <w:kern w:val="2"/>
          <w:sz w:val="32"/>
          <w:szCs w:val="32"/>
          <w:highlight w:val="none"/>
          <w:lang w:val="en-US" w:eastAsia="zh-CN" w:bidi="ar-SA"/>
        </w:rPr>
        <w:t>根据预算绩效管理要求，本单位在2022年度预算编制阶段，组织对学生三免一补等2个项目开展了预算事前绩效评估，对2个项目编制了绩效目标，预算执行过程中，选取2个项目开展绩效监控，组织对2个项目开展绩效自评，绩效自评表详见第四部分附件。</w:t>
      </w:r>
    </w:p>
    <w:p>
      <w:pPr>
        <w:widowControl/>
        <w:jc w:val="left"/>
        <w:rPr>
          <w:rFonts w:ascii="仿宋_GB2312" w:eastAsia="仿宋_GB2312"/>
          <w:b/>
          <w:color w:val="auto"/>
          <w:sz w:val="32"/>
          <w:szCs w:val="32"/>
          <w:highlight w:val="none"/>
        </w:rPr>
      </w:pPr>
      <w:r>
        <w:rPr>
          <w:rFonts w:ascii="仿宋_GB2312" w:eastAsia="仿宋_GB2312"/>
          <w:b/>
          <w:color w:val="auto"/>
          <w:sz w:val="32"/>
          <w:szCs w:val="32"/>
          <w:highlight w:val="none"/>
        </w:rPr>
        <w:br w:type="page"/>
      </w:r>
    </w:p>
    <w:p>
      <w:pPr>
        <w:numPr>
          <w:ilvl w:val="0"/>
          <w:numId w:val="4"/>
        </w:numPr>
        <w:spacing w:line="600" w:lineRule="exact"/>
        <w:ind w:firstLine="660" w:firstLineChars="150"/>
        <w:jc w:val="center"/>
        <w:outlineLvl w:val="0"/>
        <w:rPr>
          <w:rStyle w:val="24"/>
          <w:rFonts w:ascii="黑体" w:hAnsi="黑体" w:eastAsia="黑体"/>
          <w:b w:val="0"/>
          <w:color w:val="auto"/>
          <w:highlight w:val="none"/>
        </w:rPr>
      </w:pPr>
      <w:bookmarkStart w:id="55" w:name="_Toc15396613"/>
      <w:bookmarkStart w:id="56" w:name="_Toc15377225"/>
      <w:bookmarkStart w:id="57" w:name="_Toc15396614"/>
      <w:bookmarkStart w:id="58" w:name="_Toc15377226"/>
      <w:r>
        <w:rPr>
          <w:rFonts w:hint="eastAsia" w:ascii="黑体" w:hAnsi="黑体" w:eastAsia="黑体"/>
          <w:color w:val="auto"/>
          <w:sz w:val="44"/>
          <w:szCs w:val="44"/>
          <w:highlight w:val="none"/>
        </w:rPr>
        <w:t>名</w:t>
      </w:r>
      <w:r>
        <w:rPr>
          <w:rStyle w:val="24"/>
          <w:rFonts w:hint="eastAsia" w:ascii="黑体" w:hAnsi="黑体" w:eastAsia="黑体"/>
          <w:b w:val="0"/>
          <w:color w:val="auto"/>
          <w:highlight w:val="none"/>
        </w:rPr>
        <w:t>词解释</w:t>
      </w:r>
      <w:bookmarkEnd w:id="55"/>
      <w:bookmarkEnd w:id="56"/>
    </w:p>
    <w:p>
      <w:pPr>
        <w:spacing w:line="600" w:lineRule="exact"/>
        <w:jc w:val="left"/>
        <w:rPr>
          <w:rFonts w:ascii="宋体"/>
          <w:b/>
          <w:color w:val="auto"/>
          <w:sz w:val="44"/>
          <w:szCs w:val="44"/>
          <w:highlight w:val="none"/>
        </w:rPr>
      </w:pP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1.</w:t>
      </w:r>
      <w:r>
        <w:rPr>
          <w:rFonts w:hint="eastAsia" w:ascii="仿宋_GB2312" w:eastAsia="仿宋_GB2312"/>
          <w:color w:val="auto"/>
          <w:sz w:val="32"/>
          <w:szCs w:val="32"/>
          <w:highlight w:val="none"/>
        </w:rPr>
        <w:t>财政拨款收入：指单位从同级财政部门取得的财政预算资金。</w:t>
      </w:r>
    </w:p>
    <w:p>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2.</w:t>
      </w:r>
      <w:r>
        <w:rPr>
          <w:rFonts w:hint="eastAsia" w:ascii="仿宋_GB2312" w:eastAsia="仿宋_GB2312"/>
          <w:color w:val="auto"/>
          <w:sz w:val="32"/>
          <w:szCs w:val="32"/>
          <w:highlight w:val="none"/>
        </w:rPr>
        <w:t>事业收入：指事业单位开展专业业务活动及辅助活动取得的收入。</w:t>
      </w:r>
    </w:p>
    <w:p>
      <w:pPr>
        <w:pStyle w:val="22"/>
        <w:spacing w:line="56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3.</w:t>
      </w:r>
      <w:r>
        <w:rPr>
          <w:rFonts w:hint="eastAsia" w:ascii="仿宋_GB2312" w:eastAsia="仿宋_GB2312"/>
          <w:color w:val="auto"/>
          <w:sz w:val="32"/>
          <w:szCs w:val="32"/>
          <w:highlight w:val="none"/>
        </w:rPr>
        <w:t>经营收入：指事业单位在专业业务活动及其辅助活动之外开展非独立核算经营活动取得的收入。</w:t>
      </w:r>
    </w:p>
    <w:p>
      <w:pPr>
        <w:snapToGrid w:val="0"/>
        <w:spacing w:line="540" w:lineRule="exact"/>
        <w:ind w:firstLine="640" w:firstLineChars="200"/>
        <w:rPr>
          <w:rFonts w:hint="eastAsia" w:ascii="仿宋_GB2312" w:hAnsi="仿宋_GB2312" w:eastAsia="仿宋_GB2312" w:cs="仿宋_GB2312"/>
          <w:sz w:val="28"/>
          <w:szCs w:val="28"/>
        </w:rPr>
      </w:pPr>
      <w:r>
        <w:rPr>
          <w:rFonts w:ascii="仿宋_GB2312" w:eastAsia="仿宋_GB2312"/>
          <w:color w:val="auto"/>
          <w:sz w:val="32"/>
          <w:szCs w:val="32"/>
          <w:highlight w:val="none"/>
        </w:rPr>
        <w:t>4.</w:t>
      </w:r>
      <w:r>
        <w:rPr>
          <w:rFonts w:hint="eastAsia" w:ascii="仿宋_GB2312" w:eastAsia="仿宋_GB2312"/>
          <w:color w:val="auto"/>
          <w:sz w:val="32"/>
          <w:szCs w:val="32"/>
          <w:highlight w:val="none"/>
        </w:rPr>
        <w:t>其他收入：指单位取得的除上述收入以外的各项收入。主要是学前教育保育教育费收入、银行存款利息收入等。</w:t>
      </w:r>
      <w:r>
        <w:rPr>
          <w:rFonts w:hint="eastAsia" w:ascii="仿宋_GB2312" w:hAnsi="仿宋_GB2312" w:eastAsia="仿宋_GB2312" w:cs="仿宋_GB2312"/>
          <w:sz w:val="28"/>
          <w:szCs w:val="28"/>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5.</w:t>
      </w:r>
      <w:r>
        <w:rPr>
          <w:rFonts w:hint="eastAsia" w:ascii="仿宋_GB2312" w:eastAsia="仿宋_GB2312"/>
          <w:color w:val="auto"/>
          <w:sz w:val="32"/>
          <w:szCs w:val="32"/>
          <w:highlight w:val="none"/>
          <w:lang w:eastAsia="zh-CN"/>
        </w:rPr>
        <w:t>使用非财政拨款结余</w:t>
      </w:r>
      <w:r>
        <w:rPr>
          <w:rFonts w:hint="eastAsia" w:ascii="仿宋_GB2312" w:eastAsia="仿宋_GB2312"/>
          <w:color w:val="auto"/>
          <w:sz w:val="32"/>
          <w:szCs w:val="32"/>
          <w:highlight w:val="none"/>
        </w:rPr>
        <w:t>：指事业单位</w:t>
      </w:r>
      <w:r>
        <w:rPr>
          <w:rFonts w:hint="eastAsia" w:ascii="仿宋_GB2312" w:eastAsia="仿宋_GB2312"/>
          <w:color w:val="auto"/>
          <w:sz w:val="32"/>
          <w:szCs w:val="32"/>
          <w:highlight w:val="none"/>
          <w:lang w:eastAsia="zh-CN"/>
        </w:rPr>
        <w:t>使用以前年度积累的非财政拨款结余弥补当年收支差额的金额。</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6.</w:t>
      </w:r>
      <w:r>
        <w:rPr>
          <w:rFonts w:hint="eastAsia" w:ascii="仿宋_GB2312" w:eastAsia="仿宋_GB2312"/>
          <w:color w:val="auto"/>
          <w:sz w:val="32"/>
          <w:szCs w:val="32"/>
          <w:highlight w:val="none"/>
        </w:rPr>
        <w:t>年初结转和结余：指以前年度尚未完成、结转到本年按有关规定继续使用的资金。</w:t>
      </w:r>
      <w:r>
        <w:rPr>
          <w:rFonts w:ascii="仿宋_GB2312" w:eastAsia="仿宋_GB2312"/>
          <w:color w:val="auto"/>
          <w:sz w:val="32"/>
          <w:szCs w:val="32"/>
          <w:highlight w:val="none"/>
        </w:rPr>
        <w:t xml:space="preserve"> </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7.</w:t>
      </w:r>
      <w:r>
        <w:rPr>
          <w:rFonts w:hint="eastAsia" w:ascii="仿宋_GB2312" w:eastAsia="仿宋_GB2312"/>
          <w:color w:val="auto"/>
          <w:sz w:val="32"/>
          <w:szCs w:val="32"/>
          <w:highlight w:val="none"/>
        </w:rPr>
        <w:t>结余分配：指事业单位按照会计制度规定</w:t>
      </w:r>
      <w:r>
        <w:rPr>
          <w:rFonts w:hint="eastAsia" w:ascii="仿宋_GB2312" w:eastAsia="仿宋_GB2312"/>
          <w:color w:val="auto"/>
          <w:sz w:val="32"/>
          <w:szCs w:val="32"/>
          <w:highlight w:val="none"/>
          <w:lang w:eastAsia="zh-CN"/>
        </w:rPr>
        <w:t>缴纳的所得税、提取的专用结余以及转入非财政拨款结余的金额</w:t>
      </w:r>
      <w:r>
        <w:rPr>
          <w:rFonts w:hint="eastAsia" w:ascii="仿宋_GB2312" w:eastAsia="仿宋_GB2312"/>
          <w:color w:val="auto"/>
          <w:sz w:val="32"/>
          <w:szCs w:val="32"/>
          <w:highlight w:val="none"/>
        </w:rPr>
        <w:t>等。</w:t>
      </w:r>
    </w:p>
    <w:p>
      <w:pPr>
        <w:pStyle w:val="22"/>
        <w:spacing w:line="560" w:lineRule="exact"/>
        <w:ind w:firstLine="640" w:firstLineChars="200"/>
        <w:rPr>
          <w:rFonts w:ascii="仿宋_GB2312" w:eastAsia="仿宋_GB2312"/>
          <w:color w:val="auto"/>
          <w:sz w:val="32"/>
          <w:szCs w:val="32"/>
          <w:highlight w:val="none"/>
        </w:rPr>
      </w:pPr>
      <w:r>
        <w:rPr>
          <w:rFonts w:ascii="仿宋_GB2312" w:eastAsia="仿宋_GB2312"/>
          <w:color w:val="auto"/>
          <w:sz w:val="32"/>
          <w:szCs w:val="32"/>
          <w:highlight w:val="none"/>
        </w:rPr>
        <w:t>8</w:t>
      </w:r>
      <w:r>
        <w:rPr>
          <w:rFonts w:hint="eastAsia" w:ascii="仿宋_GB2312" w:eastAsia="仿宋_GB2312"/>
          <w:color w:val="auto"/>
          <w:sz w:val="32"/>
          <w:szCs w:val="32"/>
          <w:highlight w:val="none"/>
          <w:lang w:val="en-US" w:eastAsia="zh-CN"/>
        </w:rPr>
        <w:t>.</w:t>
      </w:r>
      <w:r>
        <w:rPr>
          <w:rFonts w:hint="eastAsia" w:ascii="仿宋_GB2312" w:eastAsia="仿宋_GB2312"/>
          <w:color w:val="auto"/>
          <w:sz w:val="32"/>
          <w:szCs w:val="32"/>
          <w:highlight w:val="none"/>
        </w:rPr>
        <w:t>年末结转和结余：指单位按有关规定结转到下年或以后年度继续使用的资金。</w:t>
      </w:r>
    </w:p>
    <w:p>
      <w:pPr>
        <w:snapToGrid w:val="0"/>
        <w:spacing w:line="540" w:lineRule="exact"/>
        <w:ind w:firstLine="640" w:firstLineChars="200"/>
        <w:rPr>
          <w:rFonts w:hint="eastAsia" w:ascii="仿宋_GB2312" w:eastAsia="仿宋_GB2312"/>
          <w:color w:val="auto"/>
          <w:sz w:val="32"/>
          <w:szCs w:val="32"/>
          <w:highlight w:val="none"/>
        </w:rPr>
      </w:pPr>
      <w:r>
        <w:rPr>
          <w:rFonts w:ascii="仿宋_GB2312" w:eastAsia="仿宋_GB2312"/>
          <w:color w:val="auto"/>
          <w:sz w:val="32"/>
          <w:szCs w:val="32"/>
          <w:highlight w:val="none"/>
        </w:rPr>
        <w:t>9.</w:t>
      </w:r>
      <w:r>
        <w:rPr>
          <w:rFonts w:hint="eastAsia" w:ascii="仿宋_GB2312" w:eastAsia="仿宋_GB2312"/>
          <w:color w:val="auto"/>
          <w:sz w:val="32"/>
          <w:szCs w:val="32"/>
          <w:highlight w:val="none"/>
        </w:rPr>
        <w:t>教育支出（类）普通教育（款）学前教育（项）:反映各部门举办的学前教育支出。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0</w:t>
      </w:r>
      <w:r>
        <w:rPr>
          <w:rFonts w:hint="eastAsia" w:ascii="仿宋_GB2312" w:eastAsia="仿宋_GB2312"/>
          <w:color w:val="auto"/>
          <w:sz w:val="32"/>
          <w:szCs w:val="32"/>
          <w:highlight w:val="none"/>
        </w:rPr>
        <w:t>. 教育支出（类）普通教育（款）小学教育（项）:反映各部门举办的小学教育支出。政府各部门对社会中介组织等举办的小学的资助，如各类捐赠、补贴等，也在本科目中反映。</w:t>
      </w:r>
    </w:p>
    <w:p>
      <w:pPr>
        <w:pStyle w:val="22"/>
        <w:snapToGrid w:val="0"/>
        <w:spacing w:line="520" w:lineRule="exact"/>
        <w:ind w:firstLine="560" w:firstLineChars="200"/>
        <w:rPr>
          <w:rFonts w:hint="eastAsia"/>
        </w:rPr>
      </w:pPr>
      <w:r>
        <w:rPr>
          <w:rFonts w:hint="eastAsia" w:ascii="仿宋_GB2312" w:eastAsia="仿宋_GB2312"/>
          <w:color w:val="auto"/>
          <w:sz w:val="28"/>
          <w:szCs w:val="28"/>
        </w:rPr>
        <w:t>1</w:t>
      </w:r>
      <w:r>
        <w:rPr>
          <w:rFonts w:hint="eastAsia" w:ascii="仿宋_GB2312" w:eastAsia="仿宋_GB2312"/>
          <w:color w:val="auto"/>
          <w:sz w:val="28"/>
          <w:szCs w:val="28"/>
          <w:lang w:val="en-US" w:eastAsia="zh-CN"/>
        </w:rPr>
        <w:t>1</w:t>
      </w:r>
      <w:r>
        <w:rPr>
          <w:rFonts w:hint="eastAsia" w:ascii="仿宋_GB2312" w:eastAsia="仿宋_GB2312"/>
          <w:color w:val="auto"/>
          <w:sz w:val="28"/>
          <w:szCs w:val="28"/>
        </w:rPr>
        <w:t>. 教育支出（类）普通教育（款）初中教育（项）: 反映各部门举办的初中教育支出。政府各部门对社会中介组织等举办的初中教育的资助，如捐赠、补贴等，也在本科目中反映。</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1</w:t>
      </w:r>
      <w:r>
        <w:rPr>
          <w:rFonts w:hint="eastAsia" w:ascii="仿宋_GB2312" w:eastAsia="仿宋_GB2312"/>
          <w:color w:val="auto"/>
          <w:sz w:val="32"/>
          <w:szCs w:val="32"/>
          <w:highlight w:val="none"/>
          <w:lang w:val="en-US" w:eastAsia="zh-CN"/>
        </w:rPr>
        <w:t>2</w:t>
      </w:r>
      <w:r>
        <w:rPr>
          <w:rFonts w:hint="eastAsia" w:ascii="仿宋_GB2312" w:eastAsia="仿宋_GB2312"/>
          <w:color w:val="auto"/>
          <w:sz w:val="32"/>
          <w:szCs w:val="32"/>
          <w:highlight w:val="none"/>
        </w:rPr>
        <w:t>. 教育支出（类）普通教育（款）其它普通教育（项）: 反映除上述项目以外其他用于普通教育方面的支出。</w:t>
      </w:r>
    </w:p>
    <w:p>
      <w:pPr>
        <w:snapToGrid w:val="0"/>
        <w:spacing w:line="540" w:lineRule="exact"/>
        <w:ind w:firstLine="640" w:firstLineChars="200"/>
      </w:pPr>
      <w:r>
        <w:rPr>
          <w:rFonts w:hint="eastAsia" w:ascii="仿宋_GB2312" w:eastAsia="仿宋_GB2312"/>
          <w:color w:val="auto"/>
          <w:sz w:val="32"/>
          <w:szCs w:val="32"/>
          <w:highlight w:val="none"/>
          <w:lang w:val="en-US" w:eastAsia="zh-CN"/>
        </w:rPr>
        <w:t>13</w:t>
      </w:r>
      <w:r>
        <w:rPr>
          <w:rFonts w:hint="eastAsia" w:ascii="仿宋_GB2312" w:eastAsia="仿宋_GB2312"/>
          <w:color w:val="auto"/>
          <w:sz w:val="32"/>
          <w:szCs w:val="32"/>
          <w:highlight w:val="none"/>
        </w:rPr>
        <w:t>. 教育支出（类）其它教育支出（款）其他教育支出（项）: 指上述项目以外其他用于教育方面的支出。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14</w:t>
      </w:r>
      <w:r>
        <w:rPr>
          <w:rFonts w:hint="eastAsia" w:ascii="仿宋_GB2312" w:eastAsia="仿宋_GB2312"/>
          <w:color w:val="auto"/>
          <w:sz w:val="32"/>
          <w:szCs w:val="32"/>
          <w:highlight w:val="none"/>
        </w:rPr>
        <w:t>. 社会保障和就业支出（类）行政事业单位离退休（款）机关事业单位基本养老保险缴费支出（项）: 指机关事业单位实施养老保险制度由单位缴纳的基本养老保险费支出。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15</w:t>
      </w:r>
      <w:r>
        <w:rPr>
          <w:rFonts w:hint="eastAsia" w:ascii="仿宋_GB2312" w:eastAsia="仿宋_GB2312"/>
          <w:color w:val="auto"/>
          <w:sz w:val="32"/>
          <w:szCs w:val="32"/>
          <w:highlight w:val="none"/>
        </w:rPr>
        <w:t>. 社会保障和就业支出（类）行政事业单位离退休（款）机关事业单位职业年金缴费支出（项）: 指机关事业单位实施养老保险制度由单位实际缴纳的职业年金支出。</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16</w:t>
      </w:r>
      <w:r>
        <w:rPr>
          <w:rFonts w:hint="eastAsia" w:ascii="仿宋_GB2312" w:eastAsia="仿宋_GB2312"/>
          <w:color w:val="auto"/>
          <w:sz w:val="32"/>
          <w:szCs w:val="32"/>
          <w:highlight w:val="none"/>
        </w:rPr>
        <w:t>. 社会保障和就业支出（类）抚恤（款）死亡抚恤（项）: 指按规定用于烈士和牺牲、病故人员家属的一次性和定期抚恤金以及丧葬补助费。</w:t>
      </w:r>
    </w:p>
    <w:p>
      <w:pPr>
        <w:snapToGrid w:val="0"/>
        <w:spacing w:line="540" w:lineRule="exact"/>
        <w:ind w:firstLine="640" w:firstLineChars="200"/>
        <w:rPr>
          <w:rFonts w:hint="eastAsia" w:ascii="仿宋_GB2312" w:hAnsi="仿宋_GB2312" w:eastAsia="仿宋_GB2312" w:cs="仿宋_GB2312"/>
          <w:sz w:val="28"/>
          <w:szCs w:val="28"/>
        </w:rPr>
      </w:pPr>
      <w:r>
        <w:rPr>
          <w:rFonts w:hint="eastAsia" w:ascii="仿宋_GB2312" w:eastAsia="仿宋_GB2312"/>
          <w:color w:val="auto"/>
          <w:sz w:val="32"/>
          <w:szCs w:val="32"/>
          <w:highlight w:val="none"/>
          <w:lang w:val="en-US" w:eastAsia="zh-CN"/>
        </w:rPr>
        <w:t>17</w:t>
      </w:r>
      <w:r>
        <w:rPr>
          <w:rFonts w:hint="eastAsia" w:ascii="仿宋_GB2312" w:eastAsia="仿宋_GB2312"/>
          <w:color w:val="auto"/>
          <w:sz w:val="32"/>
          <w:szCs w:val="32"/>
          <w:highlight w:val="none"/>
        </w:rPr>
        <w:t>. 医疗卫生与计划生育（类）行政事业单位医疗（款）事业单位医疗（项）: 指财政部门安排的事业单位基本医疗保险缴费经费，未参加医疗保险的事业单位的公费医疗经费，按国家规定享受离休人员待遇的医疗经费。</w:t>
      </w:r>
    </w:p>
    <w:p>
      <w:pPr>
        <w:snapToGrid w:val="0"/>
        <w:spacing w:line="540" w:lineRule="exact"/>
        <w:ind w:firstLine="640" w:firstLineChars="200"/>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18</w:t>
      </w:r>
      <w:r>
        <w:rPr>
          <w:rFonts w:ascii="仿宋_GB2312" w:eastAsia="仿宋_GB2312"/>
          <w:color w:val="auto"/>
          <w:sz w:val="32"/>
          <w:szCs w:val="32"/>
          <w:highlight w:val="none"/>
        </w:rPr>
        <w:t>.</w:t>
      </w:r>
      <w:r>
        <w:rPr>
          <w:rFonts w:hint="eastAsia" w:ascii="仿宋_GB2312" w:eastAsia="仿宋_GB2312"/>
          <w:color w:val="auto"/>
          <w:sz w:val="32"/>
          <w:szCs w:val="32"/>
          <w:highlight w:val="none"/>
        </w:rPr>
        <w:t>住房保障支出（类）住房改革支出（款）住房公积金（项）: 指行政事业单位按人力资源和社会保障部、财政部规定的基本工资和津贴补贴以及规定比例为职工缴纳的住房公积金。</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19</w:t>
      </w:r>
      <w:r>
        <w:rPr>
          <w:rFonts w:ascii="仿宋_GB2312" w:eastAsia="仿宋_GB2312"/>
          <w:color w:val="auto"/>
          <w:sz w:val="32"/>
          <w:szCs w:val="32"/>
          <w:highlight w:val="none"/>
        </w:rPr>
        <w:t>.</w:t>
      </w:r>
      <w:r>
        <w:rPr>
          <w:rFonts w:hint="eastAsia" w:ascii="仿宋_GB2312" w:eastAsia="仿宋_GB2312"/>
          <w:color w:val="auto"/>
          <w:sz w:val="32"/>
          <w:szCs w:val="32"/>
          <w:highlight w:val="none"/>
        </w:rPr>
        <w:t>基本支出：指为保障机构正常运转、完成日常工作任务而发生的人员支出和公用支出。</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20</w:t>
      </w:r>
      <w:r>
        <w:rPr>
          <w:rFonts w:ascii="仿宋_GB2312" w:eastAsia="仿宋_GB2312"/>
          <w:color w:val="auto"/>
          <w:sz w:val="32"/>
          <w:szCs w:val="32"/>
          <w:highlight w:val="none"/>
        </w:rPr>
        <w:t>.</w:t>
      </w:r>
      <w:r>
        <w:rPr>
          <w:rFonts w:hint="eastAsia" w:ascii="仿宋_GB2312" w:eastAsia="仿宋_GB2312"/>
          <w:color w:val="auto"/>
          <w:sz w:val="32"/>
          <w:szCs w:val="32"/>
          <w:highlight w:val="none"/>
        </w:rPr>
        <w:t>项目支出：指在基本支出之外为完成特定行政任务和事业发展目标所发生的支出。</w:t>
      </w:r>
      <w:r>
        <w:rPr>
          <w:rFonts w:ascii="仿宋_GB2312" w:eastAsia="仿宋_GB2312"/>
          <w:color w:val="auto"/>
          <w:sz w:val="32"/>
          <w:szCs w:val="32"/>
          <w:highlight w:val="none"/>
        </w:rPr>
        <w:t xml:space="preserve"> </w:t>
      </w:r>
    </w:p>
    <w:p>
      <w:pPr>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21</w:t>
      </w:r>
      <w:r>
        <w:rPr>
          <w:rFonts w:ascii="仿宋_GB2312" w:eastAsia="仿宋_GB2312"/>
          <w:color w:val="auto"/>
          <w:sz w:val="32"/>
          <w:szCs w:val="32"/>
          <w:highlight w:val="none"/>
        </w:rPr>
        <w:t>.</w:t>
      </w:r>
      <w:r>
        <w:rPr>
          <w:rFonts w:hint="eastAsia" w:ascii="仿宋_GB2312" w:eastAsia="仿宋_GB2312"/>
          <w:color w:val="auto"/>
          <w:sz w:val="32"/>
          <w:szCs w:val="32"/>
          <w:highlight w:val="none"/>
        </w:rPr>
        <w:t>经营支出：指事业单位在专业业务活动及其辅助活动之外开展非独立核算经营活动发生的支出。</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22</w:t>
      </w:r>
      <w:r>
        <w:rPr>
          <w:rFonts w:ascii="仿宋_GB2312" w:eastAsia="仿宋_GB2312"/>
          <w:color w:val="auto"/>
          <w:sz w:val="32"/>
          <w:szCs w:val="32"/>
          <w:highlight w:val="none"/>
        </w:rPr>
        <w:t>.</w:t>
      </w:r>
      <w:r>
        <w:rPr>
          <w:rFonts w:hint="eastAsia" w:ascii="仿宋_GB2312" w:eastAsia="仿宋_GB2312"/>
          <w:color w:val="auto"/>
          <w:sz w:val="32"/>
          <w:szCs w:val="32"/>
          <w:highlight w:val="none"/>
        </w:rPr>
        <w:t>“三公”经费：指</w:t>
      </w:r>
      <w:r>
        <w:rPr>
          <w:rFonts w:hint="eastAsia" w:ascii="仿宋_GB2312" w:eastAsia="仿宋_GB2312"/>
          <w:color w:val="auto"/>
          <w:sz w:val="32"/>
          <w:szCs w:val="32"/>
          <w:highlight w:val="none"/>
          <w:lang w:eastAsia="zh-CN"/>
        </w:rPr>
        <w:t>单位</w:t>
      </w:r>
      <w:r>
        <w:rPr>
          <w:rFonts w:hint="eastAsia" w:ascii="仿宋_GB2312" w:eastAsia="仿宋_GB2312"/>
          <w:color w:val="auto"/>
          <w:sz w:val="32"/>
          <w:szCs w:val="32"/>
          <w:highlight w:val="none"/>
        </w:rPr>
        <w:t>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22"/>
        <w:spacing w:line="560" w:lineRule="exact"/>
        <w:ind w:firstLine="640" w:firstLineChars="200"/>
        <w:rPr>
          <w:rFonts w:ascii="仿宋_GB2312" w:eastAsia="仿宋_GB2312"/>
          <w:color w:val="auto"/>
          <w:sz w:val="32"/>
          <w:szCs w:val="32"/>
          <w:highlight w:val="none"/>
        </w:rPr>
      </w:pPr>
      <w:r>
        <w:rPr>
          <w:rFonts w:hint="eastAsia" w:ascii="仿宋_GB2312" w:eastAsia="仿宋_GB2312"/>
          <w:color w:val="auto"/>
          <w:sz w:val="32"/>
          <w:szCs w:val="32"/>
          <w:highlight w:val="none"/>
          <w:lang w:val="en-US" w:eastAsia="zh-CN"/>
        </w:rPr>
        <w:t>23</w:t>
      </w:r>
      <w:r>
        <w:rPr>
          <w:rFonts w:ascii="仿宋_GB2312" w:eastAsia="仿宋_GB2312"/>
          <w:color w:val="auto"/>
          <w:sz w:val="32"/>
          <w:szCs w:val="32"/>
          <w:highlight w:val="none"/>
        </w:rPr>
        <w:t>.</w:t>
      </w:r>
      <w:r>
        <w:rPr>
          <w:rFonts w:hint="eastAsia" w:ascii="仿宋_GB2312" w:eastAsia="仿宋_GB2312"/>
          <w:color w:val="auto"/>
          <w:sz w:val="32"/>
          <w:szCs w:val="32"/>
          <w:highlight w:val="none"/>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center"/>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spacing w:line="600" w:lineRule="exact"/>
        <w:jc w:val="both"/>
        <w:outlineLvl w:val="0"/>
        <w:rPr>
          <w:rFonts w:hint="eastAsia" w:ascii="黑体" w:hAnsi="黑体" w:eastAsia="黑体"/>
          <w:color w:val="auto"/>
          <w:sz w:val="44"/>
          <w:szCs w:val="44"/>
          <w:highlight w:val="none"/>
        </w:rPr>
      </w:pPr>
    </w:p>
    <w:p>
      <w:pPr>
        <w:numPr>
          <w:ilvl w:val="0"/>
          <w:numId w:val="4"/>
        </w:numPr>
        <w:spacing w:line="600" w:lineRule="exact"/>
        <w:ind w:left="0" w:leftChars="0" w:firstLine="660" w:firstLineChars="150"/>
        <w:jc w:val="center"/>
        <w:outlineLvl w:val="0"/>
        <w:rPr>
          <w:rStyle w:val="24"/>
          <w:rFonts w:hint="eastAsia" w:ascii="黑体" w:hAnsi="黑体" w:eastAsia="黑体"/>
          <w:b w:val="0"/>
          <w:color w:val="auto"/>
          <w:highlight w:val="none"/>
        </w:rPr>
      </w:pPr>
      <w:r>
        <w:rPr>
          <w:rStyle w:val="24"/>
          <w:rFonts w:hint="eastAsia" w:ascii="黑体" w:hAnsi="黑体" w:eastAsia="黑体"/>
          <w:b w:val="0"/>
          <w:color w:val="auto"/>
          <w:highlight w:val="none"/>
        </w:rPr>
        <w:t>附件</w:t>
      </w:r>
      <w:bookmarkEnd w:id="57"/>
    </w:p>
    <w:p>
      <w:pPr>
        <w:numPr>
          <w:ilvl w:val="0"/>
          <w:numId w:val="0"/>
        </w:numPr>
        <w:spacing w:line="600" w:lineRule="exact"/>
        <w:ind w:leftChars="150"/>
        <w:jc w:val="both"/>
        <w:outlineLvl w:val="0"/>
        <w:rPr>
          <w:rStyle w:val="24"/>
          <w:rFonts w:hint="eastAsia" w:ascii="黑体" w:hAnsi="黑体" w:eastAsia="黑体"/>
          <w:b w:val="0"/>
          <w:color w:val="auto"/>
          <w:highlight w:val="none"/>
        </w:rPr>
      </w:pPr>
    </w:p>
    <w:p>
      <w:pPr>
        <w:jc w:val="center"/>
        <w:rPr>
          <w:rFonts w:hint="eastAsia" w:ascii="仿宋_GB2312" w:hAnsi="Calibri" w:eastAsia="仿宋_GB2312" w:cs="仿宋"/>
          <w:color w:val="auto"/>
          <w:kern w:val="0"/>
          <w:sz w:val="40"/>
          <w:szCs w:val="40"/>
          <w:highlight w:val="none"/>
          <w:lang w:val="en-US" w:eastAsia="zh-CN" w:bidi="ar-SA"/>
        </w:rPr>
      </w:pPr>
      <w:bookmarkStart w:id="59" w:name="_Toc15396618"/>
      <w:r>
        <w:rPr>
          <w:rFonts w:hint="eastAsia" w:ascii="仿宋_GB2312" w:hAnsi="Calibri" w:eastAsia="仿宋_GB2312" w:cs="仿宋"/>
          <w:color w:val="auto"/>
          <w:kern w:val="0"/>
          <w:sz w:val="40"/>
          <w:szCs w:val="40"/>
          <w:highlight w:val="none"/>
          <w:lang w:val="en-US" w:eastAsia="zh-CN" w:bidi="ar-SA"/>
        </w:rPr>
        <w:t>部门预算项目支出绩效自评表（2022年度）</w:t>
      </w:r>
    </w:p>
    <w:p>
      <w:pPr>
        <w:pStyle w:val="2"/>
        <w:adjustRightInd w:val="0"/>
        <w:snapToGrid w:val="0"/>
        <w:spacing w:line="378" w:lineRule="exact"/>
        <w:ind w:left="0" w:firstLine="600" w:firstLineChars="200"/>
        <w:rPr>
          <w:rFonts w:hint="eastAsia" w:eastAsia="仿宋_GB2312"/>
          <w:lang w:eastAsia="zh-CN"/>
        </w:rPr>
        <w:sectPr>
          <w:footerReference r:id="rId9" w:type="default"/>
          <w:pgSz w:w="11910" w:h="16840"/>
          <w:pgMar w:top="1540" w:right="1540" w:bottom="280" w:left="1680" w:header="720" w:footer="720" w:gutter="0"/>
          <w:pgNumType w:fmt="decimal"/>
          <w:cols w:space="720" w:num="1"/>
        </w:sectPr>
      </w:pPr>
      <w:bookmarkStart w:id="73" w:name="_GoBack"/>
      <w:bookmarkEnd w:id="73"/>
    </w:p>
    <w:p>
      <w:pPr>
        <w:spacing w:line="600" w:lineRule="exact"/>
        <w:jc w:val="center"/>
        <w:outlineLvl w:val="0"/>
        <w:rPr>
          <w:rFonts w:hint="eastAsia" w:ascii="仿宋" w:hAnsi="仿宋" w:eastAsia="仿宋"/>
          <w:b w:val="0"/>
          <w:color w:val="auto"/>
          <w:highlight w:val="none"/>
        </w:rPr>
      </w:pPr>
      <w:r>
        <w:rPr>
          <w:rFonts w:hint="eastAsia" w:ascii="黑体" w:hAnsi="黑体" w:eastAsia="黑体"/>
          <w:color w:val="auto"/>
          <w:sz w:val="44"/>
          <w:szCs w:val="44"/>
          <w:highlight w:val="none"/>
        </w:rPr>
        <w:t>第</w:t>
      </w:r>
      <w:r>
        <w:rPr>
          <w:rStyle w:val="24"/>
          <w:rFonts w:hint="eastAsia" w:ascii="黑体" w:hAnsi="黑体" w:eastAsia="黑体"/>
          <w:b w:val="0"/>
          <w:color w:val="auto"/>
          <w:highlight w:val="none"/>
        </w:rPr>
        <w:t>五部分 附表</w:t>
      </w:r>
      <w:bookmarkEnd w:id="58"/>
      <w:bookmarkEnd w:id="59"/>
      <w:bookmarkStart w:id="60" w:name="_Toc15396619"/>
    </w:p>
    <w:p>
      <w:pPr>
        <w:pStyle w:val="4"/>
        <w:rPr>
          <w:rFonts w:ascii="仿宋" w:hAnsi="仿宋" w:eastAsia="仿宋"/>
          <w:color w:val="auto"/>
          <w:highlight w:val="none"/>
        </w:rPr>
      </w:pPr>
      <w:r>
        <w:rPr>
          <w:rFonts w:hint="eastAsia" w:ascii="仿宋" w:hAnsi="仿宋" w:eastAsia="仿宋"/>
          <w:b w:val="0"/>
          <w:color w:val="auto"/>
          <w:highlight w:val="none"/>
        </w:rPr>
        <w:t>一、收</w:t>
      </w:r>
      <w:r>
        <w:rPr>
          <w:rStyle w:val="25"/>
          <w:rFonts w:hint="eastAsia" w:ascii="仿宋" w:hAnsi="仿宋" w:eastAsia="仿宋"/>
          <w:b w:val="0"/>
          <w:bCs w:val="0"/>
          <w:color w:val="auto"/>
          <w:highlight w:val="none"/>
        </w:rPr>
        <w:t>入支出决算总表</w:t>
      </w:r>
      <w:bookmarkEnd w:id="60"/>
    </w:p>
    <w:p>
      <w:pPr>
        <w:pStyle w:val="4"/>
        <w:rPr>
          <w:rFonts w:ascii="仿宋" w:hAnsi="仿宋" w:eastAsia="仿宋"/>
          <w:color w:val="auto"/>
          <w:highlight w:val="none"/>
        </w:rPr>
      </w:pPr>
      <w:bookmarkStart w:id="61" w:name="_Toc15396620"/>
      <w:r>
        <w:rPr>
          <w:rFonts w:hint="eastAsia" w:ascii="仿宋" w:hAnsi="仿宋" w:eastAsia="仿宋"/>
          <w:b w:val="0"/>
          <w:color w:val="auto"/>
          <w:highlight w:val="none"/>
        </w:rPr>
        <w:t>二、收</w:t>
      </w:r>
      <w:r>
        <w:rPr>
          <w:rStyle w:val="25"/>
          <w:rFonts w:hint="eastAsia" w:ascii="仿宋" w:hAnsi="仿宋" w:eastAsia="仿宋"/>
          <w:b w:val="0"/>
          <w:bCs w:val="0"/>
          <w:color w:val="auto"/>
          <w:highlight w:val="none"/>
        </w:rPr>
        <w:t>入决算表</w:t>
      </w:r>
      <w:bookmarkEnd w:id="61"/>
    </w:p>
    <w:p>
      <w:pPr>
        <w:pStyle w:val="4"/>
        <w:rPr>
          <w:rFonts w:ascii="仿宋" w:hAnsi="仿宋" w:eastAsia="仿宋"/>
          <w:color w:val="auto"/>
          <w:highlight w:val="none"/>
        </w:rPr>
      </w:pPr>
      <w:bookmarkStart w:id="62" w:name="_Toc15396621"/>
      <w:r>
        <w:rPr>
          <w:rStyle w:val="25"/>
          <w:rFonts w:hint="eastAsia" w:ascii="仿宋" w:hAnsi="仿宋" w:eastAsia="仿宋"/>
          <w:b w:val="0"/>
          <w:bCs w:val="0"/>
          <w:color w:val="auto"/>
          <w:highlight w:val="none"/>
        </w:rPr>
        <w:t>三、</w:t>
      </w:r>
      <w:r>
        <w:rPr>
          <w:rFonts w:hint="eastAsia" w:ascii="仿宋" w:hAnsi="仿宋" w:eastAsia="仿宋"/>
          <w:b w:val="0"/>
          <w:color w:val="auto"/>
          <w:highlight w:val="none"/>
        </w:rPr>
        <w:t>支</w:t>
      </w:r>
      <w:r>
        <w:rPr>
          <w:rStyle w:val="25"/>
          <w:rFonts w:hint="eastAsia" w:ascii="仿宋" w:hAnsi="仿宋" w:eastAsia="仿宋"/>
          <w:b w:val="0"/>
          <w:bCs w:val="0"/>
          <w:color w:val="auto"/>
          <w:highlight w:val="none"/>
        </w:rPr>
        <w:t>出决算表</w:t>
      </w:r>
      <w:bookmarkEnd w:id="62"/>
    </w:p>
    <w:p>
      <w:pPr>
        <w:pStyle w:val="4"/>
        <w:rPr>
          <w:rFonts w:ascii="仿宋" w:hAnsi="仿宋" w:eastAsia="仿宋"/>
          <w:b w:val="0"/>
          <w:color w:val="auto"/>
          <w:highlight w:val="none"/>
        </w:rPr>
      </w:pPr>
      <w:bookmarkStart w:id="63" w:name="_Toc15396622"/>
      <w:r>
        <w:rPr>
          <w:rStyle w:val="25"/>
          <w:rFonts w:hint="eastAsia" w:ascii="仿宋" w:hAnsi="仿宋" w:eastAsia="仿宋"/>
          <w:b w:val="0"/>
          <w:bCs w:val="0"/>
          <w:color w:val="auto"/>
          <w:highlight w:val="none"/>
        </w:rPr>
        <w:t>四、</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政拨款收入支出决算总表</w:t>
      </w:r>
      <w:bookmarkEnd w:id="63"/>
    </w:p>
    <w:p>
      <w:pPr>
        <w:pStyle w:val="4"/>
        <w:rPr>
          <w:rStyle w:val="25"/>
          <w:rFonts w:ascii="仿宋" w:hAnsi="仿宋" w:eastAsia="仿宋"/>
          <w:b w:val="0"/>
          <w:bCs w:val="0"/>
          <w:color w:val="auto"/>
          <w:highlight w:val="none"/>
        </w:rPr>
      </w:pPr>
      <w:bookmarkStart w:id="64" w:name="_Toc15396623"/>
      <w:r>
        <w:rPr>
          <w:rStyle w:val="25"/>
          <w:rFonts w:hint="eastAsia" w:ascii="仿宋" w:hAnsi="仿宋" w:eastAsia="仿宋"/>
          <w:b w:val="0"/>
          <w:bCs w:val="0"/>
          <w:color w:val="auto"/>
          <w:highlight w:val="none"/>
        </w:rPr>
        <w:t>五、</w:t>
      </w:r>
      <w:r>
        <w:rPr>
          <w:rFonts w:hint="eastAsia" w:ascii="仿宋" w:hAnsi="仿宋" w:eastAsia="仿宋"/>
          <w:b w:val="0"/>
          <w:color w:val="auto"/>
          <w:highlight w:val="none"/>
        </w:rPr>
        <w:t>财</w:t>
      </w:r>
      <w:r>
        <w:rPr>
          <w:rStyle w:val="25"/>
          <w:rFonts w:hint="eastAsia" w:ascii="仿宋" w:hAnsi="仿宋" w:eastAsia="仿宋"/>
          <w:b w:val="0"/>
          <w:bCs w:val="0"/>
          <w:color w:val="auto"/>
          <w:highlight w:val="none"/>
        </w:rPr>
        <w:t>政拨款支出决算明细表</w:t>
      </w:r>
      <w:bookmarkEnd w:id="64"/>
      <w:bookmarkStart w:id="65" w:name="_Toc15396624"/>
    </w:p>
    <w:p>
      <w:pPr>
        <w:pStyle w:val="4"/>
        <w:rPr>
          <w:rFonts w:ascii="仿宋" w:hAnsi="仿宋" w:eastAsia="仿宋"/>
          <w:color w:val="auto"/>
          <w:highlight w:val="none"/>
        </w:rPr>
      </w:pPr>
      <w:r>
        <w:rPr>
          <w:rStyle w:val="25"/>
          <w:rFonts w:hint="eastAsia" w:ascii="仿宋" w:hAnsi="仿宋" w:eastAsia="仿宋"/>
          <w:b w:val="0"/>
          <w:bCs w:val="0"/>
          <w:color w:val="auto"/>
          <w:highlight w:val="none"/>
        </w:rPr>
        <w:t>六、</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般公共预算财政拨款支出决算表</w:t>
      </w:r>
      <w:bookmarkEnd w:id="65"/>
    </w:p>
    <w:p>
      <w:pPr>
        <w:pStyle w:val="4"/>
        <w:rPr>
          <w:rFonts w:ascii="仿宋" w:hAnsi="仿宋" w:eastAsia="仿宋"/>
          <w:color w:val="auto"/>
          <w:highlight w:val="none"/>
        </w:rPr>
      </w:pPr>
      <w:bookmarkStart w:id="66" w:name="_Toc15396625"/>
      <w:r>
        <w:rPr>
          <w:rStyle w:val="25"/>
          <w:rFonts w:hint="eastAsia" w:ascii="仿宋" w:hAnsi="仿宋" w:eastAsia="仿宋"/>
          <w:b w:val="0"/>
          <w:bCs w:val="0"/>
          <w:color w:val="auto"/>
          <w:highlight w:val="none"/>
        </w:rPr>
        <w:t>七、</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般公共预算财政拨款支出决算明细表</w:t>
      </w:r>
      <w:bookmarkEnd w:id="66"/>
    </w:p>
    <w:p>
      <w:pPr>
        <w:pStyle w:val="4"/>
        <w:rPr>
          <w:rFonts w:ascii="仿宋" w:hAnsi="仿宋" w:eastAsia="仿宋"/>
          <w:color w:val="auto"/>
          <w:highlight w:val="none"/>
        </w:rPr>
      </w:pPr>
      <w:bookmarkStart w:id="67" w:name="_Toc15396626"/>
      <w:r>
        <w:rPr>
          <w:rStyle w:val="25"/>
          <w:rFonts w:hint="eastAsia" w:ascii="仿宋" w:hAnsi="仿宋" w:eastAsia="仿宋"/>
          <w:b w:val="0"/>
          <w:bCs w:val="0"/>
          <w:color w:val="auto"/>
          <w:highlight w:val="none"/>
        </w:rPr>
        <w:t>八、</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般公共预算财政拨款基本支出决算表</w:t>
      </w:r>
      <w:bookmarkEnd w:id="67"/>
    </w:p>
    <w:p>
      <w:pPr>
        <w:pStyle w:val="4"/>
        <w:rPr>
          <w:rFonts w:ascii="仿宋" w:hAnsi="仿宋" w:eastAsia="仿宋"/>
          <w:color w:val="auto"/>
          <w:highlight w:val="none"/>
        </w:rPr>
      </w:pPr>
      <w:bookmarkStart w:id="68" w:name="_Toc15396627"/>
      <w:r>
        <w:rPr>
          <w:rStyle w:val="25"/>
          <w:rFonts w:hint="eastAsia" w:ascii="仿宋" w:hAnsi="仿宋" w:eastAsia="仿宋"/>
          <w:b w:val="0"/>
          <w:bCs w:val="0"/>
          <w:color w:val="auto"/>
          <w:highlight w:val="none"/>
        </w:rPr>
        <w:t>九、</w:t>
      </w:r>
      <w:r>
        <w:rPr>
          <w:rFonts w:hint="eastAsia" w:ascii="仿宋" w:hAnsi="仿宋" w:eastAsia="仿宋"/>
          <w:b w:val="0"/>
          <w:color w:val="auto"/>
          <w:highlight w:val="none"/>
        </w:rPr>
        <w:t>一</w:t>
      </w:r>
      <w:r>
        <w:rPr>
          <w:rStyle w:val="25"/>
          <w:rFonts w:hint="eastAsia" w:ascii="仿宋" w:hAnsi="仿宋" w:eastAsia="仿宋"/>
          <w:b w:val="0"/>
          <w:bCs w:val="0"/>
          <w:color w:val="auto"/>
          <w:highlight w:val="none"/>
        </w:rPr>
        <w:t>般公共预算财政拨款项目支出决算表</w:t>
      </w:r>
      <w:bookmarkEnd w:id="68"/>
    </w:p>
    <w:p>
      <w:pPr>
        <w:pStyle w:val="4"/>
        <w:rPr>
          <w:rFonts w:ascii="仿宋" w:hAnsi="仿宋" w:eastAsia="仿宋"/>
          <w:color w:val="auto"/>
          <w:highlight w:val="none"/>
        </w:rPr>
      </w:pPr>
      <w:bookmarkStart w:id="69" w:name="_Toc15396628"/>
      <w:r>
        <w:rPr>
          <w:rStyle w:val="25"/>
          <w:rFonts w:hint="eastAsia" w:ascii="仿宋" w:hAnsi="仿宋" w:eastAsia="仿宋"/>
          <w:b w:val="0"/>
          <w:bCs w:val="0"/>
          <w:color w:val="auto"/>
          <w:highlight w:val="none"/>
        </w:rPr>
        <w:t>十、</w:t>
      </w:r>
      <w:bookmarkEnd w:id="69"/>
      <w:r>
        <w:rPr>
          <w:rFonts w:hint="eastAsia" w:ascii="仿宋" w:hAnsi="仿宋" w:eastAsia="仿宋"/>
          <w:b w:val="0"/>
          <w:color w:val="auto"/>
          <w:highlight w:val="none"/>
        </w:rPr>
        <w:t>政</w:t>
      </w:r>
      <w:r>
        <w:rPr>
          <w:rStyle w:val="25"/>
          <w:rFonts w:hint="eastAsia" w:ascii="仿宋" w:hAnsi="仿宋" w:eastAsia="仿宋"/>
          <w:b w:val="0"/>
          <w:bCs w:val="0"/>
          <w:color w:val="auto"/>
          <w:highlight w:val="none"/>
        </w:rPr>
        <w:t>府性基金预算财政拨款收入支出决算表</w:t>
      </w:r>
    </w:p>
    <w:p>
      <w:pPr>
        <w:pStyle w:val="4"/>
        <w:rPr>
          <w:rFonts w:ascii="仿宋" w:hAnsi="仿宋" w:eastAsia="仿宋"/>
          <w:color w:val="auto"/>
          <w:highlight w:val="none"/>
        </w:rPr>
      </w:pPr>
      <w:bookmarkStart w:id="70" w:name="_Toc15396629"/>
      <w:r>
        <w:rPr>
          <w:rStyle w:val="25"/>
          <w:rFonts w:hint="eastAsia" w:ascii="仿宋" w:hAnsi="仿宋" w:eastAsia="仿宋"/>
          <w:b w:val="0"/>
          <w:bCs w:val="0"/>
          <w:color w:val="auto"/>
          <w:highlight w:val="none"/>
        </w:rPr>
        <w:t>十一、</w:t>
      </w:r>
      <w:bookmarkEnd w:id="70"/>
      <w:r>
        <w:rPr>
          <w:rFonts w:hint="eastAsia" w:ascii="仿宋" w:hAnsi="仿宋" w:eastAsia="仿宋"/>
          <w:b w:val="0"/>
          <w:color w:val="auto"/>
          <w:highlight w:val="none"/>
        </w:rPr>
        <w:t>国</w:t>
      </w:r>
      <w:r>
        <w:rPr>
          <w:rStyle w:val="25"/>
          <w:rFonts w:hint="eastAsia" w:ascii="仿宋" w:hAnsi="仿宋" w:eastAsia="仿宋"/>
          <w:b w:val="0"/>
          <w:bCs w:val="0"/>
          <w:color w:val="auto"/>
          <w:highlight w:val="none"/>
        </w:rPr>
        <w:t>有资本经营预算</w:t>
      </w:r>
      <w:r>
        <w:rPr>
          <w:rStyle w:val="25"/>
          <w:rFonts w:hint="eastAsia" w:ascii="仿宋" w:hAnsi="仿宋" w:eastAsia="仿宋"/>
          <w:b w:val="0"/>
          <w:bCs w:val="0"/>
          <w:color w:val="auto"/>
          <w:highlight w:val="none"/>
          <w:lang w:eastAsia="zh-CN"/>
        </w:rPr>
        <w:t>财政拨款收入</w:t>
      </w:r>
      <w:r>
        <w:rPr>
          <w:rStyle w:val="25"/>
          <w:rFonts w:hint="eastAsia" w:ascii="仿宋" w:hAnsi="仿宋" w:eastAsia="仿宋"/>
          <w:b w:val="0"/>
          <w:bCs w:val="0"/>
          <w:color w:val="auto"/>
          <w:highlight w:val="none"/>
        </w:rPr>
        <w:t>支出决算表</w:t>
      </w:r>
    </w:p>
    <w:p>
      <w:pPr>
        <w:pStyle w:val="4"/>
        <w:rPr>
          <w:rFonts w:ascii="仿宋" w:hAnsi="仿宋" w:eastAsia="仿宋"/>
          <w:color w:val="auto"/>
          <w:highlight w:val="none"/>
        </w:rPr>
      </w:pPr>
      <w:bookmarkStart w:id="71" w:name="_Toc15396630"/>
      <w:r>
        <w:rPr>
          <w:rStyle w:val="25"/>
          <w:rFonts w:hint="eastAsia" w:ascii="仿宋" w:hAnsi="仿宋" w:eastAsia="仿宋"/>
          <w:b w:val="0"/>
          <w:bCs w:val="0"/>
          <w:color w:val="auto"/>
          <w:highlight w:val="none"/>
        </w:rPr>
        <w:t>十二、</w:t>
      </w:r>
      <w:bookmarkEnd w:id="71"/>
      <w:r>
        <w:rPr>
          <w:rStyle w:val="25"/>
          <w:rFonts w:hint="eastAsia" w:ascii="仿宋" w:hAnsi="仿宋" w:eastAsia="仿宋"/>
          <w:b w:val="0"/>
          <w:bCs w:val="0"/>
          <w:color w:val="auto"/>
          <w:highlight w:val="none"/>
          <w:lang w:eastAsia="zh-CN"/>
        </w:rPr>
        <w:t>国有资本经营预算财政拨款支出决算表</w:t>
      </w:r>
    </w:p>
    <w:p>
      <w:pPr>
        <w:pStyle w:val="4"/>
        <w:rPr>
          <w:rFonts w:hint="eastAsia" w:eastAsia="仿宋"/>
          <w:color w:val="auto"/>
          <w:highlight w:val="none"/>
          <w:lang w:eastAsia="zh-CN"/>
        </w:rPr>
      </w:pPr>
      <w:bookmarkStart w:id="72" w:name="_Toc15396631"/>
      <w:r>
        <w:rPr>
          <w:rStyle w:val="25"/>
          <w:rFonts w:hint="eastAsia" w:ascii="仿宋" w:hAnsi="仿宋" w:eastAsia="仿宋"/>
          <w:b w:val="0"/>
          <w:bCs w:val="0"/>
          <w:color w:val="auto"/>
          <w:highlight w:val="none"/>
        </w:rPr>
        <w:t>十三、</w:t>
      </w:r>
      <w:bookmarkEnd w:id="72"/>
      <w:r>
        <w:rPr>
          <w:rStyle w:val="25"/>
          <w:rFonts w:hint="eastAsia" w:ascii="仿宋" w:hAnsi="仿宋" w:eastAsia="仿宋"/>
          <w:b w:val="0"/>
          <w:bCs w:val="0"/>
          <w:color w:val="auto"/>
          <w:highlight w:val="none"/>
          <w:lang w:eastAsia="zh-CN"/>
        </w:rPr>
        <w:t>财政拨款“三公”经费支出决算表</w:t>
      </w:r>
    </w:p>
    <w:sectPr>
      <w:footerReference r:id="rId11" w:type="first"/>
      <w:footerReference r:id="rId10" w:type="default"/>
      <w:pgSz w:w="11906" w:h="16838"/>
      <w:pgMar w:top="1440" w:right="1800" w:bottom="1440" w:left="1800" w:header="851" w:footer="992" w:gutter="0"/>
      <w:pgNumType w:fmt="decimal"/>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roman"/>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ZTTZk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5lNNmTICAABjBAAADgAAAAAAAAABACAAAAAfAQAAZHJzL2Uyb0RvYy54bWxQSwUG&#10;AAAAAAYABgBZAQAAww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rPr>
        <w:rFonts w:hint="eastAsia"/>
      </w:rPr>
    </w:lvl>
  </w:abstractNum>
  <w:abstractNum w:abstractNumId="1">
    <w:nsid w:val="E2FA047D"/>
    <w:multiLevelType w:val="singleLevel"/>
    <w:tmpl w:val="E2FA047D"/>
    <w:lvl w:ilvl="0" w:tentative="0">
      <w:start w:val="3"/>
      <w:numFmt w:val="chineseCounting"/>
      <w:suff w:val="space"/>
      <w:lvlText w:val="第%1部分"/>
      <w:lvlJc w:val="left"/>
      <w:rPr>
        <w:rFonts w:hint="eastAsia" w:ascii="黑体" w:hAnsi="黑体" w:eastAsia="黑体" w:cs="黑体"/>
        <w:sz w:val="44"/>
        <w:szCs w:val="44"/>
      </w:rPr>
    </w:lvl>
  </w:abstractNum>
  <w:abstractNum w:abstractNumId="2">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3">
    <w:nsid w:val="3818A09A"/>
    <w:multiLevelType w:val="singleLevel"/>
    <w:tmpl w:val="3818A09A"/>
    <w:lvl w:ilvl="0" w:tentative="0">
      <w:start w:val="1"/>
      <w:numFmt w:val="chineseCounting"/>
      <w:suff w:val="nothing"/>
      <w:lvlText w:val="%1、"/>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mVjZTBmYmZhMjYwMTI1OWZhNWY2NjQ0YTYyMDNmYTAifQ=="/>
  </w:docVars>
  <w:rsids>
    <w:rsidRoot w:val="00F1361C"/>
    <w:rsid w:val="000222C6"/>
    <w:rsid w:val="0002549F"/>
    <w:rsid w:val="000468DB"/>
    <w:rsid w:val="0006487A"/>
    <w:rsid w:val="00065F8F"/>
    <w:rsid w:val="00070A43"/>
    <w:rsid w:val="000768F2"/>
    <w:rsid w:val="0009184B"/>
    <w:rsid w:val="00094236"/>
    <w:rsid w:val="0009593C"/>
    <w:rsid w:val="00097322"/>
    <w:rsid w:val="000A6A92"/>
    <w:rsid w:val="000B047F"/>
    <w:rsid w:val="000B5923"/>
    <w:rsid w:val="000B5A48"/>
    <w:rsid w:val="000B6FF3"/>
    <w:rsid w:val="000C3467"/>
    <w:rsid w:val="000C3CA6"/>
    <w:rsid w:val="000D1267"/>
    <w:rsid w:val="000D1D50"/>
    <w:rsid w:val="000D5782"/>
    <w:rsid w:val="000E6613"/>
    <w:rsid w:val="000E7119"/>
    <w:rsid w:val="00114E9B"/>
    <w:rsid w:val="00142216"/>
    <w:rsid w:val="00144D6A"/>
    <w:rsid w:val="0014729F"/>
    <w:rsid w:val="00157BAB"/>
    <w:rsid w:val="001654D1"/>
    <w:rsid w:val="00174518"/>
    <w:rsid w:val="0018106D"/>
    <w:rsid w:val="001877A7"/>
    <w:rsid w:val="00191536"/>
    <w:rsid w:val="00196687"/>
    <w:rsid w:val="001C0962"/>
    <w:rsid w:val="001D7531"/>
    <w:rsid w:val="001E737D"/>
    <w:rsid w:val="001F0592"/>
    <w:rsid w:val="001F7506"/>
    <w:rsid w:val="002006CD"/>
    <w:rsid w:val="00202B36"/>
    <w:rsid w:val="00204B7A"/>
    <w:rsid w:val="00204CDE"/>
    <w:rsid w:val="0021101A"/>
    <w:rsid w:val="00220536"/>
    <w:rsid w:val="00235629"/>
    <w:rsid w:val="00260C38"/>
    <w:rsid w:val="002616C0"/>
    <w:rsid w:val="00265372"/>
    <w:rsid w:val="002662AA"/>
    <w:rsid w:val="00280496"/>
    <w:rsid w:val="00294DC9"/>
    <w:rsid w:val="00295495"/>
    <w:rsid w:val="002A31DE"/>
    <w:rsid w:val="002B2613"/>
    <w:rsid w:val="002D6D05"/>
    <w:rsid w:val="002F1818"/>
    <w:rsid w:val="002F567B"/>
    <w:rsid w:val="003216A9"/>
    <w:rsid w:val="00335A74"/>
    <w:rsid w:val="0036561B"/>
    <w:rsid w:val="0037013F"/>
    <w:rsid w:val="00380C92"/>
    <w:rsid w:val="003A484F"/>
    <w:rsid w:val="003A4883"/>
    <w:rsid w:val="003B0BE0"/>
    <w:rsid w:val="003B0C1B"/>
    <w:rsid w:val="003B688C"/>
    <w:rsid w:val="003C0291"/>
    <w:rsid w:val="003C39AE"/>
    <w:rsid w:val="003C7B60"/>
    <w:rsid w:val="003D0C0F"/>
    <w:rsid w:val="003D1FB2"/>
    <w:rsid w:val="003D66DA"/>
    <w:rsid w:val="003E1310"/>
    <w:rsid w:val="003E6F55"/>
    <w:rsid w:val="00406254"/>
    <w:rsid w:val="004223DE"/>
    <w:rsid w:val="00434489"/>
    <w:rsid w:val="00437085"/>
    <w:rsid w:val="00443880"/>
    <w:rsid w:val="004464F4"/>
    <w:rsid w:val="00471401"/>
    <w:rsid w:val="00473F31"/>
    <w:rsid w:val="0048263A"/>
    <w:rsid w:val="00487E5D"/>
    <w:rsid w:val="004A711F"/>
    <w:rsid w:val="004B199D"/>
    <w:rsid w:val="004B4690"/>
    <w:rsid w:val="004E0A2D"/>
    <w:rsid w:val="004E206B"/>
    <w:rsid w:val="004E6DF7"/>
    <w:rsid w:val="004F0FBD"/>
    <w:rsid w:val="00505A47"/>
    <w:rsid w:val="00512FDA"/>
    <w:rsid w:val="00520DA0"/>
    <w:rsid w:val="005664BB"/>
    <w:rsid w:val="00566FFA"/>
    <w:rsid w:val="0057481D"/>
    <w:rsid w:val="0058486E"/>
    <w:rsid w:val="00585B33"/>
    <w:rsid w:val="0059014D"/>
    <w:rsid w:val="005B5C64"/>
    <w:rsid w:val="005C5337"/>
    <w:rsid w:val="005C6BD0"/>
    <w:rsid w:val="005D1C8B"/>
    <w:rsid w:val="005D468D"/>
    <w:rsid w:val="005D5CED"/>
    <w:rsid w:val="005F1A4C"/>
    <w:rsid w:val="00605688"/>
    <w:rsid w:val="006070AF"/>
    <w:rsid w:val="00607E6C"/>
    <w:rsid w:val="006101B1"/>
    <w:rsid w:val="00614E44"/>
    <w:rsid w:val="0062270A"/>
    <w:rsid w:val="00622830"/>
    <w:rsid w:val="00623DA0"/>
    <w:rsid w:val="00630AEF"/>
    <w:rsid w:val="006325F8"/>
    <w:rsid w:val="00633463"/>
    <w:rsid w:val="00634C9A"/>
    <w:rsid w:val="006440E4"/>
    <w:rsid w:val="0066343B"/>
    <w:rsid w:val="00664777"/>
    <w:rsid w:val="006748A4"/>
    <w:rsid w:val="00681A31"/>
    <w:rsid w:val="00683E73"/>
    <w:rsid w:val="006A3141"/>
    <w:rsid w:val="006A5E34"/>
    <w:rsid w:val="006B2422"/>
    <w:rsid w:val="006B2B9A"/>
    <w:rsid w:val="006C1937"/>
    <w:rsid w:val="006F020C"/>
    <w:rsid w:val="007127B7"/>
    <w:rsid w:val="0071798E"/>
    <w:rsid w:val="007416B6"/>
    <w:rsid w:val="00746F48"/>
    <w:rsid w:val="0075404D"/>
    <w:rsid w:val="0076182A"/>
    <w:rsid w:val="00767B7E"/>
    <w:rsid w:val="007770C3"/>
    <w:rsid w:val="00784D24"/>
    <w:rsid w:val="00785FBA"/>
    <w:rsid w:val="00786E4A"/>
    <w:rsid w:val="007875EB"/>
    <w:rsid w:val="0079426B"/>
    <w:rsid w:val="007D1682"/>
    <w:rsid w:val="007D312A"/>
    <w:rsid w:val="007D3F19"/>
    <w:rsid w:val="007E23B0"/>
    <w:rsid w:val="007E23E5"/>
    <w:rsid w:val="007F1991"/>
    <w:rsid w:val="007F2C2F"/>
    <w:rsid w:val="007F55FC"/>
    <w:rsid w:val="007F5665"/>
    <w:rsid w:val="00800112"/>
    <w:rsid w:val="00813348"/>
    <w:rsid w:val="008253BB"/>
    <w:rsid w:val="0083706E"/>
    <w:rsid w:val="008408F6"/>
    <w:rsid w:val="008423A5"/>
    <w:rsid w:val="00850625"/>
    <w:rsid w:val="00853718"/>
    <w:rsid w:val="00855221"/>
    <w:rsid w:val="00860645"/>
    <w:rsid w:val="00871F71"/>
    <w:rsid w:val="00872FD8"/>
    <w:rsid w:val="00885AF4"/>
    <w:rsid w:val="008939CD"/>
    <w:rsid w:val="008B768C"/>
    <w:rsid w:val="008C4DB1"/>
    <w:rsid w:val="008C4EAF"/>
    <w:rsid w:val="008C5176"/>
    <w:rsid w:val="008C7FD0"/>
    <w:rsid w:val="008E1DE7"/>
    <w:rsid w:val="008E5587"/>
    <w:rsid w:val="008E707C"/>
    <w:rsid w:val="00900B08"/>
    <w:rsid w:val="00902155"/>
    <w:rsid w:val="00902FA3"/>
    <w:rsid w:val="00923564"/>
    <w:rsid w:val="0092392E"/>
    <w:rsid w:val="009315F9"/>
    <w:rsid w:val="00933499"/>
    <w:rsid w:val="00935C98"/>
    <w:rsid w:val="00946945"/>
    <w:rsid w:val="00951248"/>
    <w:rsid w:val="0095152F"/>
    <w:rsid w:val="00954C49"/>
    <w:rsid w:val="00955E37"/>
    <w:rsid w:val="0097099F"/>
    <w:rsid w:val="00971997"/>
    <w:rsid w:val="00971FFC"/>
    <w:rsid w:val="0098660A"/>
    <w:rsid w:val="009931C3"/>
    <w:rsid w:val="009B2C43"/>
    <w:rsid w:val="009B4EAE"/>
    <w:rsid w:val="009B7573"/>
    <w:rsid w:val="009C22F4"/>
    <w:rsid w:val="009C2A4B"/>
    <w:rsid w:val="009C2E98"/>
    <w:rsid w:val="009D3447"/>
    <w:rsid w:val="009D4711"/>
    <w:rsid w:val="009F1185"/>
    <w:rsid w:val="009F18CD"/>
    <w:rsid w:val="009F2A13"/>
    <w:rsid w:val="009F7527"/>
    <w:rsid w:val="00A04EB0"/>
    <w:rsid w:val="00A13CC1"/>
    <w:rsid w:val="00A16847"/>
    <w:rsid w:val="00A237D8"/>
    <w:rsid w:val="00A268C4"/>
    <w:rsid w:val="00A307CD"/>
    <w:rsid w:val="00A331C8"/>
    <w:rsid w:val="00A40A00"/>
    <w:rsid w:val="00A4142F"/>
    <w:rsid w:val="00A422EB"/>
    <w:rsid w:val="00A45BB7"/>
    <w:rsid w:val="00A56DF2"/>
    <w:rsid w:val="00A56E6E"/>
    <w:rsid w:val="00A67AB5"/>
    <w:rsid w:val="00A733B2"/>
    <w:rsid w:val="00A741C2"/>
    <w:rsid w:val="00A91760"/>
    <w:rsid w:val="00A93B00"/>
    <w:rsid w:val="00A93C21"/>
    <w:rsid w:val="00AB64C9"/>
    <w:rsid w:val="00AC3C6A"/>
    <w:rsid w:val="00AD5620"/>
    <w:rsid w:val="00AD656B"/>
    <w:rsid w:val="00AD7C1B"/>
    <w:rsid w:val="00AE16BA"/>
    <w:rsid w:val="00AE1EBE"/>
    <w:rsid w:val="00B03C9D"/>
    <w:rsid w:val="00B060AE"/>
    <w:rsid w:val="00B10517"/>
    <w:rsid w:val="00B14E76"/>
    <w:rsid w:val="00B161B8"/>
    <w:rsid w:val="00B2048C"/>
    <w:rsid w:val="00B310B9"/>
    <w:rsid w:val="00B35F3F"/>
    <w:rsid w:val="00B36CBB"/>
    <w:rsid w:val="00B425E0"/>
    <w:rsid w:val="00B440AA"/>
    <w:rsid w:val="00B44B70"/>
    <w:rsid w:val="00B53C56"/>
    <w:rsid w:val="00B57DAF"/>
    <w:rsid w:val="00B77EA6"/>
    <w:rsid w:val="00B81598"/>
    <w:rsid w:val="00B841F1"/>
    <w:rsid w:val="00B944D6"/>
    <w:rsid w:val="00BB4DF0"/>
    <w:rsid w:val="00BC289F"/>
    <w:rsid w:val="00BC2D50"/>
    <w:rsid w:val="00BC5361"/>
    <w:rsid w:val="00BC5460"/>
    <w:rsid w:val="00BC6B50"/>
    <w:rsid w:val="00BD0E25"/>
    <w:rsid w:val="00BF5BD6"/>
    <w:rsid w:val="00C03E31"/>
    <w:rsid w:val="00C33E72"/>
    <w:rsid w:val="00C354B2"/>
    <w:rsid w:val="00C35554"/>
    <w:rsid w:val="00C42709"/>
    <w:rsid w:val="00C533CC"/>
    <w:rsid w:val="00C5751C"/>
    <w:rsid w:val="00C61BFC"/>
    <w:rsid w:val="00C62B85"/>
    <w:rsid w:val="00C65438"/>
    <w:rsid w:val="00C87FD8"/>
    <w:rsid w:val="00C91381"/>
    <w:rsid w:val="00C91CBB"/>
    <w:rsid w:val="00CB4E70"/>
    <w:rsid w:val="00CC09B6"/>
    <w:rsid w:val="00CC666F"/>
    <w:rsid w:val="00CD1E3F"/>
    <w:rsid w:val="00CE44F6"/>
    <w:rsid w:val="00CE49DA"/>
    <w:rsid w:val="00CE7B61"/>
    <w:rsid w:val="00D00095"/>
    <w:rsid w:val="00D114F0"/>
    <w:rsid w:val="00D20620"/>
    <w:rsid w:val="00D254F7"/>
    <w:rsid w:val="00D26091"/>
    <w:rsid w:val="00D2685C"/>
    <w:rsid w:val="00D34E7C"/>
    <w:rsid w:val="00D35489"/>
    <w:rsid w:val="00D36AFE"/>
    <w:rsid w:val="00D51276"/>
    <w:rsid w:val="00D7035F"/>
    <w:rsid w:val="00DA634F"/>
    <w:rsid w:val="00DA65AC"/>
    <w:rsid w:val="00DB1913"/>
    <w:rsid w:val="00DC410D"/>
    <w:rsid w:val="00DC5A81"/>
    <w:rsid w:val="00DC68CA"/>
    <w:rsid w:val="00DC7CBA"/>
    <w:rsid w:val="00DD73B7"/>
    <w:rsid w:val="00DF28BC"/>
    <w:rsid w:val="00DF34B9"/>
    <w:rsid w:val="00E01053"/>
    <w:rsid w:val="00E07ACF"/>
    <w:rsid w:val="00E331A1"/>
    <w:rsid w:val="00E33202"/>
    <w:rsid w:val="00E336A9"/>
    <w:rsid w:val="00E472B1"/>
    <w:rsid w:val="00E50624"/>
    <w:rsid w:val="00E568DF"/>
    <w:rsid w:val="00E64269"/>
    <w:rsid w:val="00E82267"/>
    <w:rsid w:val="00E853CE"/>
    <w:rsid w:val="00E867B6"/>
    <w:rsid w:val="00EA010F"/>
    <w:rsid w:val="00ED1B63"/>
    <w:rsid w:val="00ED3C1F"/>
    <w:rsid w:val="00ED4085"/>
    <w:rsid w:val="00ED420E"/>
    <w:rsid w:val="00ED6FBE"/>
    <w:rsid w:val="00EE2F57"/>
    <w:rsid w:val="00EF4C34"/>
    <w:rsid w:val="00EF77C6"/>
    <w:rsid w:val="00F05438"/>
    <w:rsid w:val="00F1361C"/>
    <w:rsid w:val="00F156F0"/>
    <w:rsid w:val="00F160C7"/>
    <w:rsid w:val="00F2408F"/>
    <w:rsid w:val="00F240E9"/>
    <w:rsid w:val="00F36D8F"/>
    <w:rsid w:val="00F417B1"/>
    <w:rsid w:val="00F45853"/>
    <w:rsid w:val="00F602DF"/>
    <w:rsid w:val="00F754A1"/>
    <w:rsid w:val="00F81FD9"/>
    <w:rsid w:val="00F841AA"/>
    <w:rsid w:val="00F84A94"/>
    <w:rsid w:val="00F87E96"/>
    <w:rsid w:val="00FA23E8"/>
    <w:rsid w:val="00FD3CC1"/>
    <w:rsid w:val="00FF1E02"/>
    <w:rsid w:val="00FF30B4"/>
    <w:rsid w:val="028C6EBF"/>
    <w:rsid w:val="05131707"/>
    <w:rsid w:val="053A62B5"/>
    <w:rsid w:val="065668D5"/>
    <w:rsid w:val="0A2032A3"/>
    <w:rsid w:val="0AE620BB"/>
    <w:rsid w:val="0B8A37D8"/>
    <w:rsid w:val="0C443D43"/>
    <w:rsid w:val="0E224B6C"/>
    <w:rsid w:val="10C055FF"/>
    <w:rsid w:val="118107EC"/>
    <w:rsid w:val="11DD6519"/>
    <w:rsid w:val="13005985"/>
    <w:rsid w:val="13CB3D4A"/>
    <w:rsid w:val="14270D58"/>
    <w:rsid w:val="152424AE"/>
    <w:rsid w:val="15324EEB"/>
    <w:rsid w:val="16BB723D"/>
    <w:rsid w:val="17EE2E8F"/>
    <w:rsid w:val="17FE5EF9"/>
    <w:rsid w:val="18015F3F"/>
    <w:rsid w:val="1BCE1AE7"/>
    <w:rsid w:val="1BE8440E"/>
    <w:rsid w:val="1C1B6A4E"/>
    <w:rsid w:val="1D155CEE"/>
    <w:rsid w:val="1EB5094F"/>
    <w:rsid w:val="20945E56"/>
    <w:rsid w:val="20F57F95"/>
    <w:rsid w:val="21443230"/>
    <w:rsid w:val="240371BF"/>
    <w:rsid w:val="25711CC6"/>
    <w:rsid w:val="25C741E6"/>
    <w:rsid w:val="27842671"/>
    <w:rsid w:val="278754EE"/>
    <w:rsid w:val="29FD04D3"/>
    <w:rsid w:val="2ABE7A3E"/>
    <w:rsid w:val="2CA234A8"/>
    <w:rsid w:val="2CDD00CB"/>
    <w:rsid w:val="2DDD7FB8"/>
    <w:rsid w:val="2E1C6DC4"/>
    <w:rsid w:val="2E955BA2"/>
    <w:rsid w:val="2EFA178C"/>
    <w:rsid w:val="30A756F1"/>
    <w:rsid w:val="30B46D73"/>
    <w:rsid w:val="317E24A7"/>
    <w:rsid w:val="319F7F4E"/>
    <w:rsid w:val="31A62227"/>
    <w:rsid w:val="373D070E"/>
    <w:rsid w:val="383D272C"/>
    <w:rsid w:val="39AE70AB"/>
    <w:rsid w:val="3AB900F6"/>
    <w:rsid w:val="3C0C0783"/>
    <w:rsid w:val="3D3B7ECA"/>
    <w:rsid w:val="3E917523"/>
    <w:rsid w:val="3F9F3A96"/>
    <w:rsid w:val="4142704D"/>
    <w:rsid w:val="48BF60AB"/>
    <w:rsid w:val="493C27E9"/>
    <w:rsid w:val="496F39ED"/>
    <w:rsid w:val="49FF41D3"/>
    <w:rsid w:val="4BE068DB"/>
    <w:rsid w:val="4BF6002B"/>
    <w:rsid w:val="4CF019FF"/>
    <w:rsid w:val="4E772738"/>
    <w:rsid w:val="4ECE2238"/>
    <w:rsid w:val="4F3D7037"/>
    <w:rsid w:val="4FC50AD3"/>
    <w:rsid w:val="4FE70AE5"/>
    <w:rsid w:val="502A6D67"/>
    <w:rsid w:val="51DB4B86"/>
    <w:rsid w:val="528F6508"/>
    <w:rsid w:val="537D529F"/>
    <w:rsid w:val="55333C3E"/>
    <w:rsid w:val="55AF53ED"/>
    <w:rsid w:val="56E524FD"/>
    <w:rsid w:val="59900C4D"/>
    <w:rsid w:val="5A36306F"/>
    <w:rsid w:val="5F2A370D"/>
    <w:rsid w:val="64CA39A1"/>
    <w:rsid w:val="650F06CB"/>
    <w:rsid w:val="65C3369A"/>
    <w:rsid w:val="66893879"/>
    <w:rsid w:val="674446D2"/>
    <w:rsid w:val="691664EE"/>
    <w:rsid w:val="69630ADE"/>
    <w:rsid w:val="6C4A05C8"/>
    <w:rsid w:val="6D3B1A89"/>
    <w:rsid w:val="71477AB2"/>
    <w:rsid w:val="71BF4EC2"/>
    <w:rsid w:val="72734D90"/>
    <w:rsid w:val="73220AB4"/>
    <w:rsid w:val="7412278C"/>
    <w:rsid w:val="74806F69"/>
    <w:rsid w:val="76EB78A1"/>
    <w:rsid w:val="78052A3C"/>
    <w:rsid w:val="784B376F"/>
    <w:rsid w:val="79975481"/>
    <w:rsid w:val="79E7B28D"/>
    <w:rsid w:val="7E943F9B"/>
    <w:rsid w:val="7F4F4108"/>
    <w:rsid w:val="7F9F20EE"/>
    <w:rsid w:val="9E3A10E2"/>
    <w:rsid w:val="F2E1F9D4"/>
    <w:rsid w:val="F788081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4"/>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28"/>
    <w:unhideWhenUsed/>
    <w:qFormat/>
    <w:uiPriority w:val="9"/>
    <w:pPr>
      <w:keepNext/>
      <w:keepLines/>
      <w:spacing w:before="260" w:after="260" w:line="416" w:lineRule="auto"/>
      <w:outlineLvl w:val="2"/>
    </w:pPr>
    <w:rPr>
      <w:b/>
      <w:bCs/>
      <w:sz w:val="32"/>
      <w:szCs w:val="3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21"/>
    <w:qFormat/>
    <w:uiPriority w:val="99"/>
    <w:pPr>
      <w:spacing w:beforeLines="30"/>
    </w:pPr>
    <w:rPr>
      <w:rFonts w:ascii="仿宋_GB2312" w:eastAsia="仿宋_GB2312"/>
      <w:kern w:val="0"/>
      <w:sz w:val="30"/>
    </w:rPr>
  </w:style>
  <w:style w:type="paragraph" w:styleId="6">
    <w:name w:val="toc 3"/>
    <w:basedOn w:val="1"/>
    <w:next w:val="1"/>
    <w:unhideWhenUsed/>
    <w:qFormat/>
    <w:uiPriority w:val="39"/>
    <w:pPr>
      <w:tabs>
        <w:tab w:val="right" w:leader="dot" w:pos="8296"/>
      </w:tabs>
      <w:ind w:left="840" w:leftChars="400"/>
    </w:pPr>
  </w:style>
  <w:style w:type="paragraph" w:styleId="7">
    <w:name w:val="Balloon Text"/>
    <w:basedOn w:val="1"/>
    <w:link w:val="27"/>
    <w:semiHidden/>
    <w:unhideWhenUsed/>
    <w:qFormat/>
    <w:uiPriority w:val="99"/>
    <w:rPr>
      <w:sz w:val="18"/>
      <w:szCs w:val="18"/>
    </w:rPr>
  </w:style>
  <w:style w:type="paragraph" w:styleId="8">
    <w:name w:val="footer"/>
    <w:basedOn w:val="1"/>
    <w:link w:val="19"/>
    <w:qFormat/>
    <w:uiPriority w:val="99"/>
    <w:pPr>
      <w:tabs>
        <w:tab w:val="center" w:pos="4153"/>
        <w:tab w:val="right" w:pos="8306"/>
      </w:tabs>
      <w:snapToGrid w:val="0"/>
      <w:jc w:val="left"/>
    </w:pPr>
    <w:rPr>
      <w:rFonts w:ascii="Calibri" w:hAnsi="Calibri"/>
      <w:kern w:val="0"/>
      <w:sz w:val="18"/>
      <w:szCs w:val="18"/>
    </w:rPr>
  </w:style>
  <w:style w:type="paragraph" w:styleId="9">
    <w:name w:val="header"/>
    <w:basedOn w:val="1"/>
    <w:link w:val="17"/>
    <w:semiHidden/>
    <w:qFormat/>
    <w:uiPriority w:val="99"/>
    <w:pPr>
      <w:pBdr>
        <w:bottom w:val="single" w:color="auto" w:sz="6" w:space="1"/>
      </w:pBdr>
      <w:tabs>
        <w:tab w:val="center" w:pos="4153"/>
        <w:tab w:val="right" w:pos="8306"/>
      </w:tabs>
      <w:snapToGrid w:val="0"/>
      <w:jc w:val="center"/>
    </w:pPr>
    <w:rPr>
      <w:rFonts w:ascii="Calibri" w:hAnsi="Calibri"/>
      <w:kern w:val="0"/>
      <w:sz w:val="18"/>
      <w:szCs w:val="18"/>
    </w:rPr>
  </w:style>
  <w:style w:type="paragraph" w:styleId="10">
    <w:name w:val="toc 1"/>
    <w:basedOn w:val="1"/>
    <w:next w:val="1"/>
    <w:unhideWhenUsed/>
    <w:qFormat/>
    <w:uiPriority w:val="39"/>
    <w:pPr>
      <w:tabs>
        <w:tab w:val="right" w:leader="dot" w:pos="8296"/>
      </w:tabs>
      <w:spacing w:before="93"/>
      <w:jc w:val="center"/>
    </w:pPr>
    <w:rPr>
      <w:rFonts w:ascii="仿宋" w:hAnsi="仿宋" w:eastAsia="仿宋"/>
      <w:sz w:val="28"/>
      <w:szCs w:val="28"/>
    </w:rPr>
  </w:style>
  <w:style w:type="paragraph" w:styleId="11">
    <w:name w:val="toc 2"/>
    <w:basedOn w:val="1"/>
    <w:next w:val="1"/>
    <w:unhideWhenUsed/>
    <w:qFormat/>
    <w:uiPriority w:val="39"/>
    <w:pPr>
      <w:tabs>
        <w:tab w:val="right" w:leader="dot" w:pos="8296"/>
      </w:tabs>
      <w:ind w:left="420" w:leftChars="200"/>
    </w:pPr>
  </w:style>
  <w:style w:type="character" w:styleId="14">
    <w:name w:val="Strong"/>
    <w:basedOn w:val="13"/>
    <w:qFormat/>
    <w:uiPriority w:val="99"/>
    <w:rPr>
      <w:b/>
    </w:rPr>
  </w:style>
  <w:style w:type="character" w:styleId="15">
    <w:name w:val="Hyperlink"/>
    <w:basedOn w:val="13"/>
    <w:unhideWhenUsed/>
    <w:qFormat/>
    <w:uiPriority w:val="99"/>
    <w:rPr>
      <w:color w:val="0000FF" w:themeColor="hyperlink"/>
      <w:u w:val="single"/>
      <w14:textFill>
        <w14:solidFill>
          <w14:schemeClr w14:val="hlink"/>
        </w14:solidFill>
      </w14:textFill>
    </w:rPr>
  </w:style>
  <w:style w:type="character" w:customStyle="1" w:styleId="16">
    <w:name w:val="Header Char"/>
    <w:basedOn w:val="13"/>
    <w:semiHidden/>
    <w:qFormat/>
    <w:uiPriority w:val="99"/>
    <w:rPr>
      <w:rFonts w:ascii="Times New Roman" w:hAnsi="Times New Roman"/>
      <w:sz w:val="18"/>
      <w:szCs w:val="18"/>
    </w:rPr>
  </w:style>
  <w:style w:type="character" w:customStyle="1" w:styleId="17">
    <w:name w:val="页眉 Char"/>
    <w:link w:val="9"/>
    <w:semiHidden/>
    <w:qFormat/>
    <w:locked/>
    <w:uiPriority w:val="99"/>
    <w:rPr>
      <w:sz w:val="18"/>
    </w:rPr>
  </w:style>
  <w:style w:type="character" w:customStyle="1" w:styleId="18">
    <w:name w:val="Footer Char"/>
    <w:basedOn w:val="13"/>
    <w:semiHidden/>
    <w:qFormat/>
    <w:uiPriority w:val="99"/>
    <w:rPr>
      <w:rFonts w:ascii="Times New Roman" w:hAnsi="Times New Roman"/>
      <w:sz w:val="18"/>
      <w:szCs w:val="18"/>
    </w:rPr>
  </w:style>
  <w:style w:type="character" w:customStyle="1" w:styleId="19">
    <w:name w:val="页脚 Char"/>
    <w:link w:val="8"/>
    <w:qFormat/>
    <w:locked/>
    <w:uiPriority w:val="99"/>
    <w:rPr>
      <w:sz w:val="18"/>
    </w:rPr>
  </w:style>
  <w:style w:type="character" w:customStyle="1" w:styleId="20">
    <w:name w:val="Body Text Char"/>
    <w:basedOn w:val="13"/>
    <w:semiHidden/>
    <w:qFormat/>
    <w:uiPriority w:val="99"/>
    <w:rPr>
      <w:rFonts w:ascii="Times New Roman" w:hAnsi="Times New Roman"/>
      <w:szCs w:val="24"/>
    </w:rPr>
  </w:style>
  <w:style w:type="character" w:customStyle="1" w:styleId="21">
    <w:name w:val="正文文本 Char"/>
    <w:link w:val="2"/>
    <w:qFormat/>
    <w:locked/>
    <w:uiPriority w:val="99"/>
    <w:rPr>
      <w:rFonts w:ascii="仿宋_GB2312" w:hAnsi="Times New Roman" w:eastAsia="仿宋_GB2312"/>
      <w:sz w:val="24"/>
    </w:rPr>
  </w:style>
  <w:style w:type="paragraph" w:customStyle="1" w:styleId="22">
    <w:name w:val="Default"/>
    <w:qFormat/>
    <w:uiPriority w:val="99"/>
    <w:pPr>
      <w:widowControl w:val="0"/>
      <w:autoSpaceDE w:val="0"/>
      <w:autoSpaceDN w:val="0"/>
      <w:adjustRightInd w:val="0"/>
    </w:pPr>
    <w:rPr>
      <w:rFonts w:ascii="仿宋" w:hAnsi="Calibri" w:eastAsia="仿宋" w:cs="仿宋"/>
      <w:color w:val="000000"/>
      <w:sz w:val="24"/>
      <w:szCs w:val="24"/>
      <w:lang w:val="en-US" w:eastAsia="zh-CN" w:bidi="ar-SA"/>
    </w:rPr>
  </w:style>
  <w:style w:type="paragraph" w:styleId="23">
    <w:name w:val="List Paragraph"/>
    <w:basedOn w:val="1"/>
    <w:qFormat/>
    <w:uiPriority w:val="34"/>
    <w:pPr>
      <w:ind w:firstLine="420" w:firstLineChars="200"/>
    </w:pPr>
  </w:style>
  <w:style w:type="character" w:customStyle="1" w:styleId="24">
    <w:name w:val="标题 1 Char"/>
    <w:basedOn w:val="13"/>
    <w:link w:val="3"/>
    <w:qFormat/>
    <w:uiPriority w:val="9"/>
    <w:rPr>
      <w:rFonts w:ascii="Times New Roman" w:hAnsi="Times New Roman"/>
      <w:b/>
      <w:bCs/>
      <w:kern w:val="44"/>
      <w:sz w:val="44"/>
      <w:szCs w:val="44"/>
    </w:rPr>
  </w:style>
  <w:style w:type="character" w:customStyle="1" w:styleId="25">
    <w:name w:val="标题 2 Char"/>
    <w:basedOn w:val="13"/>
    <w:link w:val="4"/>
    <w:qFormat/>
    <w:uiPriority w:val="9"/>
    <w:rPr>
      <w:rFonts w:asciiTheme="majorHAnsi" w:hAnsiTheme="majorHAnsi" w:eastAsiaTheme="majorEastAsia" w:cstheme="majorBidi"/>
      <w:b/>
      <w:bCs/>
      <w:kern w:val="2"/>
      <w:sz w:val="32"/>
      <w:szCs w:val="32"/>
    </w:rPr>
  </w:style>
  <w:style w:type="paragraph" w:customStyle="1" w:styleId="26">
    <w:name w:val="TOC 标题1"/>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27">
    <w:name w:val="批注框文本 Char"/>
    <w:basedOn w:val="13"/>
    <w:link w:val="7"/>
    <w:semiHidden/>
    <w:qFormat/>
    <w:uiPriority w:val="99"/>
    <w:rPr>
      <w:rFonts w:ascii="Times New Roman" w:hAnsi="Times New Roman"/>
      <w:kern w:val="2"/>
      <w:sz w:val="18"/>
      <w:szCs w:val="18"/>
    </w:rPr>
  </w:style>
  <w:style w:type="character" w:customStyle="1" w:styleId="28">
    <w:name w:val="标题 3 Char"/>
    <w:basedOn w:val="13"/>
    <w:link w:val="5"/>
    <w:qFormat/>
    <w:uiPriority w:val="9"/>
    <w:rPr>
      <w:rFonts w:ascii="Times New Roman" w:hAnsi="Times New Roman"/>
      <w:b/>
      <w:bCs/>
      <w:kern w:val="2"/>
      <w:sz w:val="32"/>
      <w:szCs w:val="32"/>
    </w:rPr>
  </w:style>
  <w:style w:type="paragraph" w:customStyle="1" w:styleId="29">
    <w:name w:val="TOC Heading"/>
    <w:basedOn w:val="3"/>
    <w:next w:val="1"/>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chart" Target="charts/chart6.xml"/><Relationship Id="rId17" Type="http://schemas.openxmlformats.org/officeDocument/2006/relationships/chart" Target="charts/chart5.xml"/><Relationship Id="rId16" Type="http://schemas.openxmlformats.org/officeDocument/2006/relationships/chart" Target="charts/chart4.xml"/><Relationship Id="rId15" Type="http://schemas.openxmlformats.org/officeDocument/2006/relationships/chart" Target="charts/chart3.xml"/><Relationship Id="rId14" Type="http://schemas.openxmlformats.org/officeDocument/2006/relationships/chart" Target="charts/chart2.xml"/><Relationship Id="rId13" Type="http://schemas.openxmlformats.org/officeDocument/2006/relationships/chart" Target="charts/chart1.xml"/><Relationship Id="rId12" Type="http://schemas.openxmlformats.org/officeDocument/2006/relationships/theme" Target="theme/theme1.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5.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收、支决算总计变动情况图</a:t>
            </a:r>
          </a:p>
        </c:rich>
      </c:tx>
      <c:layout/>
      <c:overlay val="0"/>
      <c:spPr>
        <a:noFill/>
        <a:ln>
          <a:noFill/>
        </a:ln>
        <a:effectLst/>
      </c:spPr>
    </c:title>
    <c:autoTitleDeleted val="0"/>
    <c:plotArea>
      <c:layout/>
      <c:barChart>
        <c:barDir val="col"/>
        <c:grouping val="clustered"/>
        <c:varyColors val="0"/>
        <c:ser>
          <c:idx val="0"/>
          <c:order val="0"/>
          <c:tx>
            <c:strRef>
              <c:f>Sheet1!$A$2</c:f>
              <c:strCache>
                <c:ptCount val="1"/>
                <c:pt idx="0">
                  <c:v>2021年</c:v>
                </c:pt>
              </c:strCache>
            </c:strRef>
          </c:tx>
          <c:spPr>
            <a:solidFill>
              <a:schemeClr val="accent1"/>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Sheet1!$B$1:$C$1</c:f>
              <c:strCache>
                <c:ptCount val="2"/>
                <c:pt idx="0">
                  <c:v>总收入</c:v>
                </c:pt>
                <c:pt idx="1">
                  <c:v>总支出</c:v>
                </c:pt>
              </c:strCache>
            </c:strRef>
          </c:cat>
          <c:val>
            <c:numRef>
              <c:f>Sheet1!$B$2:$C$2</c:f>
              <c:numCache>
                <c:formatCode>General</c:formatCode>
                <c:ptCount val="2"/>
                <c:pt idx="0">
                  <c:v>1081.22</c:v>
                </c:pt>
                <c:pt idx="1">
                  <c:v>1178.64</c:v>
                </c:pt>
              </c:numCache>
            </c:numRef>
          </c:val>
        </c:ser>
        <c:ser>
          <c:idx val="1"/>
          <c:order val="1"/>
          <c:tx>
            <c:strRef>
              <c:f>Sheet1!$A$3</c:f>
              <c:strCache>
                <c:ptCount val="1"/>
                <c:pt idx="0">
                  <c:v>2022年</c:v>
                </c:pt>
              </c:strCache>
            </c:strRef>
          </c:tx>
          <c:spPr>
            <a:solidFill>
              <a:schemeClr val="accent2"/>
            </a:solidFill>
            <a:ln>
              <a:noFill/>
            </a:ln>
            <a:effectLst/>
          </c:spPr>
          <c:invertIfNegative val="0"/>
          <c:dLbls>
            <c:numFmt formatCode="General" sourceLinked="1"/>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spPr>
                    <a:ln w="9525" cap="flat" cmpd="sng" algn="ctr">
                      <a:solidFill>
                        <a:schemeClr val="tx1">
                          <a:lumMod val="35000"/>
                          <a:lumOff val="65000"/>
                        </a:schemeClr>
                      </a:solidFill>
                      <a:round/>
                    </a:ln>
                    <a:effectLst/>
                  </c:spPr>
                </c15:leaderLines>
              </c:ext>
            </c:extLst>
          </c:dLbls>
          <c:cat>
            <c:strRef>
              <c:f>Sheet1!$B$1:$C$1</c:f>
              <c:strCache>
                <c:ptCount val="2"/>
                <c:pt idx="0">
                  <c:v>总收入</c:v>
                </c:pt>
                <c:pt idx="1">
                  <c:v>总支出</c:v>
                </c:pt>
              </c:strCache>
            </c:strRef>
          </c:cat>
          <c:val>
            <c:numRef>
              <c:f>Sheet1!$B$3:$C$3</c:f>
              <c:numCache>
                <c:formatCode>General</c:formatCode>
                <c:ptCount val="2"/>
                <c:pt idx="0">
                  <c:v>1125.24</c:v>
                </c:pt>
                <c:pt idx="1">
                  <c:v>1125.24</c:v>
                </c:pt>
              </c:numCache>
            </c:numRef>
          </c:val>
        </c:ser>
        <c:dLbls>
          <c:showLegendKey val="0"/>
          <c:showVal val="1"/>
          <c:showCatName val="0"/>
          <c:showSerName val="0"/>
          <c:showPercent val="0"/>
          <c:showBubbleSize val="0"/>
        </c:dLbls>
        <c:gapWidth val="246"/>
        <c:overlap val="-28"/>
        <c:axId val="129471232"/>
        <c:axId val="129472768"/>
      </c:barChart>
      <c:catAx>
        <c:axId val="129471232"/>
        <c:scaling>
          <c:orientation val="minMax"/>
        </c:scaling>
        <c:delete val="0"/>
        <c:axPos val="b"/>
        <c:numFmt formatCode="General"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9472768"/>
        <c:crosses val="autoZero"/>
        <c:auto val="1"/>
        <c:lblAlgn val="ctr"/>
        <c:lblOffset val="100"/>
        <c:noMultiLvlLbl val="0"/>
      </c:catAx>
      <c:valAx>
        <c:axId val="129472768"/>
        <c:scaling>
          <c:orientation val="minMax"/>
        </c:scaling>
        <c:delete val="0"/>
        <c:axPos val="l"/>
        <c:majorGridlines>
          <c:spPr>
            <a:ln w="9525" cap="flat" cmpd="sng" algn="ctr">
              <a:solidFill>
                <a:schemeClr val="bg1">
                  <a:lumMod val="90200"/>
                </a:schemeClr>
              </a:solidFill>
              <a:round/>
            </a:ln>
            <a:effectLst/>
          </c:spPr>
        </c:majorGridlines>
        <c:numFmt formatCode="General" sourceLinked="1"/>
        <c:majorTickMark val="out"/>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29471232"/>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348904406453166"/>
          <c:y val="0.0257242757242757"/>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收入额（万元）</c:v>
                </c:pt>
              </c:strCache>
            </c:strRef>
          </c:tx>
          <c:explosion val="0"/>
          <c:dPt>
            <c:idx val="0"/>
            <c:bubble3D val="0"/>
          </c:dPt>
          <c:dPt>
            <c:idx val="1"/>
            <c:bubble3D val="0"/>
          </c:dPt>
          <c:dLbls>
            <c:dLbl>
              <c:idx val="1"/>
              <c:layout>
                <c:manualLayout>
                  <c:x val="-0.201160558945801"/>
                  <c:y val="0.019277507730872"/>
                </c:manualLayout>
              </c:layout>
              <c:dLblPos val="bestFit"/>
              <c:showLegendKey val="0"/>
              <c:showVal val="1"/>
              <c:showCatName val="0"/>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一般公共预算财政拨款收入</c:v>
                </c:pt>
                <c:pt idx="1">
                  <c:v>其它收入</c:v>
                </c:pt>
              </c:strCache>
            </c:strRef>
          </c:cat>
          <c:val>
            <c:numRef>
              <c:f>Sheet1!$B$2:$B$3</c:f>
              <c:numCache>
                <c:formatCode>General</c:formatCode>
                <c:ptCount val="2"/>
                <c:pt idx="0">
                  <c:v>1020.2</c:v>
                </c:pt>
                <c:pt idx="1">
                  <c:v>0.14</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支出数（万元）</c:v>
                </c:pt>
              </c:strCache>
            </c:strRef>
          </c:tx>
          <c:explosion val="0"/>
          <c:dPt>
            <c:idx val="0"/>
            <c:bubble3D val="0"/>
          </c:dPt>
          <c:dPt>
            <c:idx val="1"/>
            <c:bubble3D val="0"/>
          </c:dPt>
          <c:dLbls>
            <c:dLbl>
              <c:idx val="0"/>
              <c:layout>
                <c:manualLayout>
                  <c:x val="-0.16982112090352"/>
                  <c:y val="-0.197839958241246"/>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dLbl>
              <c:idx val="1"/>
              <c:layout>
                <c:manualLayout>
                  <c:x val="0.102242815315956"/>
                  <c:y val="0.160022450706058"/>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999.27</c:v>
                </c:pt>
                <c:pt idx="1">
                  <c:v>125.97</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06269668361171"/>
          <c:y val="0.0509921550530688"/>
          <c:w val="0.890099249576374"/>
          <c:h val="0.827641901245962"/>
        </c:manualLayout>
      </c:layout>
      <c:barChart>
        <c:barDir val="col"/>
        <c:grouping val="clustered"/>
        <c:varyColors val="0"/>
        <c:ser>
          <c:idx val="0"/>
          <c:order val="0"/>
          <c:tx>
            <c:strRef>
              <c:f>Sheet1!$B$1</c:f>
              <c:strCache>
                <c:ptCount val="1"/>
                <c:pt idx="0">
                  <c:v>财政拨款收入</c:v>
                </c:pt>
              </c:strCache>
            </c:strRef>
          </c:tx>
          <c:invertIfNegative val="0"/>
          <c:dLbls>
            <c:dLbl>
              <c:idx val="0"/>
              <c:layout>
                <c:manualLayout>
                  <c:x val="2.20615181077603e-17"/>
                  <c:y val="0.0165289256198347"/>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Sheet1!$B$2:$B$3</c:f>
              <c:numCache>
                <c:formatCode>General</c:formatCode>
                <c:ptCount val="2"/>
                <c:pt idx="0">
                  <c:v>1078.77</c:v>
                </c:pt>
                <c:pt idx="1">
                  <c:v>1125.09</c:v>
                </c:pt>
              </c:numCache>
            </c:numRef>
          </c:val>
        </c:ser>
        <c:ser>
          <c:idx val="1"/>
          <c:order val="1"/>
          <c:tx>
            <c:strRef>
              <c:f>Sheet1!$C$1</c:f>
              <c:strCache>
                <c:ptCount val="1"/>
                <c:pt idx="0">
                  <c:v>财政拨款支出</c:v>
                </c:pt>
              </c:strCache>
            </c:strRef>
          </c:tx>
          <c:invertIfNegative val="0"/>
          <c:dLbls>
            <c:dLbl>
              <c:idx val="0"/>
              <c:layout>
                <c:manualLayout>
                  <c:x val="0.0288808664259928"/>
                  <c:y val="0"/>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0192539109506619"/>
                  <c:y val="-0.00826446280991736"/>
                </c:manualLayout>
              </c:layout>
              <c:dLblPos val="outEnd"/>
              <c:showLegendKey val="0"/>
              <c:showVal val="1"/>
              <c:showCatName val="0"/>
              <c:showSerName val="1"/>
              <c:showPercent val="0"/>
              <c:showBubbleSize val="0"/>
              <c:extLst>
                <c:ext xmlns:c15="http://schemas.microsoft.com/office/drawing/2012/chart" uri="{CE6537A1-D6FC-4f65-9D91-7224C49458BB}">
                  <c15:layout/>
                </c:ext>
              </c:extLst>
            </c:dLbl>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2021年</c:v>
                </c:pt>
                <c:pt idx="1">
                  <c:v>2022年</c:v>
                </c:pt>
              </c:strCache>
            </c:strRef>
          </c:cat>
          <c:val>
            <c:numRef>
              <c:f>Sheet1!$C$2:$C$3</c:f>
              <c:numCache>
                <c:formatCode>General</c:formatCode>
                <c:ptCount val="2"/>
                <c:pt idx="0">
                  <c:v>1172.59</c:v>
                </c:pt>
                <c:pt idx="1">
                  <c:v>1125.09</c:v>
                </c:pt>
              </c:numCache>
            </c:numRef>
          </c:val>
        </c:ser>
        <c:dLbls>
          <c:showLegendKey val="0"/>
          <c:showVal val="0"/>
          <c:showCatName val="0"/>
          <c:showSerName val="0"/>
          <c:showPercent val="0"/>
          <c:showBubbleSize val="0"/>
        </c:dLbls>
        <c:gapWidth val="150"/>
        <c:axId val="149800064"/>
        <c:axId val="149801600"/>
      </c:barChart>
      <c:catAx>
        <c:axId val="1498000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9801600"/>
        <c:crosses val="autoZero"/>
        <c:auto val="1"/>
        <c:lblAlgn val="ctr"/>
        <c:lblOffset val="100"/>
        <c:noMultiLvlLbl val="0"/>
      </c:catAx>
      <c:valAx>
        <c:axId val="14980160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4980006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70481435530732"/>
          <c:y val="0.0514655760054533"/>
          <c:w val="0.800284188614354"/>
          <c:h val="0.78886209223847"/>
        </c:manualLayout>
      </c:layout>
      <c:barChart>
        <c:barDir val="col"/>
        <c:grouping val="clustered"/>
        <c:varyColors val="0"/>
        <c:ser>
          <c:idx val="0"/>
          <c:order val="0"/>
          <c:tx>
            <c:strRef>
              <c:f>Sheet1!$B$1</c:f>
              <c:strCache>
                <c:ptCount val="1"/>
                <c:pt idx="0">
                  <c:v>一般公共预算财政拨款支出</c:v>
                </c:pt>
              </c:strCache>
            </c:strRef>
          </c:tx>
          <c:invertIfNegative val="0"/>
          <c:dLbls>
            <c:dLbl>
              <c:idx val="0"/>
              <c:layout>
                <c:manualLayout>
                  <c:x val="-0.00766283524904215"/>
                  <c:y val="0.0514705882352941"/>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一般公共预算财政拨款支出,</a:t>
                    </a:r>
                    <a:r>
                      <a:rPr lang="en-US" altLang="zh-CN"/>
                      <a:t>1172.59</a:t>
                    </a:r>
                    <a:endParaRPr lang="en-US" altLang="zh-CN"/>
                  </a:p>
                </c:rich>
              </c:tx>
              <c:dLblPos val="outEnd"/>
              <c:showLegendKey val="0"/>
              <c:showVal val="1"/>
              <c:showCatName val="0"/>
              <c:showSerName val="1"/>
              <c:showPercent val="0"/>
              <c:showBubbleSize val="0"/>
              <c:extLst>
                <c:ext xmlns:c15="http://schemas.microsoft.com/office/drawing/2012/chart" uri="{CE6537A1-D6FC-4f65-9D91-7224C49458BB}">
                  <c15:layout/>
                </c:ext>
              </c:extLst>
            </c:dLbl>
            <c:dLbl>
              <c:idx val="1"/>
              <c:layout>
                <c:manualLayout>
                  <c:x val="0"/>
                  <c:y val="0.205882352941176"/>
                </c:manualLayout>
              </c:layout>
              <c:tx>
                <c:rich>
                  <a:bodyPr rot="0" spcFirstLastPara="0" vertOverflow="ellipsis" vert="horz" wrap="square" lIns="38100" tIns="19050" rIns="38100" bIns="19050" anchor="ctr" anchorCtr="1"/>
                  <a:lstStyle/>
                  <a:p>
                    <a:pPr defTabSz="914400">
                      <a:defRPr lang="zh-CN" sz="1000" b="0" i="0" u="none" strike="noStrike" kern="1200" baseline="0">
                        <a:solidFill>
                          <a:schemeClr val="tx1"/>
                        </a:solidFill>
                        <a:latin typeface="+mn-lt"/>
                        <a:ea typeface="+mn-ea"/>
                        <a:cs typeface="+mn-cs"/>
                      </a:defRPr>
                    </a:pPr>
                    <a:r>
                      <a:t>一般公共预算财政拨款支出, </a:t>
                    </a:r>
                    <a:r>
                      <a:rPr lang="en-US" altLang="zh-CN"/>
                      <a:t>1125.09</a:t>
                    </a:r>
                    <a:endParaRPr lang="en-US" altLang="zh-CN"/>
                  </a:p>
                </c:rich>
              </c:tx>
              <c:dLblPos val="outEnd"/>
              <c:showLegendKey val="0"/>
              <c:showVal val="1"/>
              <c:showCatName val="0"/>
              <c:showSerName val="1"/>
              <c:showPercent val="0"/>
              <c:showBubbleSize val="0"/>
              <c:extLst>
                <c:ext xmlns:c15="http://schemas.microsoft.com/office/drawing/2012/chart" uri="{CE6537A1-D6FC-4f65-9D91-7224C49458BB}">
                  <c15:layout/>
                </c:ext>
              </c:extLst>
            </c:dLbl>
            <c:numFmt formatCode="General" sourceLinked="1"/>
            <c:spPr>
              <a:noFill/>
              <a:ln w="50800">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outEnd"/>
            <c:showLegendKey val="0"/>
            <c:showVal val="1"/>
            <c:showCatName val="0"/>
            <c:showSerName val="1"/>
            <c:showPercent val="0"/>
            <c:showBubbleSize val="0"/>
            <c:showLeaderLines val="0"/>
            <c:extLst>
              <c:ext xmlns:c15="http://schemas.microsoft.com/office/drawing/2012/chart" uri="{CE6537A1-D6FC-4f65-9D91-7224C49458BB}">
                <c15:layout/>
                <c15:showLeaderLines val="0"/>
                <c15:leaderLines/>
              </c:ext>
            </c:extLst>
          </c:dLbls>
          <c:trendline>
            <c:trendlineType val="exp"/>
            <c:dispRSqr val="0"/>
            <c:dispEq val="0"/>
          </c:trendline>
          <c:cat>
            <c:strRef>
              <c:f>Sheet1!$A$2:$A$3</c:f>
              <c:strCache>
                <c:ptCount val="2"/>
                <c:pt idx="0">
                  <c:v>2021年</c:v>
                </c:pt>
                <c:pt idx="1">
                  <c:v>2022年</c:v>
                </c:pt>
              </c:strCache>
            </c:strRef>
          </c:cat>
          <c:val>
            <c:numRef>
              <c:f>Sheet1!$B$2:$B$3</c:f>
              <c:numCache>
                <c:formatCode>General</c:formatCode>
                <c:ptCount val="2"/>
                <c:pt idx="0">
                  <c:v>1172.59</c:v>
                </c:pt>
                <c:pt idx="1">
                  <c:v>1125.09</c:v>
                </c:pt>
              </c:numCache>
            </c:numRef>
          </c:val>
        </c:ser>
        <c:dLbls>
          <c:showLegendKey val="0"/>
          <c:showVal val="0"/>
          <c:showCatName val="0"/>
          <c:showSerName val="0"/>
          <c:showPercent val="0"/>
          <c:showBubbleSize val="0"/>
        </c:dLbls>
        <c:gapWidth val="150"/>
        <c:axId val="151215104"/>
        <c:axId val="151241472"/>
      </c:barChart>
      <c:catAx>
        <c:axId val="15121510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1241472"/>
        <c:crosses val="autoZero"/>
        <c:auto val="1"/>
        <c:lblAlgn val="ctr"/>
        <c:lblOffset val="100"/>
        <c:noMultiLvlLbl val="0"/>
      </c:catAx>
      <c:valAx>
        <c:axId val="15124147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151215104"/>
        <c:crosses val="autoZero"/>
        <c:crossBetween val="between"/>
      </c:valAx>
    </c:plotArea>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77795748613678"/>
          <c:y val="0.0145787807668947"/>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一般公共预算财政拨款支出（万元）</c:v>
                </c:pt>
              </c:strCache>
            </c:strRef>
          </c:tx>
          <c:explosion val="0"/>
          <c:dPt>
            <c:idx val="0"/>
            <c:bubble3D val="0"/>
          </c:dPt>
          <c:dPt>
            <c:idx val="1"/>
            <c:bubble3D val="0"/>
            <c:explosion val="32"/>
          </c:dPt>
          <c:dLbls>
            <c:dLbl>
              <c:idx val="0"/>
              <c:delete val="1"/>
            </c:dLbl>
            <c:dLbl>
              <c:idx val="1"/>
              <c:layout>
                <c:manualLayout>
                  <c:x val="-0.0628465804066543"/>
                  <c:y val="-0.23360341149297"/>
                </c:manualLayout>
              </c:layout>
              <c:dLblPos val="bestFit"/>
              <c:showLegendKey val="0"/>
              <c:showVal val="1"/>
              <c:showCatName val="1"/>
              <c:showSerName val="0"/>
              <c:showPercent val="1"/>
              <c:showBubbleSize val="0"/>
              <c:extLst>
                <c:ext xmlns:c15="http://schemas.microsoft.com/office/drawing/2012/chart" uri="{CE6537A1-D6FC-4f65-9D91-7224C49458BB}">
                  <c15:layout/>
                </c:ext>
              </c:extLst>
            </c:dLbl>
            <c:numFmt formatCode="0.00%" sourceLinked="0"/>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1"/>
            <c:showSerName val="0"/>
            <c:showPercent val="1"/>
            <c:showBubbleSize val="0"/>
            <c:showLeaderLines val="1"/>
            <c:extLst>
              <c:ext xmlns:c15="http://schemas.microsoft.com/office/drawing/2012/chart" uri="{CE6537A1-D6FC-4f65-9D91-7224C49458BB}">
                <c15:layout/>
                <c15:showLeaderLines val="1"/>
                <c15:leaderLines/>
              </c:ext>
            </c:extLst>
          </c:dLbls>
          <c:cat>
            <c:strRef>
              <c:f>Sheet1!$A$2:$A$3</c:f>
              <c:strCache>
                <c:ptCount val="2"/>
                <c:pt idx="0">
                  <c:v>教育支出</c:v>
                </c:pt>
                <c:pt idx="1">
                  <c:v>社会保障和就业支出</c:v>
                </c:pt>
              </c:strCache>
            </c:strRef>
          </c:cat>
          <c:val>
            <c:numRef>
              <c:f>Sheet1!$B$2:$B$3</c:f>
              <c:numCache>
                <c:formatCode>General</c:formatCode>
                <c:ptCount val="2"/>
                <c:pt idx="0">
                  <c:v>1014.61</c:v>
                </c:pt>
                <c:pt idx="1">
                  <c:v>110.48</c:v>
                </c:pt>
              </c:numCache>
            </c:numRef>
          </c:val>
        </c:ser>
        <c:dLbls>
          <c:showLegendKey val="0"/>
          <c:showVal val="0"/>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acrossLinear" id="2">
  <a:schemeClr val="accent1"/>
  <a:schemeClr val="accent2"/>
  <a:schemeClr val="accent3"/>
  <a:schemeClr val="accent4"/>
  <a:schemeClr val="accent5"/>
  <a:schemeClr val="accent6"/>
</cs:colorStyle>
</file>

<file path=word/charts/style1.xml><?xml version="1.0" encoding="utf-8"?>
<cs:chartStyle xmlns:cs="http://schemas.microsoft.com/office/drawing/2012/chartStyle" xmlns:a="http://schemas.openxmlformats.org/drawingml/2006/main" id="100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noFill/>
      </a:ln>
      <a:effectLst/>
    </cs:spPr>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四川省财政厅</Company>
  <Pages>24</Pages>
  <Words>9367</Words>
  <Characters>9832</Characters>
  <Lines>61</Lines>
  <Paragraphs>17</Paragraphs>
  <TotalTime>0</TotalTime>
  <ScaleCrop>false</ScaleCrop>
  <LinksUpToDate>false</LinksUpToDate>
  <CharactersWithSpaces>9945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2020-08-05T01:49:00Z</dcterms:created>
  <dc:creator>曹颖</dc:creator>
  <cp:lastModifiedBy>凝望</cp:lastModifiedBy>
  <cp:lastPrinted>2023-10-09T11:41:00Z</cp:lastPrinted>
  <dcterms:modified xsi:type="dcterms:W3CDTF">2023-10-15T05:54:02Z</dcterms:modified>
  <dc:title>四川省***</dc:title>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1FD000172287427E8FAA7A5EBF1563DD_12</vt:lpwstr>
  </property>
</Properties>
</file>