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0" w:name="_Toc15396597"/>
      <w:bookmarkStart w:id="1" w:name="_Toc15378441"/>
      <w:bookmarkStart w:id="2" w:name="_Toc15377425"/>
      <w:bookmarkStart w:id="3" w:name="_Toc15396475"/>
      <w:bookmarkStart w:id="4" w:name="_Toc15377193"/>
      <w:bookmarkStart w:id="5" w:name="_Toc15396599"/>
      <w:bookmarkStart w:id="6" w:name="_Toc15377196"/>
    </w:p>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p>
    <w:p>
      <w:pPr>
        <w:widowControl/>
        <w:jc w:val="center"/>
        <w:rPr>
          <w:rFonts w:ascii="黑体" w:hAnsi="黑体" w:eastAsia="黑体"/>
          <w:sz w:val="48"/>
          <w:szCs w:val="48"/>
        </w:rPr>
      </w:pPr>
      <w:r>
        <w:rPr>
          <w:rFonts w:hint="eastAsia" w:ascii="黑体" w:hAnsi="黑体" w:eastAsia="黑体"/>
          <w:sz w:val="48"/>
          <w:szCs w:val="48"/>
        </w:rPr>
        <w:t>2022年度</w:t>
      </w:r>
      <w:bookmarkEnd w:id="0"/>
      <w:bookmarkEnd w:id="1"/>
      <w:bookmarkEnd w:id="2"/>
      <w:bookmarkEnd w:id="3"/>
      <w:bookmarkEnd w:id="4"/>
    </w:p>
    <w:p>
      <w:pPr>
        <w:widowControl/>
        <w:jc w:val="center"/>
        <w:rPr>
          <w:rFonts w:hint="eastAsia" w:ascii="黑体" w:hAnsi="黑体" w:eastAsia="黑体"/>
          <w:sz w:val="48"/>
          <w:szCs w:val="48"/>
        </w:rPr>
      </w:pPr>
      <w:bookmarkStart w:id="7" w:name="_Toc15377426"/>
      <w:bookmarkStart w:id="8" w:name="_Toc15378442"/>
      <w:bookmarkStart w:id="9" w:name="_Toc15396598"/>
      <w:bookmarkStart w:id="10" w:name="_Toc15396476"/>
      <w:bookmarkStart w:id="11" w:name="_Toc15377194"/>
      <w:r>
        <w:rPr>
          <w:rFonts w:hint="eastAsia" w:ascii="黑体" w:hAnsi="黑体" w:eastAsia="黑体"/>
          <w:sz w:val="48"/>
          <w:szCs w:val="48"/>
        </w:rPr>
        <w:t>四川省</w:t>
      </w:r>
      <w:bookmarkStart w:id="12" w:name="_Toc15306268"/>
      <w:r>
        <w:rPr>
          <w:rFonts w:hint="eastAsia" w:ascii="黑体" w:hAnsi="黑体" w:eastAsia="黑体"/>
          <w:sz w:val="48"/>
          <w:szCs w:val="48"/>
        </w:rPr>
        <w:t>广元市利州区</w:t>
      </w:r>
    </w:p>
    <w:p>
      <w:pPr>
        <w:widowControl/>
        <w:jc w:val="center"/>
        <w:rPr>
          <w:rFonts w:ascii="黑体" w:hAnsi="黑体" w:eastAsia="黑体"/>
          <w:sz w:val="48"/>
          <w:szCs w:val="48"/>
        </w:rPr>
      </w:pPr>
      <w:r>
        <w:rPr>
          <w:rFonts w:hint="eastAsia" w:ascii="黑体" w:hAnsi="黑体" w:eastAsia="黑体"/>
          <w:sz w:val="48"/>
          <w:szCs w:val="48"/>
        </w:rPr>
        <w:t>龙潭小学单位决算</w:t>
      </w:r>
      <w:bookmarkEnd w:id="7"/>
      <w:bookmarkEnd w:id="8"/>
      <w:bookmarkEnd w:id="9"/>
      <w:bookmarkEnd w:id="10"/>
      <w:bookmarkEnd w:id="11"/>
      <w:bookmarkEnd w:id="12"/>
    </w:p>
    <w:p>
      <w:pPr>
        <w:widowControl/>
        <w:jc w:val="center"/>
        <w:rPr>
          <w:rFonts w:ascii="黑体" w:hAnsi="黑体" w:eastAsia="黑体"/>
          <w:sz w:val="48"/>
          <w:szCs w:val="48"/>
        </w:rPr>
      </w:pPr>
      <w:r>
        <w:rPr>
          <w:rFonts w:hint="eastAsia" w:ascii="黑体" w:hAnsi="黑体" w:eastAsia="黑体"/>
          <w:sz w:val="48"/>
          <w:szCs w:val="48"/>
        </w:rPr>
        <w:t>公开</w:t>
      </w:r>
    </w:p>
    <w:p>
      <w:pPr>
        <w:pStyle w:val="2"/>
        <w:spacing w:before="93"/>
      </w:pPr>
    </w:p>
    <w:p>
      <w:pPr>
        <w:pStyle w:val="2"/>
        <w:spacing w:before="93"/>
      </w:pPr>
    </w:p>
    <w:p>
      <w:pPr>
        <w:pStyle w:val="2"/>
        <w:spacing w:before="93"/>
      </w:pPr>
    </w:p>
    <w:p>
      <w:pPr>
        <w:pStyle w:val="2"/>
        <w:spacing w:before="93"/>
      </w:pPr>
    </w:p>
    <w:p>
      <w:pPr>
        <w:pStyle w:val="2"/>
        <w:spacing w:before="93"/>
      </w:pPr>
    </w:p>
    <w:p>
      <w:pPr>
        <w:widowControl/>
        <w:jc w:val="both"/>
        <w:rPr>
          <w:rFonts w:hint="eastAsia" w:ascii="黑体" w:hAnsi="黑体" w:eastAsia="黑体"/>
          <w:sz w:val="48"/>
          <w:szCs w:val="48"/>
        </w:rPr>
      </w:pPr>
    </w:p>
    <w:p>
      <w:pPr>
        <w:widowControl/>
        <w:ind w:firstLine="3840" w:firstLineChars="800"/>
        <w:jc w:val="both"/>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公开时间：2023年</w:t>
      </w:r>
      <w:r>
        <w:rPr>
          <w:rFonts w:hint="eastAsia"/>
          <w:lang w:val="en-US" w:eastAsia="zh-CN"/>
        </w:rPr>
        <w:t>10月15</w:t>
      </w:r>
      <w:r>
        <w:rPr>
          <w:rFonts w:hint="eastAsia"/>
        </w:rPr>
        <w:t>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sz w:val="24"/>
        </w:rPr>
      </w:pPr>
      <w:r>
        <w:rPr>
          <w:rFonts w:hint="eastAsia"/>
          <w:sz w:val="24"/>
        </w:rPr>
        <w:t>一、主要职责</w:t>
      </w:r>
    </w:p>
    <w:p>
      <w:pPr>
        <w:pStyle w:val="11"/>
        <w:adjustRightInd w:val="0"/>
        <w:snapToGrid w:val="0"/>
        <w:spacing w:line="440" w:lineRule="exact"/>
        <w:jc w:val="left"/>
      </w:pPr>
      <w:r>
        <w:rPr>
          <w:rFonts w:hint="eastAsia"/>
          <w:sz w:val="24"/>
        </w:rPr>
        <w:t>二、机构设置</w:t>
      </w:r>
    </w:p>
    <w:p>
      <w:pPr>
        <w:pStyle w:val="10"/>
        <w:adjustRightInd w:val="0"/>
        <w:snapToGrid w:val="0"/>
        <w:spacing w:before="0" w:line="440" w:lineRule="exact"/>
        <w:jc w:val="left"/>
        <w:rPr>
          <w:sz w:val="24"/>
          <w:szCs w:val="24"/>
        </w:rPr>
      </w:pPr>
      <w:r>
        <w:rPr>
          <w:rFonts w:hint="eastAsia"/>
          <w:sz w:val="24"/>
        </w:rPr>
        <w:t>第二部分 2022年度单位决算情况说明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一、收入支出决算总体情况说明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二、收入决算情况说明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三、支出决算情况说明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四、财政拨款收入支出决算总体情况说明</w:t>
      </w:r>
    </w:p>
    <w:p>
      <w:pPr>
        <w:pStyle w:val="11"/>
        <w:adjustRightInd w:val="0"/>
        <w:snapToGrid w:val="0"/>
        <w:spacing w:line="440" w:lineRule="exact"/>
        <w:jc w:val="left"/>
        <w:rPr>
          <w:rFonts w:ascii="仿宋" w:hAnsi="仿宋" w:eastAsia="仿宋" w:cstheme="minorBidi"/>
          <w:sz w:val="24"/>
        </w:rPr>
      </w:pPr>
      <w:r>
        <w:rPr>
          <w:rFonts w:hint="eastAsia"/>
          <w:sz w:val="24"/>
        </w:rPr>
        <w:t>五、一般公共预算财政拨款支出决算情况说明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六、一般公共预算财政拨款基本支出决算情况说明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七、财政拨款“三公”经费支出决算情况说明</w:t>
      </w:r>
    </w:p>
    <w:p>
      <w:pPr>
        <w:pStyle w:val="11"/>
        <w:adjustRightInd w:val="0"/>
        <w:snapToGrid w:val="0"/>
        <w:spacing w:line="440" w:lineRule="exact"/>
        <w:jc w:val="left"/>
        <w:rPr>
          <w:rFonts w:ascii="仿宋" w:hAnsi="仿宋" w:eastAsia="仿宋" w:cstheme="minorBidi"/>
          <w:sz w:val="24"/>
        </w:rPr>
      </w:pPr>
      <w:r>
        <w:rPr>
          <w:rFonts w:hint="eastAsia"/>
          <w:sz w:val="24"/>
        </w:rPr>
        <w:t>八、政府性基金预算支出决算情况说明</w:t>
      </w:r>
    </w:p>
    <w:p>
      <w:pPr>
        <w:pStyle w:val="11"/>
        <w:adjustRightInd w:val="0"/>
        <w:snapToGrid w:val="0"/>
        <w:spacing w:line="440" w:lineRule="exact"/>
        <w:jc w:val="left"/>
        <w:rPr>
          <w:sz w:val="24"/>
        </w:rPr>
      </w:pPr>
      <w:r>
        <w:rPr>
          <w:rFonts w:hint="eastAsia"/>
          <w:sz w:val="24"/>
        </w:rPr>
        <w:t>九、国有资本经营预算支出决算情况说明</w:t>
      </w:r>
    </w:p>
    <w:p>
      <w:pPr>
        <w:pStyle w:val="11"/>
        <w:adjustRightInd w:val="0"/>
        <w:snapToGrid w:val="0"/>
        <w:spacing w:line="440" w:lineRule="exact"/>
        <w:jc w:val="left"/>
        <w:rPr>
          <w:sz w:val="24"/>
        </w:rPr>
      </w:pPr>
      <w:r>
        <w:rPr>
          <w:rFonts w:hint="eastAsia"/>
          <w:sz w:val="24"/>
        </w:rPr>
        <w:t>十、其他重要事项的情况说明</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p>
    <w:p>
      <w:pPr>
        <w:pStyle w:val="10"/>
        <w:adjustRightInd w:val="0"/>
        <w:snapToGrid w:val="0"/>
        <w:spacing w:before="0" w:line="440" w:lineRule="exact"/>
        <w:jc w:val="left"/>
        <w:rPr>
          <w:rFonts w:hint="eastAsia"/>
          <w:sz w:val="24"/>
        </w:rPr>
      </w:pPr>
      <w:r>
        <w:rPr>
          <w:rFonts w:hint="eastAsia"/>
          <w:sz w:val="24"/>
        </w:rPr>
        <w:t>第四部分</w:t>
      </w:r>
      <w:r>
        <w:rPr>
          <w:sz w:val="24"/>
        </w:rPr>
        <w:t xml:space="preserve"> </w:t>
      </w:r>
      <w:r>
        <w:rPr>
          <w:rFonts w:hint="eastAsia"/>
          <w:sz w:val="24"/>
        </w:rPr>
        <w:t>附件</w:t>
      </w:r>
    </w:p>
    <w:p>
      <w:pPr>
        <w:pStyle w:val="11"/>
        <w:adjustRightInd w:val="0"/>
        <w:snapToGrid w:val="0"/>
        <w:spacing w:line="440" w:lineRule="exact"/>
        <w:jc w:val="left"/>
        <w:rPr>
          <w:rFonts w:hint="eastAsia"/>
          <w:sz w:val="24"/>
          <w:lang w:val="en-US" w:eastAsia="zh-CN"/>
        </w:rPr>
      </w:pPr>
      <w:r>
        <w:rPr>
          <w:rFonts w:hint="eastAsia"/>
          <w:sz w:val="24"/>
          <w:lang w:val="en-US" w:eastAsia="zh-CN"/>
        </w:rPr>
        <w:t>部门预算项目支出绩效自评表（2022年度）</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八、一般公共预算财政拨款基本支出决算明细表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十、政府性基金预算财政拨款收入支出决算表</w:t>
      </w:r>
    </w:p>
    <w:p>
      <w:pPr>
        <w:pStyle w:val="11"/>
        <w:adjustRightInd w:val="0"/>
        <w:snapToGrid w:val="0"/>
        <w:spacing w:line="440" w:lineRule="exact"/>
        <w:jc w:val="left"/>
        <w:rPr>
          <w:sz w:val="24"/>
        </w:rPr>
      </w:pPr>
      <w:r>
        <w:rPr>
          <w:rFonts w:hint="eastAsia"/>
          <w:sz w:val="24"/>
        </w:rPr>
        <w:t>十一、国有资本经营预算财政拨款收入支出决算表</w:t>
      </w:r>
    </w:p>
    <w:p>
      <w:pPr>
        <w:pStyle w:val="11"/>
        <w:adjustRightInd w:val="0"/>
        <w:snapToGrid w:val="0"/>
        <w:spacing w:line="440" w:lineRule="exact"/>
        <w:jc w:val="left"/>
        <w:rPr>
          <w:sz w:val="24"/>
        </w:rPr>
      </w:pPr>
      <w:r>
        <w:rPr>
          <w:rFonts w:hint="eastAsia"/>
          <w:sz w:val="24"/>
        </w:rPr>
        <w:t>十二、国有资本经营预算财政拨款支出决算表</w:t>
      </w:r>
    </w:p>
    <w:p>
      <w:pPr>
        <w:pStyle w:val="11"/>
        <w:adjustRightInd w:val="0"/>
        <w:snapToGrid w:val="0"/>
        <w:spacing w:line="440" w:lineRule="exact"/>
        <w:jc w:val="left"/>
        <w:rPr>
          <w:sz w:val="24"/>
        </w:rPr>
      </w:pPr>
      <w:r>
        <w:rPr>
          <w:rFonts w:hint="eastAsia"/>
          <w:sz w:val="24"/>
        </w:rPr>
        <w:t>十三、财政拨款“三公”经费支出决算表</w:t>
      </w:r>
    </w:p>
    <w:p>
      <w:pPr>
        <w:widowControl/>
        <w:adjustRightInd w:val="0"/>
        <w:snapToGrid w:val="0"/>
        <w:spacing w:line="440" w:lineRule="exact"/>
        <w:jc w:val="left"/>
        <w:rPr>
          <w:rFonts w:ascii="仿宋" w:hAnsi="仿宋" w:eastAsia="仿宋"/>
          <w:sz w:val="24"/>
        </w:rPr>
      </w:pPr>
    </w:p>
    <w:p>
      <w:pPr>
        <w:widowControl/>
        <w:spacing w:line="440" w:lineRule="exact"/>
        <w:jc w:val="left"/>
        <w:rPr>
          <w:rFonts w:ascii="仿宋" w:hAnsi="仿宋" w:eastAsia="仿宋"/>
          <w:bCs/>
          <w:kern w:val="44"/>
          <w:sz w:val="24"/>
        </w:rPr>
      </w:pPr>
      <w:r>
        <w:rPr>
          <w:rFonts w:ascii="仿宋" w:hAnsi="仿宋" w:eastAsia="仿宋"/>
          <w:b/>
          <w:sz w:val="24"/>
        </w:rPr>
        <w:br w:type="page"/>
      </w:r>
    </w:p>
    <w:p>
      <w:pPr>
        <w:pStyle w:val="11"/>
        <w:adjustRightInd w:val="0"/>
        <w:snapToGrid w:val="0"/>
        <w:spacing w:line="520" w:lineRule="exact"/>
        <w:ind w:firstLine="630" w:firstLineChars="300"/>
        <w:jc w:val="left"/>
        <w:sectPr>
          <w:headerReference r:id="rId3" w:type="default"/>
          <w:footerReference r:id="rId4" w:type="default"/>
          <w:pgSz w:w="11906" w:h="16838"/>
          <w:pgMar w:top="1701" w:right="1474" w:bottom="1701" w:left="1587" w:header="851" w:footer="1304" w:gutter="0"/>
          <w:pgNumType w:start="1"/>
          <w:cols w:space="0" w:num="1"/>
          <w:docGrid w:type="lines" w:linePitch="312" w:charSpace="0"/>
        </w:sectPr>
      </w:pPr>
    </w:p>
    <w:p>
      <w:pPr>
        <w:pStyle w:val="3"/>
        <w:jc w:val="center"/>
        <w:rPr>
          <w:rStyle w:val="27"/>
          <w:rFonts w:ascii="黑体" w:hAnsi="黑体" w:eastAsia="黑体"/>
          <w:b/>
          <w:bCs w:val="0"/>
        </w:rPr>
      </w:pPr>
      <w:bookmarkStart w:id="13" w:name="_Toc10883"/>
      <w:r>
        <w:rPr>
          <w:rFonts w:hint="eastAsia" w:ascii="黑体" w:hAnsi="黑体" w:eastAsia="黑体"/>
          <w:b w:val="0"/>
        </w:rPr>
        <w:t>第一部分 单位</w:t>
      </w:r>
      <w:r>
        <w:rPr>
          <w:rStyle w:val="27"/>
          <w:rFonts w:hint="eastAsia" w:ascii="黑体" w:hAnsi="黑体" w:eastAsia="黑体"/>
          <w:b w:val="0"/>
          <w:bCs w:val="0"/>
        </w:rPr>
        <w:t>概况</w:t>
      </w:r>
      <w:bookmarkEnd w:id="5"/>
      <w:bookmarkEnd w:id="6"/>
      <w:bookmarkEnd w:id="13"/>
    </w:p>
    <w:p>
      <w:pPr>
        <w:pStyle w:val="5"/>
        <w:snapToGrid w:val="0"/>
        <w:spacing w:before="0" w:after="0" w:line="560" w:lineRule="exact"/>
        <w:ind w:firstLine="640" w:firstLineChars="200"/>
        <w:rPr>
          <w:rFonts w:ascii="仿宋" w:hAnsi="仿宋" w:eastAsia="仿宋"/>
          <w:sz w:val="32"/>
          <w:szCs w:val="32"/>
        </w:rPr>
      </w:pPr>
      <w:bookmarkStart w:id="14" w:name="_Toc25654"/>
      <w:bookmarkStart w:id="15" w:name="_Toc15377197"/>
      <w:bookmarkStart w:id="16" w:name="_Toc15396600"/>
      <w:r>
        <w:rPr>
          <w:rStyle w:val="28"/>
          <w:rFonts w:hint="eastAsia" w:ascii="黑体" w:hAnsi="黑体" w:eastAsia="黑体"/>
          <w:b w:val="0"/>
          <w:bCs w:val="0"/>
        </w:rPr>
        <w:t>一、</w:t>
      </w:r>
      <w:bookmarkEnd w:id="14"/>
      <w:r>
        <w:rPr>
          <w:rStyle w:val="28"/>
          <w:rFonts w:hint="eastAsia" w:ascii="黑体" w:hAnsi="黑体" w:eastAsia="黑体"/>
          <w:b w:val="0"/>
          <w:bCs w:val="0"/>
          <w:lang w:val="en-US" w:eastAsia="zh-CN"/>
        </w:rPr>
        <w:t>主要职责</w:t>
      </w:r>
      <w:bookmarkStart w:id="17" w:name="_Toc16074"/>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1．贯彻执行党和国家关于教育改革和发展的各项方针、政策，拟订全校教育事业发展规划和有关教育的规范性文件并组织实施；指导协调学校各部门的教育、教学体制改革。</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3．负责推进义务教育均衡发展和促进教育公平，负责义务教育的宏观指导与协调；指导学校全面实施素质教育；督促检查学校各类学校的办学标准、教学基本要求、教学基本条件的落实情况。</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4.促进基础教育发展，教育学生成长为德学兼备、思想端正的学生，让学生获得基本的基础知识，尽可能培养其自学能力。</w:t>
      </w:r>
    </w:p>
    <w:bookmarkEnd w:id="15"/>
    <w:bookmarkEnd w:id="16"/>
    <w:bookmarkEnd w:id="17"/>
    <w:p>
      <w:pPr>
        <w:snapToGrid w:val="0"/>
        <w:spacing w:line="560" w:lineRule="exact"/>
        <w:outlineLvl w:val="2"/>
        <w:rPr>
          <w:rFonts w:hint="eastAsia" w:ascii="黑体" w:hAnsi="黑体" w:eastAsia="黑体" w:cs="黑体"/>
          <w:sz w:val="32"/>
          <w:szCs w:val="32"/>
          <w:lang w:val="en-US" w:eastAsia="zh-CN"/>
        </w:rPr>
      </w:pPr>
      <w:bookmarkStart w:id="18" w:name="_Toc15396602"/>
      <w:bookmarkStart w:id="19" w:name="_Toc15377204"/>
      <w:bookmarkStart w:id="20" w:name="_Toc9138"/>
      <w:r>
        <w:rPr>
          <w:rFonts w:hint="eastAsia" w:ascii="黑体" w:hAnsi="黑体" w:eastAsia="黑体" w:cs="黑体"/>
          <w:sz w:val="32"/>
          <w:szCs w:val="32"/>
          <w:lang w:val="en-US" w:eastAsia="zh-CN"/>
        </w:rPr>
        <w:t>二、机构设置</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s="仿宋"/>
          <w:sz w:val="28"/>
          <w:szCs w:val="28"/>
        </w:rPr>
        <w:t>1、</w:t>
      </w:r>
      <w:r>
        <w:rPr>
          <w:rFonts w:hint="eastAsia" w:ascii="仿宋" w:hAnsi="仿宋" w:eastAsia="仿宋" w:cs="仿宋"/>
          <w:sz w:val="28"/>
          <w:szCs w:val="28"/>
          <w:lang w:val="en-US" w:eastAsia="zh-CN"/>
        </w:rPr>
        <w:t>龙潭小学</w:t>
      </w:r>
      <w:r>
        <w:rPr>
          <w:rFonts w:hint="eastAsia" w:ascii="仿宋" w:hAnsi="仿宋" w:eastAsia="仿宋" w:cs="仿宋"/>
          <w:sz w:val="28"/>
          <w:szCs w:val="28"/>
        </w:rPr>
        <w:t>是经利州区编制委员会批准成立的，隶属区教</w:t>
      </w:r>
      <w:r>
        <w:rPr>
          <w:rFonts w:hint="eastAsia" w:ascii="仿宋" w:hAnsi="仿宋" w:eastAsia="仿宋"/>
          <w:color w:val="auto"/>
          <w:kern w:val="0"/>
          <w:sz w:val="28"/>
          <w:szCs w:val="28"/>
          <w:highlight w:val="none"/>
        </w:rPr>
        <w:t>育局领导下的一所农村</w:t>
      </w:r>
      <w:r>
        <w:rPr>
          <w:rFonts w:hint="eastAsia" w:ascii="仿宋" w:hAnsi="仿宋" w:eastAsia="仿宋"/>
          <w:color w:val="auto"/>
          <w:kern w:val="0"/>
          <w:sz w:val="28"/>
          <w:szCs w:val="28"/>
          <w:highlight w:val="none"/>
          <w:lang w:val="en-US" w:eastAsia="zh-CN"/>
        </w:rPr>
        <w:t>小学</w:t>
      </w:r>
      <w:r>
        <w:rPr>
          <w:rFonts w:hint="eastAsia" w:ascii="仿宋" w:hAnsi="仿宋" w:eastAsia="仿宋"/>
          <w:color w:val="auto"/>
          <w:kern w:val="0"/>
          <w:sz w:val="28"/>
          <w:szCs w:val="28"/>
          <w:highlight w:val="none"/>
        </w:rPr>
        <w:t>。主要职能：实施</w:t>
      </w:r>
      <w:r>
        <w:rPr>
          <w:rFonts w:hint="eastAsia" w:ascii="仿宋" w:hAnsi="仿宋" w:eastAsia="仿宋"/>
          <w:color w:val="auto"/>
          <w:kern w:val="0"/>
          <w:sz w:val="28"/>
          <w:szCs w:val="28"/>
          <w:highlight w:val="none"/>
          <w:lang w:val="en-US" w:eastAsia="zh-CN"/>
        </w:rPr>
        <w:t>小学</w:t>
      </w:r>
      <w:r>
        <w:rPr>
          <w:rFonts w:hint="eastAsia" w:ascii="仿宋" w:hAnsi="仿宋" w:eastAsia="仿宋"/>
          <w:color w:val="auto"/>
          <w:kern w:val="0"/>
          <w:sz w:val="28"/>
          <w:szCs w:val="28"/>
          <w:highlight w:val="none"/>
        </w:rPr>
        <w:t>教育，</w:t>
      </w:r>
      <w:r>
        <w:rPr>
          <w:rFonts w:hint="eastAsia" w:ascii="仿宋" w:hAnsi="仿宋" w:eastAsia="仿宋"/>
          <w:color w:val="auto"/>
          <w:kern w:val="0"/>
          <w:sz w:val="28"/>
          <w:szCs w:val="28"/>
          <w:highlight w:val="none"/>
          <w:lang w:val="en-US" w:eastAsia="zh-CN"/>
        </w:rPr>
        <w:t>促进基础教育发展</w:t>
      </w:r>
      <w:r>
        <w:rPr>
          <w:rFonts w:hint="eastAsia" w:ascii="仿宋" w:hAnsi="仿宋" w:eastAsia="仿宋"/>
          <w:color w:val="auto"/>
          <w:kern w:val="0"/>
          <w:sz w:val="28"/>
          <w:szCs w:val="28"/>
          <w:highlight w:val="none"/>
        </w:rPr>
        <w:t>。</w:t>
      </w:r>
    </w:p>
    <w:p>
      <w:pPr>
        <w:widowControl/>
        <w:ind w:firstLine="560" w:firstLineChars="200"/>
        <w:jc w:val="left"/>
        <w:rPr>
          <w:rFonts w:hint="eastAsia" w:ascii="仿宋" w:hAnsi="仿宋" w:eastAsia="仿宋"/>
          <w:color w:val="auto"/>
          <w:kern w:val="0"/>
          <w:sz w:val="28"/>
          <w:szCs w:val="28"/>
          <w:highlight w:val="none"/>
        </w:rPr>
      </w:pPr>
      <w:r>
        <w:rPr>
          <w:rFonts w:hint="eastAsia" w:ascii="仿宋" w:hAnsi="仿宋" w:eastAsia="仿宋"/>
          <w:color w:val="auto"/>
          <w:kern w:val="0"/>
          <w:sz w:val="28"/>
          <w:szCs w:val="28"/>
          <w:highlight w:val="none"/>
        </w:rPr>
        <w:t>2、</w:t>
      </w:r>
      <w:r>
        <w:rPr>
          <w:rFonts w:hint="eastAsia" w:ascii="仿宋" w:hAnsi="仿宋" w:eastAsia="仿宋"/>
          <w:color w:val="auto"/>
          <w:kern w:val="0"/>
          <w:sz w:val="28"/>
          <w:szCs w:val="28"/>
          <w:highlight w:val="none"/>
          <w:lang w:val="en-US" w:eastAsia="zh-CN"/>
        </w:rPr>
        <w:t>龙潭小学</w:t>
      </w:r>
      <w:r>
        <w:rPr>
          <w:rFonts w:hint="eastAsia" w:ascii="仿宋" w:hAnsi="仿宋" w:eastAsia="仿宋"/>
          <w:color w:val="auto"/>
          <w:kern w:val="0"/>
          <w:sz w:val="28"/>
          <w:szCs w:val="28"/>
          <w:highlight w:val="none"/>
        </w:rPr>
        <w:t>是</w:t>
      </w:r>
      <w:r>
        <w:rPr>
          <w:rFonts w:hint="eastAsia" w:ascii="仿宋" w:hAnsi="仿宋" w:eastAsia="仿宋"/>
          <w:color w:val="auto"/>
          <w:kern w:val="0"/>
          <w:sz w:val="28"/>
          <w:szCs w:val="28"/>
          <w:highlight w:val="none"/>
          <w:lang w:val="en-US" w:eastAsia="zh-CN"/>
        </w:rPr>
        <w:t>利州</w:t>
      </w:r>
      <w:r>
        <w:rPr>
          <w:rFonts w:hint="eastAsia" w:ascii="仿宋" w:hAnsi="仿宋" w:eastAsia="仿宋"/>
          <w:color w:val="auto"/>
          <w:kern w:val="0"/>
          <w:sz w:val="28"/>
          <w:szCs w:val="28"/>
          <w:highlight w:val="none"/>
        </w:rPr>
        <w:t>区编制委员会命名的独立法人机构，为经费独立核算单位。</w:t>
      </w:r>
    </w:p>
    <w:p>
      <w:pPr>
        <w:pStyle w:val="3"/>
        <w:ind w:right="440"/>
        <w:jc w:val="center"/>
        <w:rPr>
          <w:rFonts w:hint="eastAsia" w:ascii="黑体" w:hAnsi="黑体" w:eastAsia="黑体"/>
          <w:b w:val="0"/>
          <w:bCs/>
          <w:color w:val="auto"/>
          <w:highlight w:val="none"/>
        </w:rPr>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pPr>
    </w:p>
    <w:p>
      <w:pPr>
        <w:pStyle w:val="2"/>
        <w:rPr>
          <w:rFonts w:hint="eastAsia"/>
          <w:lang w:val="en-US" w:eastAsia="zh-CN"/>
        </w:rPr>
      </w:pPr>
    </w:p>
    <w:p>
      <w:pPr>
        <w:snapToGrid w:val="0"/>
        <w:spacing w:line="560" w:lineRule="exact"/>
        <w:outlineLvl w:val="2"/>
        <w:rPr>
          <w:rStyle w:val="27"/>
          <w:rFonts w:ascii="黑体" w:hAnsi="黑体" w:eastAsia="黑体"/>
          <w:bCs w:val="0"/>
        </w:rPr>
      </w:pPr>
      <w:r>
        <w:rPr>
          <w:rStyle w:val="27"/>
          <w:rFonts w:hint="eastAsia" w:ascii="黑体" w:hAnsi="黑体"/>
          <w:bCs w:val="0"/>
        </w:rPr>
        <w:t>第二部分 2022年度</w:t>
      </w:r>
      <w:r>
        <w:rPr>
          <w:rStyle w:val="27"/>
          <w:rFonts w:hint="eastAsia" w:ascii="黑体" w:hAnsi="黑体" w:eastAsia="黑体"/>
          <w:b w:val="0"/>
        </w:rPr>
        <w:t>单位决算情况说明</w:t>
      </w:r>
      <w:bookmarkEnd w:id="18"/>
      <w:bookmarkEnd w:id="19"/>
      <w:bookmarkEnd w:id="20"/>
    </w:p>
    <w:p/>
    <w:p>
      <w:pPr>
        <w:pStyle w:val="26"/>
        <w:spacing w:line="600" w:lineRule="exact"/>
        <w:ind w:left="640" w:firstLine="0" w:firstLineChars="0"/>
        <w:outlineLvl w:val="1"/>
        <w:rPr>
          <w:rStyle w:val="28"/>
          <w:rFonts w:ascii="黑体" w:hAnsi="黑体" w:eastAsia="黑体"/>
          <w:b w:val="0"/>
        </w:rPr>
      </w:pPr>
      <w:bookmarkStart w:id="21" w:name="_Toc15377205"/>
      <w:bookmarkStart w:id="22" w:name="_Toc15396603"/>
      <w:bookmarkStart w:id="23" w:name="_Toc13314"/>
      <w:r>
        <w:rPr>
          <w:rFonts w:hint="eastAsia" w:ascii="黑体" w:hAnsi="黑体" w:eastAsia="黑体"/>
          <w:sz w:val="32"/>
          <w:szCs w:val="32"/>
        </w:rPr>
        <w:t>一、收</w:t>
      </w:r>
      <w:r>
        <w:rPr>
          <w:rStyle w:val="28"/>
          <w:rFonts w:hint="eastAsia" w:ascii="黑体" w:hAnsi="黑体" w:eastAsia="黑体"/>
          <w:b w:val="0"/>
        </w:rPr>
        <w:t>入支出决算总体情况说明</w:t>
      </w:r>
      <w:bookmarkEnd w:id="21"/>
      <w:bookmarkEnd w:id="22"/>
      <w:bookmarkEnd w:id="23"/>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2022年度收入总计</w:t>
      </w:r>
      <w:r>
        <w:rPr>
          <w:rFonts w:hint="eastAsia" w:ascii="仿宋" w:hAnsi="仿宋" w:eastAsia="仿宋"/>
          <w:sz w:val="32"/>
          <w:szCs w:val="32"/>
          <w:lang w:val="en-US" w:eastAsia="zh-CN"/>
        </w:rPr>
        <w:t>1240.23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含结转资金195.53万元）</w:t>
      </w:r>
      <w:r>
        <w:rPr>
          <w:rFonts w:hint="eastAsia" w:ascii="仿宋" w:hAnsi="仿宋" w:eastAsia="仿宋"/>
          <w:sz w:val="32"/>
          <w:szCs w:val="32"/>
        </w:rPr>
        <w:t>。与2021年相比，收入总计（</w:t>
      </w:r>
      <w:r>
        <w:rPr>
          <w:rFonts w:ascii="仿宋" w:hAnsi="仿宋" w:eastAsia="仿宋"/>
          <w:sz w:val="32"/>
          <w:szCs w:val="32"/>
        </w:rPr>
        <w:t>1014.13</w:t>
      </w:r>
      <w:r>
        <w:rPr>
          <w:rFonts w:hint="eastAsia" w:ascii="仿宋" w:hAnsi="仿宋" w:eastAsia="仿宋"/>
          <w:sz w:val="32"/>
          <w:szCs w:val="32"/>
        </w:rPr>
        <w:t>万元）增加</w:t>
      </w:r>
      <w:r>
        <w:rPr>
          <w:rFonts w:hint="eastAsia" w:ascii="仿宋" w:hAnsi="仿宋" w:eastAsia="仿宋"/>
          <w:sz w:val="32"/>
          <w:szCs w:val="32"/>
          <w:lang w:val="en-US" w:eastAsia="zh-CN"/>
        </w:rPr>
        <w:t>226.10</w:t>
      </w:r>
      <w:r>
        <w:rPr>
          <w:rFonts w:hint="eastAsia" w:ascii="仿宋" w:hAnsi="仿宋" w:eastAsia="仿宋"/>
          <w:sz w:val="32"/>
          <w:szCs w:val="32"/>
        </w:rPr>
        <w:t>万元，增加</w:t>
      </w:r>
      <w:r>
        <w:rPr>
          <w:rFonts w:hint="eastAsia" w:ascii="仿宋" w:hAnsi="仿宋" w:eastAsia="仿宋"/>
          <w:sz w:val="32"/>
          <w:szCs w:val="32"/>
          <w:lang w:val="en-US" w:eastAsia="zh-CN"/>
        </w:rPr>
        <w:t>22.29</w:t>
      </w:r>
      <w:r>
        <w:rPr>
          <w:rFonts w:ascii="仿宋" w:hAnsi="仿宋" w:eastAsia="仿宋"/>
          <w:sz w:val="32"/>
          <w:szCs w:val="32"/>
        </w:rPr>
        <w:t>%</w:t>
      </w:r>
      <w:r>
        <w:rPr>
          <w:rFonts w:hint="eastAsia" w:ascii="仿宋" w:hAnsi="仿宋" w:eastAsia="仿宋"/>
          <w:sz w:val="32"/>
          <w:szCs w:val="32"/>
        </w:rPr>
        <w:t>。主要变动原因</w:t>
      </w:r>
      <w:bookmarkStart w:id="24" w:name="_Toc15377206"/>
      <w:bookmarkStart w:id="25" w:name="_Toc12072"/>
      <w:bookmarkStart w:id="26" w:name="_Toc15396604"/>
      <w:r>
        <w:rPr>
          <w:rStyle w:val="17"/>
          <w:rFonts w:hint="eastAsia" w:ascii="仿宋" w:hAnsi="仿宋" w:eastAsia="仿宋" w:cstheme="minorBidi"/>
          <w:b w:val="0"/>
          <w:bCs/>
          <w:color w:val="000000" w:themeColor="text1"/>
          <w:sz w:val="32"/>
          <w:szCs w:val="32"/>
          <w14:textFill>
            <w14:solidFill>
              <w14:schemeClr w14:val="tx1"/>
            </w14:solidFill>
          </w14:textFill>
        </w:rPr>
        <w:t>校舍维修改造资金增加和人员工资增加</w:t>
      </w:r>
      <w:r>
        <w:rPr>
          <w:rFonts w:hint="eastAsia" w:ascii="仿宋" w:hAnsi="仿宋" w:eastAsia="仿宋"/>
          <w:color w:val="000000" w:themeColor="text1"/>
          <w:spacing w:val="-6"/>
          <w:sz w:val="32"/>
          <w:szCs w:val="32"/>
          <w14:textFill>
            <w14:solidFill>
              <w14:schemeClr w14:val="tx1"/>
            </w14:solidFill>
          </w14:textFill>
        </w:rPr>
        <w:t>。</w:t>
      </w:r>
    </w:p>
    <w:p>
      <w:pPr>
        <w:spacing w:line="600" w:lineRule="exact"/>
        <w:ind w:firstLine="640" w:firstLineChars="200"/>
        <w:outlineLvl w:val="2"/>
        <w:rPr>
          <w:rFonts w:ascii="仿宋" w:hAnsi="仿宋" w:eastAsia="仿宋"/>
          <w:sz w:val="32"/>
          <w:szCs w:val="32"/>
          <w14:textFill>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pPr>
      <w:r>
        <w:rPr>
          <w:rFonts w:ascii="仿宋_GB2312" w:eastAsia="仿宋_GB2312"/>
          <w:sz w:val="32"/>
          <w:szCs w:val="32"/>
        </w:rPr>
        <w:drawing>
          <wp:anchor distT="0" distB="0" distL="114300" distR="114300" simplePos="0" relativeHeight="251659264" behindDoc="1" locked="0" layoutInCell="1" allowOverlap="1">
            <wp:simplePos x="0" y="0"/>
            <wp:positionH relativeFrom="column">
              <wp:posOffset>80010</wp:posOffset>
            </wp:positionH>
            <wp:positionV relativeFrom="paragraph">
              <wp:posOffset>265430</wp:posOffset>
            </wp:positionV>
            <wp:extent cx="5118100" cy="2514600"/>
            <wp:effectExtent l="0" t="0" r="6350" b="0"/>
            <wp:wrapTight wrapText="bothSides">
              <wp:wrapPolygon>
                <wp:start x="0" y="0"/>
                <wp:lineTo x="0" y="21436"/>
                <wp:lineTo x="21546" y="21436"/>
                <wp:lineTo x="21546" y="0"/>
                <wp:lineTo x="0" y="0"/>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pPr>
        <w:spacing w:line="600" w:lineRule="exact"/>
        <w:ind w:firstLine="640" w:firstLineChars="200"/>
        <w:outlineLvl w:val="2"/>
        <w:rPr>
          <w:rStyle w:val="28"/>
          <w:rFonts w:ascii="黑体" w:hAnsi="黑体" w:eastAsia="黑体"/>
          <w:b w:val="0"/>
        </w:rPr>
      </w:pPr>
      <w:r>
        <w:rPr>
          <w:rFonts w:hint="eastAsia" w:ascii="黑体" w:hAnsi="黑体" w:eastAsia="黑体"/>
          <w:sz w:val="32"/>
          <w:szCs w:val="32"/>
        </w:rPr>
        <w:t>二、收</w:t>
      </w:r>
      <w:r>
        <w:rPr>
          <w:rStyle w:val="28"/>
          <w:rFonts w:hint="eastAsia" w:ascii="黑体" w:hAnsi="黑体" w:eastAsia="黑体"/>
          <w:b w:val="0"/>
        </w:rPr>
        <w:t>入决算情况说明</w:t>
      </w:r>
      <w:bookmarkEnd w:id="24"/>
      <w:bookmarkEnd w:id="25"/>
      <w:bookmarkEnd w:id="26"/>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22年本年收入合计1044.70万元，其中：一般公共预算财政拨款收入1044.65万元，占</w:t>
      </w:r>
      <w:r>
        <w:rPr>
          <w:rFonts w:hint="eastAsia" w:ascii="仿宋" w:hAnsi="仿宋" w:eastAsia="仿宋"/>
          <w:sz w:val="32"/>
          <w:szCs w:val="32"/>
          <w:lang w:val="en-US" w:eastAsia="zh-CN"/>
        </w:rPr>
        <w:t>99.999</w:t>
      </w:r>
      <w:r>
        <w:rPr>
          <w:rFonts w:ascii="仿宋" w:hAnsi="仿宋" w:eastAsia="仿宋"/>
          <w:sz w:val="32"/>
          <w:szCs w:val="32"/>
        </w:rPr>
        <w:t>%</w:t>
      </w:r>
      <w:r>
        <w:rPr>
          <w:rFonts w:hint="eastAsia" w:ascii="仿宋" w:hAnsi="仿宋" w:eastAsia="仿宋"/>
          <w:sz w:val="32"/>
          <w:szCs w:val="32"/>
        </w:rPr>
        <w:t>；其他收入0.05万元，占0.0</w:t>
      </w:r>
      <w:r>
        <w:rPr>
          <w:rFonts w:hint="eastAsia" w:ascii="仿宋" w:hAnsi="仿宋" w:eastAsia="仿宋"/>
          <w:sz w:val="32"/>
          <w:szCs w:val="32"/>
          <w:lang w:val="en-US" w:eastAsia="zh-CN"/>
        </w:rPr>
        <w:t>01</w:t>
      </w:r>
      <w:r>
        <w:rPr>
          <w:rFonts w:ascii="仿宋" w:hAnsi="仿宋" w:eastAsia="仿宋"/>
          <w:sz w:val="32"/>
          <w:szCs w:val="32"/>
        </w:rPr>
        <w:t>%</w:t>
      </w:r>
      <w:r>
        <w:rPr>
          <w:rFonts w:hint="eastAsia" w:ascii="仿宋" w:hAnsi="仿宋" w:eastAsia="仿宋"/>
          <w:sz w:val="32"/>
          <w:szCs w:val="32"/>
        </w:rPr>
        <w:t>。</w:t>
      </w:r>
    </w:p>
    <w:p>
      <w:pPr>
        <w:spacing w:line="600" w:lineRule="exact"/>
        <w:jc w:val="center"/>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28575</wp:posOffset>
            </wp:positionH>
            <wp:positionV relativeFrom="paragraph">
              <wp:posOffset>142875</wp:posOffset>
            </wp:positionV>
            <wp:extent cx="5274310" cy="3076575"/>
            <wp:effectExtent l="5080" t="4445" r="16510" b="5080"/>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（图2：收入决算结构图）（饼状图）</w:t>
      </w:r>
    </w:p>
    <w:p>
      <w:pPr>
        <w:pStyle w:val="26"/>
        <w:spacing w:line="600" w:lineRule="exact"/>
        <w:ind w:left="640" w:firstLine="0" w:firstLineChars="0"/>
        <w:outlineLvl w:val="1"/>
        <w:rPr>
          <w:rStyle w:val="28"/>
          <w:rFonts w:ascii="黑体" w:hAnsi="黑体" w:eastAsia="黑体"/>
          <w:b w:val="0"/>
        </w:rPr>
      </w:pPr>
      <w:bookmarkStart w:id="27" w:name="_Toc15842"/>
      <w:bookmarkStart w:id="28" w:name="_Toc15396605"/>
      <w:bookmarkStart w:id="29" w:name="_Toc15377207"/>
      <w:r>
        <w:rPr>
          <w:rFonts w:hint="eastAsia" w:ascii="黑体" w:hAnsi="黑体" w:eastAsia="黑体"/>
          <w:sz w:val="32"/>
          <w:szCs w:val="32"/>
        </w:rPr>
        <w:t>三、支</w:t>
      </w:r>
      <w:r>
        <w:rPr>
          <w:rStyle w:val="28"/>
          <w:rFonts w:hint="eastAsia" w:ascii="黑体" w:hAnsi="黑体" w:eastAsia="黑体"/>
          <w:b w:val="0"/>
        </w:rPr>
        <w:t>出决算情况说明</w:t>
      </w:r>
      <w:bookmarkEnd w:id="27"/>
      <w:bookmarkEnd w:id="28"/>
      <w:bookmarkEnd w:id="29"/>
    </w:p>
    <w:p>
      <w:pPr>
        <w:spacing w:line="600" w:lineRule="exact"/>
        <w:ind w:firstLine="640" w:firstLineChars="20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22年本年支出合计1240.18万元，其中：基本支出844.01万元，占68.06</w:t>
      </w:r>
      <w:r>
        <w:rPr>
          <w:rFonts w:ascii="仿宋" w:hAnsi="仿宋" w:eastAsia="仿宋"/>
          <w:sz w:val="32"/>
          <w:szCs w:val="32"/>
        </w:rPr>
        <w:t>%</w:t>
      </w:r>
      <w:r>
        <w:rPr>
          <w:rFonts w:hint="eastAsia" w:ascii="仿宋" w:hAnsi="仿宋" w:eastAsia="仿宋"/>
          <w:sz w:val="32"/>
          <w:szCs w:val="32"/>
        </w:rPr>
        <w:t>；项目支出396.17万元，占31.94</w:t>
      </w:r>
      <w:r>
        <w:rPr>
          <w:rFonts w:ascii="仿宋" w:hAnsi="仿宋" w:eastAsia="仿宋"/>
          <w:sz w:val="32"/>
          <w:szCs w:val="32"/>
        </w:rPr>
        <w:t>%</w:t>
      </w:r>
      <w:r>
        <w:rPr>
          <w:rFonts w:hint="eastAsia" w:ascii="仿宋" w:hAnsi="仿宋" w:eastAsia="仿宋"/>
          <w:sz w:val="32"/>
          <w:szCs w:val="32"/>
        </w:rPr>
        <w:t>。</w:t>
      </w:r>
    </w:p>
    <w:p>
      <w:pPr>
        <w:spacing w:line="600" w:lineRule="exact"/>
        <w:ind w:firstLine="640"/>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2336" behindDoc="0" locked="0" layoutInCell="1" allowOverlap="1">
            <wp:simplePos x="0" y="0"/>
            <wp:positionH relativeFrom="column">
              <wp:posOffset>0</wp:posOffset>
            </wp:positionH>
            <wp:positionV relativeFrom="paragraph">
              <wp:posOffset>178435</wp:posOffset>
            </wp:positionV>
            <wp:extent cx="5298440" cy="2101215"/>
            <wp:effectExtent l="4445" t="4445" r="12065" b="889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（图3：支出决算结构图）（饼状图）</w:t>
      </w:r>
    </w:p>
    <w:p>
      <w:pPr>
        <w:spacing w:line="600" w:lineRule="exact"/>
        <w:ind w:firstLine="640" w:firstLineChars="200"/>
        <w:outlineLvl w:val="1"/>
        <w:rPr>
          <w:rStyle w:val="28"/>
          <w:rFonts w:ascii="黑体" w:hAnsi="黑体" w:eastAsia="黑体"/>
          <w:b w:val="0"/>
        </w:rPr>
      </w:pPr>
      <w:bookmarkStart w:id="30" w:name="_Toc17374"/>
      <w:bookmarkStart w:id="31" w:name="_Toc15396606"/>
      <w:bookmarkStart w:id="32" w:name="_Toc15377208"/>
      <w:r>
        <w:rPr>
          <w:rFonts w:hint="eastAsia" w:ascii="黑体" w:hAnsi="黑体" w:eastAsia="黑体"/>
          <w:sz w:val="32"/>
          <w:szCs w:val="32"/>
        </w:rPr>
        <w:t>四、财</w:t>
      </w:r>
      <w:r>
        <w:rPr>
          <w:rStyle w:val="28"/>
          <w:rFonts w:hint="eastAsia" w:ascii="黑体" w:hAnsi="黑体" w:eastAsia="黑体"/>
          <w:b w:val="0"/>
        </w:rPr>
        <w:t>政拨款收入支出决算总体情况说明</w:t>
      </w:r>
      <w:bookmarkEnd w:id="30"/>
      <w:bookmarkEnd w:id="31"/>
      <w:bookmarkEnd w:id="32"/>
    </w:p>
    <w:p>
      <w:pPr>
        <w:spacing w:line="60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22年财政拨款收入总计1044.65万元。与</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1014.13</w:t>
      </w:r>
      <w:r>
        <w:rPr>
          <w:rFonts w:hint="eastAsia" w:ascii="仿宋" w:hAnsi="仿宋" w:eastAsia="仿宋"/>
          <w:sz w:val="32"/>
          <w:szCs w:val="32"/>
        </w:rPr>
        <w:t>万元）相比，财政拨款收入总计增加30.52万元，增加3.00</w:t>
      </w:r>
      <w:r>
        <w:rPr>
          <w:rFonts w:ascii="仿宋" w:hAnsi="仿宋" w:eastAsia="仿宋"/>
          <w:sz w:val="32"/>
          <w:szCs w:val="32"/>
        </w:rPr>
        <w:t>%</w:t>
      </w:r>
      <w:r>
        <w:rPr>
          <w:rFonts w:hint="eastAsia" w:ascii="仿宋" w:hAnsi="仿宋" w:eastAsia="仿宋"/>
          <w:sz w:val="32"/>
          <w:szCs w:val="32"/>
        </w:rPr>
        <w:t>。主要变动原因是</w:t>
      </w:r>
      <w:r>
        <w:rPr>
          <w:rStyle w:val="17"/>
          <w:rFonts w:hint="eastAsia" w:ascii="仿宋" w:hAnsi="仿宋" w:eastAsia="仿宋" w:cstheme="minorBidi"/>
          <w:b w:val="0"/>
          <w:bCs/>
          <w:color w:val="000000" w:themeColor="text1"/>
          <w:sz w:val="32"/>
          <w:szCs w:val="32"/>
          <w14:textFill>
            <w14:solidFill>
              <w14:schemeClr w14:val="tx1"/>
            </w14:solidFill>
          </w14:textFill>
        </w:rPr>
        <w:t>校舍维修资金和人员经费增加</w:t>
      </w:r>
      <w:r>
        <w:rPr>
          <w:rFonts w:hint="eastAsia" w:ascii="仿宋" w:hAnsi="仿宋" w:eastAsia="仿宋"/>
          <w:color w:val="000000" w:themeColor="text1"/>
          <w:sz w:val="32"/>
          <w:szCs w:val="32"/>
          <w14:textFill>
            <w14:solidFill>
              <w14:schemeClr w14:val="tx1"/>
            </w14:solidFill>
          </w14:textFill>
        </w:rPr>
        <w:t>。</w:t>
      </w:r>
    </w:p>
    <w:p>
      <w:pPr>
        <w:pStyle w:val="2"/>
        <w:spacing w:before="72"/>
        <w:outlineLvl w:val="2"/>
        <w:rPr>
          <w:rFonts w:ascii="仿宋" w:hAnsi="仿宋" w:eastAsia="仿宋"/>
          <w:sz w:val="32"/>
          <w:szCs w:val="32"/>
        </w:rPr>
      </w:pPr>
      <w:r>
        <w:rPr>
          <w:sz w:val="32"/>
          <w:szCs w:val="32"/>
        </w:rPr>
        <w:drawing>
          <wp:anchor distT="0" distB="0" distL="114300" distR="114300" simplePos="0" relativeHeight="251662336" behindDoc="1" locked="0" layoutInCell="1" allowOverlap="1">
            <wp:simplePos x="0" y="0"/>
            <wp:positionH relativeFrom="column">
              <wp:posOffset>-53340</wp:posOffset>
            </wp:positionH>
            <wp:positionV relativeFrom="paragraph">
              <wp:posOffset>86995</wp:posOffset>
            </wp:positionV>
            <wp:extent cx="5309235" cy="1728470"/>
            <wp:effectExtent l="5080" t="4445" r="19685" b="57785"/>
            <wp:wrapTight wrapText="bothSides">
              <wp:wrapPolygon>
                <wp:start x="-21" y="-56"/>
                <wp:lineTo x="-21" y="21370"/>
                <wp:lineTo x="21525" y="21370"/>
                <wp:lineTo x="21525" y="-56"/>
                <wp:lineTo x="-21" y="-56"/>
              </wp:wrapPolygon>
            </wp:wrapTight>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（图4：财政拨款收、支决算总计变动情况）（柱状图）</w:t>
      </w:r>
    </w:p>
    <w:p>
      <w:pPr>
        <w:spacing w:line="600" w:lineRule="exact"/>
        <w:ind w:firstLine="640" w:firstLineChars="200"/>
        <w:outlineLvl w:val="1"/>
        <w:rPr>
          <w:rStyle w:val="28"/>
          <w:rFonts w:ascii="黑体" w:hAnsi="黑体" w:eastAsia="黑体"/>
          <w:b w:val="0"/>
        </w:rPr>
      </w:pPr>
      <w:bookmarkStart w:id="33" w:name="_Toc15396607"/>
      <w:bookmarkStart w:id="34" w:name="_Toc15377209"/>
      <w:bookmarkStart w:id="35" w:name="_Toc17246"/>
      <w:r>
        <w:rPr>
          <w:rFonts w:hint="eastAsia" w:ascii="黑体" w:hAnsi="黑体" w:eastAsia="黑体"/>
          <w:sz w:val="32"/>
          <w:szCs w:val="32"/>
        </w:rPr>
        <w:t>五、</w:t>
      </w:r>
      <w:r>
        <w:rPr>
          <w:rFonts w:hint="eastAsia" w:ascii="黑体" w:hAnsi="黑体" w:eastAsia="黑体"/>
          <w:b/>
          <w:sz w:val="32"/>
          <w:szCs w:val="32"/>
        </w:rPr>
        <w:t>一</w:t>
      </w:r>
      <w:r>
        <w:rPr>
          <w:rStyle w:val="28"/>
          <w:rFonts w:hint="eastAsia" w:ascii="黑体" w:hAnsi="黑体" w:eastAsia="黑体"/>
          <w:b w:val="0"/>
        </w:rPr>
        <w:t>般公共预算财政拨款支出决算情况说明</w:t>
      </w:r>
      <w:bookmarkEnd w:id="33"/>
      <w:bookmarkEnd w:id="34"/>
      <w:bookmarkEnd w:id="35"/>
    </w:p>
    <w:p>
      <w:pPr>
        <w:spacing w:line="600" w:lineRule="exact"/>
        <w:ind w:firstLine="640" w:firstLineChars="200"/>
        <w:outlineLvl w:val="2"/>
        <w:rPr>
          <w:rFonts w:ascii="楷体" w:hAnsi="楷体" w:eastAsia="楷体" w:cs="楷体"/>
          <w:bCs/>
          <w:sz w:val="32"/>
          <w:szCs w:val="32"/>
        </w:rPr>
      </w:pPr>
      <w:bookmarkStart w:id="36" w:name="_Toc15377210"/>
      <w:r>
        <w:rPr>
          <w:rFonts w:hint="eastAsia" w:ascii="楷体" w:hAnsi="楷体" w:eastAsia="楷体" w:cs="楷体"/>
          <w:bCs/>
          <w:sz w:val="32"/>
          <w:szCs w:val="32"/>
        </w:rPr>
        <w:t>（一）一般公共预算财政拨款支出决算总体情况</w:t>
      </w:r>
      <w:bookmarkEnd w:id="36"/>
    </w:p>
    <w:p>
      <w:pPr>
        <w:spacing w:line="600" w:lineRule="exact"/>
        <w:ind w:firstLine="640" w:firstLineChars="200"/>
        <w:outlineLvl w:val="2"/>
        <w:rPr>
          <w:rFonts w:ascii="仿宋" w:hAnsi="仿宋" w:eastAsia="仿宋"/>
          <w:color w:val="000000" w:themeColor="text1"/>
          <w:sz w:val="32"/>
          <w:szCs w:val="32"/>
          <w14:textFill>
            <w14:solidFill>
              <w14:schemeClr w14:val="tx1"/>
            </w14:solidFill>
          </w14:textFill>
        </w:rPr>
      </w:pPr>
      <w:r>
        <w:rPr>
          <w:rFonts w:ascii="仿宋" w:hAnsi="仿宋" w:eastAsia="仿宋"/>
          <w:sz w:val="32"/>
          <w:szCs w:val="32"/>
        </w:rPr>
        <w:t>20</w:t>
      </w:r>
      <w:r>
        <w:rPr>
          <w:rFonts w:hint="eastAsia" w:ascii="仿宋" w:hAnsi="仿宋" w:eastAsia="仿宋"/>
          <w:sz w:val="32"/>
          <w:szCs w:val="32"/>
        </w:rPr>
        <w:t>22年一般公共预算财政拨款支出1240.18万元，占本年支出合计的100.00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21年（</w:t>
      </w:r>
      <w:r>
        <w:rPr>
          <w:rFonts w:ascii="仿宋" w:hAnsi="仿宋" w:eastAsia="仿宋"/>
          <w:sz w:val="32"/>
          <w:szCs w:val="32"/>
        </w:rPr>
        <w:t>925.31</w:t>
      </w:r>
      <w:r>
        <w:rPr>
          <w:rFonts w:hint="eastAsia" w:ascii="仿宋" w:hAnsi="仿宋" w:eastAsia="仿宋"/>
          <w:sz w:val="32"/>
          <w:szCs w:val="32"/>
        </w:rPr>
        <w:t>万元）相比，一般公共预算财政拨款支出增加314.87万元，增加34.03</w:t>
      </w:r>
      <w:r>
        <w:rPr>
          <w:rFonts w:ascii="仿宋" w:hAnsi="仿宋" w:eastAsia="仿宋"/>
          <w:sz w:val="32"/>
          <w:szCs w:val="32"/>
        </w:rPr>
        <w:t>%</w:t>
      </w:r>
      <w:r>
        <w:rPr>
          <w:rFonts w:hint="eastAsia" w:ascii="仿宋" w:hAnsi="仿宋" w:eastAsia="仿宋"/>
          <w:sz w:val="32"/>
          <w:szCs w:val="32"/>
        </w:rPr>
        <w:t>。校舍维修改造资金和人员经费增加</w:t>
      </w:r>
      <w:r>
        <w:rPr>
          <w:rFonts w:hint="eastAsia" w:ascii="仿宋" w:hAnsi="仿宋" w:eastAsia="仿宋"/>
          <w:color w:val="000000" w:themeColor="text1"/>
          <w:sz w:val="32"/>
          <w:szCs w:val="32"/>
          <w14:textFill>
            <w14:solidFill>
              <w14:schemeClr w14:val="tx1"/>
            </w14:solidFill>
          </w14:textFill>
        </w:rPr>
        <w:t>。</w:t>
      </w:r>
    </w:p>
    <w:p>
      <w:pPr>
        <w:spacing w:line="600" w:lineRule="exact"/>
        <w:outlineLvl w:val="2"/>
        <w:rPr>
          <w:rFonts w:ascii="仿宋" w:hAnsi="仿宋" w:eastAsia="仿宋"/>
          <w:sz w:val="32"/>
          <w:szCs w:val="32"/>
        </w:rPr>
      </w:pPr>
      <w:r>
        <w:rPr>
          <w:rFonts w:ascii="仿宋_GB2312" w:eastAsia="仿宋_GB2312"/>
          <w:sz w:val="32"/>
          <w:szCs w:val="32"/>
        </w:rPr>
        <w:drawing>
          <wp:anchor distT="0" distB="0" distL="114300" distR="114300" simplePos="0" relativeHeight="251663360" behindDoc="1" locked="0" layoutInCell="1" allowOverlap="1">
            <wp:simplePos x="0" y="0"/>
            <wp:positionH relativeFrom="column">
              <wp:posOffset>5080</wp:posOffset>
            </wp:positionH>
            <wp:positionV relativeFrom="paragraph">
              <wp:posOffset>280035</wp:posOffset>
            </wp:positionV>
            <wp:extent cx="5309235" cy="1728470"/>
            <wp:effectExtent l="5080" t="4445" r="19685" b="19685"/>
            <wp:wrapTight wrapText="bothSides">
              <wp:wrapPolygon>
                <wp:start x="-21" y="-56"/>
                <wp:lineTo x="-21" y="21370"/>
                <wp:lineTo x="21525" y="21370"/>
                <wp:lineTo x="21525" y="-56"/>
                <wp:lineTo x="-21" y="-56"/>
              </wp:wrapPolygon>
            </wp:wrapTight>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sz w:val="32"/>
          <w:szCs w:val="32"/>
        </w:rPr>
        <w:t>（图5：一般公共预算财政拨款支出决算变动情况）（柱状图）</w:t>
      </w:r>
    </w:p>
    <w:p>
      <w:pPr>
        <w:spacing w:line="600" w:lineRule="exact"/>
        <w:ind w:firstLine="640" w:firstLineChars="200"/>
        <w:outlineLvl w:val="2"/>
        <w:rPr>
          <w:rFonts w:ascii="楷体" w:hAnsi="楷体" w:eastAsia="楷体" w:cs="楷体"/>
          <w:bCs/>
          <w:sz w:val="32"/>
          <w:szCs w:val="32"/>
        </w:rPr>
      </w:pPr>
      <w:bookmarkStart w:id="37" w:name="_Toc15377211"/>
      <w:r>
        <w:rPr>
          <w:rFonts w:hint="eastAsia" w:ascii="楷体" w:hAnsi="楷体" w:eastAsia="楷体" w:cs="楷体"/>
          <w:bCs/>
          <w:sz w:val="32"/>
          <w:szCs w:val="32"/>
        </w:rPr>
        <w:t>（二）一般公共预算财政拨款支出决算结构情况</w:t>
      </w:r>
      <w:bookmarkEnd w:id="37"/>
    </w:p>
    <w:p>
      <w:pPr>
        <w:widowControl/>
        <w:ind w:firstLine="640" w:firstLineChars="20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22年一般公共预算财政拨款支出</w:t>
      </w:r>
      <w:r>
        <w:rPr>
          <w:rFonts w:hint="eastAsia" w:ascii="宋体" w:hAnsi="宋体" w:cs="Arial"/>
          <w:color w:val="000000"/>
          <w:kern w:val="0"/>
          <w:sz w:val="30"/>
          <w:szCs w:val="30"/>
        </w:rPr>
        <w:t>1240.23</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rPr>
        <w:t>1150.77万元，占</w:t>
      </w:r>
      <w:r>
        <w:rPr>
          <w:rFonts w:ascii="仿宋" w:hAnsi="仿宋" w:eastAsia="仿宋"/>
          <w:sz w:val="32"/>
          <w:szCs w:val="32"/>
        </w:rPr>
        <w:t>89%</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支出58.87万元，占9</w:t>
      </w:r>
      <w:r>
        <w:rPr>
          <w:rFonts w:ascii="仿宋" w:hAnsi="仿宋" w:eastAsia="仿宋"/>
          <w:sz w:val="32"/>
          <w:szCs w:val="32"/>
        </w:rPr>
        <w:t>.47%</w:t>
      </w:r>
      <w:r>
        <w:rPr>
          <w:rFonts w:hint="eastAsia" w:ascii="仿宋" w:hAnsi="仿宋" w:eastAsia="仿宋"/>
          <w:sz w:val="32"/>
          <w:szCs w:val="32"/>
        </w:rPr>
        <w:t>；</w:t>
      </w:r>
      <w:r>
        <w:rPr>
          <w:rFonts w:hint="eastAsia" w:ascii="仿宋" w:hAnsi="仿宋" w:eastAsia="仿宋"/>
          <w:b/>
          <w:bCs/>
          <w:sz w:val="32"/>
          <w:szCs w:val="32"/>
        </w:rPr>
        <w:t>卫生健康支出</w:t>
      </w:r>
      <w:r>
        <w:rPr>
          <w:rFonts w:hint="eastAsia" w:ascii="仿宋" w:hAnsi="仿宋" w:eastAsia="仿宋"/>
          <w:sz w:val="32"/>
          <w:szCs w:val="32"/>
        </w:rPr>
        <w:t>30.58万元，占</w:t>
      </w:r>
      <w:r>
        <w:rPr>
          <w:rFonts w:ascii="仿宋" w:hAnsi="仿宋" w:eastAsia="仿宋"/>
          <w:sz w:val="32"/>
          <w:szCs w:val="32"/>
        </w:rPr>
        <w:t>2.91%</w:t>
      </w:r>
      <w:r>
        <w:rPr>
          <w:rFonts w:hint="eastAsia" w:ascii="仿宋" w:hAnsi="仿宋" w:eastAsia="仿宋"/>
          <w:sz w:val="32"/>
          <w:szCs w:val="32"/>
        </w:rPr>
        <w:t>。</w:t>
      </w:r>
      <w:r>
        <w:rPr>
          <w:rFonts w:ascii="仿宋_GB2312" w:eastAsia="仿宋_GB2312"/>
          <w:sz w:val="32"/>
          <w:szCs w:val="32"/>
        </w:rPr>
        <w:drawing>
          <wp:anchor distT="0" distB="0" distL="114300" distR="114300" simplePos="0" relativeHeight="251660288" behindDoc="0" locked="0" layoutInCell="1" allowOverlap="1">
            <wp:simplePos x="0" y="0"/>
            <wp:positionH relativeFrom="column">
              <wp:posOffset>78740</wp:posOffset>
            </wp:positionH>
            <wp:positionV relativeFrom="paragraph">
              <wp:posOffset>797560</wp:posOffset>
            </wp:positionV>
            <wp:extent cx="5298440" cy="2101215"/>
            <wp:effectExtent l="0" t="0" r="16510" b="1333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b/>
          <w:sz w:val="32"/>
          <w:szCs w:val="32"/>
        </w:rPr>
        <w:t xml:space="preserve"> </w:t>
      </w:r>
    </w:p>
    <w:p>
      <w:pPr>
        <w:spacing w:line="600" w:lineRule="exact"/>
        <w:ind w:firstLine="640" w:firstLineChars="200"/>
        <w:outlineLvl w:val="2"/>
        <w:rPr>
          <w:rFonts w:ascii="仿宋" w:hAnsi="仿宋" w:eastAsia="仿宋"/>
          <w:sz w:val="32"/>
          <w:szCs w:val="32"/>
        </w:rPr>
      </w:pPr>
      <w:r>
        <w:rPr>
          <w:rFonts w:hint="eastAsia" w:ascii="仿宋" w:hAnsi="仿宋" w:eastAsia="仿宋"/>
          <w:sz w:val="32"/>
          <w:szCs w:val="32"/>
        </w:rPr>
        <w:t>（图6：一般公共预算财政拨款支出决算结构）（饼状图）</w:t>
      </w:r>
    </w:p>
    <w:p>
      <w:pPr>
        <w:snapToGrid w:val="0"/>
        <w:spacing w:line="550" w:lineRule="exact"/>
        <w:ind w:firstLine="640" w:firstLineChars="200"/>
        <w:outlineLvl w:val="2"/>
        <w:rPr>
          <w:rFonts w:ascii="楷体" w:hAnsi="楷体" w:eastAsia="楷体" w:cs="楷体"/>
          <w:bCs/>
          <w:sz w:val="32"/>
          <w:szCs w:val="32"/>
        </w:rPr>
      </w:pPr>
      <w:bookmarkStart w:id="38" w:name="_Toc15377212"/>
      <w:r>
        <w:rPr>
          <w:rFonts w:hint="eastAsia" w:ascii="楷体" w:hAnsi="楷体" w:eastAsia="楷体" w:cs="楷体"/>
          <w:bCs/>
          <w:color w:val="FF0000"/>
          <w:sz w:val="32"/>
          <w:szCs w:val="32"/>
        </w:rPr>
        <w:t>（</w:t>
      </w:r>
      <w:r>
        <w:rPr>
          <w:rFonts w:hint="eastAsia" w:ascii="楷体" w:hAnsi="楷体" w:eastAsia="楷体" w:cs="楷体"/>
          <w:bCs/>
          <w:sz w:val="32"/>
          <w:szCs w:val="32"/>
        </w:rPr>
        <w:t>三）一般公共预算财政拨款支出决算具体情况</w:t>
      </w:r>
      <w:bookmarkEnd w:id="38"/>
    </w:p>
    <w:p>
      <w:pPr>
        <w:snapToGrid w:val="0"/>
        <w:spacing w:line="550" w:lineRule="exact"/>
        <w:ind w:firstLine="643" w:firstLineChars="200"/>
        <w:outlineLvl w:val="2"/>
        <w:rPr>
          <w:rFonts w:ascii="仿宋" w:hAnsi="仿宋" w:eastAsia="仿宋"/>
          <w:sz w:val="32"/>
          <w:szCs w:val="32"/>
        </w:rPr>
      </w:pPr>
      <w:bookmarkStart w:id="39" w:name="_Toc15377213"/>
      <w:bookmarkStart w:id="40" w:name="_Toc15378460"/>
      <w:bookmarkStart w:id="41" w:name="_Toc15377444"/>
      <w:r>
        <w:rPr>
          <w:rFonts w:hint="eastAsia" w:ascii="仿宋" w:hAnsi="仿宋" w:eastAsia="仿宋"/>
          <w:b/>
          <w:sz w:val="32"/>
          <w:szCs w:val="32"/>
        </w:rPr>
        <w:t>2022年一般公共预算支出决算数为1240.18万元</w:t>
      </w:r>
      <w:r>
        <w:rPr>
          <w:rFonts w:hint="eastAsia" w:ascii="仿宋" w:hAnsi="仿宋" w:eastAsia="仿宋"/>
          <w:sz w:val="32"/>
          <w:szCs w:val="32"/>
        </w:rPr>
        <w:t>，</w:t>
      </w:r>
      <w:r>
        <w:rPr>
          <w:rStyle w:val="17"/>
          <w:rFonts w:hint="eastAsia" w:ascii="仿宋" w:hAnsi="仿宋" w:eastAsia="仿宋"/>
          <w:bCs/>
          <w:sz w:val="32"/>
          <w:szCs w:val="32"/>
        </w:rPr>
        <w:t>完成预算</w:t>
      </w:r>
      <w:r>
        <w:rPr>
          <w:rStyle w:val="17"/>
          <w:rFonts w:ascii="仿宋" w:hAnsi="仿宋" w:eastAsia="仿宋"/>
          <w:bCs/>
          <w:sz w:val="32"/>
          <w:szCs w:val="32"/>
        </w:rPr>
        <w:t>100%</w:t>
      </w:r>
      <w:r>
        <w:rPr>
          <w:rStyle w:val="17"/>
          <w:rFonts w:hint="eastAsia" w:ascii="仿宋" w:hAnsi="仿宋" w:eastAsia="仿宋"/>
          <w:bCs/>
          <w:sz w:val="32"/>
          <w:szCs w:val="32"/>
        </w:rPr>
        <w:t>。其中：</w:t>
      </w:r>
      <w:bookmarkEnd w:id="39"/>
      <w:bookmarkEnd w:id="40"/>
      <w:bookmarkEnd w:id="41"/>
    </w:p>
    <w:p>
      <w:pPr>
        <w:pStyle w:val="2"/>
        <w:snapToGrid w:val="0"/>
        <w:spacing w:beforeLines="0" w:line="550" w:lineRule="exact"/>
        <w:ind w:firstLine="643" w:firstLineChars="200"/>
        <w:outlineLvl w:val="2"/>
        <w:rPr>
          <w:rStyle w:val="17"/>
          <w:rFonts w:ascii="仿宋" w:hAnsi="仿宋" w:eastAsia="仿宋"/>
          <w:b w:val="0"/>
          <w:bCs/>
          <w:color w:val="000000" w:themeColor="text1"/>
          <w:sz w:val="32"/>
          <w:szCs w:val="32"/>
          <w14:textFill>
            <w14:solidFill>
              <w14:schemeClr w14:val="tx1"/>
            </w14:solidFill>
          </w14:textFill>
        </w:rPr>
      </w:pPr>
      <w:r>
        <w:rPr>
          <w:rStyle w:val="17"/>
          <w:rFonts w:ascii="仿宋" w:hAnsi="仿宋" w:eastAsia="仿宋"/>
          <w:bCs/>
          <w:sz w:val="32"/>
          <w:szCs w:val="32"/>
        </w:rPr>
        <w:t>1.</w:t>
      </w:r>
      <w:r>
        <w:rPr>
          <w:rStyle w:val="17"/>
          <w:rFonts w:hint="eastAsia" w:ascii="仿宋" w:hAnsi="仿宋" w:eastAsia="仿宋" w:cstheme="minorBidi"/>
          <w:bCs/>
          <w:kern w:val="2"/>
          <w:sz w:val="32"/>
          <w:szCs w:val="32"/>
        </w:rPr>
        <w:t>教育支出（类）普通教育（款）学前教育（项）</w:t>
      </w:r>
      <w:r>
        <w:rPr>
          <w:rStyle w:val="17"/>
          <w:rFonts w:ascii="仿宋" w:hAnsi="仿宋" w:eastAsia="仿宋" w:cstheme="minorBidi"/>
          <w:bCs/>
          <w:kern w:val="2"/>
          <w:sz w:val="32"/>
          <w:szCs w:val="32"/>
        </w:rPr>
        <w:t>:</w:t>
      </w:r>
      <w:r>
        <w:rPr>
          <w:rStyle w:val="17"/>
          <w:rFonts w:hint="eastAsia" w:ascii="仿宋" w:hAnsi="仿宋" w:eastAsia="仿宋"/>
          <w:b w:val="0"/>
          <w:bCs/>
          <w:sz w:val="32"/>
          <w:szCs w:val="32"/>
        </w:rPr>
        <w:t>支出决算为140.00万元，完成预算0</w:t>
      </w:r>
      <w:r>
        <w:rPr>
          <w:rStyle w:val="17"/>
          <w:rFonts w:ascii="仿宋" w:hAnsi="仿宋" w:eastAsia="仿宋"/>
          <w:b w:val="0"/>
          <w:bCs/>
          <w:sz w:val="32"/>
          <w:szCs w:val="32"/>
        </w:rPr>
        <w:t>%</w:t>
      </w:r>
      <w:r>
        <w:rPr>
          <w:rStyle w:val="17"/>
          <w:rFonts w:hint="eastAsia" w:ascii="仿宋" w:hAnsi="仿宋" w:eastAsia="仿宋"/>
          <w:b w:val="0"/>
          <w:bCs/>
          <w:sz w:val="32"/>
          <w:szCs w:val="32"/>
        </w:rPr>
        <w:t>，当年没有预算，资金为2021年学前综合奖补资金。</w:t>
      </w:r>
      <w:r>
        <w:rPr>
          <w:rStyle w:val="17"/>
          <w:rFonts w:ascii="仿宋" w:hAnsi="仿宋" w:eastAsia="仿宋"/>
          <w:b w:val="0"/>
          <w:bCs/>
          <w:color w:val="000000" w:themeColor="text1"/>
          <w:sz w:val="32"/>
          <w:szCs w:val="32"/>
          <w14:textFill>
            <w14:solidFill>
              <w14:schemeClr w14:val="tx1"/>
            </w14:solidFill>
          </w14:textFill>
        </w:rPr>
        <w:t xml:space="preserve"> </w:t>
      </w:r>
    </w:p>
    <w:p>
      <w:pPr>
        <w:pStyle w:val="2"/>
        <w:snapToGrid w:val="0"/>
        <w:spacing w:beforeLines="0" w:line="550" w:lineRule="exact"/>
        <w:ind w:firstLine="643" w:firstLineChars="200"/>
        <w:outlineLvl w:val="2"/>
        <w:rPr>
          <w:rFonts w:ascii="仿宋" w:hAnsi="仿宋" w:eastAsia="仿宋"/>
          <w:b/>
          <w:sz w:val="32"/>
          <w:szCs w:val="32"/>
        </w:rPr>
      </w:pPr>
      <w:r>
        <w:rPr>
          <w:rStyle w:val="17"/>
          <w:rFonts w:hint="eastAsia" w:ascii="仿宋" w:hAnsi="仿宋" w:eastAsia="仿宋"/>
          <w:bCs/>
          <w:sz w:val="32"/>
          <w:szCs w:val="32"/>
        </w:rPr>
        <w:t>4</w:t>
      </w:r>
      <w:r>
        <w:rPr>
          <w:rStyle w:val="17"/>
          <w:rFonts w:ascii="仿宋" w:hAnsi="仿宋" w:eastAsia="仿宋"/>
          <w:bCs/>
          <w:sz w:val="32"/>
          <w:szCs w:val="32"/>
        </w:rPr>
        <w:t>.</w:t>
      </w:r>
      <w:r>
        <w:rPr>
          <w:rStyle w:val="17"/>
          <w:rFonts w:hint="eastAsia" w:ascii="仿宋" w:hAnsi="仿宋" w:eastAsia="仿宋" w:cstheme="minorBidi"/>
          <w:bCs/>
          <w:kern w:val="2"/>
          <w:sz w:val="32"/>
          <w:szCs w:val="32"/>
        </w:rPr>
        <w:t>教育支出（类）普通教育（款）小学教育（项）</w:t>
      </w:r>
      <w:r>
        <w:rPr>
          <w:rStyle w:val="17"/>
          <w:rFonts w:ascii="仿宋" w:hAnsi="仿宋" w:eastAsia="仿宋" w:cstheme="minorBidi"/>
          <w:bCs/>
          <w:kern w:val="2"/>
          <w:sz w:val="32"/>
          <w:szCs w:val="32"/>
        </w:rPr>
        <w:t>:</w:t>
      </w:r>
      <w:r>
        <w:rPr>
          <w:rStyle w:val="17"/>
          <w:rFonts w:hint="eastAsia" w:ascii="仿宋" w:hAnsi="仿宋" w:eastAsia="仿宋"/>
          <w:b w:val="0"/>
          <w:bCs/>
          <w:sz w:val="32"/>
          <w:szCs w:val="32"/>
        </w:rPr>
        <w:t>支出决算为367.4</w:t>
      </w:r>
      <w:r>
        <w:rPr>
          <w:rStyle w:val="17"/>
          <w:rFonts w:hint="eastAsia" w:ascii="仿宋" w:hAnsi="仿宋" w:eastAsia="仿宋"/>
          <w:b w:val="0"/>
          <w:bCs/>
          <w:sz w:val="32"/>
          <w:szCs w:val="32"/>
          <w:lang w:val="en-US" w:eastAsia="zh-CN"/>
        </w:rPr>
        <w:t>9</w:t>
      </w:r>
      <w:r>
        <w:rPr>
          <w:rStyle w:val="17"/>
          <w:rFonts w:hint="eastAsia" w:ascii="仿宋" w:hAnsi="仿宋" w:eastAsia="仿宋"/>
          <w:b w:val="0"/>
          <w:bCs/>
          <w:sz w:val="32"/>
          <w:szCs w:val="32"/>
        </w:rPr>
        <w:t>万元，完成预算100.00</w:t>
      </w:r>
      <w:r>
        <w:rPr>
          <w:rStyle w:val="17"/>
          <w:rFonts w:ascii="仿宋" w:hAnsi="仿宋" w:eastAsia="仿宋"/>
          <w:b w:val="0"/>
          <w:bCs/>
          <w:sz w:val="32"/>
          <w:szCs w:val="32"/>
        </w:rPr>
        <w:t>%</w:t>
      </w:r>
      <w:r>
        <w:rPr>
          <w:rStyle w:val="17"/>
          <w:rFonts w:hint="eastAsia" w:ascii="仿宋" w:hAnsi="仿宋" w:eastAsia="仿宋"/>
          <w:b w:val="0"/>
          <w:bCs/>
          <w:sz w:val="32"/>
          <w:szCs w:val="32"/>
        </w:rPr>
        <w:t>，决算数大于预算数的主要原因是</w:t>
      </w:r>
      <w:r>
        <w:rPr>
          <w:rStyle w:val="17"/>
          <w:rFonts w:hint="eastAsia" w:ascii="仿宋" w:hAnsi="仿宋" w:eastAsia="仿宋"/>
          <w:b w:val="0"/>
          <w:bCs/>
          <w:color w:val="000000" w:themeColor="text1"/>
          <w:sz w:val="32"/>
          <w:szCs w:val="32"/>
          <w14:textFill>
            <w14:solidFill>
              <w14:schemeClr w14:val="tx1"/>
            </w14:solidFill>
          </w14:textFill>
        </w:rPr>
        <w:t>校舍维修等项目正在实施和使用了上年结转资金。</w:t>
      </w:r>
    </w:p>
    <w:p>
      <w:pPr>
        <w:snapToGrid w:val="0"/>
        <w:spacing w:line="550" w:lineRule="exact"/>
        <w:ind w:firstLine="643" w:firstLineChars="200"/>
        <w:outlineLvl w:val="2"/>
        <w:rPr>
          <w:rStyle w:val="17"/>
          <w:rFonts w:ascii="仿宋" w:hAnsi="仿宋" w:eastAsia="仿宋" w:cstheme="minorBidi"/>
          <w:b w:val="0"/>
          <w:bCs/>
          <w:color w:val="000000" w:themeColor="text1"/>
          <w:kern w:val="0"/>
          <w:sz w:val="32"/>
          <w:szCs w:val="32"/>
          <w14:textFill>
            <w14:solidFill>
              <w14:schemeClr w14:val="tx1"/>
            </w14:solidFill>
          </w14:textFill>
        </w:rPr>
      </w:pPr>
      <w:r>
        <w:rPr>
          <w:rStyle w:val="17"/>
          <w:rFonts w:hint="eastAsia" w:ascii="仿宋" w:hAnsi="仿宋" w:eastAsia="仿宋"/>
          <w:bCs/>
          <w:sz w:val="32"/>
          <w:szCs w:val="32"/>
        </w:rPr>
        <w:t>5</w:t>
      </w:r>
      <w:r>
        <w:rPr>
          <w:rStyle w:val="17"/>
          <w:rFonts w:ascii="仿宋" w:hAnsi="仿宋" w:eastAsia="仿宋"/>
          <w:bCs/>
          <w:sz w:val="32"/>
          <w:szCs w:val="32"/>
        </w:rPr>
        <w:t>.</w:t>
      </w:r>
      <w:r>
        <w:rPr>
          <w:rStyle w:val="17"/>
          <w:rFonts w:hint="eastAsia" w:ascii="仿宋" w:hAnsi="仿宋" w:eastAsia="仿宋" w:cstheme="minorBidi"/>
          <w:bCs/>
          <w:sz w:val="32"/>
          <w:szCs w:val="32"/>
        </w:rPr>
        <w:t>教育支出（类）普通教育（款）初中教育（项）</w:t>
      </w:r>
      <w:r>
        <w:rPr>
          <w:rStyle w:val="17"/>
          <w:rFonts w:ascii="仿宋" w:hAnsi="仿宋" w:eastAsia="仿宋" w:cstheme="minorBidi"/>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支出决算为435.29万元，完成预算10</w:t>
      </w:r>
      <w:r>
        <w:rPr>
          <w:rStyle w:val="17"/>
          <w:rFonts w:ascii="仿宋" w:hAnsi="仿宋" w:eastAsia="仿宋"/>
          <w:b w:val="0"/>
          <w:bCs/>
          <w:sz w:val="32"/>
          <w:szCs w:val="32"/>
        </w:rPr>
        <w:t>0%</w:t>
      </w:r>
      <w:r>
        <w:rPr>
          <w:rStyle w:val="17"/>
          <w:rFonts w:hint="eastAsia" w:ascii="仿宋" w:hAnsi="仿宋" w:eastAsia="仿宋"/>
          <w:b w:val="0"/>
          <w:bCs/>
          <w:sz w:val="32"/>
          <w:szCs w:val="32"/>
        </w:rPr>
        <w:t>，决算数小于预算数的主要原因是</w:t>
      </w:r>
      <w:r>
        <w:rPr>
          <w:rStyle w:val="17"/>
          <w:rFonts w:hint="eastAsia" w:ascii="仿宋" w:hAnsi="仿宋" w:eastAsia="仿宋" w:cstheme="minorBidi"/>
          <w:b w:val="0"/>
          <w:bCs/>
          <w:color w:val="000000" w:themeColor="text1"/>
          <w:kern w:val="0"/>
          <w:sz w:val="32"/>
          <w:szCs w:val="32"/>
          <w14:textFill>
            <w14:solidFill>
              <w14:schemeClr w14:val="tx1"/>
            </w14:solidFill>
          </w14:textFill>
        </w:rPr>
        <w:t>事业单位人员奖励性绩效工资结转至下年1月支付。</w:t>
      </w:r>
    </w:p>
    <w:p>
      <w:pPr>
        <w:snapToGrid w:val="0"/>
        <w:spacing w:line="550" w:lineRule="exact"/>
        <w:ind w:firstLine="643" w:firstLineChars="200"/>
        <w:outlineLvl w:val="2"/>
      </w:pPr>
      <w:r>
        <w:rPr>
          <w:rStyle w:val="17"/>
          <w:rFonts w:hint="eastAsia" w:ascii="仿宋" w:hAnsi="仿宋" w:eastAsia="仿宋"/>
          <w:bCs/>
          <w:sz w:val="32"/>
          <w:szCs w:val="32"/>
        </w:rPr>
        <w:t>11</w:t>
      </w:r>
      <w:r>
        <w:rPr>
          <w:rStyle w:val="17"/>
          <w:rFonts w:ascii="仿宋" w:hAnsi="仿宋" w:eastAsia="仿宋"/>
          <w:bCs/>
          <w:sz w:val="32"/>
          <w:szCs w:val="32"/>
        </w:rPr>
        <w:t>.</w:t>
      </w:r>
      <w:r>
        <w:rPr>
          <w:rStyle w:val="17"/>
          <w:rFonts w:hint="eastAsia" w:ascii="仿宋" w:hAnsi="仿宋" w:eastAsia="仿宋" w:cstheme="minorBidi"/>
          <w:bCs/>
          <w:sz w:val="32"/>
          <w:szCs w:val="32"/>
        </w:rPr>
        <w:t>教育支出（类）教育费附加安排的支出（款）城市中小学教育设施（项）</w:t>
      </w:r>
      <w:r>
        <w:rPr>
          <w:rStyle w:val="17"/>
          <w:rFonts w:ascii="仿宋" w:hAnsi="仿宋" w:eastAsia="仿宋" w:cstheme="minorBidi"/>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支出决算为200.00万元，完成预算100</w:t>
      </w:r>
      <w:r>
        <w:rPr>
          <w:rStyle w:val="17"/>
          <w:rFonts w:ascii="仿宋" w:hAnsi="仿宋" w:eastAsia="仿宋"/>
          <w:b w:val="0"/>
          <w:bCs/>
          <w:sz w:val="32"/>
          <w:szCs w:val="32"/>
        </w:rPr>
        <w:t>%</w:t>
      </w:r>
      <w:r>
        <w:rPr>
          <w:rStyle w:val="17"/>
          <w:rFonts w:hint="eastAsia" w:ascii="仿宋" w:hAnsi="仿宋" w:eastAsia="仿宋"/>
          <w:b w:val="0"/>
          <w:bCs/>
          <w:color w:val="000000" w:themeColor="text1"/>
          <w:sz w:val="32"/>
          <w:szCs w:val="32"/>
          <w14:textFill>
            <w14:solidFill>
              <w14:schemeClr w14:val="tx1"/>
            </w14:solidFill>
          </w14:textFill>
        </w:rPr>
        <w:t>。</w:t>
      </w:r>
    </w:p>
    <w:p>
      <w:pPr>
        <w:snapToGrid w:val="0"/>
        <w:spacing w:line="550" w:lineRule="exact"/>
        <w:ind w:firstLine="643" w:firstLineChars="200"/>
        <w:outlineLvl w:val="2"/>
      </w:pPr>
      <w:r>
        <w:rPr>
          <w:rStyle w:val="17"/>
          <w:rFonts w:hint="eastAsia" w:ascii="仿宋" w:hAnsi="仿宋" w:eastAsia="仿宋"/>
          <w:bCs/>
          <w:sz w:val="32"/>
          <w:szCs w:val="32"/>
        </w:rPr>
        <w:t>14</w:t>
      </w:r>
      <w:r>
        <w:rPr>
          <w:rStyle w:val="17"/>
          <w:rFonts w:ascii="仿宋" w:hAnsi="仿宋" w:eastAsia="仿宋"/>
          <w:bCs/>
          <w:sz w:val="32"/>
          <w:szCs w:val="32"/>
        </w:rPr>
        <w:t>.</w:t>
      </w:r>
      <w:r>
        <w:rPr>
          <w:rStyle w:val="17"/>
          <w:rFonts w:hint="eastAsia" w:ascii="仿宋" w:hAnsi="仿宋" w:eastAsia="仿宋"/>
          <w:bCs/>
          <w:sz w:val="32"/>
          <w:szCs w:val="32"/>
        </w:rPr>
        <w:t>社会保障和就业（类）行政事业单位养老支出（款）机关事业单位基本养老保险缴费支出（项）</w:t>
      </w:r>
      <w:r>
        <w:rPr>
          <w:rStyle w:val="17"/>
          <w:rFonts w:ascii="仿宋" w:hAnsi="仿宋" w:eastAsia="仿宋"/>
          <w:bCs/>
          <w:sz w:val="32"/>
          <w:szCs w:val="32"/>
        </w:rPr>
        <w:t>:</w:t>
      </w:r>
      <w:r>
        <w:rPr>
          <w:rStyle w:val="17"/>
          <w:rFonts w:ascii="仿宋" w:hAnsi="仿宋" w:eastAsia="仿宋"/>
          <w:b w:val="0"/>
          <w:bCs/>
          <w:sz w:val="32"/>
          <w:szCs w:val="32"/>
        </w:rPr>
        <w:t xml:space="preserve"> </w:t>
      </w:r>
      <w:r>
        <w:rPr>
          <w:rStyle w:val="17"/>
          <w:rFonts w:hint="eastAsia" w:ascii="仿宋" w:hAnsi="仿宋" w:eastAsia="仿宋"/>
          <w:b w:val="0"/>
          <w:bCs/>
          <w:sz w:val="32"/>
          <w:szCs w:val="32"/>
        </w:rPr>
        <w:t>支出决算为58.87万元，完成预算100.00</w:t>
      </w:r>
      <w:r>
        <w:rPr>
          <w:rStyle w:val="17"/>
          <w:rFonts w:ascii="仿宋" w:hAnsi="仿宋" w:eastAsia="仿宋"/>
          <w:b w:val="0"/>
          <w:bCs/>
          <w:sz w:val="32"/>
          <w:szCs w:val="32"/>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snapToGrid w:val="0"/>
        <w:spacing w:line="550" w:lineRule="exact"/>
        <w:ind w:firstLine="643" w:firstLineChars="200"/>
        <w:outlineLvl w:val="2"/>
        <w:rPr>
          <w:rFonts w:ascii="仿宋" w:hAnsi="仿宋" w:eastAsia="仿宋"/>
          <w:color w:val="000000" w:themeColor="text1"/>
          <w:sz w:val="32"/>
          <w:szCs w:val="32"/>
          <w14:textFill>
            <w14:solidFill>
              <w14:schemeClr w14:val="tx1"/>
            </w14:solidFill>
          </w14:textFill>
        </w:rPr>
      </w:pPr>
      <w:r>
        <w:rPr>
          <w:rStyle w:val="17"/>
          <w:rFonts w:hint="eastAsia" w:ascii="仿宋" w:hAnsi="仿宋" w:eastAsia="仿宋"/>
          <w:bCs/>
          <w:sz w:val="32"/>
          <w:szCs w:val="32"/>
        </w:rPr>
        <w:t>17</w:t>
      </w:r>
      <w:r>
        <w:rPr>
          <w:rStyle w:val="17"/>
          <w:rFonts w:ascii="仿宋" w:hAnsi="仿宋" w:eastAsia="仿宋"/>
          <w:bCs/>
          <w:sz w:val="32"/>
          <w:szCs w:val="32"/>
        </w:rPr>
        <w:t>.</w:t>
      </w:r>
      <w:r>
        <w:rPr>
          <w:rFonts w:hint="eastAsia" w:ascii="仿宋" w:hAnsi="仿宋" w:eastAsia="仿宋"/>
          <w:b/>
          <w:bCs/>
          <w:sz w:val="32"/>
          <w:szCs w:val="32"/>
        </w:rPr>
        <w:t>卫生健康</w:t>
      </w:r>
      <w:r>
        <w:rPr>
          <w:rStyle w:val="17"/>
          <w:rFonts w:hint="eastAsia" w:ascii="仿宋" w:hAnsi="仿宋" w:eastAsia="仿宋"/>
          <w:bCs/>
          <w:sz w:val="32"/>
          <w:szCs w:val="32"/>
        </w:rPr>
        <w:t>（类）行政事业单位医疗（款）事业单位医疗（项）</w:t>
      </w:r>
      <w:r>
        <w:rPr>
          <w:rStyle w:val="17"/>
          <w:rFonts w:ascii="仿宋" w:hAnsi="仿宋" w:eastAsia="仿宋"/>
          <w:bCs/>
          <w:sz w:val="32"/>
          <w:szCs w:val="32"/>
        </w:rPr>
        <w:t>:</w:t>
      </w:r>
      <w:r>
        <w:rPr>
          <w:rStyle w:val="17"/>
          <w:rFonts w:hint="eastAsia" w:ascii="仿宋" w:hAnsi="仿宋" w:eastAsia="仿宋"/>
          <w:b w:val="0"/>
          <w:bCs/>
          <w:sz w:val="32"/>
          <w:szCs w:val="32"/>
        </w:rPr>
        <w:t>支出决算为30.58万元，完成预算100.00</w:t>
      </w:r>
      <w:r>
        <w:rPr>
          <w:rStyle w:val="17"/>
          <w:rFonts w:hint="eastAsia" w:ascii="仿宋" w:hAnsi="仿宋" w:eastAsia="仿宋"/>
          <w:b w:val="0"/>
          <w:bCs/>
          <w:sz w:val="32"/>
          <w:szCs w:val="32"/>
          <w:lang w:val="en-US" w:eastAsia="zh-CN"/>
        </w:rPr>
        <w:t>%</w:t>
      </w:r>
      <w:r>
        <w:rPr>
          <w:rStyle w:val="17"/>
          <w:rFonts w:hint="eastAsia" w:ascii="仿宋" w:hAnsi="仿宋" w:eastAsia="仿宋"/>
          <w:b w:val="0"/>
          <w:bCs/>
          <w:sz w:val="32"/>
          <w:szCs w:val="32"/>
        </w:rPr>
        <w:t>，决算数等于预算数的主要原因是</w:t>
      </w:r>
      <w:r>
        <w:rPr>
          <w:rStyle w:val="17"/>
          <w:rFonts w:hint="eastAsia" w:ascii="仿宋" w:hAnsi="仿宋" w:eastAsia="仿宋" w:cstheme="minorBidi"/>
          <w:b w:val="0"/>
          <w:bCs/>
          <w:color w:val="000000" w:themeColor="text1"/>
          <w:kern w:val="0"/>
          <w:sz w:val="32"/>
          <w:szCs w:val="32"/>
          <w14:textFill>
            <w14:solidFill>
              <w14:schemeClr w14:val="tx1"/>
            </w14:solidFill>
          </w14:textFill>
        </w:rPr>
        <w:t>年初预算根据实际编列，</w:t>
      </w:r>
      <w:r>
        <w:rPr>
          <w:rStyle w:val="17"/>
          <w:rFonts w:hint="eastAsia" w:ascii="仿宋" w:hAnsi="仿宋" w:eastAsia="仿宋"/>
          <w:b w:val="0"/>
          <w:bCs/>
          <w:color w:val="000000" w:themeColor="text1"/>
          <w:sz w:val="32"/>
          <w:szCs w:val="32"/>
          <w14:textFill>
            <w14:solidFill>
              <w14:schemeClr w14:val="tx1"/>
            </w14:solidFill>
          </w14:textFill>
        </w:rPr>
        <w:t>项目实施中及时根据支出情况调整预算。</w:t>
      </w:r>
    </w:p>
    <w:p>
      <w:pPr>
        <w:tabs>
          <w:tab w:val="right" w:pos="8306"/>
        </w:tabs>
        <w:snapToGrid w:val="0"/>
        <w:spacing w:line="550" w:lineRule="exact"/>
        <w:ind w:firstLine="640"/>
        <w:outlineLvl w:val="1"/>
        <w:rPr>
          <w:rStyle w:val="28"/>
        </w:rPr>
      </w:pPr>
      <w:bookmarkStart w:id="42" w:name="_Toc15396608"/>
      <w:bookmarkStart w:id="43" w:name="_Toc15377214"/>
      <w:bookmarkStart w:id="44" w:name="_Toc22707"/>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8"/>
          <w:rFonts w:hint="eastAsia" w:ascii="黑体" w:hAnsi="黑体" w:eastAsia="黑体"/>
          <w:b w:val="0"/>
        </w:rPr>
        <w:t>般公共预算财政拨款基本支出决算情况说明</w:t>
      </w:r>
      <w:bookmarkEnd w:id="42"/>
      <w:bookmarkEnd w:id="43"/>
      <w:bookmarkEnd w:id="44"/>
      <w:r>
        <w:rPr>
          <w:rStyle w:val="28"/>
          <w:rFonts w:ascii="黑体" w:hAnsi="黑体" w:eastAsia="黑体"/>
          <w:b w:val="0"/>
        </w:rPr>
        <w:tab/>
      </w:r>
    </w:p>
    <w:p>
      <w:pPr>
        <w:snapToGrid w:val="0"/>
        <w:spacing w:line="550" w:lineRule="exact"/>
        <w:ind w:firstLine="645"/>
        <w:outlineLvl w:val="2"/>
        <w:rPr>
          <w:rFonts w:ascii="仿宋" w:hAnsi="仿宋" w:eastAsia="仿宋"/>
          <w:sz w:val="32"/>
          <w:szCs w:val="32"/>
        </w:rPr>
      </w:pPr>
      <w:r>
        <w:rPr>
          <w:rFonts w:ascii="仿宋" w:hAnsi="仿宋" w:eastAsia="仿宋"/>
          <w:sz w:val="32"/>
          <w:szCs w:val="32"/>
        </w:rPr>
        <w:t>2</w:t>
      </w:r>
      <w:r>
        <w:rPr>
          <w:rFonts w:ascii="仿宋" w:hAnsi="仿宋" w:eastAsia="仿宋"/>
          <w:spacing w:val="-6"/>
          <w:sz w:val="32"/>
          <w:szCs w:val="32"/>
        </w:rPr>
        <w:t>0</w:t>
      </w:r>
      <w:r>
        <w:rPr>
          <w:rFonts w:hint="eastAsia" w:ascii="仿宋" w:hAnsi="仿宋" w:eastAsia="仿宋"/>
          <w:spacing w:val="-6"/>
          <w:sz w:val="32"/>
          <w:szCs w:val="32"/>
        </w:rPr>
        <w:t>22年一般公共预算财政拨款基本支出</w:t>
      </w:r>
      <w:r>
        <w:rPr>
          <w:rFonts w:hint="eastAsia" w:ascii="仿宋" w:hAnsi="仿宋" w:eastAsia="仿宋"/>
          <w:spacing w:val="-6"/>
          <w:sz w:val="32"/>
          <w:szCs w:val="32"/>
          <w:lang w:val="en-US" w:eastAsia="zh-CN"/>
        </w:rPr>
        <w:t>844.01</w:t>
      </w:r>
      <w:r>
        <w:rPr>
          <w:rFonts w:hint="eastAsia" w:ascii="仿宋" w:hAnsi="仿宋" w:eastAsia="仿宋"/>
          <w:spacing w:val="-6"/>
          <w:sz w:val="32"/>
          <w:szCs w:val="32"/>
        </w:rPr>
        <w:t>万元，其中：</w:t>
      </w:r>
    </w:p>
    <w:p>
      <w:pPr>
        <w:snapToGrid w:val="0"/>
        <w:spacing w:line="550" w:lineRule="exact"/>
        <w:ind w:firstLine="645"/>
        <w:outlineLvl w:val="2"/>
        <w:rPr>
          <w:rFonts w:hint="eastAsia" w:ascii="仿宋" w:hAnsi="仿宋" w:eastAsia="仿宋"/>
          <w:color w:val="auto"/>
          <w:sz w:val="32"/>
          <w:szCs w:val="32"/>
          <w:highlight w:val="none"/>
        </w:rPr>
      </w:pPr>
      <w:r>
        <w:rPr>
          <w:rFonts w:hint="eastAsia" w:ascii="仿宋" w:hAnsi="仿宋" w:eastAsia="仿宋"/>
          <w:sz w:val="32"/>
          <w:szCs w:val="32"/>
        </w:rPr>
        <w:t>人员经费7</w:t>
      </w:r>
      <w:r>
        <w:rPr>
          <w:rFonts w:hint="eastAsia" w:ascii="仿宋" w:hAnsi="仿宋" w:eastAsia="仿宋"/>
          <w:sz w:val="32"/>
          <w:szCs w:val="32"/>
          <w:lang w:val="en-US" w:eastAsia="zh-CN"/>
        </w:rPr>
        <w:t>58.45</w:t>
      </w:r>
      <w:r>
        <w:rPr>
          <w:rFonts w:hint="eastAsia" w:ascii="仿宋" w:hAnsi="仿宋" w:eastAsia="仿宋"/>
          <w:sz w:val="32"/>
          <w:szCs w:val="32"/>
        </w:rPr>
        <w:t>万元，主要包括：</w:t>
      </w:r>
      <w:r>
        <w:rPr>
          <w:rFonts w:hint="eastAsia" w:ascii="仿宋" w:hAnsi="仿宋" w:eastAsia="仿宋"/>
          <w:color w:val="auto"/>
          <w:sz w:val="32"/>
          <w:szCs w:val="32"/>
          <w:highlight w:val="none"/>
        </w:rPr>
        <w:t>基本工资、津贴补贴、奖金、绩效工资、机关事业单位基本养老保险缴费、职业年金缴费、其他社会保障缴费、其他工资福利支出、抚恤金、生活补助、奖励金、住房公积金、其他对个人和家庭的补助支出等。</w:t>
      </w:r>
    </w:p>
    <w:p>
      <w:pPr>
        <w:snapToGrid w:val="0"/>
        <w:spacing w:line="550" w:lineRule="exact"/>
        <w:ind w:firstLine="645"/>
        <w:outlineLvl w:val="2"/>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85.56</w:t>
      </w:r>
      <w:r>
        <w:rPr>
          <w:rFonts w:hint="eastAsia" w:ascii="仿宋" w:hAnsi="仿宋" w:eastAsia="仿宋"/>
          <w:sz w:val="32"/>
          <w:szCs w:val="32"/>
        </w:rPr>
        <w:t>万元，主要包括：</w:t>
      </w:r>
      <w:r>
        <w:rPr>
          <w:rFonts w:hint="eastAsia" w:ascii="仿宋" w:hAnsi="仿宋" w:eastAsia="仿宋"/>
          <w:color w:val="auto"/>
          <w:sz w:val="32"/>
          <w:szCs w:val="32"/>
          <w:highlight w:val="none"/>
        </w:rPr>
        <w:t>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p>
    <w:p>
      <w:pPr>
        <w:snapToGrid w:val="0"/>
        <w:spacing w:line="550" w:lineRule="exact"/>
        <w:ind w:firstLine="640"/>
        <w:outlineLvl w:val="1"/>
        <w:rPr>
          <w:rStyle w:val="28"/>
          <w:rFonts w:ascii="黑体" w:hAnsi="黑体" w:eastAsia="黑体"/>
          <w:b w:val="0"/>
        </w:rPr>
      </w:pPr>
      <w:bookmarkStart w:id="45" w:name="_Toc17578"/>
      <w:bookmarkStart w:id="46" w:name="_Toc15377215"/>
      <w:bookmarkStart w:id="47" w:name="_Toc15396609"/>
      <w:r>
        <w:rPr>
          <w:rFonts w:hint="eastAsia" w:ascii="黑体" w:eastAsia="黑体"/>
          <w:sz w:val="32"/>
          <w:szCs w:val="32"/>
        </w:rPr>
        <w:t>七、</w:t>
      </w:r>
      <w:r>
        <w:rPr>
          <w:rStyle w:val="28"/>
          <w:rFonts w:hint="eastAsia" w:ascii="黑体" w:hAnsi="黑体" w:eastAsia="黑体"/>
        </w:rPr>
        <w:t>“</w:t>
      </w:r>
      <w:r>
        <w:rPr>
          <w:rStyle w:val="28"/>
          <w:rFonts w:hint="eastAsia" w:ascii="黑体" w:hAnsi="黑体" w:eastAsia="黑体"/>
          <w:b w:val="0"/>
        </w:rPr>
        <w:t>三公”经费财政拨款支出决算情况说明</w:t>
      </w:r>
      <w:bookmarkEnd w:id="45"/>
      <w:bookmarkEnd w:id="46"/>
      <w:bookmarkEnd w:id="47"/>
    </w:p>
    <w:p>
      <w:pPr>
        <w:snapToGrid w:val="0"/>
        <w:spacing w:line="550" w:lineRule="exact"/>
        <w:ind w:firstLine="640"/>
        <w:outlineLvl w:val="2"/>
        <w:rPr>
          <w:rFonts w:ascii="楷体" w:hAnsi="楷体" w:eastAsia="楷体" w:cs="楷体"/>
          <w:bCs/>
          <w:sz w:val="32"/>
          <w:szCs w:val="32"/>
        </w:rPr>
      </w:pPr>
      <w:bookmarkStart w:id="48" w:name="_Toc15377216"/>
      <w:r>
        <w:rPr>
          <w:rFonts w:hint="eastAsia" w:ascii="楷体" w:hAnsi="楷体" w:eastAsia="楷体" w:cs="楷体"/>
          <w:bCs/>
          <w:sz w:val="32"/>
          <w:szCs w:val="32"/>
        </w:rPr>
        <w:t>（一）“三公”经费财政拨款支出决算总体情况说明</w:t>
      </w:r>
      <w:bookmarkEnd w:id="48"/>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22年“三公”经费财政拨款支出决算为0万元，完成预算0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与2021年度持平</w:t>
      </w:r>
      <w:r>
        <w:rPr>
          <w:rFonts w:hint="eastAsia" w:ascii="仿宋" w:hAnsi="仿宋" w:eastAsia="仿宋"/>
          <w:sz w:val="32"/>
          <w:szCs w:val="32"/>
        </w:rPr>
        <w:t>。决算数与预算数持平。</w:t>
      </w:r>
    </w:p>
    <w:p>
      <w:pPr>
        <w:snapToGrid w:val="0"/>
        <w:spacing w:line="550" w:lineRule="exact"/>
        <w:ind w:firstLine="640"/>
        <w:outlineLvl w:val="2"/>
        <w:rPr>
          <w:rFonts w:ascii="楷体" w:hAnsi="楷体" w:eastAsia="楷体" w:cs="楷体"/>
          <w:bCs/>
          <w:sz w:val="32"/>
          <w:szCs w:val="32"/>
        </w:rPr>
      </w:pPr>
      <w:bookmarkStart w:id="49" w:name="_Toc15377217"/>
      <w:r>
        <w:rPr>
          <w:rFonts w:hint="eastAsia" w:ascii="楷体" w:hAnsi="楷体" w:eastAsia="楷体" w:cs="楷体"/>
          <w:bCs/>
          <w:sz w:val="32"/>
          <w:szCs w:val="32"/>
        </w:rPr>
        <w:t>（二）“三公”经费财政拨款支出决算具体情况说明</w:t>
      </w:r>
      <w:bookmarkEnd w:id="49"/>
    </w:p>
    <w:p>
      <w:pPr>
        <w:snapToGrid w:val="0"/>
        <w:spacing w:line="550" w:lineRule="exact"/>
        <w:ind w:firstLine="640"/>
        <w:outlineLvl w:val="2"/>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22年“三公”经费财政拨款支出决算中，因公出国（境）费支出决算0.00万元，占0.00</w:t>
      </w:r>
      <w:r>
        <w:rPr>
          <w:rFonts w:ascii="仿宋" w:hAnsi="仿宋" w:eastAsia="仿宋"/>
          <w:sz w:val="32"/>
          <w:szCs w:val="32"/>
        </w:rPr>
        <w:t>%</w:t>
      </w:r>
      <w:r>
        <w:rPr>
          <w:rFonts w:hint="eastAsia" w:ascii="仿宋" w:hAnsi="仿宋" w:eastAsia="仿宋"/>
          <w:sz w:val="32"/>
          <w:szCs w:val="32"/>
        </w:rPr>
        <w:t>；公务用车购置及运行维护费支出决算0.00万元，占0.00</w:t>
      </w:r>
      <w:r>
        <w:rPr>
          <w:rFonts w:ascii="仿宋" w:hAnsi="仿宋" w:eastAsia="仿宋"/>
          <w:sz w:val="32"/>
          <w:szCs w:val="32"/>
        </w:rPr>
        <w:t>%</w:t>
      </w:r>
      <w:r>
        <w:rPr>
          <w:rFonts w:hint="eastAsia" w:ascii="仿宋" w:hAnsi="仿宋" w:eastAsia="仿宋"/>
          <w:sz w:val="32"/>
          <w:szCs w:val="32"/>
        </w:rPr>
        <w:t>；公务接待费支出决算</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val="en-US" w:eastAsia="zh-CN"/>
        </w:rPr>
        <w:t>与2021年度持平。</w:t>
      </w:r>
      <w:r>
        <w:rPr>
          <w:rFonts w:hint="eastAsia" w:ascii="仿宋" w:hAnsi="仿宋" w:eastAsia="仿宋"/>
          <w:sz w:val="32"/>
          <w:szCs w:val="32"/>
        </w:rPr>
        <w:t>具体情况如下：</w:t>
      </w:r>
    </w:p>
    <w:p>
      <w:pPr>
        <w:numPr>
          <w:ilvl w:val="0"/>
          <w:numId w:val="1"/>
        </w:numPr>
        <w:spacing w:line="560" w:lineRule="exact"/>
        <w:ind w:firstLine="640"/>
        <w:outlineLvl w:val="2"/>
        <w:rPr>
          <w:rFonts w:hint="eastAsia" w:ascii="仿宋" w:hAnsi="仿宋" w:eastAsia="仿宋"/>
          <w:sz w:val="32"/>
          <w:szCs w:val="32"/>
          <w:lang w:val="en-US" w:eastAsia="zh-CN"/>
        </w:rPr>
      </w:pPr>
      <w:r>
        <w:rPr>
          <w:rFonts w:hint="eastAsia" w:ascii="仿宋_GB2312" w:eastAsia="仿宋_GB2312"/>
          <w:b/>
          <w:sz w:val="32"/>
          <w:szCs w:val="32"/>
        </w:rPr>
        <w:t>因公出国（境）经费支出</w:t>
      </w:r>
      <w:r>
        <w:rPr>
          <w:rFonts w:hint="eastAsia" w:ascii="仿宋_GB2312" w:eastAsia="仿宋_GB2312"/>
          <w:sz w:val="32"/>
          <w:szCs w:val="32"/>
        </w:rPr>
        <w:t>0.00万元，</w:t>
      </w:r>
      <w:r>
        <w:rPr>
          <w:rStyle w:val="17"/>
          <w:rFonts w:hint="eastAsia" w:ascii="仿宋" w:hAnsi="仿宋" w:eastAsia="仿宋"/>
          <w:b w:val="0"/>
          <w:bCs/>
          <w:sz w:val="32"/>
          <w:szCs w:val="32"/>
        </w:rPr>
        <w:t>完成预算</w:t>
      </w:r>
      <w:r>
        <w:rPr>
          <w:rFonts w:hint="eastAsia" w:ascii="仿宋_GB2312" w:eastAsia="仿宋_GB2312"/>
          <w:sz w:val="32"/>
          <w:szCs w:val="32"/>
        </w:rPr>
        <w:t>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w:t>
      </w:r>
      <w:r>
        <w:rPr>
          <w:rFonts w:hint="eastAsia" w:ascii="仿宋" w:hAnsi="仿宋" w:eastAsia="仿宋"/>
          <w:sz w:val="32"/>
          <w:szCs w:val="32"/>
          <w:lang w:val="en-US" w:eastAsia="zh-CN"/>
        </w:rPr>
        <w:t>与2021年度持平。</w:t>
      </w:r>
    </w:p>
    <w:p>
      <w:pPr>
        <w:numPr>
          <w:ilvl w:val="0"/>
          <w:numId w:val="0"/>
        </w:numPr>
        <w:spacing w:line="560" w:lineRule="exact"/>
        <w:ind w:firstLine="643" w:firstLineChars="200"/>
        <w:outlineLvl w:val="2"/>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0.00万元,</w:t>
      </w:r>
      <w:r>
        <w:rPr>
          <w:rStyle w:val="17"/>
          <w:rFonts w:hint="eastAsia" w:ascii="仿宋" w:hAnsi="仿宋" w:eastAsia="仿宋"/>
          <w:b w:val="0"/>
          <w:bCs/>
          <w:sz w:val="32"/>
          <w:szCs w:val="32"/>
        </w:rPr>
        <w:t>完成预算0.00</w:t>
      </w:r>
      <w:r>
        <w:rPr>
          <w:rStyle w:val="17"/>
          <w:rFonts w:ascii="仿宋" w:hAnsi="仿宋" w:eastAsia="仿宋"/>
          <w:b w:val="0"/>
          <w:bCs/>
          <w:sz w:val="32"/>
          <w:szCs w:val="32"/>
        </w:rPr>
        <w:t>%</w:t>
      </w:r>
      <w:r>
        <w:rPr>
          <w:rStyle w:val="17"/>
          <w:rFonts w:hint="eastAsia" w:ascii="仿宋" w:hAnsi="仿宋" w:eastAsia="仿宋"/>
          <w:b w:val="0"/>
          <w:bCs/>
          <w:sz w:val="32"/>
          <w:szCs w:val="32"/>
        </w:rPr>
        <w:t>。</w:t>
      </w:r>
      <w:r>
        <w:rPr>
          <w:rFonts w:hint="eastAsia" w:ascii="仿宋_GB2312" w:eastAsia="仿宋_GB2312"/>
          <w:sz w:val="32"/>
          <w:szCs w:val="32"/>
        </w:rPr>
        <w:t>公务用车购置及运行维护费支出决算</w:t>
      </w:r>
      <w:r>
        <w:rPr>
          <w:rFonts w:hint="eastAsia" w:ascii="仿宋" w:hAnsi="仿宋" w:eastAsia="仿宋"/>
          <w:sz w:val="32"/>
          <w:szCs w:val="32"/>
          <w:lang w:val="en-US" w:eastAsia="zh-CN"/>
        </w:rPr>
        <w:t>与2021年度持平</w:t>
      </w:r>
      <w:r>
        <w:rPr>
          <w:rFonts w:hint="eastAsia" w:ascii="仿宋_GB2312" w:eastAsia="仿宋_GB2312"/>
          <w:sz w:val="32"/>
          <w:szCs w:val="32"/>
        </w:rPr>
        <w:t>。</w:t>
      </w:r>
    </w:p>
    <w:p>
      <w:pPr>
        <w:spacing w:line="560" w:lineRule="exact"/>
        <w:ind w:firstLine="640" w:firstLineChars="200"/>
        <w:outlineLvl w:val="2"/>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0.00万元。全年按规定更新购置公务用车0辆。截至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w:t>
      </w:r>
    </w:p>
    <w:p>
      <w:pPr>
        <w:spacing w:line="560" w:lineRule="exact"/>
        <w:ind w:firstLine="640"/>
        <w:outlineLvl w:val="2"/>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r>
        <w:rPr>
          <w:rFonts w:hint="eastAsia" w:ascii="仿宋" w:hAnsi="仿宋" w:eastAsia="仿宋"/>
          <w:sz w:val="32"/>
          <w:szCs w:val="32"/>
        </w:rPr>
        <w:t>决算数与预算数持平</w:t>
      </w:r>
      <w:r>
        <w:rPr>
          <w:rFonts w:hint="eastAsia" w:ascii="仿宋_GB2312" w:eastAsia="仿宋_GB2312"/>
          <w:sz w:val="32"/>
          <w:szCs w:val="32"/>
        </w:rPr>
        <w:t>。</w:t>
      </w:r>
    </w:p>
    <w:p>
      <w:pPr>
        <w:spacing w:line="560" w:lineRule="exact"/>
        <w:ind w:firstLine="640"/>
        <w:outlineLvl w:val="2"/>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w:t>
      </w:r>
      <w:r>
        <w:rPr>
          <w:rFonts w:hint="eastAsia" w:ascii="仿宋_GB2312" w:eastAsia="仿宋_GB2312"/>
          <w:sz w:val="32"/>
          <w:szCs w:val="32"/>
        </w:rPr>
        <w:t>万元，</w:t>
      </w:r>
      <w:r>
        <w:rPr>
          <w:rStyle w:val="17"/>
          <w:rFonts w:hint="eastAsia" w:ascii="仿宋" w:hAnsi="仿宋" w:eastAsia="仿宋"/>
          <w:b w:val="0"/>
          <w:bCs/>
          <w:sz w:val="32"/>
          <w:szCs w:val="32"/>
        </w:rPr>
        <w:t>完成预算</w:t>
      </w:r>
      <w:r>
        <w:rPr>
          <w:rStyle w:val="17"/>
          <w:rFonts w:ascii="仿宋" w:hAnsi="仿宋" w:eastAsia="仿宋"/>
          <w:b w:val="0"/>
          <w:bCs/>
          <w:sz w:val="32"/>
          <w:szCs w:val="32"/>
        </w:rPr>
        <w:t>0%</w:t>
      </w:r>
      <w:r>
        <w:rPr>
          <w:rStyle w:val="17"/>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 w:hAnsi="仿宋" w:eastAsia="仿宋"/>
          <w:sz w:val="32"/>
          <w:szCs w:val="32"/>
          <w:lang w:val="en-US" w:eastAsia="zh-CN"/>
        </w:rPr>
        <w:t>与2021年度持平</w:t>
      </w:r>
      <w:r>
        <w:rPr>
          <w:rFonts w:hint="eastAsia" w:ascii="仿宋_GB2312" w:eastAsia="仿宋_GB2312"/>
          <w:sz w:val="32"/>
          <w:szCs w:val="32"/>
        </w:rPr>
        <w:t>。</w:t>
      </w:r>
    </w:p>
    <w:p>
      <w:pPr>
        <w:spacing w:line="560" w:lineRule="exact"/>
        <w:ind w:firstLine="643" w:firstLineChars="200"/>
        <w:outlineLvl w:val="2"/>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0.00</w:t>
      </w:r>
      <w:r>
        <w:rPr>
          <w:rFonts w:hint="eastAsia" w:ascii="仿宋_GB2312" w:eastAsia="仿宋_GB2312"/>
          <w:sz w:val="32"/>
          <w:szCs w:val="32"/>
        </w:rPr>
        <w:t>万元，外事接待0批次，0人，共计支出0.00万元。</w:t>
      </w:r>
    </w:p>
    <w:p>
      <w:pPr>
        <w:spacing w:line="560" w:lineRule="exact"/>
        <w:ind w:firstLine="640"/>
        <w:outlineLvl w:val="1"/>
        <w:rPr>
          <w:rStyle w:val="28"/>
          <w:rFonts w:ascii="黑体" w:hAnsi="黑体" w:eastAsia="黑体"/>
        </w:rPr>
      </w:pPr>
      <w:bookmarkStart w:id="50" w:name="_Toc15396610"/>
      <w:bookmarkStart w:id="51" w:name="_Toc21094"/>
      <w:bookmarkStart w:id="52" w:name="_Toc15377218"/>
      <w:r>
        <w:rPr>
          <w:rFonts w:hint="eastAsia" w:ascii="黑体" w:eastAsia="黑体"/>
          <w:sz w:val="32"/>
          <w:szCs w:val="32"/>
        </w:rPr>
        <w:t>八、</w:t>
      </w:r>
      <w:r>
        <w:rPr>
          <w:rStyle w:val="28"/>
          <w:rFonts w:hint="eastAsia" w:ascii="黑体" w:hAnsi="黑体" w:eastAsia="黑体"/>
          <w:b w:val="0"/>
        </w:rPr>
        <w:t>政府性基金预算支出决算情况说明</w:t>
      </w:r>
      <w:bookmarkEnd w:id="50"/>
      <w:bookmarkEnd w:id="51"/>
      <w:bookmarkEnd w:id="52"/>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22年政府性基金预算财政拨款支出0.00万元。</w:t>
      </w:r>
    </w:p>
    <w:p>
      <w:pPr>
        <w:numPr>
          <w:ilvl w:val="0"/>
          <w:numId w:val="2"/>
        </w:numPr>
        <w:spacing w:line="560" w:lineRule="exact"/>
        <w:ind w:firstLine="640"/>
        <w:outlineLvl w:val="1"/>
        <w:rPr>
          <w:rStyle w:val="28"/>
          <w:rFonts w:ascii="黑体" w:hAnsi="黑体" w:eastAsia="黑体"/>
          <w:b w:val="0"/>
        </w:rPr>
      </w:pPr>
      <w:bookmarkStart w:id="53" w:name="_Toc15396611"/>
      <w:bookmarkStart w:id="54" w:name="_Toc4469"/>
      <w:bookmarkStart w:id="55" w:name="_Toc15377219"/>
      <w:r>
        <w:rPr>
          <w:rStyle w:val="28"/>
          <w:rFonts w:hint="eastAsia" w:ascii="黑体" w:hAnsi="黑体" w:eastAsia="黑体"/>
          <w:b w:val="0"/>
        </w:rPr>
        <w:t>国有资本经营预算支出决算情况说明</w:t>
      </w:r>
      <w:bookmarkEnd w:id="53"/>
      <w:bookmarkEnd w:id="54"/>
      <w:bookmarkEnd w:id="55"/>
    </w:p>
    <w:p>
      <w:pPr>
        <w:spacing w:line="560" w:lineRule="exact"/>
        <w:ind w:firstLine="640"/>
        <w:outlineLvl w:val="2"/>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22年国有资本经营预算财政拨款支出0.00万元。</w:t>
      </w:r>
    </w:p>
    <w:p>
      <w:pPr>
        <w:numPr>
          <w:ilvl w:val="0"/>
          <w:numId w:val="2"/>
        </w:numPr>
        <w:spacing w:line="560" w:lineRule="exact"/>
        <w:ind w:firstLine="640"/>
        <w:outlineLvl w:val="1"/>
        <w:rPr>
          <w:rStyle w:val="28"/>
          <w:rFonts w:ascii="黑体" w:hAnsi="黑体" w:eastAsia="黑体"/>
          <w:b w:val="0"/>
        </w:rPr>
      </w:pPr>
      <w:bookmarkStart w:id="56" w:name="_Toc15396612"/>
      <w:bookmarkStart w:id="57" w:name="_Toc15377221"/>
      <w:bookmarkStart w:id="58" w:name="_Toc10003"/>
      <w:r>
        <w:rPr>
          <w:rStyle w:val="28"/>
          <w:rFonts w:hint="eastAsia" w:ascii="黑体" w:hAnsi="黑体" w:eastAsia="黑体"/>
          <w:b w:val="0"/>
        </w:rPr>
        <w:t>其他重要事项的情况说明</w:t>
      </w:r>
      <w:bookmarkEnd w:id="56"/>
      <w:bookmarkEnd w:id="57"/>
      <w:bookmarkEnd w:id="58"/>
    </w:p>
    <w:p>
      <w:pPr>
        <w:spacing w:line="560" w:lineRule="exact"/>
        <w:ind w:firstLine="640" w:firstLineChars="200"/>
        <w:outlineLvl w:val="2"/>
        <w:rPr>
          <w:rFonts w:ascii="楷体" w:hAnsi="楷体" w:eastAsia="楷体" w:cs="楷体"/>
          <w:bCs/>
          <w:sz w:val="32"/>
          <w:szCs w:val="32"/>
        </w:rPr>
      </w:pPr>
      <w:bookmarkStart w:id="59" w:name="_Toc15377222"/>
      <w:r>
        <w:rPr>
          <w:rFonts w:hint="eastAsia" w:ascii="楷体" w:hAnsi="楷体" w:eastAsia="楷体" w:cs="楷体"/>
          <w:bCs/>
          <w:sz w:val="32"/>
          <w:szCs w:val="32"/>
        </w:rPr>
        <w:t>（一）机关运行经费支出情况</w:t>
      </w:r>
      <w:bookmarkEnd w:id="59"/>
    </w:p>
    <w:p>
      <w:pPr>
        <w:spacing w:line="600" w:lineRule="exact"/>
        <w:ind w:firstLine="640"/>
        <w:rPr>
          <w:rFonts w:ascii="仿宋" w:hAnsi="仿宋" w:eastAsia="仿宋"/>
          <w:b/>
          <w:sz w:val="32"/>
          <w:szCs w:val="32"/>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与2021年持平。</w:t>
      </w:r>
    </w:p>
    <w:p>
      <w:pPr>
        <w:spacing w:line="560" w:lineRule="exact"/>
        <w:ind w:firstLine="640" w:firstLineChars="200"/>
        <w:outlineLvl w:val="2"/>
        <w:rPr>
          <w:rFonts w:ascii="楷体" w:hAnsi="楷体" w:eastAsia="楷体" w:cs="楷体"/>
          <w:bCs/>
          <w:sz w:val="32"/>
          <w:szCs w:val="32"/>
        </w:rPr>
      </w:pPr>
      <w:bookmarkStart w:id="60" w:name="_Toc15377223"/>
      <w:r>
        <w:rPr>
          <w:rFonts w:hint="eastAsia" w:ascii="楷体" w:hAnsi="楷体" w:eastAsia="楷体" w:cs="楷体"/>
          <w:bCs/>
          <w:sz w:val="32"/>
          <w:szCs w:val="32"/>
        </w:rPr>
        <w:t>（二）政府采购支出情况</w:t>
      </w:r>
      <w:bookmarkEnd w:id="60"/>
    </w:p>
    <w:p>
      <w:pPr>
        <w:spacing w:line="560" w:lineRule="exact"/>
        <w:ind w:firstLine="640" w:firstLineChars="200"/>
        <w:outlineLvl w:val="2"/>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22年，政府采购支出总额113.12万元，其中：政府采购货物支出113.12万元。授予中小企业合同金额0.00万元，占政府采购支出总额的0.00</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outlineLvl w:val="2"/>
        <w:rPr>
          <w:rFonts w:ascii="楷体" w:hAnsi="楷体" w:eastAsia="楷体" w:cs="楷体"/>
          <w:bCs/>
          <w:sz w:val="32"/>
          <w:szCs w:val="32"/>
        </w:rPr>
      </w:pPr>
      <w:bookmarkStart w:id="61" w:name="_Toc15377224"/>
      <w:r>
        <w:rPr>
          <w:rFonts w:hint="eastAsia" w:ascii="楷体" w:hAnsi="楷体" w:eastAsia="楷体" w:cs="楷体"/>
          <w:bCs/>
          <w:sz w:val="32"/>
          <w:szCs w:val="32"/>
        </w:rPr>
        <w:t>（三）国有资产占有使用情况</w:t>
      </w:r>
      <w:bookmarkEnd w:id="61"/>
    </w:p>
    <w:p>
      <w:pPr>
        <w:autoSpaceDE w:val="0"/>
        <w:autoSpaceDN w:val="0"/>
        <w:adjustRightInd w:val="0"/>
        <w:spacing w:line="560" w:lineRule="exact"/>
        <w:ind w:firstLine="640" w:firstLineChars="200"/>
        <w:jc w:val="left"/>
        <w:outlineLvl w:val="2"/>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日，我校共有车辆0辆，单价</w:t>
      </w:r>
      <w:r>
        <w:rPr>
          <w:rFonts w:ascii="仿宋_GB2312" w:eastAsia="仿宋_GB2312"/>
          <w:sz w:val="32"/>
          <w:szCs w:val="32"/>
        </w:rPr>
        <w:t>100</w:t>
      </w:r>
      <w:r>
        <w:rPr>
          <w:rFonts w:hint="eastAsia" w:ascii="仿宋_GB2312" w:eastAsia="仿宋_GB2312"/>
          <w:sz w:val="32"/>
          <w:szCs w:val="32"/>
        </w:rPr>
        <w:t>万元以上专用设备0台（套）。</w:t>
      </w:r>
    </w:p>
    <w:p>
      <w:pPr>
        <w:spacing w:line="560" w:lineRule="exact"/>
        <w:ind w:firstLine="640" w:firstLineChars="200"/>
        <w:outlineLvl w:val="2"/>
        <w:rPr>
          <w:rFonts w:ascii="楷体" w:hAnsi="楷体" w:eastAsia="楷体" w:cs="楷体"/>
          <w:bCs/>
          <w:sz w:val="32"/>
          <w:szCs w:val="32"/>
        </w:rPr>
      </w:pPr>
      <w:r>
        <w:rPr>
          <w:rFonts w:hint="eastAsia" w:ascii="楷体" w:hAnsi="楷体" w:eastAsia="楷体" w:cs="楷体"/>
          <w:bCs/>
          <w:sz w:val="32"/>
          <w:szCs w:val="32"/>
        </w:rPr>
        <w:t>（四）预算绩效管理情况</w:t>
      </w:r>
    </w:p>
    <w:p>
      <w:pPr>
        <w:spacing w:line="560" w:lineRule="exact"/>
        <w:ind w:firstLine="640" w:firstLineChars="200"/>
        <w:outlineLvl w:val="2"/>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2022年度预算编制阶段，组织家庭经济困难学生生活补助等7个项目开展了预算事前绩效评估，对7个项目编制了绩效目标，预算执行过程中，选取7个项目开展绩效监控，年终执行完毕后，对7个项目开展了绩效自评，2022年特定目标类部门预算项目绩效目标自评表见附件（第四部分）。</w:t>
      </w:r>
    </w:p>
    <w:p>
      <w:pPr>
        <w:numPr>
          <w:ilvl w:val="0"/>
          <w:numId w:val="3"/>
        </w:numPr>
        <w:spacing w:line="600" w:lineRule="exact"/>
        <w:ind w:firstLine="482" w:firstLineChars="150"/>
        <w:jc w:val="center"/>
        <w:outlineLvl w:val="0"/>
        <w:rPr>
          <w:rStyle w:val="36"/>
          <w:rFonts w:ascii="黑体" w:hAnsi="黑体" w:eastAsia="黑体"/>
          <w:b w:val="0"/>
          <w:color w:val="auto"/>
          <w:highlight w:val="none"/>
        </w:rPr>
      </w:pPr>
      <w:r>
        <w:rPr>
          <w:rFonts w:ascii="仿宋_GB2312" w:eastAsia="仿宋_GB2312"/>
          <w:b/>
          <w:sz w:val="32"/>
          <w:szCs w:val="32"/>
        </w:rPr>
        <w:br w:type="page"/>
      </w:r>
      <w:bookmarkStart w:id="62" w:name="_Toc15396613"/>
      <w:bookmarkStart w:id="63" w:name="_Toc15377225"/>
      <w:r>
        <w:rPr>
          <w:rFonts w:hint="eastAsia" w:ascii="黑体" w:hAnsi="黑体" w:eastAsia="黑体"/>
          <w:color w:val="auto"/>
          <w:sz w:val="44"/>
          <w:szCs w:val="44"/>
          <w:highlight w:val="none"/>
        </w:rPr>
        <w:t>名</w:t>
      </w:r>
      <w:r>
        <w:rPr>
          <w:rStyle w:val="36"/>
          <w:rFonts w:hint="eastAsia" w:ascii="黑体" w:hAnsi="黑体" w:eastAsia="黑体"/>
          <w:b w:val="0"/>
          <w:color w:val="auto"/>
          <w:highlight w:val="none"/>
        </w:rPr>
        <w:t>词解释</w:t>
      </w:r>
      <w:bookmarkEnd w:id="62"/>
      <w:bookmarkEnd w:id="63"/>
    </w:p>
    <w:p>
      <w:pPr>
        <w:spacing w:line="600" w:lineRule="exact"/>
        <w:jc w:val="left"/>
        <w:rPr>
          <w:rFonts w:ascii="宋体"/>
          <w:b/>
          <w:color w:val="auto"/>
          <w:sz w:val="44"/>
          <w:szCs w:val="44"/>
          <w:highlight w:val="none"/>
        </w:rPr>
      </w:pP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5"/>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5"/>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5"/>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napToGrid w:val="0"/>
        <w:spacing w:line="560" w:lineRule="exact"/>
        <w:ind w:firstLine="640"/>
        <w:outlineLvl w:val="2"/>
        <w:rPr>
          <w:rFonts w:ascii="仿宋" w:hAnsi="仿宋" w:eastAsia="仿宋"/>
          <w:b/>
          <w:sz w:val="32"/>
          <w:szCs w:val="32"/>
        </w:rPr>
      </w:pPr>
    </w:p>
    <w:p>
      <w:pPr>
        <w:pStyle w:val="2"/>
        <w:spacing w:before="72"/>
      </w:pPr>
    </w:p>
    <w:p>
      <w:pPr>
        <w:pStyle w:val="2"/>
        <w:spacing w:before="72"/>
      </w:pPr>
    </w:p>
    <w:p>
      <w:pPr>
        <w:pStyle w:val="2"/>
        <w:spacing w:before="72"/>
      </w:pPr>
    </w:p>
    <w:p>
      <w:pPr>
        <w:pStyle w:val="2"/>
        <w:spacing w:before="72"/>
      </w:pPr>
    </w:p>
    <w:p>
      <w:pPr>
        <w:pStyle w:val="2"/>
        <w:spacing w:before="72"/>
      </w:pPr>
    </w:p>
    <w:p>
      <w:pPr>
        <w:numPr>
          <w:ilvl w:val="0"/>
          <w:numId w:val="3"/>
        </w:numPr>
        <w:spacing w:line="600" w:lineRule="exact"/>
        <w:ind w:left="0" w:leftChars="0" w:firstLine="660" w:firstLineChars="150"/>
        <w:jc w:val="center"/>
        <w:outlineLvl w:val="0"/>
        <w:rPr>
          <w:rStyle w:val="27"/>
          <w:rFonts w:hint="eastAsia" w:ascii="黑体" w:hAnsi="黑体" w:eastAsia="黑体"/>
          <w:b w:val="0"/>
          <w:color w:val="000000" w:themeColor="text1"/>
          <w:lang w:val="en-US" w:eastAsia="zh-CN"/>
          <w14:textFill>
            <w14:solidFill>
              <w14:schemeClr w14:val="tx1"/>
            </w14:solidFill>
          </w14:textFill>
        </w:rPr>
      </w:pPr>
      <w:bookmarkStart w:id="64" w:name="_Toc15377226"/>
      <w:r>
        <w:rPr>
          <w:rStyle w:val="27"/>
          <w:rFonts w:hint="eastAsia" w:ascii="黑体" w:hAnsi="黑体" w:eastAsia="黑体"/>
          <w:b w:val="0"/>
          <w:color w:val="000000" w:themeColor="text1"/>
          <w:lang w:val="en-US" w:eastAsia="zh-CN"/>
          <w14:textFill>
            <w14:solidFill>
              <w14:schemeClr w14:val="tx1"/>
            </w14:solidFill>
          </w14:textFill>
        </w:rPr>
        <w:t>附件</w:t>
      </w:r>
    </w:p>
    <w:p>
      <w:pPr>
        <w:pStyle w:val="2"/>
        <w:numPr>
          <w:numId w:val="0"/>
        </w:numPr>
        <w:ind w:leftChars="150"/>
        <w:jc w:val="center"/>
        <w:rPr>
          <w:rFonts w:hint="default"/>
          <w:lang w:val="en-US" w:eastAsia="zh-CN"/>
        </w:rPr>
      </w:pPr>
      <w:r>
        <w:rPr>
          <w:rStyle w:val="37"/>
          <w:rFonts w:hint="eastAsia" w:ascii="仿宋" w:hAnsi="仿宋" w:eastAsia="仿宋"/>
          <w:b w:val="0"/>
          <w:bCs w:val="0"/>
          <w:color w:val="auto"/>
          <w:highlight w:val="none"/>
          <w:lang w:val="en-US" w:eastAsia="zh-CN" w:bidi="ar-SA"/>
        </w:rPr>
        <w:t>部门预算项目支出绩效自评表（2022年度）</w:t>
      </w:r>
      <w:bookmarkStart w:id="79" w:name="_GoBack"/>
      <w:bookmarkEnd w:id="79"/>
    </w:p>
    <w:bookmarkEnd w:id="64"/>
    <w:p>
      <w:pPr>
        <w:spacing w:line="600" w:lineRule="exact"/>
        <w:jc w:val="center"/>
        <w:outlineLvl w:val="0"/>
        <w:rPr>
          <w:rFonts w:hint="eastAsia" w:ascii="黑体" w:hAnsi="黑体" w:eastAsia="黑体"/>
          <w:sz w:val="44"/>
          <w:szCs w:val="44"/>
        </w:rPr>
      </w:pPr>
      <w:bookmarkStart w:id="65" w:name="_Toc15396618"/>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hint="eastAsia"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36"/>
          <w:rFonts w:hint="eastAsia" w:ascii="黑体" w:hAnsi="黑体" w:eastAsia="黑体"/>
        </w:rPr>
        <w:t>五部分 附表</w:t>
      </w:r>
      <w:bookmarkEnd w:id="65"/>
      <w:bookmarkStart w:id="66" w:name="_Toc15396619"/>
    </w:p>
    <w:p>
      <w:pPr>
        <w:pStyle w:val="4"/>
        <w:snapToGrid w:val="0"/>
        <w:spacing w:before="0" w:after="0" w:line="360" w:lineRule="auto"/>
        <w:rPr>
          <w:rFonts w:ascii="仿宋" w:hAnsi="仿宋" w:eastAsia="仿宋"/>
          <w:b w:val="0"/>
        </w:rPr>
      </w:pPr>
    </w:p>
    <w:p>
      <w:pPr>
        <w:pStyle w:val="4"/>
        <w:snapToGrid w:val="0"/>
        <w:spacing w:before="0" w:after="0" w:line="360" w:lineRule="auto"/>
        <w:ind w:firstLine="640" w:firstLineChars="200"/>
        <w:rPr>
          <w:rFonts w:ascii="仿宋" w:hAnsi="仿宋" w:eastAsia="仿宋"/>
        </w:rPr>
      </w:pPr>
      <w:r>
        <w:rPr>
          <w:rFonts w:hint="eastAsia" w:ascii="仿宋" w:hAnsi="仿宋" w:eastAsia="仿宋"/>
          <w:b w:val="0"/>
        </w:rPr>
        <w:t>一、收</w:t>
      </w:r>
      <w:r>
        <w:rPr>
          <w:rStyle w:val="37"/>
          <w:rFonts w:hint="eastAsia" w:ascii="仿宋" w:hAnsi="仿宋" w:eastAsia="仿宋"/>
          <w:b w:val="0"/>
          <w:bCs w:val="0"/>
        </w:rPr>
        <w:t>入支出决算总表</w:t>
      </w:r>
      <w:bookmarkEnd w:id="66"/>
    </w:p>
    <w:p>
      <w:pPr>
        <w:pStyle w:val="4"/>
        <w:snapToGrid w:val="0"/>
        <w:spacing w:before="0" w:after="0" w:line="360" w:lineRule="auto"/>
        <w:ind w:firstLine="640" w:firstLineChars="200"/>
        <w:rPr>
          <w:rFonts w:ascii="仿宋" w:hAnsi="仿宋" w:eastAsia="仿宋"/>
        </w:rPr>
      </w:pPr>
      <w:bookmarkStart w:id="67" w:name="_Toc15396620"/>
      <w:r>
        <w:rPr>
          <w:rFonts w:hint="eastAsia" w:ascii="仿宋" w:hAnsi="仿宋" w:eastAsia="仿宋"/>
          <w:b w:val="0"/>
        </w:rPr>
        <w:t>二、收</w:t>
      </w:r>
      <w:r>
        <w:rPr>
          <w:rStyle w:val="37"/>
          <w:rFonts w:hint="eastAsia" w:ascii="仿宋" w:hAnsi="仿宋" w:eastAsia="仿宋"/>
          <w:b w:val="0"/>
          <w:bCs w:val="0"/>
        </w:rPr>
        <w:t>入决算表</w:t>
      </w:r>
      <w:bookmarkEnd w:id="67"/>
    </w:p>
    <w:p>
      <w:pPr>
        <w:pStyle w:val="4"/>
        <w:snapToGrid w:val="0"/>
        <w:spacing w:before="0" w:after="0" w:line="360" w:lineRule="auto"/>
        <w:ind w:firstLine="640" w:firstLineChars="200"/>
        <w:rPr>
          <w:rFonts w:ascii="仿宋" w:hAnsi="仿宋" w:eastAsia="仿宋"/>
        </w:rPr>
      </w:pPr>
      <w:bookmarkStart w:id="68" w:name="_Toc15396621"/>
      <w:r>
        <w:rPr>
          <w:rStyle w:val="37"/>
          <w:rFonts w:hint="eastAsia" w:ascii="仿宋" w:hAnsi="仿宋" w:eastAsia="仿宋"/>
          <w:b w:val="0"/>
          <w:bCs w:val="0"/>
        </w:rPr>
        <w:t>三、</w:t>
      </w:r>
      <w:r>
        <w:rPr>
          <w:rFonts w:hint="eastAsia" w:ascii="仿宋" w:hAnsi="仿宋" w:eastAsia="仿宋"/>
          <w:b w:val="0"/>
        </w:rPr>
        <w:t>支</w:t>
      </w:r>
      <w:r>
        <w:rPr>
          <w:rStyle w:val="37"/>
          <w:rFonts w:hint="eastAsia" w:ascii="仿宋" w:hAnsi="仿宋" w:eastAsia="仿宋"/>
          <w:b w:val="0"/>
          <w:bCs w:val="0"/>
        </w:rPr>
        <w:t>出决算表</w:t>
      </w:r>
      <w:bookmarkEnd w:id="68"/>
    </w:p>
    <w:p>
      <w:pPr>
        <w:pStyle w:val="4"/>
        <w:snapToGrid w:val="0"/>
        <w:spacing w:before="0" w:after="0" w:line="360" w:lineRule="auto"/>
        <w:ind w:firstLine="640" w:firstLineChars="200"/>
        <w:rPr>
          <w:rFonts w:ascii="仿宋" w:hAnsi="仿宋" w:eastAsia="仿宋"/>
          <w:b w:val="0"/>
        </w:rPr>
      </w:pPr>
      <w:bookmarkStart w:id="69" w:name="_Toc15396622"/>
      <w:r>
        <w:rPr>
          <w:rStyle w:val="37"/>
          <w:rFonts w:hint="eastAsia" w:ascii="仿宋" w:hAnsi="仿宋" w:eastAsia="仿宋"/>
          <w:b w:val="0"/>
          <w:bCs w:val="0"/>
        </w:rPr>
        <w:t>四、</w:t>
      </w:r>
      <w:r>
        <w:rPr>
          <w:rFonts w:hint="eastAsia" w:ascii="仿宋" w:hAnsi="仿宋" w:eastAsia="仿宋"/>
          <w:b w:val="0"/>
        </w:rPr>
        <w:t>财</w:t>
      </w:r>
      <w:r>
        <w:rPr>
          <w:rStyle w:val="37"/>
          <w:rFonts w:hint="eastAsia" w:ascii="仿宋" w:hAnsi="仿宋" w:eastAsia="仿宋"/>
          <w:b w:val="0"/>
          <w:bCs w:val="0"/>
        </w:rPr>
        <w:t>政拨款收入支出决算总表</w:t>
      </w:r>
      <w:bookmarkEnd w:id="69"/>
    </w:p>
    <w:p>
      <w:pPr>
        <w:pStyle w:val="4"/>
        <w:snapToGrid w:val="0"/>
        <w:spacing w:before="0" w:after="0" w:line="360" w:lineRule="auto"/>
        <w:ind w:firstLine="640" w:firstLineChars="200"/>
        <w:rPr>
          <w:rStyle w:val="37"/>
          <w:rFonts w:ascii="仿宋" w:hAnsi="仿宋" w:eastAsia="仿宋"/>
          <w:b w:val="0"/>
          <w:bCs w:val="0"/>
        </w:rPr>
      </w:pPr>
      <w:bookmarkStart w:id="70" w:name="_Toc15396623"/>
      <w:r>
        <w:rPr>
          <w:rStyle w:val="37"/>
          <w:rFonts w:hint="eastAsia" w:ascii="仿宋" w:hAnsi="仿宋" w:eastAsia="仿宋"/>
          <w:b w:val="0"/>
          <w:bCs w:val="0"/>
        </w:rPr>
        <w:t>五、</w:t>
      </w:r>
      <w:r>
        <w:rPr>
          <w:rFonts w:hint="eastAsia" w:ascii="仿宋" w:hAnsi="仿宋" w:eastAsia="仿宋"/>
          <w:b w:val="0"/>
        </w:rPr>
        <w:t>财</w:t>
      </w:r>
      <w:r>
        <w:rPr>
          <w:rStyle w:val="37"/>
          <w:rFonts w:hint="eastAsia" w:ascii="仿宋" w:hAnsi="仿宋" w:eastAsia="仿宋"/>
          <w:b w:val="0"/>
          <w:bCs w:val="0"/>
        </w:rPr>
        <w:t>政拨款支出决算明细表</w:t>
      </w:r>
      <w:bookmarkEnd w:id="70"/>
      <w:bookmarkStart w:id="71" w:name="_Toc15396624"/>
    </w:p>
    <w:p>
      <w:pPr>
        <w:pStyle w:val="4"/>
        <w:snapToGrid w:val="0"/>
        <w:spacing w:before="0" w:after="0" w:line="360" w:lineRule="auto"/>
        <w:ind w:firstLine="640" w:firstLineChars="200"/>
        <w:rPr>
          <w:rFonts w:ascii="仿宋" w:hAnsi="仿宋" w:eastAsia="仿宋"/>
        </w:rPr>
      </w:pPr>
      <w:r>
        <w:rPr>
          <w:rStyle w:val="37"/>
          <w:rFonts w:hint="eastAsia" w:ascii="仿宋" w:hAnsi="仿宋" w:eastAsia="仿宋"/>
          <w:b w:val="0"/>
          <w:bCs w:val="0"/>
        </w:rPr>
        <w:t>六、</w:t>
      </w:r>
      <w:r>
        <w:rPr>
          <w:rFonts w:hint="eastAsia" w:ascii="仿宋" w:hAnsi="仿宋" w:eastAsia="仿宋"/>
          <w:b w:val="0"/>
        </w:rPr>
        <w:t>一</w:t>
      </w:r>
      <w:r>
        <w:rPr>
          <w:rStyle w:val="37"/>
          <w:rFonts w:hint="eastAsia" w:ascii="仿宋" w:hAnsi="仿宋" w:eastAsia="仿宋"/>
          <w:b w:val="0"/>
          <w:bCs w:val="0"/>
        </w:rPr>
        <w:t>般公共预算财政拨款支出决算表</w:t>
      </w:r>
      <w:bookmarkEnd w:id="71"/>
    </w:p>
    <w:p>
      <w:pPr>
        <w:pStyle w:val="4"/>
        <w:snapToGrid w:val="0"/>
        <w:spacing w:before="0" w:after="0" w:line="360" w:lineRule="auto"/>
        <w:ind w:firstLine="640" w:firstLineChars="200"/>
        <w:rPr>
          <w:rFonts w:ascii="仿宋" w:hAnsi="仿宋" w:eastAsia="仿宋"/>
        </w:rPr>
      </w:pPr>
      <w:bookmarkStart w:id="72" w:name="_Toc15396625"/>
      <w:r>
        <w:rPr>
          <w:rStyle w:val="37"/>
          <w:rFonts w:hint="eastAsia" w:ascii="仿宋" w:hAnsi="仿宋" w:eastAsia="仿宋"/>
          <w:b w:val="0"/>
          <w:bCs w:val="0"/>
        </w:rPr>
        <w:t>七、</w:t>
      </w:r>
      <w:r>
        <w:rPr>
          <w:rFonts w:hint="eastAsia" w:ascii="仿宋" w:hAnsi="仿宋" w:eastAsia="仿宋"/>
          <w:b w:val="0"/>
        </w:rPr>
        <w:t>一</w:t>
      </w:r>
      <w:r>
        <w:rPr>
          <w:rStyle w:val="37"/>
          <w:rFonts w:hint="eastAsia" w:ascii="仿宋" w:hAnsi="仿宋" w:eastAsia="仿宋"/>
          <w:b w:val="0"/>
          <w:bCs w:val="0"/>
        </w:rPr>
        <w:t>般公共预算财政拨款支出决算明细表</w:t>
      </w:r>
      <w:bookmarkEnd w:id="72"/>
    </w:p>
    <w:p>
      <w:pPr>
        <w:pStyle w:val="4"/>
        <w:snapToGrid w:val="0"/>
        <w:spacing w:before="0" w:after="0" w:line="360" w:lineRule="auto"/>
        <w:ind w:firstLine="640" w:firstLineChars="200"/>
        <w:rPr>
          <w:rFonts w:ascii="仿宋" w:hAnsi="仿宋" w:eastAsia="仿宋"/>
        </w:rPr>
      </w:pPr>
      <w:bookmarkStart w:id="73" w:name="_Toc15396626"/>
      <w:r>
        <w:rPr>
          <w:rStyle w:val="37"/>
          <w:rFonts w:hint="eastAsia" w:ascii="仿宋" w:hAnsi="仿宋" w:eastAsia="仿宋"/>
          <w:b w:val="0"/>
          <w:bCs w:val="0"/>
        </w:rPr>
        <w:t>八、</w:t>
      </w:r>
      <w:r>
        <w:rPr>
          <w:rFonts w:hint="eastAsia" w:ascii="仿宋" w:hAnsi="仿宋" w:eastAsia="仿宋"/>
          <w:b w:val="0"/>
        </w:rPr>
        <w:t>一</w:t>
      </w:r>
      <w:r>
        <w:rPr>
          <w:rStyle w:val="37"/>
          <w:rFonts w:hint="eastAsia" w:ascii="仿宋" w:hAnsi="仿宋" w:eastAsia="仿宋"/>
          <w:b w:val="0"/>
          <w:bCs w:val="0"/>
        </w:rPr>
        <w:t>般公共预算财政拨款基本支出决算表</w:t>
      </w:r>
      <w:bookmarkEnd w:id="73"/>
    </w:p>
    <w:p>
      <w:pPr>
        <w:pStyle w:val="4"/>
        <w:snapToGrid w:val="0"/>
        <w:spacing w:before="0" w:after="0" w:line="360" w:lineRule="auto"/>
        <w:ind w:firstLine="640" w:firstLineChars="200"/>
        <w:rPr>
          <w:rFonts w:ascii="仿宋" w:hAnsi="仿宋" w:eastAsia="仿宋"/>
        </w:rPr>
      </w:pPr>
      <w:bookmarkStart w:id="74" w:name="_Toc15396627"/>
      <w:r>
        <w:rPr>
          <w:rStyle w:val="37"/>
          <w:rFonts w:hint="eastAsia" w:ascii="仿宋" w:hAnsi="仿宋" w:eastAsia="仿宋"/>
          <w:b w:val="0"/>
          <w:bCs w:val="0"/>
        </w:rPr>
        <w:t>九、</w:t>
      </w:r>
      <w:r>
        <w:rPr>
          <w:rFonts w:hint="eastAsia" w:ascii="仿宋" w:hAnsi="仿宋" w:eastAsia="仿宋"/>
          <w:b w:val="0"/>
        </w:rPr>
        <w:t>一</w:t>
      </w:r>
      <w:r>
        <w:rPr>
          <w:rStyle w:val="37"/>
          <w:rFonts w:hint="eastAsia" w:ascii="仿宋" w:hAnsi="仿宋" w:eastAsia="仿宋"/>
          <w:b w:val="0"/>
          <w:bCs w:val="0"/>
        </w:rPr>
        <w:t>般公共预算财政拨款项目支出决算表</w:t>
      </w:r>
      <w:bookmarkEnd w:id="74"/>
    </w:p>
    <w:p>
      <w:pPr>
        <w:pStyle w:val="4"/>
        <w:snapToGrid w:val="0"/>
        <w:spacing w:before="0" w:after="0" w:line="360" w:lineRule="auto"/>
        <w:ind w:firstLine="640" w:firstLineChars="200"/>
        <w:rPr>
          <w:rFonts w:ascii="仿宋" w:hAnsi="仿宋" w:eastAsia="仿宋"/>
        </w:rPr>
      </w:pPr>
      <w:bookmarkStart w:id="75" w:name="_Toc15396628"/>
      <w:r>
        <w:rPr>
          <w:rStyle w:val="37"/>
          <w:rFonts w:hint="eastAsia" w:ascii="仿宋" w:hAnsi="仿宋" w:eastAsia="仿宋"/>
          <w:b w:val="0"/>
          <w:bCs w:val="0"/>
        </w:rPr>
        <w:t>十、</w:t>
      </w:r>
      <w:r>
        <w:rPr>
          <w:rFonts w:hint="eastAsia" w:ascii="仿宋" w:hAnsi="仿宋" w:eastAsia="仿宋"/>
          <w:b w:val="0"/>
        </w:rPr>
        <w:t>一</w:t>
      </w:r>
      <w:r>
        <w:rPr>
          <w:rStyle w:val="37"/>
          <w:rFonts w:hint="eastAsia" w:ascii="仿宋" w:hAnsi="仿宋" w:eastAsia="仿宋"/>
          <w:b w:val="0"/>
          <w:bCs w:val="0"/>
        </w:rPr>
        <w:t>般公共预算财政拨款“三公”经费支出决算表</w:t>
      </w:r>
      <w:bookmarkEnd w:id="75"/>
    </w:p>
    <w:p>
      <w:pPr>
        <w:pStyle w:val="4"/>
        <w:snapToGrid w:val="0"/>
        <w:spacing w:before="0" w:after="0" w:line="360" w:lineRule="auto"/>
        <w:ind w:firstLine="640" w:firstLineChars="200"/>
        <w:rPr>
          <w:rFonts w:ascii="仿宋" w:hAnsi="仿宋" w:eastAsia="仿宋"/>
        </w:rPr>
      </w:pPr>
      <w:bookmarkStart w:id="76" w:name="_Toc15396629"/>
      <w:r>
        <w:rPr>
          <w:rStyle w:val="37"/>
          <w:rFonts w:hint="eastAsia" w:ascii="仿宋" w:hAnsi="仿宋" w:eastAsia="仿宋"/>
          <w:b w:val="0"/>
          <w:bCs w:val="0"/>
        </w:rPr>
        <w:t>十一、</w:t>
      </w:r>
      <w:r>
        <w:rPr>
          <w:rFonts w:hint="eastAsia" w:ascii="仿宋" w:hAnsi="仿宋" w:eastAsia="仿宋"/>
          <w:b w:val="0"/>
        </w:rPr>
        <w:t>政</w:t>
      </w:r>
      <w:r>
        <w:rPr>
          <w:rStyle w:val="37"/>
          <w:rFonts w:hint="eastAsia" w:ascii="仿宋" w:hAnsi="仿宋" w:eastAsia="仿宋"/>
          <w:b w:val="0"/>
          <w:bCs w:val="0"/>
        </w:rPr>
        <w:t>府性基金预算财政拨款收入支出决算表</w:t>
      </w:r>
      <w:bookmarkEnd w:id="76"/>
    </w:p>
    <w:p>
      <w:pPr>
        <w:pStyle w:val="4"/>
        <w:snapToGrid w:val="0"/>
        <w:spacing w:before="0" w:after="0" w:line="360" w:lineRule="auto"/>
        <w:ind w:firstLine="640" w:firstLineChars="200"/>
        <w:rPr>
          <w:rFonts w:ascii="仿宋" w:hAnsi="仿宋" w:eastAsia="仿宋"/>
        </w:rPr>
      </w:pPr>
      <w:bookmarkStart w:id="77" w:name="_Toc15396630"/>
      <w:r>
        <w:rPr>
          <w:rStyle w:val="37"/>
          <w:rFonts w:hint="eastAsia" w:ascii="仿宋" w:hAnsi="仿宋" w:eastAsia="仿宋"/>
          <w:b w:val="0"/>
          <w:bCs w:val="0"/>
        </w:rPr>
        <w:t>十二、</w:t>
      </w:r>
      <w:r>
        <w:rPr>
          <w:rFonts w:hint="eastAsia" w:ascii="仿宋" w:hAnsi="仿宋" w:eastAsia="仿宋"/>
          <w:b w:val="0"/>
        </w:rPr>
        <w:t>政</w:t>
      </w:r>
      <w:r>
        <w:rPr>
          <w:rStyle w:val="37"/>
          <w:rFonts w:hint="eastAsia" w:ascii="仿宋" w:hAnsi="仿宋" w:eastAsia="仿宋"/>
          <w:b w:val="0"/>
          <w:bCs w:val="0"/>
        </w:rPr>
        <w:t>府性基金预算财政拨款“三公”经费支出决算表</w:t>
      </w:r>
      <w:bookmarkEnd w:id="77"/>
    </w:p>
    <w:p>
      <w:pPr>
        <w:pStyle w:val="4"/>
        <w:snapToGrid w:val="0"/>
        <w:spacing w:before="0" w:after="0" w:line="360" w:lineRule="auto"/>
        <w:ind w:firstLine="640" w:firstLineChars="200"/>
        <w:rPr>
          <w:rStyle w:val="37"/>
          <w:rFonts w:ascii="仿宋" w:hAnsi="仿宋" w:eastAsia="仿宋"/>
          <w:b w:val="0"/>
          <w:bCs w:val="0"/>
        </w:rPr>
      </w:pPr>
      <w:bookmarkStart w:id="78" w:name="_Toc15396631"/>
      <w:r>
        <w:rPr>
          <w:rStyle w:val="37"/>
          <w:rFonts w:hint="eastAsia" w:ascii="仿宋" w:hAnsi="仿宋" w:eastAsia="仿宋"/>
          <w:b w:val="0"/>
          <w:bCs w:val="0"/>
        </w:rPr>
        <w:t>十三、</w:t>
      </w:r>
      <w:r>
        <w:rPr>
          <w:rFonts w:hint="eastAsia" w:ascii="仿宋" w:hAnsi="仿宋" w:eastAsia="仿宋"/>
          <w:b w:val="0"/>
        </w:rPr>
        <w:t>国</w:t>
      </w:r>
      <w:r>
        <w:rPr>
          <w:rStyle w:val="37"/>
          <w:rFonts w:hint="eastAsia" w:ascii="仿宋" w:hAnsi="仿宋" w:eastAsia="仿宋"/>
          <w:b w:val="0"/>
          <w:bCs w:val="0"/>
        </w:rPr>
        <w:t>有资本经营预算财政拨款收入支出决算表</w:t>
      </w:r>
      <w:bookmarkEnd w:id="78"/>
    </w:p>
    <w:p>
      <w:pPr>
        <w:snapToGrid w:val="0"/>
        <w:spacing w:line="360" w:lineRule="auto"/>
        <w:ind w:firstLine="640" w:firstLineChars="200"/>
        <w:rPr>
          <w:b w:val="0"/>
          <w:bCs w:val="0"/>
          <w:sz w:val="32"/>
          <w:szCs w:val="32"/>
        </w:rPr>
      </w:pPr>
      <w:r>
        <w:rPr>
          <w:rStyle w:val="37"/>
          <w:rFonts w:hint="eastAsia" w:ascii="仿宋" w:hAnsi="仿宋" w:eastAsia="仿宋"/>
          <w:b w:val="0"/>
          <w:bCs w:val="0"/>
          <w:sz w:val="32"/>
          <w:szCs w:val="32"/>
        </w:rPr>
        <w:t>十四、国有资本经营预算财政拨款支出决算表</w:t>
      </w:r>
    </w:p>
    <w:p/>
    <w:p>
      <w:pPr>
        <w:snapToGrid w:val="0"/>
        <w:spacing w:line="620" w:lineRule="exact"/>
        <w:ind w:firstLine="420" w:firstLineChars="200"/>
        <w:outlineLvl w:val="1"/>
        <w:rPr>
          <w:rFonts w:eastAsia="仿宋"/>
        </w:rPr>
      </w:pPr>
    </w:p>
    <w:sectPr>
      <w:footerReference r:id="rId7" w:type="default"/>
      <w:pgSz w:w="11906" w:h="16838"/>
      <w:pgMar w:top="1701" w:right="1474" w:bottom="1701" w:left="1587" w:header="851" w:footer="1304"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F6D048F8"/>
    <w:multiLevelType w:val="singleLevel"/>
    <w:tmpl w:val="F6D048F8"/>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11FE"/>
    <w:rsid w:val="0004331D"/>
    <w:rsid w:val="000468DB"/>
    <w:rsid w:val="00054D1E"/>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4F5"/>
    <w:rsid w:val="000D1D50"/>
    <w:rsid w:val="000D5782"/>
    <w:rsid w:val="000E6613"/>
    <w:rsid w:val="000E7119"/>
    <w:rsid w:val="00113076"/>
    <w:rsid w:val="00114E9B"/>
    <w:rsid w:val="00142216"/>
    <w:rsid w:val="00144D6A"/>
    <w:rsid w:val="0014729F"/>
    <w:rsid w:val="00157BAB"/>
    <w:rsid w:val="001654D1"/>
    <w:rsid w:val="00174518"/>
    <w:rsid w:val="0018106D"/>
    <w:rsid w:val="001877A7"/>
    <w:rsid w:val="00191536"/>
    <w:rsid w:val="00196687"/>
    <w:rsid w:val="001C0962"/>
    <w:rsid w:val="001D0B78"/>
    <w:rsid w:val="001D7531"/>
    <w:rsid w:val="001E737D"/>
    <w:rsid w:val="001F0592"/>
    <w:rsid w:val="001F7506"/>
    <w:rsid w:val="002006CD"/>
    <w:rsid w:val="00202B36"/>
    <w:rsid w:val="00204B7A"/>
    <w:rsid w:val="00204CDE"/>
    <w:rsid w:val="0021101A"/>
    <w:rsid w:val="00220536"/>
    <w:rsid w:val="00235629"/>
    <w:rsid w:val="00245D92"/>
    <w:rsid w:val="00256EA3"/>
    <w:rsid w:val="00260C38"/>
    <w:rsid w:val="002616C0"/>
    <w:rsid w:val="00265372"/>
    <w:rsid w:val="002662AA"/>
    <w:rsid w:val="00280496"/>
    <w:rsid w:val="00285B8B"/>
    <w:rsid w:val="00293C8C"/>
    <w:rsid w:val="00294DC9"/>
    <w:rsid w:val="00295495"/>
    <w:rsid w:val="002A31DE"/>
    <w:rsid w:val="002B2613"/>
    <w:rsid w:val="002D6D05"/>
    <w:rsid w:val="002E6413"/>
    <w:rsid w:val="002F1818"/>
    <w:rsid w:val="002F567B"/>
    <w:rsid w:val="00310428"/>
    <w:rsid w:val="0031223D"/>
    <w:rsid w:val="003216A9"/>
    <w:rsid w:val="00335A74"/>
    <w:rsid w:val="003552B0"/>
    <w:rsid w:val="00362160"/>
    <w:rsid w:val="0036561B"/>
    <w:rsid w:val="0037013F"/>
    <w:rsid w:val="00380C92"/>
    <w:rsid w:val="003A2598"/>
    <w:rsid w:val="003A484F"/>
    <w:rsid w:val="003A4883"/>
    <w:rsid w:val="003A6253"/>
    <w:rsid w:val="003B0BE0"/>
    <w:rsid w:val="003B0C1B"/>
    <w:rsid w:val="003B688C"/>
    <w:rsid w:val="003C0291"/>
    <w:rsid w:val="003C39AE"/>
    <w:rsid w:val="003C7B60"/>
    <w:rsid w:val="003D0C0F"/>
    <w:rsid w:val="003D1FB2"/>
    <w:rsid w:val="003D66DA"/>
    <w:rsid w:val="003E1310"/>
    <w:rsid w:val="003E4011"/>
    <w:rsid w:val="003E6F55"/>
    <w:rsid w:val="00406254"/>
    <w:rsid w:val="004161F1"/>
    <w:rsid w:val="00417EF4"/>
    <w:rsid w:val="004223DE"/>
    <w:rsid w:val="004268EA"/>
    <w:rsid w:val="00433B24"/>
    <w:rsid w:val="00434489"/>
    <w:rsid w:val="00437085"/>
    <w:rsid w:val="00443880"/>
    <w:rsid w:val="004464F4"/>
    <w:rsid w:val="00457880"/>
    <w:rsid w:val="0046606A"/>
    <w:rsid w:val="00470855"/>
    <w:rsid w:val="00471401"/>
    <w:rsid w:val="00473F31"/>
    <w:rsid w:val="0048263A"/>
    <w:rsid w:val="00487E5D"/>
    <w:rsid w:val="004A711F"/>
    <w:rsid w:val="004B199D"/>
    <w:rsid w:val="004B4690"/>
    <w:rsid w:val="004E0A2D"/>
    <w:rsid w:val="004E206B"/>
    <w:rsid w:val="004E2145"/>
    <w:rsid w:val="004E6DF7"/>
    <w:rsid w:val="004F0FBD"/>
    <w:rsid w:val="00505A47"/>
    <w:rsid w:val="00512FDA"/>
    <w:rsid w:val="00513006"/>
    <w:rsid w:val="00520DA0"/>
    <w:rsid w:val="00521988"/>
    <w:rsid w:val="00530A8B"/>
    <w:rsid w:val="005664BB"/>
    <w:rsid w:val="00566FFA"/>
    <w:rsid w:val="0057481D"/>
    <w:rsid w:val="0058486E"/>
    <w:rsid w:val="00585B33"/>
    <w:rsid w:val="0059014D"/>
    <w:rsid w:val="005944CE"/>
    <w:rsid w:val="005B081A"/>
    <w:rsid w:val="005B5C64"/>
    <w:rsid w:val="005C5337"/>
    <w:rsid w:val="005C6BD0"/>
    <w:rsid w:val="005D1C8B"/>
    <w:rsid w:val="005D468D"/>
    <w:rsid w:val="005D5CED"/>
    <w:rsid w:val="005F1A4C"/>
    <w:rsid w:val="005F376C"/>
    <w:rsid w:val="005F5918"/>
    <w:rsid w:val="00605688"/>
    <w:rsid w:val="006070AF"/>
    <w:rsid w:val="00607E6C"/>
    <w:rsid w:val="006101B1"/>
    <w:rsid w:val="00614E44"/>
    <w:rsid w:val="0062270A"/>
    <w:rsid w:val="00622830"/>
    <w:rsid w:val="00623DA0"/>
    <w:rsid w:val="00630AEF"/>
    <w:rsid w:val="006325F8"/>
    <w:rsid w:val="00633463"/>
    <w:rsid w:val="00634C9A"/>
    <w:rsid w:val="006440E4"/>
    <w:rsid w:val="00646836"/>
    <w:rsid w:val="0066343B"/>
    <w:rsid w:val="00664777"/>
    <w:rsid w:val="006748A4"/>
    <w:rsid w:val="00675CB6"/>
    <w:rsid w:val="00681A31"/>
    <w:rsid w:val="00683E73"/>
    <w:rsid w:val="0069427D"/>
    <w:rsid w:val="00695681"/>
    <w:rsid w:val="006A1A8C"/>
    <w:rsid w:val="006A3141"/>
    <w:rsid w:val="006A52B8"/>
    <w:rsid w:val="006A5E34"/>
    <w:rsid w:val="006B2422"/>
    <w:rsid w:val="006B2B9A"/>
    <w:rsid w:val="006C1937"/>
    <w:rsid w:val="006D62F5"/>
    <w:rsid w:val="006F020C"/>
    <w:rsid w:val="00710970"/>
    <w:rsid w:val="007127B7"/>
    <w:rsid w:val="00715671"/>
    <w:rsid w:val="0071798E"/>
    <w:rsid w:val="007416B6"/>
    <w:rsid w:val="00746F48"/>
    <w:rsid w:val="007511EA"/>
    <w:rsid w:val="0075404D"/>
    <w:rsid w:val="0076182A"/>
    <w:rsid w:val="00763CE4"/>
    <w:rsid w:val="00767B7E"/>
    <w:rsid w:val="007770C3"/>
    <w:rsid w:val="00784D24"/>
    <w:rsid w:val="00785FBA"/>
    <w:rsid w:val="00786E4A"/>
    <w:rsid w:val="007875EB"/>
    <w:rsid w:val="0079426B"/>
    <w:rsid w:val="007D1682"/>
    <w:rsid w:val="007D312A"/>
    <w:rsid w:val="007D3F19"/>
    <w:rsid w:val="007E23B0"/>
    <w:rsid w:val="007E23E5"/>
    <w:rsid w:val="007E390B"/>
    <w:rsid w:val="007F1991"/>
    <w:rsid w:val="007F2C2F"/>
    <w:rsid w:val="007F55FC"/>
    <w:rsid w:val="007F5665"/>
    <w:rsid w:val="00800112"/>
    <w:rsid w:val="0080180E"/>
    <w:rsid w:val="00812B8A"/>
    <w:rsid w:val="00813348"/>
    <w:rsid w:val="008253BB"/>
    <w:rsid w:val="0083706E"/>
    <w:rsid w:val="008408F6"/>
    <w:rsid w:val="008423A5"/>
    <w:rsid w:val="00850625"/>
    <w:rsid w:val="00853718"/>
    <w:rsid w:val="00855221"/>
    <w:rsid w:val="00860645"/>
    <w:rsid w:val="00871F71"/>
    <w:rsid w:val="00872FD8"/>
    <w:rsid w:val="00882E39"/>
    <w:rsid w:val="00885AF4"/>
    <w:rsid w:val="00890EA2"/>
    <w:rsid w:val="008939CD"/>
    <w:rsid w:val="008B768C"/>
    <w:rsid w:val="008C4DB1"/>
    <w:rsid w:val="008C4EAF"/>
    <w:rsid w:val="008C5176"/>
    <w:rsid w:val="008C7FD0"/>
    <w:rsid w:val="008E1B63"/>
    <w:rsid w:val="008E1DE7"/>
    <w:rsid w:val="008E707C"/>
    <w:rsid w:val="00900B08"/>
    <w:rsid w:val="00902155"/>
    <w:rsid w:val="00902FA3"/>
    <w:rsid w:val="009219A9"/>
    <w:rsid w:val="00923564"/>
    <w:rsid w:val="0092392E"/>
    <w:rsid w:val="009315F9"/>
    <w:rsid w:val="00933499"/>
    <w:rsid w:val="00935C98"/>
    <w:rsid w:val="009412DD"/>
    <w:rsid w:val="00941D4F"/>
    <w:rsid w:val="00946945"/>
    <w:rsid w:val="00951248"/>
    <w:rsid w:val="0095152F"/>
    <w:rsid w:val="00954C49"/>
    <w:rsid w:val="00955E37"/>
    <w:rsid w:val="00967A54"/>
    <w:rsid w:val="0097099F"/>
    <w:rsid w:val="00971997"/>
    <w:rsid w:val="00971FFC"/>
    <w:rsid w:val="00982EE4"/>
    <w:rsid w:val="0098660A"/>
    <w:rsid w:val="009931C3"/>
    <w:rsid w:val="00993AAD"/>
    <w:rsid w:val="009B2C43"/>
    <w:rsid w:val="009B4EAE"/>
    <w:rsid w:val="009B7573"/>
    <w:rsid w:val="009C22F4"/>
    <w:rsid w:val="009C2A4B"/>
    <w:rsid w:val="009C2E98"/>
    <w:rsid w:val="009D3447"/>
    <w:rsid w:val="009D4711"/>
    <w:rsid w:val="009D4EB2"/>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95A92"/>
    <w:rsid w:val="00AA3C47"/>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5DA3"/>
    <w:rsid w:val="00B56340"/>
    <w:rsid w:val="00B57DAF"/>
    <w:rsid w:val="00B7439A"/>
    <w:rsid w:val="00B77EA6"/>
    <w:rsid w:val="00B81598"/>
    <w:rsid w:val="00B841F1"/>
    <w:rsid w:val="00B944D6"/>
    <w:rsid w:val="00BB4DF0"/>
    <w:rsid w:val="00BC289F"/>
    <w:rsid w:val="00BC2D50"/>
    <w:rsid w:val="00BC5361"/>
    <w:rsid w:val="00BC5460"/>
    <w:rsid w:val="00BC6B50"/>
    <w:rsid w:val="00BD0E25"/>
    <w:rsid w:val="00BD1E4C"/>
    <w:rsid w:val="00BE47DE"/>
    <w:rsid w:val="00BF5BD6"/>
    <w:rsid w:val="00C03E31"/>
    <w:rsid w:val="00C25309"/>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43C8D"/>
    <w:rsid w:val="00D51276"/>
    <w:rsid w:val="00D7035F"/>
    <w:rsid w:val="00DA634F"/>
    <w:rsid w:val="00DA65AC"/>
    <w:rsid w:val="00DB1913"/>
    <w:rsid w:val="00DB64D6"/>
    <w:rsid w:val="00DC410D"/>
    <w:rsid w:val="00DC5A81"/>
    <w:rsid w:val="00DC68CA"/>
    <w:rsid w:val="00DC7CBA"/>
    <w:rsid w:val="00DD73B7"/>
    <w:rsid w:val="00DF28BC"/>
    <w:rsid w:val="00DF34B9"/>
    <w:rsid w:val="00E01053"/>
    <w:rsid w:val="00E07ACF"/>
    <w:rsid w:val="00E331A1"/>
    <w:rsid w:val="00E33202"/>
    <w:rsid w:val="00E336A9"/>
    <w:rsid w:val="00E44C14"/>
    <w:rsid w:val="00E472B1"/>
    <w:rsid w:val="00E50624"/>
    <w:rsid w:val="00E568DF"/>
    <w:rsid w:val="00E61F0B"/>
    <w:rsid w:val="00E64269"/>
    <w:rsid w:val="00E82267"/>
    <w:rsid w:val="00E853CE"/>
    <w:rsid w:val="00E867B6"/>
    <w:rsid w:val="00EA010F"/>
    <w:rsid w:val="00ED1B63"/>
    <w:rsid w:val="00ED3C1F"/>
    <w:rsid w:val="00ED4085"/>
    <w:rsid w:val="00ED420E"/>
    <w:rsid w:val="00ED6FBE"/>
    <w:rsid w:val="00EE2F57"/>
    <w:rsid w:val="00EF4232"/>
    <w:rsid w:val="00EF4C34"/>
    <w:rsid w:val="00EF77C6"/>
    <w:rsid w:val="00F05438"/>
    <w:rsid w:val="00F1361C"/>
    <w:rsid w:val="00F156F0"/>
    <w:rsid w:val="00F160C7"/>
    <w:rsid w:val="00F2408F"/>
    <w:rsid w:val="00F240E9"/>
    <w:rsid w:val="00F36D8F"/>
    <w:rsid w:val="00F40280"/>
    <w:rsid w:val="00F417B1"/>
    <w:rsid w:val="00F45853"/>
    <w:rsid w:val="00F602DF"/>
    <w:rsid w:val="00F754A1"/>
    <w:rsid w:val="00F81FD9"/>
    <w:rsid w:val="00F841AA"/>
    <w:rsid w:val="00F84A94"/>
    <w:rsid w:val="00F87E96"/>
    <w:rsid w:val="00FA23E8"/>
    <w:rsid w:val="00FA6D61"/>
    <w:rsid w:val="00FC4E79"/>
    <w:rsid w:val="00FD3CC1"/>
    <w:rsid w:val="00FF1E02"/>
    <w:rsid w:val="00FF30B4"/>
    <w:rsid w:val="010E34BC"/>
    <w:rsid w:val="02D16390"/>
    <w:rsid w:val="03AC55EF"/>
    <w:rsid w:val="061D6D0E"/>
    <w:rsid w:val="073267E9"/>
    <w:rsid w:val="0A2032A3"/>
    <w:rsid w:val="0A393F15"/>
    <w:rsid w:val="0B8A37D8"/>
    <w:rsid w:val="0B925AA8"/>
    <w:rsid w:val="0C6904DC"/>
    <w:rsid w:val="0D805053"/>
    <w:rsid w:val="10C055FF"/>
    <w:rsid w:val="118107EC"/>
    <w:rsid w:val="11DD6519"/>
    <w:rsid w:val="12687563"/>
    <w:rsid w:val="14C96399"/>
    <w:rsid w:val="15AF54A9"/>
    <w:rsid w:val="160F7CF5"/>
    <w:rsid w:val="168E4293"/>
    <w:rsid w:val="16BB723D"/>
    <w:rsid w:val="171419D3"/>
    <w:rsid w:val="17C05B4C"/>
    <w:rsid w:val="18015F3F"/>
    <w:rsid w:val="197D7D98"/>
    <w:rsid w:val="19FB7011"/>
    <w:rsid w:val="1A3312F4"/>
    <w:rsid w:val="1B041CD2"/>
    <w:rsid w:val="1BE8440E"/>
    <w:rsid w:val="1C4C0096"/>
    <w:rsid w:val="1CDA72AF"/>
    <w:rsid w:val="1D155CEE"/>
    <w:rsid w:val="1E2B14E5"/>
    <w:rsid w:val="20547378"/>
    <w:rsid w:val="20884785"/>
    <w:rsid w:val="20F57F95"/>
    <w:rsid w:val="21944F55"/>
    <w:rsid w:val="21A60C8E"/>
    <w:rsid w:val="21BD0168"/>
    <w:rsid w:val="226007B7"/>
    <w:rsid w:val="22D507CE"/>
    <w:rsid w:val="23BC770E"/>
    <w:rsid w:val="23D700A4"/>
    <w:rsid w:val="23EF26A8"/>
    <w:rsid w:val="240371BF"/>
    <w:rsid w:val="25B83F05"/>
    <w:rsid w:val="25C741E6"/>
    <w:rsid w:val="27842671"/>
    <w:rsid w:val="27DD7DE7"/>
    <w:rsid w:val="28724840"/>
    <w:rsid w:val="28C27792"/>
    <w:rsid w:val="29FD04D3"/>
    <w:rsid w:val="2A097C66"/>
    <w:rsid w:val="2A8F792B"/>
    <w:rsid w:val="2ABE7A3E"/>
    <w:rsid w:val="2C33078A"/>
    <w:rsid w:val="2C89076E"/>
    <w:rsid w:val="2D8A1AF9"/>
    <w:rsid w:val="2EFA178C"/>
    <w:rsid w:val="30B46D73"/>
    <w:rsid w:val="31456F95"/>
    <w:rsid w:val="319F7F4E"/>
    <w:rsid w:val="31F06D7C"/>
    <w:rsid w:val="324C7EAF"/>
    <w:rsid w:val="3466001A"/>
    <w:rsid w:val="34EE6F87"/>
    <w:rsid w:val="351367B3"/>
    <w:rsid w:val="3997458B"/>
    <w:rsid w:val="39AE70AB"/>
    <w:rsid w:val="39E60773"/>
    <w:rsid w:val="3C0C0783"/>
    <w:rsid w:val="3CAD0662"/>
    <w:rsid w:val="3E6A2D2C"/>
    <w:rsid w:val="3E9C3F6D"/>
    <w:rsid w:val="3F355F11"/>
    <w:rsid w:val="3F9F3A96"/>
    <w:rsid w:val="3FE12547"/>
    <w:rsid w:val="40DF4178"/>
    <w:rsid w:val="41DB1250"/>
    <w:rsid w:val="420B38E3"/>
    <w:rsid w:val="447545DD"/>
    <w:rsid w:val="45353093"/>
    <w:rsid w:val="470923BB"/>
    <w:rsid w:val="47C018DD"/>
    <w:rsid w:val="47C71016"/>
    <w:rsid w:val="47CC58C3"/>
    <w:rsid w:val="48C447EC"/>
    <w:rsid w:val="493C27E9"/>
    <w:rsid w:val="496F39ED"/>
    <w:rsid w:val="499B199C"/>
    <w:rsid w:val="49FF41D3"/>
    <w:rsid w:val="4A411AEA"/>
    <w:rsid w:val="4A45195C"/>
    <w:rsid w:val="4BC13264"/>
    <w:rsid w:val="4BE068DB"/>
    <w:rsid w:val="4BF6002B"/>
    <w:rsid w:val="4C20442F"/>
    <w:rsid w:val="4C595179"/>
    <w:rsid w:val="4D3E7CBD"/>
    <w:rsid w:val="4E8C4626"/>
    <w:rsid w:val="4E9E13F5"/>
    <w:rsid w:val="4ECE2238"/>
    <w:rsid w:val="4EDD5E1C"/>
    <w:rsid w:val="4F686676"/>
    <w:rsid w:val="517C7493"/>
    <w:rsid w:val="51B356E0"/>
    <w:rsid w:val="51DB4B86"/>
    <w:rsid w:val="538227E8"/>
    <w:rsid w:val="53F1045F"/>
    <w:rsid w:val="54122FDB"/>
    <w:rsid w:val="542E3461"/>
    <w:rsid w:val="55333C3E"/>
    <w:rsid w:val="5536081F"/>
    <w:rsid w:val="563A62EE"/>
    <w:rsid w:val="56FB4F43"/>
    <w:rsid w:val="57390294"/>
    <w:rsid w:val="57EB3E30"/>
    <w:rsid w:val="5850359A"/>
    <w:rsid w:val="595E20F3"/>
    <w:rsid w:val="59A9272A"/>
    <w:rsid w:val="5CB35466"/>
    <w:rsid w:val="60033C5A"/>
    <w:rsid w:val="60B56544"/>
    <w:rsid w:val="61A23986"/>
    <w:rsid w:val="623475A6"/>
    <w:rsid w:val="62EF36D4"/>
    <w:rsid w:val="639E6324"/>
    <w:rsid w:val="647A4C53"/>
    <w:rsid w:val="64CA39A1"/>
    <w:rsid w:val="64E16127"/>
    <w:rsid w:val="659B72B4"/>
    <w:rsid w:val="6A1C2E07"/>
    <w:rsid w:val="6A2565B6"/>
    <w:rsid w:val="6AB41C2B"/>
    <w:rsid w:val="6C4A05C8"/>
    <w:rsid w:val="6E005A16"/>
    <w:rsid w:val="6ECD649B"/>
    <w:rsid w:val="6F871F4B"/>
    <w:rsid w:val="72734D90"/>
    <w:rsid w:val="72903A37"/>
    <w:rsid w:val="737D6457"/>
    <w:rsid w:val="73C11767"/>
    <w:rsid w:val="76BD6253"/>
    <w:rsid w:val="773C72BE"/>
    <w:rsid w:val="78CD3DEE"/>
    <w:rsid w:val="79E7B28D"/>
    <w:rsid w:val="7BD227A0"/>
    <w:rsid w:val="7E1B1DA9"/>
    <w:rsid w:val="7F392B36"/>
    <w:rsid w:val="7F9F20EE"/>
    <w:rsid w:val="7FAA0336"/>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30"/>
    <w:semiHidden/>
    <w:unhideWhenUsed/>
    <w:qFormat/>
    <w:uiPriority w:val="99"/>
    <w:rPr>
      <w:sz w:val="18"/>
      <w:szCs w:val="18"/>
    </w:rPr>
  </w:style>
  <w:style w:type="paragraph" w:styleId="8">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Body Text 2"/>
    <w:basedOn w:val="1"/>
    <w:unhideWhenUsed/>
    <w:qFormat/>
    <w:uiPriority w:val="0"/>
    <w:pPr>
      <w:spacing w:before="120" w:after="120"/>
      <w:ind w:firstLine="640"/>
      <w:jc w:val="center"/>
    </w:pPr>
    <w:rPr>
      <w:rFonts w:ascii="宋体" w:hAnsi="宋体" w:eastAsia="方正仿宋简体"/>
      <w:szCs w:val="20"/>
    </w:rPr>
  </w:style>
  <w:style w:type="paragraph" w:styleId="13">
    <w:name w:val="Normal (Web)"/>
    <w:basedOn w:val="1"/>
    <w:qFormat/>
    <w:uiPriority w:val="0"/>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customStyle="1" w:styleId="19">
    <w:name w:val="Header Char"/>
    <w:basedOn w:val="16"/>
    <w:semiHidden/>
    <w:qFormat/>
    <w:uiPriority w:val="99"/>
    <w:rPr>
      <w:rFonts w:ascii="Times New Roman" w:hAnsi="Times New Roman"/>
      <w:sz w:val="18"/>
      <w:szCs w:val="18"/>
    </w:rPr>
  </w:style>
  <w:style w:type="character" w:customStyle="1" w:styleId="20">
    <w:name w:val="页眉 Char"/>
    <w:link w:val="9"/>
    <w:qFormat/>
    <w:locked/>
    <w:uiPriority w:val="0"/>
    <w:rPr>
      <w:sz w:val="18"/>
    </w:rPr>
  </w:style>
  <w:style w:type="character" w:customStyle="1" w:styleId="21">
    <w:name w:val="Footer Char"/>
    <w:basedOn w:val="16"/>
    <w:semiHidden/>
    <w:qFormat/>
    <w:uiPriority w:val="99"/>
    <w:rPr>
      <w:rFonts w:ascii="Times New Roman" w:hAnsi="Times New Roman"/>
      <w:sz w:val="18"/>
      <w:szCs w:val="18"/>
    </w:rPr>
  </w:style>
  <w:style w:type="character" w:customStyle="1" w:styleId="22">
    <w:name w:val="页脚 Char"/>
    <w:link w:val="8"/>
    <w:qFormat/>
    <w:locked/>
    <w:uiPriority w:val="99"/>
    <w:rPr>
      <w:sz w:val="18"/>
    </w:rPr>
  </w:style>
  <w:style w:type="character" w:customStyle="1" w:styleId="23">
    <w:name w:val="Body Text Char"/>
    <w:basedOn w:val="16"/>
    <w:semiHidden/>
    <w:qFormat/>
    <w:uiPriority w:val="99"/>
    <w:rPr>
      <w:rFonts w:ascii="Times New Roman" w:hAnsi="Times New Roman"/>
      <w:szCs w:val="24"/>
    </w:rPr>
  </w:style>
  <w:style w:type="character" w:customStyle="1" w:styleId="24">
    <w:name w:val="正文文本 Char"/>
    <w:link w:val="2"/>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6"/>
    <w:qFormat/>
    <w:uiPriority w:val="9"/>
    <w:rPr>
      <w:rFonts w:ascii="Times New Roman" w:hAnsi="Times New Roman"/>
      <w:b/>
      <w:bCs/>
      <w:kern w:val="44"/>
      <w:sz w:val="44"/>
      <w:szCs w:val="44"/>
    </w:rPr>
  </w:style>
  <w:style w:type="character" w:customStyle="1" w:styleId="28">
    <w:name w:val="标题 2 字符"/>
    <w:basedOn w:val="16"/>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6"/>
    <w:link w:val="7"/>
    <w:semiHidden/>
    <w:qFormat/>
    <w:uiPriority w:val="99"/>
    <w:rPr>
      <w:rFonts w:ascii="Times New Roman" w:hAnsi="Times New Roman"/>
      <w:kern w:val="2"/>
      <w:sz w:val="18"/>
      <w:szCs w:val="18"/>
    </w:rPr>
  </w:style>
  <w:style w:type="character" w:customStyle="1" w:styleId="31">
    <w:name w:val="标题 3 Char"/>
    <w:basedOn w:val="16"/>
    <w:link w:val="5"/>
    <w:qFormat/>
    <w:uiPriority w:val="9"/>
    <w:rPr>
      <w:rFonts w:ascii="Times New Roman" w:hAnsi="Times New Roman"/>
      <w:b/>
      <w:bCs/>
      <w:kern w:val="2"/>
      <w:sz w:val="32"/>
      <w:szCs w:val="32"/>
    </w:rPr>
  </w:style>
  <w:style w:type="paragraph" w:customStyle="1" w:styleId="32">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qFormat/>
    <w:uiPriority w:val="0"/>
    <w:pPr>
      <w:spacing w:line="360" w:lineRule="auto"/>
    </w:pPr>
    <w:rPr>
      <w:rFonts w:ascii="??" w:hAnsi="??" w:eastAsia="Times New Roman"/>
      <w:color w:val="000000"/>
      <w:kern w:val="0"/>
      <w:sz w:val="28"/>
      <w:szCs w:val="21"/>
    </w:rPr>
  </w:style>
  <w:style w:type="paragraph" w:customStyle="1" w:styleId="34">
    <w:name w:val="WPSOffice手动目录 1"/>
    <w:qFormat/>
    <w:uiPriority w:val="0"/>
    <w:rPr>
      <w:rFonts w:asciiTheme="minorHAnsi" w:hAnsiTheme="minorHAnsi" w:eastAsiaTheme="minorEastAsia" w:cstheme="minorBidi"/>
      <w:lang w:val="en-US" w:eastAsia="zh-CN" w:bidi="ar-SA"/>
    </w:rPr>
  </w:style>
  <w:style w:type="paragraph" w:customStyle="1" w:styleId="35">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6">
    <w:name w:val="标题 1 Char"/>
    <w:basedOn w:val="16"/>
    <w:link w:val="3"/>
    <w:qFormat/>
    <w:uiPriority w:val="9"/>
    <w:rPr>
      <w:rFonts w:ascii="Times New Roman" w:hAnsi="Times New Roman" w:eastAsia="宋体" w:cs="Times New Roman"/>
      <w:b/>
      <w:bCs/>
      <w:kern w:val="44"/>
      <w:sz w:val="44"/>
      <w:szCs w:val="44"/>
    </w:rPr>
  </w:style>
  <w:style w:type="character" w:customStyle="1" w:styleId="37">
    <w:name w:val="标题 2 Char"/>
    <w:basedOn w:val="16"/>
    <w:link w:val="4"/>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5057736269319"/>
          <c:y val="0.192436968106259"/>
          <c:w val="0.794722260213751"/>
          <c:h val="0.685858983536149"/>
        </c:manualLayout>
      </c:layout>
      <c:barChart>
        <c:barDir val="col"/>
        <c:grouping val="clustered"/>
        <c:varyColors val="0"/>
        <c:ser>
          <c:idx val="0"/>
          <c:order val="0"/>
          <c:tx>
            <c:strRef>
              <c:f>Sheet1!$B$1</c:f>
              <c:strCache>
                <c:ptCount val="1"/>
                <c:pt idx="0">
                  <c:v>收、支决算总计（万元）</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1014.13</c:v>
                </c:pt>
                <c:pt idx="1">
                  <c:v>1240.23</c:v>
                </c:pt>
              </c:numCache>
            </c:numRef>
          </c:val>
        </c:ser>
        <c:dLbls>
          <c:showLegendKey val="0"/>
          <c:showVal val="0"/>
          <c:showCatName val="0"/>
          <c:showSerName val="0"/>
          <c:showPercent val="0"/>
          <c:showBubbleSize val="0"/>
        </c:dLbls>
        <c:gapWidth val="150"/>
        <c:axId val="255670144"/>
        <c:axId val="255671680"/>
      </c:barChart>
      <c:catAx>
        <c:axId val="2556701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671680"/>
        <c:crosses val="autoZero"/>
        <c:auto val="1"/>
        <c:lblAlgn val="ctr"/>
        <c:lblOffset val="100"/>
        <c:noMultiLvlLbl val="0"/>
      </c:catAx>
      <c:valAx>
        <c:axId val="2556716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670144"/>
        <c:crosses val="autoZero"/>
        <c:crossBetween val="between"/>
      </c:valAx>
      <c:spPr>
        <a:solidFill>
          <a:schemeClr val="bg1"/>
        </a:solidFill>
      </c:spPr>
    </c:plotArea>
    <c:legend>
      <c:legendPos val="r"/>
      <c:layout>
        <c:manualLayout>
          <c:xMode val="edge"/>
          <c:yMode val="edge"/>
          <c:x val="0.561414392059553"/>
          <c:y val="0.062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0"/>
              <c:layout>
                <c:manualLayout>
                  <c:x val="-0.0441459184332534"/>
                  <c:y val="-0.13312693498452"/>
                </c:manualLayout>
              </c:layout>
              <c:dLblPos val="bestFit"/>
              <c:showLegendKey val="0"/>
              <c:showVal val="1"/>
              <c:showCatName val="1"/>
              <c:showSerName val="0"/>
              <c:showPercent val="1"/>
              <c:showBubbleSize val="0"/>
              <c:extLst>
                <c:ext xmlns:c15="http://schemas.microsoft.com/office/drawing/2012/chart" uri="{CE6537A1-D6FC-4f65-9D91-7224C49458BB}">
                  <c15:layout>
                    <c:manualLayout>
                      <c:w val="0.329280038526366"/>
                      <c:h val="0.160990712074303"/>
                    </c:manualLayout>
                  </c15:layout>
                </c:ext>
              </c:extLst>
            </c:dLbl>
            <c:dLbl>
              <c:idx val="1"/>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1044.65</c:v>
                </c:pt>
                <c:pt idx="1">
                  <c:v>0.05</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dPt>
          <c:dPt>
            <c:idx val="1"/>
            <c:bubble3D val="0"/>
          </c:dPt>
          <c:dPt>
            <c:idx val="2"/>
            <c:bubble3D val="0"/>
          </c:dPt>
          <c:dPt>
            <c:idx val="3"/>
            <c:bubble3D val="0"/>
          </c:dPt>
          <c:dPt>
            <c:idx val="4"/>
            <c:bubble3D val="0"/>
          </c:dPt>
          <c:dLbls>
            <c:dLbl>
              <c:idx val="0"/>
              <c:layout>
                <c:manualLayout>
                  <c:x val="-0.0850533087503594"/>
                  <c:y val="0.1878650083571"/>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23913896462115"/>
                  <c:y val="-0.220667769897919"/>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844.01</c:v>
                </c:pt>
                <c:pt idx="1">
                  <c:v>396.17</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731158198892367"/>
          <c:y val="0.33849329205366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财政拨款收、支决算总计（万元）</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1014.13</c:v>
                </c:pt>
                <c:pt idx="1">
                  <c:v>1044.65</c:v>
                </c:pt>
              </c:numCache>
            </c:numRef>
          </c:val>
        </c:ser>
        <c:dLbls>
          <c:showLegendKey val="0"/>
          <c:showVal val="0"/>
          <c:showCatName val="0"/>
          <c:showSerName val="0"/>
          <c:showPercent val="0"/>
          <c:showBubbleSize val="0"/>
        </c:dLbls>
        <c:gapWidth val="150"/>
        <c:axId val="255691392"/>
        <c:axId val="257507712"/>
      </c:barChart>
      <c:catAx>
        <c:axId val="255691392"/>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7507712"/>
        <c:crosses val="autoZero"/>
        <c:auto val="1"/>
        <c:lblAlgn val="ctr"/>
        <c:lblOffset val="100"/>
        <c:noMultiLvlLbl val="0"/>
      </c:catAx>
      <c:valAx>
        <c:axId val="2575077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55691392"/>
        <c:crosses val="autoZero"/>
        <c:crossBetween val="between"/>
      </c:valAx>
    </c:plotArea>
    <c:legend>
      <c:legendPos val="r"/>
      <c:layout>
        <c:manualLayout>
          <c:xMode val="edge"/>
          <c:yMode val="edge"/>
          <c:x val="0.579595742136108"/>
          <c:y val="0.0576781778104335"/>
          <c:w val="0.391101542877646"/>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381551330884988"/>
          <c:y val="0.0251909997318447"/>
          <c:w val="0.802166349721575"/>
          <c:h val="0.847475195631506"/>
        </c:manualLayout>
      </c:layout>
      <c:barChart>
        <c:barDir val="col"/>
        <c:grouping val="clustered"/>
        <c:varyColors val="0"/>
        <c:ser>
          <c:idx val="0"/>
          <c:order val="0"/>
          <c:tx>
            <c:strRef>
              <c:f>Sheet1!$B$1</c:f>
              <c:strCache>
                <c:ptCount val="1"/>
                <c:pt idx="0">
                  <c:v>一般公共预算财政拨款支出（万元）</c:v>
                </c:pt>
              </c:strCache>
            </c:strRef>
          </c:tx>
          <c:invertIfNegative val="0"/>
          <c:dLbls>
            <c:delete val="1"/>
          </c:dLbls>
          <c:cat>
            <c:strRef>
              <c:f>Sheet1!$A$2:$A$3</c:f>
              <c:strCache>
                <c:ptCount val="2"/>
                <c:pt idx="0">
                  <c:v>2021年</c:v>
                </c:pt>
                <c:pt idx="1">
                  <c:v>2022年</c:v>
                </c:pt>
              </c:strCache>
            </c:strRef>
          </c:cat>
          <c:val>
            <c:numRef>
              <c:f>Sheet1!$B$2:$B$3</c:f>
              <c:numCache>
                <c:formatCode>General</c:formatCode>
                <c:ptCount val="2"/>
                <c:pt idx="0">
                  <c:v>925.31</c:v>
                </c:pt>
                <c:pt idx="1">
                  <c:v>1240.18</c:v>
                </c:pt>
              </c:numCache>
            </c:numRef>
          </c:val>
        </c:ser>
        <c:dLbls>
          <c:showLegendKey val="0"/>
          <c:showVal val="0"/>
          <c:showCatName val="0"/>
          <c:showSerName val="0"/>
          <c:showPercent val="0"/>
          <c:showBubbleSize val="0"/>
        </c:dLbls>
        <c:gapWidth val="150"/>
        <c:axId val="348987776"/>
        <c:axId val="348989312"/>
      </c:barChart>
      <c:catAx>
        <c:axId val="34898777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48989312"/>
        <c:crosses val="autoZero"/>
        <c:auto val="1"/>
        <c:lblAlgn val="ctr"/>
        <c:lblOffset val="100"/>
        <c:noMultiLvlLbl val="0"/>
      </c:catAx>
      <c:valAx>
        <c:axId val="34898931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48987776"/>
        <c:crosses val="autoZero"/>
        <c:crossBetween val="between"/>
      </c:valAx>
    </c:plotArea>
    <c:legend>
      <c:legendPos val="r"/>
      <c:layout>
        <c:manualLayout>
          <c:xMode val="edge"/>
          <c:yMode val="edge"/>
          <c:x val="0.559622054778137"/>
          <c:y val="0.0165319617927994"/>
          <c:w val="0.41430450903002"/>
          <c:h val="0.224467303453343"/>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支出数（万元）</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0415685620961155"/>
                  <c:y val="-0.26080386823813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89776407300892"/>
                  <c:y val="0"/>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222830440741944"/>
                  <c:y val="0"/>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a:t>卫生健康支出</a:t>
                    </a:r>
                    <a:r>
                      <a:rPr lang="en-US" altLang="zh-CN"/>
                      <a:t>, 39.15,0.60%</a:t>
                    </a:r>
                    <a:endParaRPr lang="en-US" altLang="zh-CN"/>
                  </a:p>
                </c:rich>
              </c:tx>
              <c:dLblPos val="bestFit"/>
              <c:showLegendKey val="0"/>
              <c:showVal val="1"/>
              <c:showCatName val="1"/>
              <c:showSerName val="0"/>
              <c:showPercent val="0"/>
              <c:showBubbleSize val="0"/>
              <c:extLst>
                <c:ext xmlns:c15="http://schemas.microsoft.com/office/drawing/2012/chart" uri="{CE6537A1-D6FC-4f65-9D91-7224C49458BB}">
                  <c15:layout/>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教育支出</c:v>
                </c:pt>
                <c:pt idx="1">
                  <c:v>社会保障和就业支出</c:v>
                </c:pt>
                <c:pt idx="2">
                  <c:v>卫生与健康支出</c:v>
                </c:pt>
              </c:strCache>
            </c:strRef>
          </c:cat>
          <c:val>
            <c:numRef>
              <c:f>Sheet1!$B$2:$B$4</c:f>
              <c:numCache>
                <c:formatCode>General</c:formatCode>
                <c:ptCount val="3"/>
                <c:pt idx="0">
                  <c:v>1150.77</c:v>
                </c:pt>
                <c:pt idx="1">
                  <c:v>58.87</c:v>
                </c:pt>
                <c:pt idx="2">
                  <c:v>30.58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48</Pages>
  <Words>20279</Words>
  <Characters>21200</Characters>
  <Lines>192</Lines>
  <Paragraphs>54</Paragraphs>
  <TotalTime>0</TotalTime>
  <ScaleCrop>false</ScaleCrop>
  <LinksUpToDate>false</LinksUpToDate>
  <CharactersWithSpaces>21387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2023-09-08T00:38:00Z</dcterms:created>
  <dc:creator>曹颖</dc:creator>
  <cp:lastModifiedBy>凝望</cp:lastModifiedBy>
  <cp:lastPrinted>2022-08-06T02:23:00Z</cp:lastPrinted>
  <dcterms:modified xsi:type="dcterms:W3CDTF">2023-10-15T06:01:57Z</dcterms:modified>
  <dc:title>四川省***</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79C1137179E74C9B8772C545CB2BC3E5_13</vt:lpwstr>
  </property>
</Properties>
</file>