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96475"/>
      <w:bookmarkStart w:id="3" w:name="_Toc15396597"/>
      <w:bookmarkStart w:id="4" w:name="_Toc15378441"/>
      <w:bookmarkStart w:id="5"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598"/>
      <w:bookmarkStart w:id="8" w:name="_Toc15396476"/>
      <w:bookmarkStart w:id="9" w:name="_Toc15377426"/>
      <w:bookmarkStart w:id="10" w:name="_Toc15378442"/>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广元市利州区工农小学单位决算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w:t>
      </w:r>
      <w:r>
        <w:rPr>
          <w:rFonts w:hint="eastAsia"/>
          <w:lang w:val="en-US" w:eastAsia="zh-CN"/>
        </w:rPr>
        <w:t>10</w:t>
      </w:r>
      <w:r>
        <w:rPr>
          <w:rFonts w:hint="eastAsia"/>
        </w:rPr>
        <w:t>月</w:t>
      </w:r>
      <w:r>
        <w:rPr>
          <w:rFonts w:hint="eastAsia"/>
          <w:lang w:val="en-US" w:eastAsia="zh-CN"/>
        </w:rPr>
        <w:t>15</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第一部分单位概况</w:t>
      </w:r>
    </w:p>
    <w:p>
      <w:pPr>
        <w:pStyle w:val="11"/>
        <w:adjustRightInd w:val="0"/>
        <w:snapToGrid w:val="0"/>
        <w:spacing w:line="440" w:lineRule="exact"/>
        <w:jc w:val="left"/>
        <w:rPr>
          <w:sz w:val="24"/>
        </w:rPr>
      </w:pPr>
      <w:r>
        <w:rPr>
          <w:rFonts w:hint="eastAsia"/>
          <w:sz w:val="24"/>
        </w:rPr>
        <w:t>一、主要职责</w:t>
      </w:r>
    </w:p>
    <w:p>
      <w:pPr>
        <w:pStyle w:val="11"/>
        <w:adjustRightInd w:val="0"/>
        <w:snapToGrid w:val="0"/>
        <w:spacing w:line="440" w:lineRule="exact"/>
        <w:jc w:val="left"/>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 2022年度单位决算情况说明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jc w:val="left"/>
        <w:rPr>
          <w:sz w:val="24"/>
        </w:rPr>
      </w:pPr>
      <w:r>
        <w:rPr>
          <w:rFonts w:hint="eastAsia"/>
          <w:sz w:val="24"/>
        </w:rPr>
        <w:t>九、国有资本经营预算支出决算情况说明</w:t>
      </w:r>
    </w:p>
    <w:p>
      <w:pPr>
        <w:pStyle w:val="11"/>
        <w:adjustRightInd w:val="0"/>
        <w:snapToGrid w:val="0"/>
        <w:spacing w:line="440" w:lineRule="exact"/>
        <w:jc w:val="left"/>
        <w:rPr>
          <w:sz w:val="24"/>
        </w:rPr>
      </w:pPr>
      <w:r>
        <w:rPr>
          <w:rFonts w:hint="eastAsia"/>
          <w:sz w:val="24"/>
        </w:rPr>
        <w:t>十、其他重要事项的情况说明</w:t>
      </w:r>
    </w:p>
    <w:p>
      <w:pPr>
        <w:pStyle w:val="10"/>
        <w:adjustRightInd w:val="0"/>
        <w:snapToGrid w:val="0"/>
        <w:spacing w:before="0" w:line="440" w:lineRule="exact"/>
        <w:jc w:val="left"/>
        <w:rPr>
          <w:rFonts w:cstheme="minorBidi"/>
          <w:sz w:val="24"/>
          <w:szCs w:val="24"/>
        </w:rPr>
      </w:pPr>
      <w:r>
        <w:rPr>
          <w:rFonts w:hint="eastAsia"/>
          <w:sz w:val="24"/>
        </w:rPr>
        <w:t>第三部分名词解释</w:t>
      </w:r>
    </w:p>
    <w:p>
      <w:pPr>
        <w:pStyle w:val="10"/>
        <w:adjustRightInd w:val="0"/>
        <w:snapToGrid w:val="0"/>
        <w:spacing w:before="0" w:line="440" w:lineRule="exact"/>
        <w:jc w:val="left"/>
        <w:rPr>
          <w:rFonts w:hint="eastAsia"/>
          <w:sz w:val="24"/>
        </w:rPr>
      </w:pPr>
      <w:r>
        <w:rPr>
          <w:rFonts w:hint="eastAsia"/>
          <w:sz w:val="24"/>
        </w:rPr>
        <w:t>第四部分附件</w:t>
      </w:r>
    </w:p>
    <w:p>
      <w:pPr>
        <w:pStyle w:val="11"/>
        <w:adjustRightInd w:val="0"/>
        <w:snapToGrid w:val="0"/>
        <w:spacing w:line="440" w:lineRule="exact"/>
        <w:jc w:val="left"/>
      </w:pPr>
      <w:r>
        <w:rPr>
          <w:rFonts w:hint="eastAsia"/>
          <w:sz w:val="24"/>
          <w:lang w:val="en-US" w:eastAsia="zh-CN"/>
        </w:rPr>
        <w:t>一、</w:t>
      </w:r>
      <w:bookmarkStart w:id="67" w:name="_GoBack"/>
      <w:bookmarkEnd w:id="67"/>
      <w:r>
        <w:rPr>
          <w:rFonts w:hint="eastAsia"/>
          <w:sz w:val="24"/>
        </w:rPr>
        <w:t>部门预算项目支出绩效自评表（2022年度）</w:t>
      </w:r>
    </w:p>
    <w:p>
      <w:pPr>
        <w:pStyle w:val="10"/>
        <w:adjustRightInd w:val="0"/>
        <w:snapToGrid w:val="0"/>
        <w:spacing w:before="0" w:line="440" w:lineRule="exact"/>
        <w:jc w:val="left"/>
        <w:rPr>
          <w:rFonts w:cstheme="minorBidi"/>
          <w:sz w:val="24"/>
          <w:szCs w:val="24"/>
        </w:rPr>
      </w:pPr>
      <w:r>
        <w:rPr>
          <w:rFonts w:hint="eastAsia"/>
          <w:sz w:val="24"/>
        </w:rPr>
        <w:t>第五部分附表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八、一般公共预算财政拨款基本支出决算明细表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十、政府性基金预算财政拨款收入支出决算表</w:t>
      </w:r>
    </w:p>
    <w:p>
      <w:pPr>
        <w:pStyle w:val="11"/>
        <w:adjustRightInd w:val="0"/>
        <w:snapToGrid w:val="0"/>
        <w:spacing w:line="440" w:lineRule="exact"/>
        <w:jc w:val="left"/>
        <w:rPr>
          <w:sz w:val="24"/>
        </w:rPr>
      </w:pPr>
      <w:r>
        <w:rPr>
          <w:rFonts w:hint="eastAsia"/>
          <w:sz w:val="24"/>
        </w:rPr>
        <w:t>十一、国有资本经营预算财政拨款收入支出决算表</w:t>
      </w:r>
    </w:p>
    <w:p>
      <w:pPr>
        <w:pStyle w:val="11"/>
        <w:adjustRightInd w:val="0"/>
        <w:snapToGrid w:val="0"/>
        <w:spacing w:line="440" w:lineRule="exact"/>
        <w:jc w:val="left"/>
        <w:rPr>
          <w:sz w:val="24"/>
        </w:rPr>
      </w:pPr>
      <w:r>
        <w:rPr>
          <w:rFonts w:hint="eastAsia"/>
          <w:sz w:val="24"/>
        </w:rPr>
        <w:t>十二、国有资本经营预算财政拨款支出决算表</w:t>
      </w:r>
    </w:p>
    <w:p>
      <w:pPr>
        <w:pStyle w:val="11"/>
        <w:adjustRightInd w:val="0"/>
        <w:snapToGrid w:val="0"/>
        <w:spacing w:line="440" w:lineRule="exact"/>
        <w:jc w:val="left"/>
        <w:rPr>
          <w:rFonts w:ascii="仿宋" w:hAnsi="仿宋" w:eastAsia="仿宋"/>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4"/>
          <w:rFonts w:ascii="黑体" w:hAnsi="黑体" w:eastAsia="黑体"/>
          <w:b/>
          <w:bCs w:val="0"/>
        </w:rPr>
      </w:pPr>
      <w:r>
        <w:rPr>
          <w:rFonts w:hint="eastAsia" w:ascii="黑体" w:hAnsi="黑体" w:eastAsia="黑体"/>
          <w:b w:val="0"/>
        </w:rPr>
        <w:t>第一部分 单位</w:t>
      </w:r>
      <w:r>
        <w:rPr>
          <w:rStyle w:val="24"/>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5"/>
          <w:rFonts w:ascii="黑体" w:hAnsi="黑体" w:eastAsia="黑体"/>
          <w:b w:val="0"/>
          <w:bCs w:val="0"/>
        </w:rPr>
      </w:pPr>
      <w:bookmarkStart w:id="14" w:name="_Toc15377197"/>
      <w:bookmarkStart w:id="15" w:name="_Toc15396600"/>
      <w:r>
        <w:rPr>
          <w:rStyle w:val="25"/>
          <w:rFonts w:hint="eastAsia" w:ascii="黑体" w:hAnsi="黑体" w:eastAsia="黑体"/>
          <w:b w:val="0"/>
          <w:bCs w:val="0"/>
        </w:rPr>
        <w:t>主要职责</w:t>
      </w:r>
    </w:p>
    <w:p>
      <w:pPr>
        <w:ind w:firstLine="566" w:firstLineChars="177"/>
        <w:rPr>
          <w:rFonts w:hint="eastAsia" w:ascii="仿宋" w:hAnsi="仿宋" w:eastAsia="仿宋" w:cs="Times New Roman"/>
          <w:szCs w:val="21"/>
        </w:rPr>
      </w:pPr>
      <w:r>
        <w:rPr>
          <w:rFonts w:hint="eastAsia" w:ascii="仿宋" w:hAnsi="仿宋" w:eastAsia="仿宋" w:cs="Times New Roman"/>
          <w:sz w:val="32"/>
          <w:szCs w:val="32"/>
        </w:rPr>
        <w:t>1．贯彻执行党和国家关于教育改革和发展的各项方针、政策，拟订全校教育事业发展规划和有关教育的规范性文件并组织实施；指导协调学校各部门的教育、教学体制改革。教育质量要上新台阶"的工作要求，坚持"强化管理，深化改革，务实发展，聚焦课改，决战课堂，成就教师"的策略。</w:t>
      </w:r>
    </w:p>
    <w:p>
      <w:pPr>
        <w:ind w:firstLine="566" w:firstLineChars="177"/>
        <w:rPr>
          <w:rFonts w:hint="eastAsia" w:ascii="仿宋" w:hAnsi="仿宋" w:eastAsia="仿宋" w:cs="Times New Roman"/>
          <w:sz w:val="32"/>
          <w:szCs w:val="32"/>
        </w:rPr>
      </w:pPr>
      <w:r>
        <w:rPr>
          <w:rFonts w:hint="eastAsia" w:ascii="仿宋" w:hAnsi="仿宋" w:eastAsia="仿宋" w:cs="Times New Roman"/>
          <w:sz w:val="32"/>
          <w:szCs w:val="32"/>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ind w:firstLine="566" w:firstLineChars="177"/>
        <w:rPr>
          <w:rFonts w:hint="eastAsia" w:ascii="仿宋" w:hAnsi="仿宋" w:eastAsia="仿宋" w:cs="Times New Roman"/>
          <w:sz w:val="32"/>
          <w:szCs w:val="32"/>
        </w:rPr>
      </w:pPr>
      <w:r>
        <w:rPr>
          <w:rFonts w:hint="eastAsia" w:ascii="仿宋" w:hAnsi="仿宋" w:eastAsia="仿宋" w:cs="Times New Roman"/>
          <w:sz w:val="32"/>
          <w:szCs w:val="32"/>
        </w:rPr>
        <w:t>3．负责推进义务教育均衡发展和促进教育公平，负责义务教育的宏观指导与协调；指导学校全面实施素质教育；督促检查学校各类学校的办学标准、教学基本要求、教学基本条件的落实情况。</w:t>
      </w:r>
    </w:p>
    <w:p>
      <w:pPr>
        <w:ind w:firstLine="566" w:firstLineChars="177"/>
        <w:rPr>
          <w:rFonts w:hint="eastAsia" w:ascii="仿宋" w:hAnsi="仿宋" w:eastAsia="仿宋" w:cs="Times New Roman"/>
          <w:sz w:val="32"/>
          <w:szCs w:val="32"/>
        </w:rPr>
      </w:pPr>
      <w:r>
        <w:rPr>
          <w:rFonts w:hint="eastAsia" w:ascii="仿宋" w:hAnsi="仿宋" w:eastAsia="仿宋" w:cs="Times New Roman"/>
          <w:sz w:val="32"/>
          <w:szCs w:val="32"/>
        </w:rPr>
        <w:t>4.努力实现教师素养与学生素质同步提升、教育质量与办学特色全面彰显，进一步加强内部管理，紧紧团结和依靠教职员工，全面推进素质教育，全面提高教育教学质量，又好又快地建设和谐校园促进基础教育发展，教育学生成长为德学兼备、思想端正的学生，让学生获得基本的基础知识，尽可能培养其自学能力。</w:t>
      </w:r>
    </w:p>
    <w:p>
      <w:pPr>
        <w:spacing w:line="560" w:lineRule="exact"/>
        <w:ind w:firstLine="570"/>
        <w:rPr>
          <w:rFonts w:hint="eastAsia" w:ascii="仿宋" w:hAnsi="仿宋" w:eastAsia="仿宋" w:cs="Times New Roman"/>
          <w:sz w:val="32"/>
          <w:szCs w:val="32"/>
        </w:rPr>
      </w:pP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 xml:space="preserve">建立健全与国家教育法规相配套的比较完善的学校章程及相关制度，提高学校依法决策，民主管理和监督的水平，依法维护师生员工的合法权益，实现学校管理与运行的制度化、规范化、程序化，确保依法治校的实效性，推进校风建设，为学校跨越式发展创造符合法治精神的育人环境，进一步提高教育质量和办学效益。 </w:t>
      </w:r>
    </w:p>
    <w:p>
      <w:pPr>
        <w:pStyle w:val="4"/>
        <w:rPr>
          <w:rFonts w:hint="eastAsia" w:ascii="黑体" w:hAnsi="黑体" w:eastAsia="黑体"/>
          <w:b w:val="0"/>
        </w:rPr>
      </w:pPr>
      <w:r>
        <w:rPr>
          <w:rFonts w:hint="eastAsia" w:ascii="黑体" w:hAnsi="黑体" w:eastAsia="黑体"/>
          <w:b w:val="0"/>
        </w:rPr>
        <w:t>二、机构设置</w:t>
      </w:r>
    </w:p>
    <w:bookmarkEnd w:id="14"/>
    <w:bookmarkEnd w:id="15"/>
    <w:p>
      <w:pPr>
        <w:ind w:firstLine="566" w:firstLineChars="177"/>
        <w:rPr>
          <w:rFonts w:hint="eastAsia" w:ascii="仿宋" w:hAnsi="仿宋" w:eastAsia="仿宋" w:cs="Times New Roman"/>
          <w:sz w:val="32"/>
          <w:szCs w:val="32"/>
        </w:rPr>
      </w:pPr>
      <w:r>
        <w:rPr>
          <w:rFonts w:hint="eastAsia" w:ascii="仿宋" w:hAnsi="仿宋" w:eastAsia="仿宋" w:cs="Times New Roman"/>
          <w:sz w:val="32"/>
          <w:szCs w:val="32"/>
        </w:rPr>
        <w:t>学校共设</w:t>
      </w:r>
      <w:r>
        <w:rPr>
          <w:rFonts w:hint="eastAsia" w:ascii="仿宋" w:hAnsi="仿宋" w:eastAsia="仿宋" w:cs="Times New Roman"/>
          <w:sz w:val="32"/>
          <w:szCs w:val="32"/>
          <w:lang w:eastAsia="zh-CN"/>
        </w:rPr>
        <w:t>行政办公室、党办、</w:t>
      </w:r>
      <w:r>
        <w:rPr>
          <w:rFonts w:hint="eastAsia" w:ascii="仿宋" w:hAnsi="仿宋" w:eastAsia="仿宋" w:cs="Times New Roman"/>
          <w:sz w:val="32"/>
          <w:szCs w:val="32"/>
        </w:rPr>
        <w:t>教务处、</w:t>
      </w:r>
      <w:r>
        <w:rPr>
          <w:rFonts w:hint="eastAsia" w:ascii="仿宋" w:hAnsi="仿宋" w:eastAsia="仿宋" w:cs="Times New Roman"/>
          <w:sz w:val="32"/>
          <w:szCs w:val="32"/>
          <w:lang w:eastAsia="zh-CN"/>
        </w:rPr>
        <w:t>教科室、</w:t>
      </w:r>
      <w:r>
        <w:rPr>
          <w:rFonts w:hint="eastAsia" w:ascii="仿宋" w:hAnsi="仿宋" w:eastAsia="仿宋" w:cs="Times New Roman"/>
          <w:sz w:val="32"/>
          <w:szCs w:val="32"/>
        </w:rPr>
        <w:t>德育处、总务处、技装室、安办</w:t>
      </w:r>
      <w:r>
        <w:rPr>
          <w:rFonts w:hint="eastAsia" w:ascii="仿宋" w:hAnsi="仿宋" w:eastAsia="仿宋" w:cs="Times New Roman"/>
          <w:sz w:val="32"/>
          <w:szCs w:val="32"/>
          <w:lang w:eastAsia="zh-CN"/>
        </w:rPr>
        <w:t>八</w:t>
      </w:r>
      <w:r>
        <w:rPr>
          <w:rFonts w:hint="eastAsia" w:ascii="仿宋" w:hAnsi="仿宋" w:eastAsia="仿宋" w:cs="Times New Roman"/>
          <w:sz w:val="32"/>
          <w:szCs w:val="32"/>
        </w:rPr>
        <w:t>个部门。</w:t>
      </w:r>
    </w:p>
    <w:p>
      <w:pPr>
        <w:ind w:firstLine="566" w:firstLineChars="177"/>
        <w:rPr>
          <w:rFonts w:ascii="仿宋" w:hAnsi="仿宋" w:eastAsia="仿宋"/>
          <w:kern w:val="0"/>
          <w:sz w:val="32"/>
          <w:szCs w:val="32"/>
        </w:rPr>
      </w:pPr>
      <w:r>
        <w:rPr>
          <w:rFonts w:ascii="仿宋" w:hAnsi="仿宋" w:eastAsia="仿宋"/>
          <w:sz w:val="32"/>
          <w:szCs w:val="32"/>
        </w:rPr>
        <w:br w:type="page"/>
      </w:r>
    </w:p>
    <w:p>
      <w:pPr>
        <w:pStyle w:val="3"/>
        <w:jc w:val="center"/>
        <w:rPr>
          <w:rFonts w:hint="eastAsia" w:ascii="黑体" w:hAnsi="黑体" w:eastAsia="黑体"/>
          <w:b w:val="0"/>
        </w:rPr>
      </w:pPr>
      <w:bookmarkStart w:id="16" w:name="_Toc15396602"/>
      <w:bookmarkStart w:id="17" w:name="_Toc15377204"/>
      <w:r>
        <w:rPr>
          <w:rFonts w:hint="eastAsia" w:ascii="黑体" w:hAnsi="黑体" w:eastAsia="黑体"/>
          <w:b w:val="0"/>
        </w:rPr>
        <w:t>第二部分 2022年度单位决算情况说明</w:t>
      </w:r>
      <w:bookmarkEnd w:id="16"/>
      <w:bookmarkEnd w:id="17"/>
    </w:p>
    <w:p/>
    <w:p>
      <w:pPr>
        <w:pStyle w:val="23"/>
        <w:numPr>
          <w:ilvl w:val="0"/>
          <w:numId w:val="2"/>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5"/>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2022年度收、支总计</w:t>
      </w:r>
      <w:r>
        <w:rPr>
          <w:rFonts w:ascii="仿宋" w:hAnsi="仿宋" w:eastAsia="仿宋"/>
          <w:sz w:val="32"/>
          <w:szCs w:val="32"/>
        </w:rPr>
        <w:t>1254</w:t>
      </w:r>
      <w:r>
        <w:rPr>
          <w:rFonts w:hint="eastAsia" w:ascii="仿宋" w:hAnsi="仿宋" w:eastAsia="仿宋"/>
          <w:sz w:val="32"/>
          <w:szCs w:val="32"/>
        </w:rPr>
        <w:t>.00万元。与2021年相比，收、支总计</w:t>
      </w:r>
      <w:r>
        <w:rPr>
          <w:rFonts w:hint="eastAsia" w:ascii="仿宋" w:hAnsi="仿宋" w:eastAsia="仿宋"/>
          <w:sz w:val="32"/>
          <w:szCs w:val="32"/>
          <w:lang w:val="en-US" w:eastAsia="zh-CN"/>
        </w:rPr>
        <w:t>1357.45</w:t>
      </w:r>
      <w:r>
        <w:rPr>
          <w:rFonts w:hint="eastAsia" w:ascii="仿宋" w:hAnsi="仿宋" w:eastAsia="仿宋"/>
          <w:sz w:val="32"/>
          <w:szCs w:val="32"/>
        </w:rPr>
        <w:t>各减少103.45万元，下降8.25</w:t>
      </w:r>
      <w:r>
        <w:rPr>
          <w:rFonts w:ascii="仿宋" w:hAnsi="仿宋" w:eastAsia="仿宋"/>
          <w:sz w:val="32"/>
          <w:szCs w:val="32"/>
        </w:rPr>
        <w:t>%</w:t>
      </w:r>
      <w:r>
        <w:rPr>
          <w:rFonts w:hint="eastAsia" w:ascii="仿宋" w:hAnsi="仿宋" w:eastAsia="仿宋"/>
          <w:sz w:val="32"/>
          <w:szCs w:val="32"/>
        </w:rPr>
        <w:t>。主要变动原因是财政项目资金安排减少。</w:t>
      </w:r>
    </w:p>
    <w:p>
      <w:pPr>
        <w:pStyle w:val="2"/>
        <w:spacing w:before="93"/>
        <w:rPr>
          <w:rFonts w:hint="eastAsia"/>
        </w:rPr>
      </w:pPr>
      <w:r>
        <w:rPr>
          <w:rFonts w:hint="eastAsia"/>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numPr>
          <w:ilvl w:val="0"/>
          <w:numId w:val="2"/>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5"/>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ascii="仿宋" w:hAnsi="仿宋" w:eastAsia="仿宋"/>
          <w:sz w:val="32"/>
          <w:szCs w:val="32"/>
        </w:rPr>
        <w:t>1234.96</w:t>
      </w:r>
      <w:r>
        <w:rPr>
          <w:rFonts w:hint="eastAsia" w:ascii="仿宋" w:hAnsi="仿宋" w:eastAsia="仿宋"/>
          <w:sz w:val="32"/>
          <w:szCs w:val="32"/>
        </w:rPr>
        <w:t>万元，其中：一般公共预算财政拨款收入</w:t>
      </w:r>
      <w:r>
        <w:rPr>
          <w:rFonts w:ascii="仿宋" w:hAnsi="仿宋" w:eastAsia="仿宋"/>
          <w:sz w:val="32"/>
          <w:szCs w:val="32"/>
        </w:rPr>
        <w:t>1228.32</w:t>
      </w:r>
      <w:r>
        <w:rPr>
          <w:rFonts w:hint="eastAsia" w:ascii="仿宋" w:hAnsi="仿宋" w:eastAsia="仿宋"/>
          <w:sz w:val="32"/>
          <w:szCs w:val="32"/>
        </w:rPr>
        <w:t>万元，占99.46</w:t>
      </w:r>
      <w:r>
        <w:rPr>
          <w:rFonts w:ascii="仿宋" w:hAnsi="仿宋" w:eastAsia="仿宋"/>
          <w:sz w:val="32"/>
          <w:szCs w:val="32"/>
        </w:rPr>
        <w:t>%</w:t>
      </w:r>
      <w:r>
        <w:rPr>
          <w:rFonts w:hint="eastAsia" w:ascii="仿宋" w:hAnsi="仿宋" w:eastAsia="仿宋"/>
          <w:sz w:val="32"/>
          <w:szCs w:val="32"/>
        </w:rPr>
        <w:t>；事业收入6.40万元，占0.52</w:t>
      </w:r>
      <w:r>
        <w:rPr>
          <w:rFonts w:ascii="仿宋" w:hAnsi="仿宋" w:eastAsia="仿宋"/>
          <w:sz w:val="32"/>
          <w:szCs w:val="32"/>
        </w:rPr>
        <w:t>%</w:t>
      </w:r>
      <w:r>
        <w:rPr>
          <w:rFonts w:hint="eastAsia" w:ascii="仿宋" w:hAnsi="仿宋" w:eastAsia="仿宋"/>
          <w:sz w:val="32"/>
          <w:szCs w:val="32"/>
        </w:rPr>
        <w:t>；其他收入0.25万元，占0.02</w:t>
      </w:r>
      <w:r>
        <w:rPr>
          <w:rFonts w:ascii="仿宋" w:hAnsi="仿宋" w:eastAsia="仿宋"/>
          <w:sz w:val="32"/>
          <w:szCs w:val="32"/>
        </w:rPr>
        <w:t>%</w:t>
      </w:r>
      <w:r>
        <w:rPr>
          <w:rFonts w:hint="eastAsia" w:ascii="仿宋" w:hAnsi="仿宋" w:eastAsia="仿宋"/>
          <w:sz w:val="32"/>
          <w:szCs w:val="32"/>
        </w:rPr>
        <w:t>。</w:t>
      </w:r>
    </w:p>
    <w:p>
      <w:pPr>
        <w:jc w:val="center"/>
        <w:outlineLvl w:val="1"/>
        <w:rPr>
          <w:rFonts w:ascii="仿宋" w:hAnsi="仿宋" w:eastAsia="仿宋"/>
          <w:sz w:val="32"/>
          <w:szCs w:val="32"/>
        </w:rPr>
      </w:pPr>
      <w:r>
        <w:rPr>
          <w:rFonts w:ascii="仿宋" w:hAnsi="仿宋" w:eastAsia="仿宋"/>
          <w:sz w:val="32"/>
          <w:szCs w:val="32"/>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jc w:val="center"/>
        <w:rPr>
          <w:rFonts w:ascii="仿宋_GB2312" w:eastAsia="仿宋_GB2312"/>
          <w:sz w:val="32"/>
          <w:szCs w:val="32"/>
        </w:rPr>
      </w:pPr>
      <w:r>
        <w:rPr>
          <w:rFonts w:hint="eastAsia" w:ascii="仿宋" w:hAnsi="仿宋" w:eastAsia="仿宋"/>
          <w:sz w:val="32"/>
          <w:szCs w:val="32"/>
        </w:rPr>
        <w:t>（图2：收入决算结构图）</w:t>
      </w:r>
    </w:p>
    <w:p>
      <w:pPr>
        <w:pStyle w:val="23"/>
        <w:numPr>
          <w:ilvl w:val="0"/>
          <w:numId w:val="2"/>
        </w:numPr>
        <w:spacing w:line="600" w:lineRule="exact"/>
        <w:ind w:firstLineChars="0"/>
        <w:outlineLvl w:val="1"/>
        <w:rPr>
          <w:rStyle w:val="25"/>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ascii="仿宋" w:hAnsi="仿宋" w:eastAsia="仿宋"/>
          <w:sz w:val="32"/>
          <w:szCs w:val="32"/>
        </w:rPr>
        <w:t>1254</w:t>
      </w:r>
      <w:r>
        <w:rPr>
          <w:rFonts w:hint="eastAsia" w:ascii="仿宋" w:hAnsi="仿宋" w:eastAsia="仿宋"/>
          <w:sz w:val="32"/>
          <w:szCs w:val="32"/>
        </w:rPr>
        <w:t>.00万元，其中：基本支出</w:t>
      </w:r>
      <w:r>
        <w:rPr>
          <w:rFonts w:ascii="仿宋" w:hAnsi="仿宋" w:eastAsia="仿宋"/>
          <w:sz w:val="32"/>
          <w:szCs w:val="32"/>
        </w:rPr>
        <w:t>1211.39</w:t>
      </w:r>
      <w:r>
        <w:rPr>
          <w:rFonts w:hint="eastAsia" w:ascii="仿宋" w:hAnsi="仿宋" w:eastAsia="仿宋"/>
          <w:sz w:val="32"/>
          <w:szCs w:val="32"/>
        </w:rPr>
        <w:t>万元，占96.60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sz w:val="32"/>
          <w:szCs w:val="32"/>
        </w:rPr>
        <w:t>42.62</w:t>
      </w:r>
      <w:r>
        <w:rPr>
          <w:rFonts w:hint="eastAsia" w:ascii="仿宋" w:hAnsi="仿宋" w:eastAsia="仿宋"/>
          <w:sz w:val="32"/>
          <w:szCs w:val="32"/>
        </w:rPr>
        <w:t>万元，占3.40</w:t>
      </w:r>
      <w:r>
        <w:rPr>
          <w:rFonts w:ascii="仿宋" w:hAnsi="仿宋" w:eastAsia="仿宋"/>
          <w:sz w:val="32"/>
          <w:szCs w:val="32"/>
        </w:rPr>
        <w:t>%</w:t>
      </w:r>
      <w:r>
        <w:rPr>
          <w:rFonts w:hint="eastAsia" w:ascii="仿宋" w:hAnsi="仿宋" w:eastAsia="仿宋"/>
          <w:sz w:val="32"/>
          <w:szCs w:val="32"/>
        </w:rPr>
        <w:t>。</w:t>
      </w:r>
    </w:p>
    <w:p>
      <w:pPr>
        <w:jc w:val="center"/>
        <w:rPr>
          <w:rFonts w:ascii="仿宋" w:hAnsi="仿宋" w:eastAsia="仿宋"/>
          <w:sz w:val="32"/>
          <w:szCs w:val="32"/>
          <w:shd w:val="pct10" w:color="auto" w:fill="FFFFFF"/>
        </w:rPr>
      </w:pPr>
      <w:r>
        <w:rPr>
          <w:rFonts w:ascii="仿宋" w:hAnsi="仿宋" w:eastAsia="仿宋"/>
          <w:sz w:val="32"/>
          <w:szCs w:val="32"/>
          <w:shd w:val="pct10" w:color="auto" w:fill="FFFFFF"/>
        </w:rPr>
        <w:drawing>
          <wp:inline distT="0" distB="0" distL="0" distR="0">
            <wp:extent cx="5274310" cy="3067685"/>
            <wp:effectExtent l="4445" t="4445" r="17145"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5"/>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ascii="仿宋" w:hAnsi="仿宋" w:eastAsia="仿宋"/>
          <w:sz w:val="32"/>
          <w:szCs w:val="32"/>
        </w:rPr>
        <w:t>1247.36</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21年支总计</w:t>
      </w:r>
      <w:r>
        <w:rPr>
          <w:rFonts w:hint="eastAsia" w:ascii="仿宋" w:hAnsi="仿宋" w:eastAsia="仿宋"/>
          <w:sz w:val="32"/>
          <w:szCs w:val="32"/>
          <w:lang w:val="en-US" w:eastAsia="zh-CN"/>
        </w:rPr>
        <w:t>1344.38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相比财政拨款收、支总计各减少97.02万元，下降7.22</w:t>
      </w:r>
      <w:r>
        <w:rPr>
          <w:rFonts w:ascii="仿宋" w:hAnsi="仿宋" w:eastAsia="仿宋"/>
          <w:sz w:val="32"/>
          <w:szCs w:val="32"/>
        </w:rPr>
        <w:t>%</w:t>
      </w:r>
      <w:r>
        <w:rPr>
          <w:rFonts w:hint="eastAsia" w:ascii="仿宋" w:hAnsi="仿宋" w:eastAsia="仿宋"/>
          <w:sz w:val="32"/>
          <w:szCs w:val="32"/>
        </w:rPr>
        <w:t>。主要变动原因是项目资金减少。</w:t>
      </w:r>
    </w:p>
    <w:p>
      <w:pPr>
        <w:pStyle w:val="2"/>
        <w:spacing w:before="93"/>
        <w:jc w:val="center"/>
      </w:pPr>
      <w:r>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5"/>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1247.36</w:t>
      </w:r>
      <w:r>
        <w:rPr>
          <w:rFonts w:hint="eastAsia" w:ascii="仿宋" w:hAnsi="仿宋" w:eastAsia="仿宋"/>
          <w:sz w:val="32"/>
          <w:szCs w:val="32"/>
        </w:rPr>
        <w:t>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21年支出</w:t>
      </w:r>
      <w:r>
        <w:rPr>
          <w:rFonts w:hint="eastAsia" w:ascii="仿宋" w:hAnsi="仿宋" w:eastAsia="仿宋"/>
          <w:sz w:val="32"/>
          <w:szCs w:val="32"/>
          <w:lang w:val="en-US" w:eastAsia="zh-CN"/>
        </w:rPr>
        <w:t>1344.38万元</w:t>
      </w:r>
      <w:r>
        <w:rPr>
          <w:rFonts w:hint="eastAsia" w:ascii="仿宋" w:hAnsi="仿宋" w:eastAsia="仿宋"/>
          <w:sz w:val="32"/>
          <w:szCs w:val="32"/>
        </w:rPr>
        <w:t>相比，一般公共预算财政拨款支出减少97.02万元，下降7.22</w:t>
      </w:r>
      <w:r>
        <w:rPr>
          <w:rFonts w:ascii="仿宋" w:hAnsi="仿宋" w:eastAsia="仿宋"/>
          <w:sz w:val="32"/>
          <w:szCs w:val="32"/>
        </w:rPr>
        <w:t>%</w:t>
      </w:r>
      <w:r>
        <w:rPr>
          <w:rFonts w:hint="eastAsia" w:ascii="仿宋" w:hAnsi="仿宋" w:eastAsia="仿宋"/>
          <w:sz w:val="32"/>
          <w:szCs w:val="32"/>
        </w:rPr>
        <w:t>。主要变动原因是项目支出减少。</w:t>
      </w:r>
    </w:p>
    <w:p>
      <w:pPr>
        <w:jc w:val="center"/>
        <w:rPr>
          <w:rFonts w:ascii="仿宋" w:hAnsi="仿宋" w:eastAsia="仿宋"/>
          <w:sz w:val="32"/>
          <w:szCs w:val="32"/>
        </w:rPr>
      </w:pPr>
      <w:r>
        <w:rPr>
          <w:rFonts w:ascii="仿宋" w:hAnsi="仿宋" w:eastAsia="仿宋"/>
          <w:sz w:val="32"/>
          <w:szCs w:val="32"/>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ascii="仿宋" w:hAnsi="仿宋" w:eastAsia="仿宋"/>
          <w:sz w:val="32"/>
          <w:szCs w:val="32"/>
        </w:rPr>
        <w:t>1247.36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w:t>
      </w:r>
      <w:r>
        <w:rPr>
          <w:rFonts w:ascii="仿宋" w:hAnsi="仿宋" w:eastAsia="仿宋"/>
          <w:sz w:val="32"/>
          <w:szCs w:val="32"/>
        </w:rPr>
        <w:t>1003.6</w:t>
      </w:r>
      <w:r>
        <w:rPr>
          <w:rFonts w:hint="eastAsia" w:ascii="仿宋" w:hAnsi="仿宋" w:eastAsia="仿宋"/>
          <w:sz w:val="32"/>
          <w:szCs w:val="32"/>
        </w:rPr>
        <w:t>0万元，占80.46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ascii="仿宋" w:hAnsi="仿宋" w:eastAsia="仿宋"/>
          <w:sz w:val="32"/>
          <w:szCs w:val="32"/>
        </w:rPr>
        <w:t>182.59</w:t>
      </w:r>
      <w:r>
        <w:rPr>
          <w:rFonts w:hint="eastAsia" w:ascii="仿宋" w:hAnsi="仿宋" w:eastAsia="仿宋"/>
          <w:sz w:val="32"/>
          <w:szCs w:val="32"/>
        </w:rPr>
        <w:t>万元，占14.64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ascii="仿宋" w:hAnsi="仿宋" w:eastAsia="仿宋"/>
          <w:sz w:val="32"/>
          <w:szCs w:val="32"/>
        </w:rPr>
        <w:t>61.17</w:t>
      </w:r>
      <w:r>
        <w:rPr>
          <w:rFonts w:hint="eastAsia" w:ascii="仿宋" w:hAnsi="仿宋" w:eastAsia="仿宋"/>
          <w:sz w:val="32"/>
          <w:szCs w:val="32"/>
        </w:rPr>
        <w:t>万元，占4.90</w:t>
      </w:r>
      <w:r>
        <w:rPr>
          <w:rFonts w:ascii="仿宋" w:hAnsi="仿宋" w:eastAsia="仿宋"/>
          <w:sz w:val="32"/>
          <w:szCs w:val="32"/>
        </w:rPr>
        <w:t>%</w:t>
      </w:r>
      <w:r>
        <w:rPr>
          <w:rFonts w:hint="eastAsia" w:ascii="仿宋" w:hAnsi="仿宋" w:eastAsia="仿宋"/>
          <w:sz w:val="32"/>
          <w:szCs w:val="32"/>
        </w:rPr>
        <w:t>。</w:t>
      </w:r>
    </w:p>
    <w:p>
      <w:pPr>
        <w:jc w:val="center"/>
        <w:rPr>
          <w:rFonts w:ascii="仿宋" w:hAnsi="仿宋" w:eastAsia="仿宋"/>
          <w:sz w:val="32"/>
          <w:szCs w:val="32"/>
        </w:rPr>
      </w:pPr>
      <w:r>
        <w:rPr>
          <w:rFonts w:ascii="仿宋" w:hAnsi="仿宋" w:eastAsia="仿宋"/>
          <w:sz w:val="32"/>
          <w:szCs w:val="32"/>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2022年一般公共预算支出决算数为</w:t>
      </w:r>
      <w:r>
        <w:rPr>
          <w:rFonts w:ascii="仿宋" w:hAnsi="仿宋" w:eastAsia="仿宋"/>
          <w:b/>
          <w:sz w:val="32"/>
          <w:szCs w:val="32"/>
        </w:rPr>
        <w:t>1247.36万元</w:t>
      </w:r>
      <w:r>
        <w:rPr>
          <w:rFonts w:hint="eastAsia" w:ascii="仿宋" w:hAnsi="仿宋" w:eastAsia="仿宋"/>
          <w:sz w:val="32"/>
          <w:szCs w:val="32"/>
        </w:rPr>
        <w:t>，</w:t>
      </w:r>
      <w:r>
        <w:rPr>
          <w:rStyle w:val="14"/>
          <w:rFonts w:hint="eastAsia" w:ascii="仿宋" w:hAnsi="仿宋" w:eastAsia="仿宋"/>
          <w:bCs/>
          <w:sz w:val="32"/>
          <w:szCs w:val="32"/>
        </w:rPr>
        <w:t>完成预算100</w:t>
      </w:r>
      <w:r>
        <w:rPr>
          <w:rStyle w:val="14"/>
          <w:rFonts w:ascii="仿宋" w:hAnsi="仿宋" w:eastAsia="仿宋"/>
          <w:bCs/>
          <w:sz w:val="32"/>
          <w:szCs w:val="32"/>
        </w:rPr>
        <w:t>%</w:t>
      </w:r>
      <w:r>
        <w:rPr>
          <w:rStyle w:val="14"/>
          <w:rFonts w:hint="eastAsia" w:ascii="仿宋" w:hAnsi="仿宋" w:eastAsia="仿宋"/>
          <w:bCs/>
          <w:sz w:val="32"/>
          <w:szCs w:val="32"/>
        </w:rPr>
        <w:t>。其中：</w:t>
      </w:r>
      <w:bookmarkEnd w:id="31"/>
      <w:bookmarkEnd w:id="32"/>
      <w:bookmarkEnd w:id="33"/>
    </w:p>
    <w:p>
      <w:pPr>
        <w:spacing w:line="600" w:lineRule="exact"/>
        <w:ind w:firstLine="643" w:firstLineChars="200"/>
        <w:rPr>
          <w:rStyle w:val="14"/>
          <w:rFonts w:hint="eastAsia" w:ascii="仿宋" w:hAnsi="仿宋" w:eastAsia="仿宋"/>
          <w:b w:val="0"/>
          <w:bCs/>
          <w:sz w:val="32"/>
          <w:szCs w:val="32"/>
        </w:rPr>
      </w:pPr>
      <w:r>
        <w:rPr>
          <w:rStyle w:val="14"/>
          <w:rFonts w:hint="eastAsia" w:ascii="仿宋" w:hAnsi="仿宋" w:eastAsia="仿宋"/>
          <w:bCs/>
          <w:sz w:val="32"/>
          <w:szCs w:val="32"/>
        </w:rPr>
        <w:t>1</w:t>
      </w:r>
      <w:r>
        <w:rPr>
          <w:rStyle w:val="14"/>
          <w:rFonts w:ascii="仿宋" w:hAnsi="仿宋" w:eastAsia="仿宋"/>
          <w:bCs/>
          <w:sz w:val="32"/>
          <w:szCs w:val="32"/>
        </w:rPr>
        <w:t>.</w:t>
      </w:r>
      <w:r>
        <w:rPr>
          <w:rStyle w:val="14"/>
          <w:rFonts w:hint="eastAsia" w:ascii="仿宋" w:hAnsi="仿宋" w:eastAsia="仿宋"/>
          <w:bCs/>
          <w:sz w:val="32"/>
          <w:szCs w:val="32"/>
        </w:rPr>
        <w:t>教育（类）普通教育（款）学前教育（项）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3.56</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2</w:t>
      </w:r>
      <w:r>
        <w:rPr>
          <w:rStyle w:val="14"/>
          <w:rFonts w:ascii="仿宋" w:hAnsi="仿宋" w:eastAsia="仿宋"/>
          <w:bCs/>
          <w:sz w:val="32"/>
          <w:szCs w:val="32"/>
        </w:rPr>
        <w:t>.</w:t>
      </w:r>
      <w:r>
        <w:rPr>
          <w:rStyle w:val="14"/>
          <w:rFonts w:hint="eastAsia" w:ascii="仿宋" w:hAnsi="仿宋" w:eastAsia="仿宋"/>
          <w:bCs/>
          <w:sz w:val="32"/>
          <w:szCs w:val="32"/>
        </w:rPr>
        <w:t>教育（类）普通教育（款）小学教育（项）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369.97</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Style w:val="14"/>
          <w:rFonts w:hint="eastAsia" w:ascii="仿宋" w:hAnsi="仿宋" w:eastAsia="仿宋"/>
          <w:bCs/>
          <w:sz w:val="32"/>
          <w:szCs w:val="32"/>
        </w:rPr>
        <w:t>教育（类）普通教育（款）初中教育（项）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627.06</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Style w:val="14"/>
          <w:rFonts w:hint="eastAsia" w:ascii="仿宋" w:hAnsi="仿宋" w:eastAsia="仿宋"/>
          <w:bCs/>
          <w:sz w:val="32"/>
          <w:szCs w:val="32"/>
        </w:rPr>
        <w:t>教育（类）普通教育（款）其他普通教育支出（项）</w:t>
      </w:r>
      <w:r>
        <w:rPr>
          <w:rStyle w:val="14"/>
          <w:rFonts w:ascii="仿宋" w:hAnsi="仿宋" w:eastAsia="仿宋"/>
          <w:bCs/>
          <w:sz w:val="32"/>
          <w:szCs w:val="32"/>
        </w:rPr>
        <w:t>:</w:t>
      </w:r>
      <w:r>
        <w:rPr>
          <w:rStyle w:val="14"/>
          <w:rFonts w:hint="eastAsia" w:ascii="仿宋" w:hAnsi="仿宋" w:eastAsia="仿宋"/>
          <w:b w:val="0"/>
          <w:bCs/>
          <w:sz w:val="32"/>
          <w:szCs w:val="32"/>
        </w:rPr>
        <w:t>支出决算为3.00万元，完成预算100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ascii="仿宋" w:hAnsi="仿宋" w:eastAsia="仿宋"/>
          <w:bCs/>
          <w:sz w:val="32"/>
          <w:szCs w:val="32"/>
        </w:rPr>
        <w:t>5.</w:t>
      </w:r>
      <w:r>
        <w:rPr>
          <w:rStyle w:val="14"/>
          <w:rFonts w:hint="eastAsia" w:ascii="仿宋" w:hAnsi="仿宋" w:eastAsia="仿宋"/>
          <w:bCs/>
          <w:sz w:val="32"/>
          <w:szCs w:val="32"/>
        </w:rPr>
        <w:t>社会保障和就业（类）行政事业单位养老支出（款）事业单位离退休（项）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102.01</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Style w:val="14"/>
          <w:rFonts w:hint="eastAsia" w:ascii="仿宋" w:hAnsi="仿宋" w:eastAsia="仿宋"/>
          <w:bCs/>
          <w:sz w:val="32"/>
          <w:szCs w:val="32"/>
        </w:rPr>
      </w:pPr>
      <w:r>
        <w:rPr>
          <w:rStyle w:val="14"/>
          <w:rFonts w:ascii="仿宋" w:hAnsi="仿宋" w:eastAsia="仿宋"/>
          <w:bCs/>
          <w:sz w:val="32"/>
          <w:szCs w:val="32"/>
        </w:rPr>
        <w:t>6.</w:t>
      </w:r>
      <w:r>
        <w:rPr>
          <w:rStyle w:val="14"/>
          <w:rFonts w:hint="eastAsia" w:ascii="仿宋" w:hAnsi="仿宋" w:eastAsia="仿宋"/>
          <w:bCs/>
          <w:sz w:val="32"/>
          <w:szCs w:val="32"/>
        </w:rPr>
        <w:t>社会保障和就业（类）行政事业单位养老支出（款）机关事业单位基本养老保险缴费支出（项）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80.58</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bCs/>
          <w:sz w:val="32"/>
          <w:szCs w:val="32"/>
        </w:rPr>
        <w:t>7.</w:t>
      </w:r>
      <w:r>
        <w:rPr>
          <w:rFonts w:hint="eastAsia"/>
        </w:rPr>
        <w:t xml:space="preserve"> </w:t>
      </w:r>
      <w:r>
        <w:rPr>
          <w:rFonts w:hint="eastAsia" w:ascii="仿宋" w:hAnsi="仿宋" w:eastAsia="仿宋"/>
          <w:b/>
          <w:bCs/>
          <w:sz w:val="32"/>
          <w:szCs w:val="32"/>
        </w:rPr>
        <w:t>住房保障支出</w:t>
      </w:r>
      <w:r>
        <w:rPr>
          <w:rStyle w:val="14"/>
          <w:rFonts w:hint="eastAsia" w:ascii="仿宋" w:hAnsi="仿宋" w:eastAsia="仿宋"/>
          <w:bCs/>
          <w:sz w:val="32"/>
          <w:szCs w:val="32"/>
        </w:rPr>
        <w:t>（类）住房改革支出（款）住房公积金（项）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w:t>
      </w:r>
      <w:r>
        <w:rPr>
          <w:rStyle w:val="14"/>
          <w:rFonts w:ascii="仿宋" w:hAnsi="仿宋" w:eastAsia="仿宋"/>
          <w:b w:val="0"/>
          <w:bCs/>
          <w:sz w:val="32"/>
          <w:szCs w:val="32"/>
        </w:rPr>
        <w:t>61.17</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pPr>
        <w:tabs>
          <w:tab w:val="right" w:pos="8306"/>
        </w:tabs>
        <w:spacing w:line="600" w:lineRule="exact"/>
        <w:ind w:firstLine="640"/>
        <w:outlineLvl w:val="1"/>
        <w:rPr>
          <w:rStyle w:val="25"/>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ascii="仿宋" w:hAnsi="仿宋" w:eastAsia="仿宋"/>
          <w:sz w:val="32"/>
          <w:szCs w:val="32"/>
        </w:rPr>
        <w:t>1204.74</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1093.57</w:t>
      </w:r>
      <w:r>
        <w:rPr>
          <w:rFonts w:hint="eastAsia" w:ascii="仿宋" w:hAnsi="仿宋" w:eastAsia="仿宋"/>
          <w:sz w:val="32"/>
          <w:szCs w:val="32"/>
        </w:rPr>
        <w:t>万元，主要包括：基本工资、津贴补贴、绩效工资、机关事业单位基本养老保险缴费、 职工基本医疗保险缴费、 其他社会保障缴费、住房公积金、其他工资福利支出、生活补助、奖励金。</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111.18</w:t>
      </w:r>
      <w:r>
        <w:rPr>
          <w:rFonts w:hint="eastAsia" w:ascii="仿宋" w:hAnsi="仿宋" w:eastAsia="仿宋"/>
          <w:sz w:val="32"/>
          <w:szCs w:val="32"/>
        </w:rPr>
        <w:t>万元，主要包括：  办公费、印刷费、手续费、水费、电费、邮电费、差旅费、维修（护）费、培训费、专用材料费、劳务费、工会经费、福利费、办公设备购置。</w:t>
      </w:r>
    </w:p>
    <w:p>
      <w:pPr>
        <w:spacing w:line="600" w:lineRule="exact"/>
        <w:ind w:firstLine="640"/>
        <w:outlineLvl w:val="1"/>
        <w:rPr>
          <w:rStyle w:val="25"/>
          <w:rFonts w:ascii="黑体" w:hAnsi="黑体" w:eastAsia="黑体"/>
          <w:b w:val="0"/>
        </w:rPr>
      </w:pPr>
      <w:bookmarkStart w:id="36" w:name="_Toc15396609"/>
      <w:bookmarkStart w:id="37"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22年“三公”经费财政拨款支出决算为0.00万元，完成预算0.00</w:t>
      </w:r>
      <w:r>
        <w:rPr>
          <w:rFonts w:ascii="仿宋" w:hAnsi="仿宋" w:eastAsia="仿宋"/>
          <w:sz w:val="32"/>
          <w:szCs w:val="32"/>
        </w:rPr>
        <w:t>%</w:t>
      </w:r>
      <w:r>
        <w:rPr>
          <w:rFonts w:hint="eastAsia" w:ascii="仿宋" w:hAnsi="仿宋" w:eastAsia="仿宋"/>
          <w:sz w:val="32"/>
          <w:szCs w:val="32"/>
        </w:rPr>
        <w:t>，较上年增加0.00万元，增长0.00%。</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；公务接待费支出决算0.00万元，占0.00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0.00万元，完成预算0.00</w:t>
      </w:r>
      <w:r>
        <w:rPr>
          <w:rFonts w:ascii="仿宋_GB2312" w:eastAsia="仿宋_GB2312"/>
          <w:sz w:val="32"/>
          <w:szCs w:val="32"/>
        </w:rPr>
        <w:t>%</w:t>
      </w:r>
      <w:r>
        <w:rPr>
          <w:rFonts w:hint="eastAsia" w:ascii="仿宋_GB2312" w:eastAsia="仿宋_GB2312"/>
          <w:sz w:val="32"/>
          <w:szCs w:val="32"/>
        </w:rPr>
        <w:t>。因公出国（境）支出决算比</w:t>
      </w:r>
      <w:r>
        <w:rPr>
          <w:rFonts w:ascii="仿宋_GB2312" w:eastAsia="仿宋_GB2312"/>
          <w:sz w:val="32"/>
          <w:szCs w:val="32"/>
        </w:rPr>
        <w:t>20</w:t>
      </w:r>
      <w:r>
        <w:rPr>
          <w:rFonts w:hint="eastAsia" w:ascii="仿宋_GB2312" w:eastAsia="仿宋_GB2312"/>
          <w:sz w:val="32"/>
          <w:szCs w:val="32"/>
        </w:rPr>
        <w:t>21年增加0.00万元，增长0.00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0.00万元,完成预算0.00</w:t>
      </w:r>
      <w:r>
        <w:rPr>
          <w:rFonts w:ascii="仿宋_GB2312" w:eastAsia="仿宋_GB2312"/>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21年增加0.00万元，增长0.00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黑体" w:eastAsia="黑体"/>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0.00万元，完成预算0.00</w:t>
      </w:r>
      <w:r>
        <w:rPr>
          <w:rFonts w:ascii="仿宋_GB2312" w:eastAsia="仿宋_GB2312"/>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21年增加0.00万元，增长</w:t>
      </w:r>
      <w:r>
        <w:rPr>
          <w:rFonts w:ascii="仿宋_GB2312" w:eastAsia="仿宋_GB2312"/>
          <w:sz w:val="32"/>
          <w:szCs w:val="32"/>
        </w:rPr>
        <w:t>/</w:t>
      </w:r>
      <w:r>
        <w:rPr>
          <w:rFonts w:hint="eastAsia" w:ascii="仿宋_GB2312" w:eastAsia="仿宋_GB2312"/>
          <w:sz w:val="32"/>
          <w:szCs w:val="32"/>
        </w:rPr>
        <w:t>0.00</w:t>
      </w:r>
      <w:r>
        <w:rPr>
          <w:rFonts w:ascii="仿宋_GB2312" w:eastAsia="仿宋_GB2312"/>
          <w:sz w:val="32"/>
          <w:szCs w:val="32"/>
        </w:rPr>
        <w:t>%</w:t>
      </w:r>
      <w:r>
        <w:rPr>
          <w:rFonts w:hint="eastAsia" w:ascii="仿宋_GB2312" w:eastAsia="仿宋_GB2312"/>
          <w:sz w:val="32"/>
          <w:szCs w:val="32"/>
        </w:rPr>
        <w:t>。</w:t>
      </w:r>
      <w:bookmarkStart w:id="40" w:name="_Toc15377218"/>
      <w:bookmarkStart w:id="41" w:name="_Toc15396610"/>
    </w:p>
    <w:p>
      <w:pPr>
        <w:spacing w:line="600" w:lineRule="exact"/>
        <w:ind w:firstLine="640"/>
        <w:outlineLvl w:val="1"/>
        <w:rPr>
          <w:rStyle w:val="25"/>
          <w:rFonts w:ascii="黑体" w:hAnsi="黑体" w:eastAsia="黑体"/>
        </w:rPr>
      </w:pPr>
      <w:r>
        <w:rPr>
          <w:rFonts w:hint="eastAsia" w:ascii="黑体" w:eastAsia="黑体"/>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22年政府性基金预算财政拨款支出0.00万元。</w:t>
      </w:r>
    </w:p>
    <w:p>
      <w:pPr>
        <w:numPr>
          <w:ilvl w:val="0"/>
          <w:numId w:val="3"/>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22年国有资本经营预算财政拨款支出0.00万元。</w:t>
      </w:r>
    </w:p>
    <w:p>
      <w:pPr>
        <w:numPr>
          <w:ilvl w:val="0"/>
          <w:numId w:val="3"/>
        </w:numPr>
        <w:spacing w:line="600" w:lineRule="exact"/>
        <w:ind w:firstLine="640"/>
        <w:outlineLvl w:val="1"/>
        <w:rPr>
          <w:rStyle w:val="25"/>
          <w:rFonts w:ascii="黑体" w:hAnsi="黑体" w:eastAsia="黑体"/>
          <w:b w:val="0"/>
        </w:rPr>
      </w:pPr>
      <w:bookmarkStart w:id="44" w:name="_Toc15377221"/>
      <w:bookmarkStart w:id="45" w:name="_Toc15396612"/>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22年，机关运行经费支出0.00万元，与</w:t>
      </w:r>
      <w:r>
        <w:rPr>
          <w:rFonts w:ascii="仿宋_GB2312" w:eastAsia="仿宋_GB2312"/>
          <w:sz w:val="32"/>
          <w:szCs w:val="32"/>
        </w:rPr>
        <w:t>20</w:t>
      </w:r>
      <w:r>
        <w:rPr>
          <w:rFonts w:hint="eastAsia" w:ascii="仿宋_GB2312" w:eastAsia="仿宋_GB2312"/>
          <w:sz w:val="32"/>
          <w:szCs w:val="32"/>
        </w:rPr>
        <w:t>21年决算数持平。</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22年，政府采购支出总额0.00万元。授予中小企业合同金额0.00万元，占政府采购支出总额的0.00</w:t>
      </w:r>
      <w:r>
        <w:rPr>
          <w:rFonts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日，共有车辆0辆。单价</w:t>
      </w:r>
      <w:r>
        <w:rPr>
          <w:rFonts w:ascii="仿宋_GB2312" w:eastAsia="仿宋_GB2312"/>
          <w:sz w:val="32"/>
          <w:szCs w:val="32"/>
        </w:rPr>
        <w:t>100</w:t>
      </w:r>
      <w:r>
        <w:rPr>
          <w:rFonts w:hint="eastAsia" w:ascii="仿宋_GB2312" w:eastAsia="仿宋_GB2312"/>
          <w:sz w:val="32"/>
          <w:szCs w:val="32"/>
        </w:rPr>
        <w:t>万元以上专用设备0台（套）。</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sz w:val="44"/>
          <w:szCs w:val="44"/>
        </w:rPr>
      </w:pP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1.财政拨款收入：指单位从同级财政部门取得的财政预算资金。</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2.事业收入：指事业单位开展专业业务活动及辅助活动取得的收入。</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3.经营收入：指事业单位在专业业务活动及其辅助活动之外开展非独立核算经营活动取得的收入。</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rPr>
        <w:t xml:space="preserve">4.其他收入：指单位取得的除上述收入以外的各项收入。主要是学前教育保育教育费收入、银行存款利息收入等。 </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5</w:t>
      </w:r>
      <w:r>
        <w:rPr>
          <w:rFonts w:hint="eastAsia" w:ascii="仿宋_GB2312" w:hAnsi="Calibri" w:eastAsia="仿宋_GB2312" w:cs="仿宋"/>
          <w:kern w:val="0"/>
          <w:sz w:val="32"/>
          <w:szCs w:val="32"/>
        </w:rPr>
        <w:t xml:space="preserve">.年初结转和结余：指以前年度尚未完成、结转到本年按有关规定继续使用的资金。 </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6</w:t>
      </w:r>
      <w:r>
        <w:rPr>
          <w:rFonts w:hint="eastAsia" w:ascii="仿宋_GB2312" w:hAnsi="Calibri" w:eastAsia="仿宋_GB2312" w:cs="仿宋"/>
          <w:kern w:val="0"/>
          <w:sz w:val="32"/>
          <w:szCs w:val="32"/>
        </w:rPr>
        <w:t>.结余分配：指事业单位按照事业单位会计制度的规定从非财政补助结余中分配的事业基金和职工福利基金等。</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7</w:t>
      </w:r>
      <w:r>
        <w:rPr>
          <w:rFonts w:hint="eastAsia" w:ascii="仿宋_GB2312" w:hAnsi="Calibri" w:eastAsia="仿宋_GB2312" w:cs="仿宋"/>
          <w:kern w:val="0"/>
          <w:sz w:val="32"/>
          <w:szCs w:val="32"/>
        </w:rPr>
        <w:t>.年末结转和结余：指单位按有关规定结转到下年或以后年度继续使用的资金。</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8</w:t>
      </w:r>
      <w:r>
        <w:rPr>
          <w:rFonts w:hint="eastAsia" w:ascii="仿宋_GB2312" w:hAnsi="Calibri" w:eastAsia="仿宋_GB2312" w:cs="仿宋"/>
          <w:kern w:val="0"/>
          <w:sz w:val="32"/>
          <w:szCs w:val="32"/>
        </w:rPr>
        <w:t>. 教育支出（类）普通教育（款）学前教育（项）:反映各部门举办的学前教育支出。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9</w:t>
      </w:r>
      <w:r>
        <w:rPr>
          <w:rFonts w:hint="eastAsia" w:ascii="仿宋_GB2312" w:hAnsi="Calibri" w:eastAsia="仿宋_GB2312" w:cs="仿宋"/>
          <w:kern w:val="0"/>
          <w:sz w:val="32"/>
          <w:szCs w:val="32"/>
        </w:rPr>
        <w:t>. 教育支出（类）普通教育（款）小学教育（项）:反映各部门举办的小学教育支出。政府各部门对社会中介组织等举办的小学的资助，如各类捐赠、补贴等，也在本科目中反映。</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10</w:t>
      </w:r>
      <w:r>
        <w:rPr>
          <w:rFonts w:hint="eastAsia" w:ascii="仿宋_GB2312" w:hAnsi="Calibri" w:eastAsia="仿宋_GB2312" w:cs="仿宋"/>
          <w:kern w:val="0"/>
          <w:sz w:val="32"/>
          <w:szCs w:val="32"/>
        </w:rPr>
        <w:t>. 教育支出（类）普通教育（款）初中教育（项）: 反映各部门举办的初中教育支出。政府各部门对社会中介组织等举办的初中教育的资助，如捐赠、补贴等，也在本科目中反映。</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11</w:t>
      </w:r>
      <w:r>
        <w:rPr>
          <w:rFonts w:hint="eastAsia" w:ascii="仿宋_GB2312" w:hAnsi="Calibri" w:eastAsia="仿宋_GB2312" w:cs="仿宋"/>
          <w:kern w:val="0"/>
          <w:sz w:val="32"/>
          <w:szCs w:val="32"/>
        </w:rPr>
        <w:t>. 社会保障和就业支出（类）行政事业单位离退休（款）机关事业单位基本养老保险缴费支出（项）: 指机关事业单位实施养老保险制度由单位缴纳的基本养老保险费支出。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12</w:t>
      </w:r>
      <w:r>
        <w:rPr>
          <w:rFonts w:hint="eastAsia" w:ascii="仿宋_GB2312" w:hAnsi="Calibri" w:eastAsia="仿宋_GB2312" w:cs="仿宋"/>
          <w:kern w:val="0"/>
          <w:sz w:val="32"/>
          <w:szCs w:val="32"/>
        </w:rPr>
        <w:t>. 社会保障和就业支出（类）行政事业单位离退休（款）机关事业单位职业年金缴费支出（项）: 指机关事业单位实施养老保险制度由单位实际缴纳的职业年金支出。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13</w:t>
      </w:r>
      <w:r>
        <w:rPr>
          <w:rFonts w:hint="eastAsia" w:ascii="仿宋_GB2312" w:hAnsi="Calibri" w:eastAsia="仿宋_GB2312" w:cs="仿宋"/>
          <w:kern w:val="0"/>
          <w:sz w:val="32"/>
          <w:szCs w:val="32"/>
        </w:rPr>
        <w:t>. 社会保障和就业支出（类）抚恤（款）死亡抚恤（项）: 指按规定用于烈士和牺牲、病故人员家属的一次性和定期抚恤金以及丧葬补助费。</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14</w:t>
      </w:r>
      <w:r>
        <w:rPr>
          <w:rFonts w:hint="eastAsia" w:ascii="仿宋_GB2312" w:hAnsi="Calibri" w:eastAsia="仿宋_GB2312" w:cs="仿宋"/>
          <w:kern w:val="0"/>
          <w:sz w:val="32"/>
          <w:szCs w:val="32"/>
        </w:rPr>
        <w:t>.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15</w:t>
      </w:r>
      <w:r>
        <w:rPr>
          <w:rFonts w:hint="eastAsia" w:ascii="仿宋_GB2312" w:hAnsi="Calibri" w:eastAsia="仿宋_GB2312" w:cs="仿宋"/>
          <w:kern w:val="0"/>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16</w:t>
      </w:r>
      <w:r>
        <w:rPr>
          <w:rFonts w:hint="eastAsia" w:ascii="仿宋_GB2312" w:hAnsi="Calibri" w:eastAsia="仿宋_GB2312" w:cs="仿宋"/>
          <w:kern w:val="0"/>
          <w:sz w:val="32"/>
          <w:szCs w:val="32"/>
        </w:rPr>
        <w:t>. 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17</w:t>
      </w:r>
      <w:r>
        <w:rPr>
          <w:rFonts w:hint="eastAsia" w:ascii="仿宋_GB2312" w:hAnsi="Calibri" w:eastAsia="仿宋_GB2312" w:cs="仿宋"/>
          <w:kern w:val="0"/>
          <w:sz w:val="32"/>
          <w:szCs w:val="32"/>
        </w:rPr>
        <w:t>. 其他支出（类）其他支出（款）其他支出（项）: 指上述项目以外其他不能划分到具体功能科目中的支出项目。</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18</w:t>
      </w:r>
      <w:r>
        <w:rPr>
          <w:rFonts w:hint="eastAsia" w:ascii="仿宋_GB2312" w:hAnsi="Calibri" w:eastAsia="仿宋_GB2312" w:cs="仿宋"/>
          <w:kern w:val="0"/>
          <w:sz w:val="32"/>
          <w:szCs w:val="32"/>
        </w:rPr>
        <w:t>.基本支出：指为保障机构正常运转、完成日常工作任务而发生的人员支出和公用支出。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19</w:t>
      </w:r>
      <w:r>
        <w:rPr>
          <w:rFonts w:hint="eastAsia" w:ascii="仿宋_GB2312" w:hAnsi="Calibri" w:eastAsia="仿宋_GB2312" w:cs="仿宋"/>
          <w:kern w:val="0"/>
          <w:sz w:val="32"/>
          <w:szCs w:val="32"/>
        </w:rPr>
        <w:t xml:space="preserve">.项目支出：指在基本支出之外为完成特定行政任务和事业发展目标所发生的支出。 </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20</w:t>
      </w:r>
      <w:r>
        <w:rPr>
          <w:rFonts w:hint="eastAsia" w:ascii="仿宋_GB2312" w:hAnsi="Calibri" w:eastAsia="仿宋_GB2312" w:cs="仿宋"/>
          <w:kern w:val="0"/>
          <w:sz w:val="32"/>
          <w:szCs w:val="32"/>
        </w:rPr>
        <w:t>.经营支出：指事业单位在专业业务活动及其辅助活动之外开展非独立核算经营活动发生的支出。</w:t>
      </w:r>
    </w:p>
    <w:p>
      <w:pPr>
        <w:ind w:firstLine="640" w:firstLineChars="200"/>
        <w:rPr>
          <w:rFonts w:ascii="仿宋_GB2312" w:hAnsi="Calibri" w:eastAsia="仿宋_GB2312" w:cs="仿宋"/>
          <w:kern w:val="0"/>
          <w:sz w:val="32"/>
          <w:szCs w:val="32"/>
        </w:rPr>
      </w:pPr>
      <w:r>
        <w:rPr>
          <w:rFonts w:hint="eastAsia" w:ascii="仿宋_GB2312" w:hAnsi="Calibri" w:eastAsia="仿宋_GB2312" w:cs="仿宋"/>
          <w:kern w:val="0"/>
          <w:sz w:val="32"/>
          <w:szCs w:val="32"/>
          <w:lang w:val="en-US" w:eastAsia="zh-CN"/>
        </w:rPr>
        <w:t>21</w:t>
      </w:r>
      <w:r>
        <w:rPr>
          <w:rFonts w:hint="eastAsia" w:ascii="仿宋_GB2312" w:hAnsi="Calibri" w:eastAsia="仿宋_GB2312" w:cs="仿宋"/>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4"/>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4"/>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部门预算项目支出绩效自评表（2022年度）</w:t>
      </w:r>
    </w:p>
    <w:p>
      <w:pPr>
        <w:spacing w:line="600" w:lineRule="exact"/>
        <w:jc w:val="left"/>
        <w:outlineLvl w:val="0"/>
        <w:rPr>
          <w:rFonts w:ascii="仿宋_GB2312" w:hAnsi="Calibri" w:eastAsia="仿宋_GB2312" w:cs="仿宋"/>
          <w:kern w:val="0"/>
          <w:sz w:val="32"/>
          <w:szCs w:val="32"/>
        </w:rPr>
      </w:pPr>
    </w:p>
    <w:p>
      <w:pPr>
        <w:pStyle w:val="2"/>
        <w:spacing w:before="93"/>
        <w:rPr>
          <w:rFonts w:hAnsi="Calibri" w:cs="仿宋"/>
          <w:sz w:val="32"/>
          <w:szCs w:val="32"/>
          <w:highlight w:val="yellow"/>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pStyle w:val="2"/>
        <w:spacing w:before="93"/>
        <w:rPr>
          <w:rFonts w:hAnsi="Calibri" w:cs="仿宋"/>
          <w:sz w:val="32"/>
          <w:szCs w:val="32"/>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5"/>
          <w:rFonts w:hint="eastAsia" w:ascii="仿宋" w:hAnsi="仿宋" w:eastAsia="仿宋"/>
          <w:b w:val="0"/>
          <w:bCs w:val="0"/>
        </w:rPr>
        <w:t>入决算表</w:t>
      </w:r>
      <w:bookmarkEnd w:id="55"/>
    </w:p>
    <w:p>
      <w:pPr>
        <w:pStyle w:val="4"/>
        <w:rPr>
          <w:rFonts w:ascii="仿宋" w:hAnsi="仿宋" w:eastAsia="仿宋"/>
        </w:rPr>
      </w:pPr>
      <w:bookmarkStart w:id="56"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57"/>
    </w:p>
    <w:p>
      <w:pPr>
        <w:pStyle w:val="4"/>
        <w:rPr>
          <w:rStyle w:val="25"/>
          <w:rFonts w:ascii="仿宋" w:hAnsi="仿宋" w:eastAsia="仿宋"/>
          <w:b w:val="0"/>
          <w:bCs w:val="0"/>
        </w:rPr>
      </w:pPr>
      <w:bookmarkStart w:id="58"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5"/>
          <w:rFonts w:hint="eastAsia" w:ascii="仿宋" w:hAnsi="仿宋" w:eastAsia="仿宋"/>
          <w:b w:val="0"/>
          <w:bCs w:val="0"/>
        </w:rPr>
        <w:t>十、</w:t>
      </w:r>
      <w:bookmarkEnd w:id="63"/>
      <w:r>
        <w:rPr>
          <w:rFonts w:hint="eastAsia" w:ascii="仿宋" w:hAnsi="仿宋" w:eastAsia="仿宋"/>
          <w:b w:val="0"/>
        </w:rPr>
        <w:t>政</w:t>
      </w:r>
      <w:r>
        <w:rPr>
          <w:rStyle w:val="25"/>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5"/>
          <w:rFonts w:hint="eastAsia" w:ascii="仿宋" w:hAnsi="仿宋" w:eastAsia="仿宋"/>
          <w:b w:val="0"/>
          <w:bCs w:val="0"/>
        </w:rPr>
        <w:t>十一、</w:t>
      </w:r>
      <w:bookmarkEnd w:id="64"/>
      <w:r>
        <w:rPr>
          <w:rFonts w:hint="eastAsia" w:ascii="仿宋" w:hAnsi="仿宋" w:eastAsia="仿宋"/>
          <w:b w:val="0"/>
        </w:rPr>
        <w:t>国</w:t>
      </w:r>
      <w:r>
        <w:rPr>
          <w:rStyle w:val="25"/>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5"/>
          <w:rFonts w:hint="eastAsia" w:ascii="仿宋" w:hAnsi="仿宋" w:eastAsia="仿宋"/>
          <w:b w:val="0"/>
          <w:bCs w:val="0"/>
        </w:rPr>
        <w:t>十二、</w:t>
      </w:r>
      <w:bookmarkEnd w:id="65"/>
      <w:r>
        <w:rPr>
          <w:rStyle w:val="25"/>
          <w:rFonts w:hint="eastAsia" w:ascii="仿宋" w:hAnsi="仿宋" w:eastAsia="仿宋"/>
          <w:b w:val="0"/>
          <w:bCs w:val="0"/>
        </w:rPr>
        <w:t>国有资本经营预算财政拨款支出决算表</w:t>
      </w:r>
    </w:p>
    <w:p>
      <w:pPr>
        <w:pStyle w:val="4"/>
        <w:rPr>
          <w:rFonts w:eastAsia="仿宋"/>
        </w:rPr>
      </w:pPr>
      <w:bookmarkStart w:id="66" w:name="_Toc15396631"/>
      <w:r>
        <w:rPr>
          <w:rStyle w:val="25"/>
          <w:rFonts w:hint="eastAsia" w:ascii="仿宋" w:hAnsi="仿宋" w:eastAsia="仿宋"/>
          <w:b w:val="0"/>
          <w:bCs w:val="0"/>
        </w:rPr>
        <w:t>十三、</w:t>
      </w:r>
      <w:bookmarkEnd w:id="66"/>
      <w:r>
        <w:rPr>
          <w:rStyle w:val="25"/>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12</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wZjE2MDM5MWVmMzBhZGFmZGYwOTEzZDZiYWIyZm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05E9"/>
    <w:rsid w:val="00114E9B"/>
    <w:rsid w:val="00142216"/>
    <w:rsid w:val="00144D6A"/>
    <w:rsid w:val="0014729F"/>
    <w:rsid w:val="00157BAB"/>
    <w:rsid w:val="001654D1"/>
    <w:rsid w:val="00170FF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21FAB"/>
    <w:rsid w:val="00335A74"/>
    <w:rsid w:val="0036561B"/>
    <w:rsid w:val="0037013F"/>
    <w:rsid w:val="00380C92"/>
    <w:rsid w:val="003A131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C7C9C"/>
    <w:rsid w:val="006F020C"/>
    <w:rsid w:val="007127B7"/>
    <w:rsid w:val="00717720"/>
    <w:rsid w:val="0071798E"/>
    <w:rsid w:val="007416B6"/>
    <w:rsid w:val="00746F48"/>
    <w:rsid w:val="0075404D"/>
    <w:rsid w:val="0076182A"/>
    <w:rsid w:val="00767B7E"/>
    <w:rsid w:val="007770C3"/>
    <w:rsid w:val="00784D24"/>
    <w:rsid w:val="00785FBA"/>
    <w:rsid w:val="00786C19"/>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2B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3631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0A21"/>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B787A"/>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C7C85"/>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76EF1"/>
    <w:rsid w:val="00DA634F"/>
    <w:rsid w:val="00DA65AC"/>
    <w:rsid w:val="00DB1913"/>
    <w:rsid w:val="00DC410D"/>
    <w:rsid w:val="00DC5A81"/>
    <w:rsid w:val="00DC68CA"/>
    <w:rsid w:val="00DC7CBA"/>
    <w:rsid w:val="00DD73B7"/>
    <w:rsid w:val="00DF28BC"/>
    <w:rsid w:val="00DF34B9"/>
    <w:rsid w:val="00E01053"/>
    <w:rsid w:val="00E07ACF"/>
    <w:rsid w:val="00E162CE"/>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1DBF"/>
    <w:rsid w:val="00EF4C34"/>
    <w:rsid w:val="00EF77C6"/>
    <w:rsid w:val="00F05438"/>
    <w:rsid w:val="00F1361C"/>
    <w:rsid w:val="00F156F0"/>
    <w:rsid w:val="00F160C7"/>
    <w:rsid w:val="00F2408F"/>
    <w:rsid w:val="00F240E9"/>
    <w:rsid w:val="00F36D8F"/>
    <w:rsid w:val="00F417B1"/>
    <w:rsid w:val="00F4285C"/>
    <w:rsid w:val="00F45853"/>
    <w:rsid w:val="00F602DF"/>
    <w:rsid w:val="00F754A1"/>
    <w:rsid w:val="00F81FD9"/>
    <w:rsid w:val="00F841AA"/>
    <w:rsid w:val="00F84A94"/>
    <w:rsid w:val="00F87E96"/>
    <w:rsid w:val="00FA23E8"/>
    <w:rsid w:val="00FD3CC1"/>
    <w:rsid w:val="00FF1E02"/>
    <w:rsid w:val="00FF30B4"/>
    <w:rsid w:val="00FF5A49"/>
    <w:rsid w:val="053A62B5"/>
    <w:rsid w:val="0A2032A3"/>
    <w:rsid w:val="0AB87987"/>
    <w:rsid w:val="0B8A37D8"/>
    <w:rsid w:val="10C055FF"/>
    <w:rsid w:val="118107EC"/>
    <w:rsid w:val="11DD6519"/>
    <w:rsid w:val="16BB723D"/>
    <w:rsid w:val="17E4024F"/>
    <w:rsid w:val="18015F3F"/>
    <w:rsid w:val="1A2226ED"/>
    <w:rsid w:val="1B8933FB"/>
    <w:rsid w:val="1BE8440E"/>
    <w:rsid w:val="1D155CEE"/>
    <w:rsid w:val="202F79E9"/>
    <w:rsid w:val="20F57F95"/>
    <w:rsid w:val="240371BF"/>
    <w:rsid w:val="25711CC6"/>
    <w:rsid w:val="25C741E6"/>
    <w:rsid w:val="27842671"/>
    <w:rsid w:val="29FD04D3"/>
    <w:rsid w:val="2ABE7A3E"/>
    <w:rsid w:val="2CA234A8"/>
    <w:rsid w:val="2EFA178C"/>
    <w:rsid w:val="2FD7503B"/>
    <w:rsid w:val="30B46D73"/>
    <w:rsid w:val="319F7F4E"/>
    <w:rsid w:val="383D272C"/>
    <w:rsid w:val="39AE70AB"/>
    <w:rsid w:val="3C0C0783"/>
    <w:rsid w:val="3F9F3A96"/>
    <w:rsid w:val="48BF60AB"/>
    <w:rsid w:val="493C27E9"/>
    <w:rsid w:val="496F39ED"/>
    <w:rsid w:val="49FF41D3"/>
    <w:rsid w:val="4BE068DB"/>
    <w:rsid w:val="4BF6002B"/>
    <w:rsid w:val="4ECE2238"/>
    <w:rsid w:val="4F4A6548"/>
    <w:rsid w:val="51247A76"/>
    <w:rsid w:val="51C672F4"/>
    <w:rsid w:val="51DB4B86"/>
    <w:rsid w:val="51E1798A"/>
    <w:rsid w:val="53152A84"/>
    <w:rsid w:val="55333C3E"/>
    <w:rsid w:val="5DD856F1"/>
    <w:rsid w:val="6162142A"/>
    <w:rsid w:val="64CA39A1"/>
    <w:rsid w:val="69630ADE"/>
    <w:rsid w:val="6A9562C0"/>
    <w:rsid w:val="6C4A05C8"/>
    <w:rsid w:val="6D3B1A89"/>
    <w:rsid w:val="6DF02ED7"/>
    <w:rsid w:val="71BF4EC2"/>
    <w:rsid w:val="72734D90"/>
    <w:rsid w:val="7412278C"/>
    <w:rsid w:val="78D70CF4"/>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收支出总额</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#,##0.00_ </c:formatCode>
                <c:ptCount val="2"/>
                <c:pt idx="0">
                  <c:v>1357.45</c:v>
                </c:pt>
                <c:pt idx="1">
                  <c:v>1254</c:v>
                </c:pt>
              </c:numCache>
            </c:numRef>
          </c:val>
        </c:ser>
        <c:dLbls>
          <c:showLegendKey val="0"/>
          <c:showVal val="1"/>
          <c:showCatName val="0"/>
          <c:showSerName val="0"/>
          <c:showPercent val="0"/>
          <c:showBubbleSize val="0"/>
        </c:dLbls>
        <c:gapWidth val="150"/>
        <c:axId val="112814336"/>
        <c:axId val="114099328"/>
      </c:barChart>
      <c:catAx>
        <c:axId val="1128143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4099328"/>
        <c:crosses val="autoZero"/>
        <c:auto val="1"/>
        <c:lblAlgn val="ctr"/>
        <c:lblOffset val="100"/>
        <c:noMultiLvlLbl val="0"/>
      </c:catAx>
      <c:valAx>
        <c:axId val="114099328"/>
        <c:scaling>
          <c:orientation val="minMax"/>
          <c:max val="1400"/>
          <c:min val="50"/>
        </c:scaling>
        <c:delete val="0"/>
        <c:axPos val="l"/>
        <c:majorGridlines/>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814336"/>
        <c:crosses val="autoZero"/>
        <c:crossBetween val="between"/>
        <c:majorUnit val="100"/>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depthPercent val="100"/>
      <c:rAngAx val="0"/>
      <c:hPercent val="100"/>
      <c:perspective val="30"/>
    </c:view3D>
    <c:floor>
      <c:thickness val="0"/>
    </c:floor>
    <c:sideWall>
      <c:thickness val="0"/>
    </c:sideWall>
    <c:backWall>
      <c:thickness val="0"/>
    </c:backWall>
    <c:plotArea>
      <c:layout/>
      <c:pie3DChart>
        <c:varyColors val="1"/>
        <c:ser>
          <c:idx val="0"/>
          <c:order val="0"/>
          <c:tx>
            <c:strRef>
              <c:f>Sheet1!$B$1</c:f>
              <c:strCache>
                <c:ptCount val="1"/>
                <c:pt idx="0">
                  <c:v>金额</c:v>
                </c:pt>
              </c:strCache>
            </c:strRef>
          </c:tx>
          <c:explosion val="0"/>
          <c:dPt>
            <c:idx val="0"/>
            <c:bubble3D val="0"/>
          </c:dPt>
          <c:dPt>
            <c:idx val="1"/>
            <c:bubble3D val="0"/>
          </c:dPt>
          <c:dPt>
            <c:idx val="2"/>
            <c:bubble3D val="0"/>
          </c:dPt>
          <c:dLbls>
            <c:delete val="1"/>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1228.32</c:v>
                </c:pt>
                <c:pt idx="1">
                  <c:v>6.4</c:v>
                </c:pt>
                <c:pt idx="2">
                  <c:v>0.25</c:v>
                </c:pt>
              </c:numCache>
            </c:numRef>
          </c:val>
        </c:ser>
        <c:dLbls>
          <c:showLegendKey val="0"/>
          <c:showVal val="0"/>
          <c:showCatName val="0"/>
          <c:showSerName val="0"/>
          <c:showPercent val="0"/>
          <c:showBubbleSize val="0"/>
        </c:dLbls>
      </c:pie3DChart>
    </c:plotArea>
    <c:legend>
      <c:legendPos val="r"/>
      <c:layout>
        <c:manualLayout>
          <c:xMode val="edge"/>
          <c:yMode val="edge"/>
          <c:x val="0.641260562993074"/>
          <c:y val="0.0694632830338932"/>
          <c:w val="0.32984466214538"/>
          <c:h val="0.875108196614742"/>
        </c:manualLayout>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1211.39</c:v>
                </c:pt>
                <c:pt idx="1">
                  <c:v>42.62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29750811006559"/>
          <c:y val="0.0739637421483306"/>
          <c:w val="0.257607724991515"/>
          <c:h val="0.8479445487270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1344.38</c:v>
                </c:pt>
                <c:pt idx="1">
                  <c:v>1247.36</c:v>
                </c:pt>
              </c:numCache>
            </c:numRef>
          </c:val>
        </c:ser>
        <c:dLbls>
          <c:showLegendKey val="0"/>
          <c:showVal val="1"/>
          <c:showCatName val="0"/>
          <c:showSerName val="0"/>
          <c:showPercent val="0"/>
          <c:showBubbleSize val="0"/>
        </c:dLbls>
        <c:gapWidth val="150"/>
        <c:axId val="135132288"/>
        <c:axId val="135135232"/>
      </c:barChart>
      <c:catAx>
        <c:axId val="135132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135232"/>
        <c:crosses val="autoZero"/>
        <c:auto val="1"/>
        <c:lblAlgn val="ctr"/>
        <c:lblOffset val="100"/>
        <c:noMultiLvlLbl val="0"/>
      </c:catAx>
      <c:valAx>
        <c:axId val="135135232"/>
        <c:scaling>
          <c:orientation val="minMax"/>
          <c:max val="1400"/>
          <c:min val="20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132288"/>
        <c:crosses val="autoZero"/>
        <c:crossBetween val="between"/>
        <c:majorUnit val="200"/>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1344.38</c:v>
                </c:pt>
                <c:pt idx="1">
                  <c:v>1247.36</c:v>
                </c:pt>
              </c:numCache>
            </c:numRef>
          </c:val>
        </c:ser>
        <c:dLbls>
          <c:showLegendKey val="0"/>
          <c:showVal val="1"/>
          <c:showCatName val="0"/>
          <c:showSerName val="0"/>
          <c:showPercent val="0"/>
          <c:showBubbleSize val="0"/>
        </c:dLbls>
        <c:gapWidth val="150"/>
        <c:axId val="135172480"/>
        <c:axId val="135174784"/>
      </c:barChart>
      <c:catAx>
        <c:axId val="1351724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174784"/>
        <c:crosses val="autoZero"/>
        <c:auto val="1"/>
        <c:lblAlgn val="ctr"/>
        <c:lblOffset val="100"/>
        <c:noMultiLvlLbl val="0"/>
      </c:catAx>
      <c:valAx>
        <c:axId val="135174784"/>
        <c:scaling>
          <c:orientation val="minMax"/>
          <c:max val="1400"/>
          <c:min val="20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5172480"/>
        <c:crosses val="autoZero"/>
        <c:crossBetween val="between"/>
        <c:majorUnit val="200"/>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Lbls>
            <c:delete val="1"/>
          </c:dLbls>
          <c:cat>
            <c:strRef>
              <c:f>Sheet1!$A$2:$A$4</c:f>
              <c:strCache>
                <c:ptCount val="3"/>
                <c:pt idx="0">
                  <c:v>教育支出</c:v>
                </c:pt>
                <c:pt idx="1">
                  <c:v>社会保障和就业支出</c:v>
                </c:pt>
                <c:pt idx="2">
                  <c:v>住房保障支出</c:v>
                </c:pt>
              </c:strCache>
            </c:strRef>
          </c:cat>
          <c:val>
            <c:numRef>
              <c:f>Sheet1!$B$2:$B$4</c:f>
              <c:numCache>
                <c:formatCode>General</c:formatCode>
                <c:ptCount val="3"/>
                <c:pt idx="0">
                  <c:v>1003.6</c:v>
                </c:pt>
                <c:pt idx="1">
                  <c:v>182.59</c:v>
                </c:pt>
                <c:pt idx="2">
                  <c:v>61.17</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79786929475135"/>
          <c:y val="0.0409097779186271"/>
          <c:w val="0.305765683094092"/>
          <c:h val="0.940471140797803"/>
        </c:manualLayout>
      </c:layout>
      <c:overlay val="0"/>
      <c:txPr>
        <a:bodyPr rot="0" spcFirstLastPara="0" vertOverflow="ellipsis" vert="horz" wrap="square" anchor="ctr" anchorCtr="1"/>
        <a:lstStyle/>
        <a:p>
          <a:pPr>
            <a:defRPr lang="zh-CN" sz="8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4416</Words>
  <Characters>4883</Characters>
  <Lines>34</Lines>
  <Paragraphs>9</Paragraphs>
  <TotalTime>1</TotalTime>
  <ScaleCrop>false</ScaleCrop>
  <LinksUpToDate>false</LinksUpToDate>
  <CharactersWithSpaces>4918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lzjyj</cp:lastModifiedBy>
  <cp:lastPrinted>2023-10-12T03:20:00Z</cp:lastPrinted>
  <dcterms:modified xsi:type="dcterms:W3CDTF">2023-10-15T06:17:55Z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A9926AE6BBE4421396A8030ABED3CC2F_12</vt:lpwstr>
  </property>
</Properties>
</file>