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597"/>
      <w:bookmarkStart w:id="3" w:name="_Toc15377425"/>
      <w:bookmarkStart w:id="4" w:name="_Toc15378441"/>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77426"/>
      <w:bookmarkStart w:id="9" w:name="_Toc15396476"/>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广元市利州区青少年校外活动中心</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s="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s="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rFonts w:hint="eastAsia" w:ascii="仿宋" w:hAnsi="仿宋" w:eastAsia="仿宋" w:cs="仿宋"/>
          <w:color w:val="auto"/>
          <w:highlight w:val="none"/>
        </w:rPr>
      </w:pPr>
      <w:r>
        <w:rPr>
          <w:rFonts w:hint="eastAsia" w:ascii="仿宋" w:hAnsi="仿宋" w:eastAsia="仿宋" w:cs="仿宋"/>
          <w:color w:val="auto"/>
          <w:highlight w:val="none"/>
        </w:rPr>
        <w:t>公开时间：20</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10</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15 </w:t>
      </w:r>
      <w:r>
        <w:rPr>
          <w:rFonts w:hint="eastAsia" w:ascii="仿宋" w:hAnsi="仿宋" w:eastAsia="仿宋" w:cs="仿宋"/>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rFonts w:hint="default"/>
          <w:color w:val="auto"/>
          <w:sz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一、收入支出决算总体情况说明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rPr>
          <w:rFonts w:hint="eastAsia"/>
          <w:color w:val="auto"/>
          <w:sz w:val="24"/>
          <w:highlight w:val="none"/>
          <w:lang w:val="en-US" w:eastAsia="zh-CN"/>
        </w:rPr>
      </w:pPr>
      <w:r>
        <w:rPr>
          <w:rFonts w:hint="eastAsia"/>
          <w:color w:val="auto"/>
          <w:sz w:val="24"/>
          <w:highlight w:val="none"/>
          <w:lang w:val="en-US" w:eastAsia="zh-CN"/>
        </w:rPr>
        <w:t>部门预算项目支出绩效自评表（2022年度）</w:t>
      </w:r>
    </w:p>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pStyle w:val="2"/>
        <w:jc w:val="center"/>
        <w:rPr>
          <w:rFonts w:hint="eastAsia" w:ascii="黑体" w:hAnsi="黑体" w:eastAsia="黑体"/>
          <w:b w:val="0"/>
          <w:color w:val="auto"/>
          <w:highlight w:val="none"/>
        </w:rPr>
      </w:pPr>
      <w:bookmarkStart w:id="12" w:name="_Toc15377196"/>
      <w:bookmarkStart w:id="13" w:name="_Toc15396599"/>
    </w:p>
    <w:p>
      <w:pPr>
        <w:pStyle w:val="2"/>
        <w:jc w:val="center"/>
        <w:rPr>
          <w:rFonts w:hint="eastAsia" w:ascii="黑体" w:hAnsi="黑体" w:eastAsia="黑体"/>
          <w:b w:val="0"/>
          <w:color w:val="auto"/>
          <w:highlight w:val="none"/>
        </w:rPr>
      </w:pPr>
    </w:p>
    <w:p>
      <w:pPr>
        <w:pStyle w:val="2"/>
        <w:jc w:val="center"/>
        <w:rPr>
          <w:rFonts w:hint="eastAsia" w:ascii="黑体" w:hAnsi="黑体" w:eastAsia="黑体"/>
          <w:b w:val="0"/>
          <w:color w:val="auto"/>
          <w:highlight w:val="none"/>
        </w:rPr>
      </w:pPr>
    </w:p>
    <w:p>
      <w:pPr>
        <w:pStyle w:val="2"/>
        <w:jc w:val="center"/>
        <w:rPr>
          <w:rFonts w:hint="eastAsia" w:ascii="黑体" w:hAnsi="黑体" w:eastAsia="黑体"/>
          <w:b w:val="0"/>
          <w:color w:val="auto"/>
          <w:highlight w:val="none"/>
        </w:rPr>
      </w:pPr>
    </w:p>
    <w:p>
      <w:pPr>
        <w:pStyle w:val="2"/>
        <w:jc w:val="center"/>
        <w:rPr>
          <w:rFonts w:hint="eastAsia" w:ascii="黑体" w:hAnsi="黑体" w:eastAsia="黑体"/>
          <w:b w:val="0"/>
          <w:color w:val="auto"/>
          <w:highlight w:val="none"/>
        </w:rPr>
      </w:pPr>
    </w:p>
    <w:p>
      <w:pPr>
        <w:pStyle w:val="2"/>
        <w:jc w:val="center"/>
        <w:rPr>
          <w:rFonts w:hint="eastAsia" w:ascii="黑体" w:hAnsi="黑体" w:eastAsia="黑体"/>
          <w:b w:val="0"/>
          <w:color w:val="auto"/>
          <w:highlight w:val="none"/>
        </w:rPr>
      </w:pPr>
    </w:p>
    <w:p>
      <w:pPr>
        <w:pStyle w:val="2"/>
        <w:jc w:val="center"/>
        <w:rPr>
          <w:rFonts w:hint="eastAsia" w:ascii="黑体" w:hAnsi="黑体" w:eastAsia="黑体"/>
          <w:b w:val="0"/>
          <w:color w:val="auto"/>
          <w:highlight w:val="none"/>
        </w:rPr>
      </w:pPr>
    </w:p>
    <w:p>
      <w:pPr>
        <w:pStyle w:val="2"/>
        <w:jc w:val="center"/>
        <w:rPr>
          <w:rFonts w:hint="eastAsia" w:ascii="黑体" w:hAnsi="黑体" w:eastAsia="黑体"/>
          <w:b w:val="0"/>
          <w:color w:val="auto"/>
          <w:highlight w:val="none"/>
        </w:rPr>
      </w:pPr>
    </w:p>
    <w:p>
      <w:pPr>
        <w:pStyle w:val="2"/>
        <w:jc w:val="center"/>
        <w:rPr>
          <w:rFonts w:hint="eastAsia" w:ascii="黑体" w:hAnsi="黑体" w:eastAsia="黑体"/>
          <w:b w:val="0"/>
          <w:color w:val="auto"/>
          <w:highlight w:val="none"/>
        </w:rPr>
      </w:pPr>
    </w:p>
    <w:p>
      <w:pPr>
        <w:pStyle w:val="2"/>
        <w:jc w:val="both"/>
        <w:rPr>
          <w:rFonts w:hint="eastAsia" w:ascii="黑体" w:hAnsi="黑体" w:eastAsia="黑体"/>
          <w:b w:val="0"/>
          <w:color w:val="auto"/>
          <w:highlight w:val="none"/>
        </w:rPr>
      </w:pPr>
    </w:p>
    <w:p>
      <w:pPr>
        <w:rPr>
          <w:rFonts w:hint="eastAsia"/>
        </w:rPr>
      </w:pPr>
    </w:p>
    <w:p>
      <w:pPr>
        <w:pStyle w:val="2"/>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pStyle w:val="3"/>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1.</w:t>
      </w:r>
      <w:r>
        <w:rPr>
          <w:rFonts w:hint="eastAsia" w:ascii="仿宋" w:hAnsi="仿宋" w:eastAsia="仿宋" w:cs="仿宋"/>
          <w:b w:val="0"/>
          <w:bCs/>
          <w:i w:val="0"/>
          <w:caps w:val="0"/>
          <w:color w:val="333333"/>
          <w:spacing w:val="0"/>
          <w:sz w:val="32"/>
          <w:szCs w:val="32"/>
          <w:shd w:val="clear" w:color="auto" w:fill="FFFFFF"/>
        </w:rPr>
        <w:t>贯彻执行党和国家关于教育改革和发展的</w:t>
      </w:r>
      <w:r>
        <w:rPr>
          <w:rFonts w:hint="eastAsia" w:ascii="仿宋" w:hAnsi="仿宋" w:eastAsia="仿宋" w:cs="仿宋"/>
          <w:b w:val="0"/>
          <w:bCs/>
          <w:i w:val="0"/>
          <w:caps w:val="0"/>
          <w:color w:val="333333"/>
          <w:spacing w:val="0"/>
          <w:sz w:val="32"/>
          <w:szCs w:val="32"/>
          <w:shd w:val="clear" w:color="auto" w:fill="FFFFFF"/>
          <w:lang w:val="en-US" w:eastAsia="zh-CN"/>
        </w:rPr>
        <w:t>法律、法规、</w:t>
      </w:r>
      <w:r>
        <w:rPr>
          <w:rFonts w:hint="eastAsia" w:ascii="仿宋" w:hAnsi="仿宋" w:eastAsia="仿宋" w:cs="仿宋"/>
          <w:b w:val="0"/>
          <w:bCs/>
          <w:i w:val="0"/>
          <w:caps w:val="0"/>
          <w:color w:val="333333"/>
          <w:spacing w:val="0"/>
          <w:sz w:val="32"/>
          <w:szCs w:val="32"/>
          <w:shd w:val="clear" w:color="auto" w:fill="FFFFFF"/>
        </w:rPr>
        <w:t>方针、政策，</w:t>
      </w:r>
      <w:r>
        <w:rPr>
          <w:rFonts w:hint="eastAsia" w:ascii="仿宋" w:hAnsi="仿宋" w:eastAsia="仿宋" w:cs="仿宋"/>
          <w:b w:val="0"/>
          <w:bCs/>
          <w:i w:val="0"/>
          <w:caps w:val="0"/>
          <w:color w:val="333333"/>
          <w:spacing w:val="0"/>
          <w:sz w:val="32"/>
          <w:szCs w:val="32"/>
          <w:shd w:val="clear" w:color="auto" w:fill="FFFFFF"/>
          <w:lang w:val="en-US" w:eastAsia="zh-CN"/>
        </w:rPr>
        <w:t>和上级主管部门的各项规定</w:t>
      </w:r>
      <w:r>
        <w:rPr>
          <w:rFonts w:hint="eastAsia" w:ascii="仿宋" w:hAnsi="仿宋" w:eastAsia="仿宋" w:cs="仿宋"/>
          <w:b w:val="0"/>
          <w:bCs/>
          <w:i w:val="0"/>
          <w:caps w:val="0"/>
          <w:color w:val="333333"/>
          <w:spacing w:val="0"/>
          <w:sz w:val="32"/>
          <w:szCs w:val="32"/>
          <w:shd w:val="clear" w:color="auto"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2.</w:t>
      </w:r>
      <w:r>
        <w:rPr>
          <w:rFonts w:hint="eastAsia" w:ascii="仿宋" w:hAnsi="仿宋" w:eastAsia="仿宋" w:cs="仿宋"/>
          <w:b w:val="0"/>
          <w:bCs/>
          <w:i w:val="0"/>
          <w:caps w:val="0"/>
          <w:color w:val="333333"/>
          <w:spacing w:val="0"/>
          <w:sz w:val="32"/>
          <w:szCs w:val="32"/>
          <w:shd w:val="clear" w:color="auto" w:fill="FFFFFF"/>
        </w:rPr>
        <w:t>负责</w:t>
      </w:r>
      <w:r>
        <w:rPr>
          <w:rFonts w:hint="eastAsia" w:ascii="仿宋" w:hAnsi="仿宋" w:eastAsia="仿宋" w:cs="仿宋"/>
          <w:b w:val="0"/>
          <w:bCs/>
          <w:i w:val="0"/>
          <w:caps w:val="0"/>
          <w:color w:val="333333"/>
          <w:spacing w:val="0"/>
          <w:sz w:val="32"/>
          <w:szCs w:val="32"/>
          <w:shd w:val="clear" w:color="auto" w:fill="FFFFFF"/>
          <w:lang w:val="en-US" w:eastAsia="zh-CN"/>
        </w:rPr>
        <w:t>本单位的行政管理工作，依《章程》坚持以人为本的管理，组织开展青少年学生思想品德教育活动；开展青少年学生校外科学技术普及教育活动；开展青少年学生校外体育运动活动；开展青少年学生校外文化艺术教育活动；开展青少年学生校外兴趣特长提高活动；开展青少年学生校外劳动与社会实践活动</w:t>
      </w:r>
      <w:r>
        <w:rPr>
          <w:rFonts w:hint="eastAsia" w:ascii="仿宋" w:hAnsi="仿宋" w:eastAsia="仿宋" w:cs="仿宋"/>
          <w:b w:val="0"/>
          <w:bCs/>
          <w:i w:val="0"/>
          <w:caps w:val="0"/>
          <w:color w:val="333333"/>
          <w:spacing w:val="0"/>
          <w:sz w:val="32"/>
          <w:szCs w:val="32"/>
          <w:shd w:val="clear" w:color="auto"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3.</w:t>
      </w:r>
      <w:r>
        <w:rPr>
          <w:rFonts w:hint="eastAsia" w:ascii="仿宋" w:hAnsi="仿宋" w:eastAsia="仿宋" w:cs="仿宋"/>
          <w:b w:val="0"/>
          <w:bCs/>
          <w:i w:val="0"/>
          <w:caps w:val="0"/>
          <w:color w:val="333333"/>
          <w:spacing w:val="0"/>
          <w:sz w:val="32"/>
          <w:szCs w:val="32"/>
          <w:shd w:val="clear" w:color="auto" w:fill="FFFFFF"/>
        </w:rPr>
        <w:t>负责</w:t>
      </w:r>
      <w:r>
        <w:rPr>
          <w:rFonts w:hint="eastAsia" w:ascii="仿宋" w:hAnsi="仿宋" w:eastAsia="仿宋" w:cs="仿宋"/>
          <w:b w:val="0"/>
          <w:bCs/>
          <w:i w:val="0"/>
          <w:caps w:val="0"/>
          <w:color w:val="333333"/>
          <w:spacing w:val="0"/>
          <w:sz w:val="32"/>
          <w:szCs w:val="32"/>
          <w:shd w:val="clear" w:color="auto" w:fill="FFFFFF"/>
          <w:lang w:val="en-US" w:eastAsia="zh-CN"/>
        </w:rPr>
        <w:t>组织制定并执行本单位各种规章制度</w:t>
      </w:r>
      <w:r>
        <w:rPr>
          <w:rFonts w:hint="eastAsia" w:ascii="仿宋" w:hAnsi="仿宋" w:eastAsia="仿宋" w:cs="仿宋"/>
          <w:b w:val="0"/>
          <w:bCs/>
          <w:i w:val="0"/>
          <w:caps w:val="0"/>
          <w:color w:val="333333"/>
          <w:spacing w:val="0"/>
          <w:sz w:val="32"/>
          <w:szCs w:val="32"/>
          <w:shd w:val="clear" w:color="auto"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4.负责聘任、调配校外教育教师及工作人员的工作</w:t>
      </w:r>
      <w:r>
        <w:rPr>
          <w:rFonts w:hint="eastAsia" w:ascii="仿宋" w:hAnsi="仿宋" w:eastAsia="仿宋" w:cs="仿宋"/>
          <w:b w:val="0"/>
          <w:bCs/>
          <w:i w:val="0"/>
          <w:caps w:val="0"/>
          <w:color w:val="333333"/>
          <w:spacing w:val="0"/>
          <w:sz w:val="32"/>
          <w:szCs w:val="32"/>
          <w:shd w:val="clear" w:color="auto" w:fill="FFFFFF"/>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5.管理和规划单位内各项设施、经费的合理利用</w:t>
      </w:r>
      <w:r>
        <w:rPr>
          <w:rFonts w:hint="eastAsia" w:ascii="仿宋" w:hAnsi="仿宋" w:eastAsia="仿宋" w:cs="仿宋"/>
          <w:b w:val="0"/>
          <w:bCs/>
          <w:i w:val="0"/>
          <w:caps w:val="0"/>
          <w:color w:val="333333"/>
          <w:spacing w:val="0"/>
          <w:sz w:val="32"/>
          <w:szCs w:val="32"/>
          <w:shd w:val="clear" w:color="auto"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6.协同中心党组织，开展教职工的思想政治工作，组织政治业务学习，并为他们的政治、文化、业务进修创造条件</w:t>
      </w:r>
      <w:r>
        <w:rPr>
          <w:rFonts w:hint="eastAsia" w:ascii="仿宋" w:hAnsi="仿宋" w:eastAsia="仿宋" w:cs="仿宋"/>
          <w:b w:val="0"/>
          <w:bCs/>
          <w:i w:val="0"/>
          <w:caps w:val="0"/>
          <w:color w:val="333333"/>
          <w:spacing w:val="0"/>
          <w:sz w:val="32"/>
          <w:szCs w:val="32"/>
          <w:shd w:val="clear" w:color="auto" w:fill="FFFFFF"/>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7.在区青少年校外教育工作联席会议办公室和区教育局的领导下，负责全区青少年校外活动和社会实践活动的总体规划、组织落实和管理指导工作</w:t>
      </w:r>
      <w:r>
        <w:rPr>
          <w:rFonts w:hint="eastAsia" w:ascii="仿宋" w:hAnsi="仿宋" w:eastAsia="仿宋" w:cs="仿宋"/>
          <w:b w:val="0"/>
          <w:bCs/>
          <w:i w:val="0"/>
          <w:caps w:val="0"/>
          <w:color w:val="333333"/>
          <w:spacing w:val="0"/>
          <w:sz w:val="32"/>
          <w:szCs w:val="32"/>
          <w:shd w:val="clear" w:color="auto" w:fill="FFFFFF"/>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8.协助抓好共青团和少先队组织的教育培训等工作，对青少年进行爱国主义、集体主义和社会主义思想教育、法制安全教育</w:t>
      </w:r>
      <w:r>
        <w:rPr>
          <w:rFonts w:hint="eastAsia" w:ascii="仿宋" w:hAnsi="仿宋" w:eastAsia="仿宋" w:cs="仿宋"/>
          <w:b w:val="0"/>
          <w:bCs/>
          <w:i w:val="0"/>
          <w:caps w:val="0"/>
          <w:color w:val="333333"/>
          <w:spacing w:val="0"/>
          <w:sz w:val="32"/>
          <w:szCs w:val="32"/>
          <w:shd w:val="clear" w:color="auto"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9.负责全区青少年校外教育教学计划的制定，承担全区校外活动内容和课程的研发工作，对青少年进行有目的、有计划、有组织的教育教学活动</w:t>
      </w:r>
      <w:r>
        <w:rPr>
          <w:rFonts w:hint="eastAsia" w:ascii="仿宋" w:hAnsi="仿宋" w:eastAsia="仿宋" w:cs="仿宋"/>
          <w:b w:val="0"/>
          <w:bCs/>
          <w:i w:val="0"/>
          <w:caps w:val="0"/>
          <w:color w:val="333333"/>
          <w:spacing w:val="0"/>
          <w:sz w:val="32"/>
          <w:szCs w:val="32"/>
          <w:shd w:val="clear" w:color="auto" w:fill="FFFFFF"/>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10.开展课科普知识传授、发明创造、科技制作、科学实验、航模制作等活动，向少年儿童传授科学技术知识</w:t>
      </w:r>
      <w:r>
        <w:rPr>
          <w:rFonts w:hint="eastAsia" w:ascii="仿宋" w:hAnsi="仿宋" w:eastAsia="仿宋" w:cs="仿宋"/>
          <w:b w:val="0"/>
          <w:bCs/>
          <w:i w:val="0"/>
          <w:caps w:val="0"/>
          <w:color w:val="333333"/>
          <w:spacing w:val="0"/>
          <w:sz w:val="32"/>
          <w:szCs w:val="32"/>
          <w:shd w:val="clear" w:color="auto"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11.</w:t>
      </w:r>
      <w:r>
        <w:rPr>
          <w:rFonts w:hint="eastAsia" w:ascii="仿宋" w:hAnsi="仿宋" w:eastAsia="仿宋" w:cs="仿宋"/>
          <w:b w:val="0"/>
          <w:bCs/>
          <w:i w:val="0"/>
          <w:caps w:val="0"/>
          <w:color w:val="333333"/>
          <w:spacing w:val="0"/>
          <w:sz w:val="32"/>
          <w:szCs w:val="32"/>
          <w:shd w:val="clear" w:color="auto" w:fill="FFFFFF"/>
        </w:rPr>
        <w:t>负责</w:t>
      </w:r>
      <w:r>
        <w:rPr>
          <w:rFonts w:hint="eastAsia" w:ascii="仿宋" w:hAnsi="仿宋" w:eastAsia="仿宋" w:cs="仿宋"/>
          <w:b w:val="0"/>
          <w:bCs/>
          <w:i w:val="0"/>
          <w:caps w:val="0"/>
          <w:color w:val="333333"/>
          <w:spacing w:val="0"/>
          <w:sz w:val="32"/>
          <w:szCs w:val="32"/>
          <w:shd w:val="clear" w:color="auto" w:fill="FFFFFF"/>
          <w:lang w:val="en-US" w:eastAsia="zh-CN"/>
        </w:rPr>
        <w:t>全区青少年文体、艺术等各类特长生的培养工作，开展田径、球类、游泳、体操、武术、军训、模型、棋艺、舞蹈、音乐、绘画、书法、工艺制作及影视、阅读、摄影等兴趣特长培训，促进青少年全面发展</w:t>
      </w:r>
      <w:r>
        <w:rPr>
          <w:rFonts w:hint="eastAsia" w:ascii="仿宋" w:hAnsi="仿宋" w:eastAsia="仿宋" w:cs="仿宋"/>
          <w:b w:val="0"/>
          <w:bCs/>
          <w:i w:val="0"/>
          <w:caps w:val="0"/>
          <w:color w:val="333333"/>
          <w:spacing w:val="0"/>
          <w:sz w:val="32"/>
          <w:szCs w:val="32"/>
          <w:shd w:val="clear" w:color="auto" w:fill="FFFFFF"/>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12.负责组织全区青少年校外竞赛及大型文体活动、科技活动，开展夏（冬）令营以及各种社会实践活动</w:t>
      </w:r>
      <w:r>
        <w:rPr>
          <w:rFonts w:hint="eastAsia" w:ascii="仿宋" w:hAnsi="仿宋" w:eastAsia="仿宋" w:cs="仿宋"/>
          <w:b w:val="0"/>
          <w:bCs/>
          <w:i w:val="0"/>
          <w:caps w:val="0"/>
          <w:color w:val="333333"/>
          <w:spacing w:val="0"/>
          <w:sz w:val="32"/>
          <w:szCs w:val="32"/>
          <w:shd w:val="clear" w:color="auto"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b w:val="0"/>
          <w:bCs/>
          <w:i w:val="0"/>
          <w:caps w:val="0"/>
          <w:color w:val="333333"/>
          <w:spacing w:val="0"/>
          <w:sz w:val="32"/>
          <w:szCs w:val="32"/>
          <w:shd w:val="clear" w:color="auto" w:fill="FFFFFF"/>
        </w:rPr>
      </w:pPr>
      <w:r>
        <w:rPr>
          <w:rFonts w:hint="eastAsia" w:ascii="仿宋" w:hAnsi="仿宋" w:eastAsia="仿宋" w:cs="仿宋"/>
          <w:b w:val="0"/>
          <w:bCs/>
          <w:i w:val="0"/>
          <w:caps w:val="0"/>
          <w:color w:val="333333"/>
          <w:spacing w:val="0"/>
          <w:sz w:val="32"/>
          <w:szCs w:val="32"/>
          <w:shd w:val="clear" w:color="auto" w:fill="FFFFFF"/>
          <w:lang w:val="en-US" w:eastAsia="zh-CN"/>
        </w:rPr>
        <w:t>13.负责指导各乡镇（街道或社区）青少年学生校外活动辅导站工作，对各辅导站活动开展情况进行检查与考核</w:t>
      </w:r>
      <w:r>
        <w:rPr>
          <w:rFonts w:hint="eastAsia" w:ascii="仿宋" w:hAnsi="仿宋" w:eastAsia="仿宋" w:cs="仿宋"/>
          <w:b w:val="0"/>
          <w:bCs/>
          <w:i w:val="0"/>
          <w:caps w:val="0"/>
          <w:color w:val="333333"/>
          <w:spacing w:val="0"/>
          <w:sz w:val="32"/>
          <w:szCs w:val="32"/>
          <w:shd w:val="clear" w:color="auto" w:fill="FFFFFF"/>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仿宋" w:hAnsi="仿宋" w:eastAsia="仿宋" w:cs="仿宋"/>
          <w:sz w:val="32"/>
          <w:szCs w:val="32"/>
          <w:lang w:eastAsia="zh-CN"/>
        </w:rPr>
      </w:pPr>
      <w:r>
        <w:rPr>
          <w:rFonts w:hint="eastAsia" w:ascii="仿宋" w:hAnsi="仿宋" w:eastAsia="仿宋" w:cs="仿宋"/>
          <w:b w:val="0"/>
          <w:bCs/>
          <w:i w:val="0"/>
          <w:caps w:val="0"/>
          <w:color w:val="333333"/>
          <w:spacing w:val="0"/>
          <w:sz w:val="32"/>
          <w:szCs w:val="32"/>
          <w:shd w:val="clear" w:color="auto" w:fill="FFFFFF"/>
          <w:lang w:val="en-US" w:eastAsia="zh-CN"/>
        </w:rPr>
        <w:t>14.完成上级部门交办的其他工作任务。</w:t>
      </w:r>
    </w:p>
    <w:p>
      <w:pPr>
        <w:pStyle w:val="3"/>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i w:val="0"/>
          <w:caps w:val="0"/>
          <w:color w:val="333333"/>
          <w:spacing w:val="0"/>
          <w:kern w:val="2"/>
          <w:sz w:val="32"/>
          <w:szCs w:val="32"/>
          <w:shd w:val="clear" w:color="auto" w:fill="FFFFFF"/>
          <w:lang w:val="en-US" w:eastAsia="zh-CN" w:bidi="ar-SA"/>
        </w:rPr>
      </w:pPr>
      <w:r>
        <w:rPr>
          <w:rFonts w:hint="eastAsia" w:ascii="仿宋" w:hAnsi="仿宋" w:eastAsia="仿宋" w:cs="仿宋"/>
          <w:b w:val="0"/>
          <w:bCs/>
          <w:i w:val="0"/>
          <w:caps w:val="0"/>
          <w:color w:val="333333"/>
          <w:spacing w:val="0"/>
          <w:kern w:val="2"/>
          <w:sz w:val="32"/>
          <w:szCs w:val="32"/>
          <w:shd w:val="clear" w:color="auto" w:fill="FFFFFF"/>
          <w:lang w:val="en-US" w:eastAsia="zh-CN" w:bidi="ar-SA"/>
        </w:rPr>
        <w:t>广元市利州区青少年校外活动中心隶属于广元市利州区教育局下属二级事业单位，总编制4名，事业编制7名，其中3人编制在区教师管理中心。在职人员总数7人，其中事业专业技术人员7人，设中心主任1名。</w:t>
      </w:r>
      <w:bookmarkStart w:id="67" w:name="_GoBack"/>
      <w:bookmarkEnd w:id="6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jc w:val="center"/>
        <w:rPr>
          <w:rStyle w:val="25"/>
          <w:rFonts w:hint="eastAsia" w:ascii="黑体" w:hAnsi="黑体" w:eastAsia="黑体"/>
          <w:b w:val="0"/>
          <w:bCs/>
          <w:color w:val="auto"/>
          <w:highlight w:val="none"/>
        </w:rPr>
      </w:pPr>
      <w:bookmarkStart w:id="16" w:name="_Toc15377204"/>
      <w:bookmarkStart w:id="17" w:name="_Toc1539660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jc w:val="center"/>
        <w:rPr>
          <w:rStyle w:val="25"/>
          <w:rFonts w:hint="eastAsia" w:ascii="黑体" w:hAnsi="黑体" w:eastAsia="黑体"/>
          <w:b w:val="0"/>
          <w:bCs/>
          <w:color w:val="auto"/>
          <w:highlight w:val="none"/>
        </w:rPr>
      </w:pPr>
      <w:r>
        <w:rPr>
          <w:rStyle w:val="25"/>
          <w:rFonts w:hint="eastAsia" w:ascii="黑体" w:hAnsi="黑体" w:eastAsia="黑体"/>
          <w:b w:val="0"/>
          <w:bCs/>
          <w:color w:val="auto"/>
          <w:highlight w:val="none"/>
        </w:rPr>
        <w:t xml:space="preserve">第二部分 </w:t>
      </w:r>
      <w:r>
        <w:rPr>
          <w:rStyle w:val="25"/>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1313.90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含上年结转资金5.03万元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396.99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30.21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校外活动经费收入增加</w:t>
      </w:r>
      <w:r>
        <w:rPr>
          <w:rFonts w:hint="eastAsia" w:ascii="仿宋" w:hAnsi="仿宋" w:eastAsia="仿宋"/>
          <w:color w:val="auto"/>
          <w:sz w:val="32"/>
          <w:szCs w:val="32"/>
          <w:highlight w:val="none"/>
          <w:lang w:eastAsia="zh-CN"/>
        </w:rPr>
        <w:t>。</w:t>
      </w:r>
    </w:p>
    <w:p>
      <w:pPr>
        <w:spacing w:line="600" w:lineRule="exact"/>
        <w:ind w:firstLine="640" w:firstLineChars="200"/>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23495</wp:posOffset>
            </wp:positionH>
            <wp:positionV relativeFrom="paragraph">
              <wp:posOffset>116840</wp:posOffset>
            </wp:positionV>
            <wp:extent cx="4935855" cy="2923540"/>
            <wp:effectExtent l="4445" t="4445" r="12700" b="5715"/>
            <wp:wrapTight wrapText="bothSides">
              <wp:wrapPolygon>
                <wp:start x="-19" y="-33"/>
                <wp:lineTo x="-19" y="21501"/>
                <wp:lineTo x="21572" y="21501"/>
                <wp:lineTo x="21572" y="-33"/>
                <wp:lineTo x="-19" y="-33"/>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1308.87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137.24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10.48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1171.64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hint="eastAsia" w:ascii="仿宋" w:hAnsi="仿宋" w:eastAsia="仿宋"/>
          <w:b/>
          <w:color w:val="auto"/>
          <w:sz w:val="32"/>
          <w:szCs w:val="32"/>
          <w:highlight w:val="none"/>
        </w:rPr>
      </w:pPr>
    </w:p>
    <w:p>
      <w:pPr>
        <w:spacing w:line="600" w:lineRule="exact"/>
        <w:outlineLvl w:val="1"/>
        <w:rPr>
          <w:rFonts w:hint="eastAsia" w:ascii="仿宋" w:hAnsi="仿宋" w:eastAsia="仿宋"/>
          <w:b/>
          <w:color w:val="auto"/>
          <w:sz w:val="32"/>
          <w:szCs w:val="32"/>
          <w:highlight w:val="none"/>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276860</wp:posOffset>
            </wp:positionH>
            <wp:positionV relativeFrom="paragraph">
              <wp:posOffset>312420</wp:posOffset>
            </wp:positionV>
            <wp:extent cx="4829175" cy="2616200"/>
            <wp:effectExtent l="4445" t="4445" r="5080" b="825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562" w:firstLineChars="200"/>
        <w:outlineLvl w:val="1"/>
        <w:rPr>
          <w:rFonts w:ascii="仿宋_GB2312" w:eastAsia="仿宋_GB2312"/>
          <w:color w:val="auto"/>
          <w:sz w:val="28"/>
          <w:szCs w:val="28"/>
          <w:highlight w:val="none"/>
        </w:rPr>
      </w:pPr>
      <w:r>
        <w:rPr>
          <w:rFonts w:hint="eastAsia" w:ascii="仿宋" w:hAnsi="仿宋" w:eastAsia="仿宋"/>
          <w:b/>
          <w:color w:val="auto"/>
          <w:sz w:val="28"/>
          <w:szCs w:val="28"/>
          <w:highlight w:val="none"/>
        </w:rPr>
        <w:t>（注：数据来源于财决</w:t>
      </w:r>
      <w:r>
        <w:rPr>
          <w:rFonts w:ascii="仿宋" w:hAnsi="仿宋" w:eastAsia="仿宋"/>
          <w:b/>
          <w:color w:val="auto"/>
          <w:sz w:val="28"/>
          <w:szCs w:val="28"/>
          <w:highlight w:val="none"/>
        </w:rPr>
        <w:t>01表</w:t>
      </w:r>
      <w:r>
        <w:rPr>
          <w:rFonts w:hint="eastAsia" w:ascii="仿宋" w:hAnsi="仿宋" w:eastAsia="仿宋"/>
          <w:b/>
          <w:color w:val="auto"/>
          <w:sz w:val="28"/>
          <w:szCs w:val="28"/>
          <w:highlight w:val="none"/>
          <w:lang w:eastAsia="zh-CN"/>
        </w:rPr>
        <w:t>，仅罗列本单位涉及的收入。</w:t>
      </w:r>
      <w:r>
        <w:rPr>
          <w:rFonts w:ascii="仿宋" w:hAnsi="仿宋" w:eastAsia="仿宋"/>
          <w:b/>
          <w:color w:val="auto"/>
          <w:sz w:val="28"/>
          <w:szCs w:val="28"/>
          <w:highlight w:val="none"/>
        </w:rPr>
        <w:t>）</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1313.90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961.61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73.19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352.29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26.81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81280</wp:posOffset>
            </wp:positionH>
            <wp:positionV relativeFrom="paragraph">
              <wp:posOffset>57150</wp:posOffset>
            </wp:positionV>
            <wp:extent cx="5049520" cy="1778635"/>
            <wp:effectExtent l="4445" t="4445" r="13335" b="762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6"/>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val="en-US" w:eastAsia="zh-CN"/>
        </w:rPr>
        <w:t>收入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142.27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含上年结转资金5.03万元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减少2.3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下降1.59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本年度人员相对稳定，疫情影响校外活动次数减少。</w:t>
      </w:r>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142.27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减少2.3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下降1.59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本年度人员相对稳定，疫情影响校外活动次数减少。</w:t>
      </w:r>
    </w:p>
    <w:p>
      <w:pPr>
        <w:spacing w:line="600" w:lineRule="exact"/>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1" locked="0" layoutInCell="1" allowOverlap="1">
            <wp:simplePos x="0" y="0"/>
            <wp:positionH relativeFrom="column">
              <wp:posOffset>277495</wp:posOffset>
            </wp:positionH>
            <wp:positionV relativeFrom="paragraph">
              <wp:posOffset>257175</wp:posOffset>
            </wp:positionV>
            <wp:extent cx="4862195" cy="1759585"/>
            <wp:effectExtent l="4445" t="4445" r="10160" b="7620"/>
            <wp:wrapTight wrapText="bothSides">
              <wp:wrapPolygon>
                <wp:start x="-20" y="-55"/>
                <wp:lineTo x="-20" y="21460"/>
                <wp:lineTo x="21561" y="21460"/>
                <wp:lineTo x="21561" y="-55"/>
                <wp:lineTo x="-20" y="-55"/>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560" w:firstLineChars="200"/>
        <w:rPr>
          <w:rFonts w:ascii="仿宋" w:hAnsi="仿宋" w:eastAsia="仿宋"/>
          <w:color w:val="auto"/>
          <w:sz w:val="32"/>
          <w:szCs w:val="32"/>
          <w:highlight w:val="none"/>
        </w:rPr>
      </w:pPr>
      <w:r>
        <w:rPr>
          <w:rFonts w:ascii="仿宋_GB2312" w:eastAsia="仿宋_GB2312"/>
          <w:sz w:val="28"/>
          <w:szCs w:val="28"/>
        </w:rPr>
        <w:drawing>
          <wp:anchor distT="0" distB="0" distL="114300" distR="114300" simplePos="0" relativeHeight="251663360" behindDoc="1" locked="0" layoutInCell="1" allowOverlap="1">
            <wp:simplePos x="0" y="0"/>
            <wp:positionH relativeFrom="column">
              <wp:posOffset>213995</wp:posOffset>
            </wp:positionH>
            <wp:positionV relativeFrom="paragraph">
              <wp:posOffset>1678305</wp:posOffset>
            </wp:positionV>
            <wp:extent cx="5089525" cy="1641475"/>
            <wp:effectExtent l="4445" t="4445" r="11430" b="11430"/>
            <wp:wrapTight wrapText="bothSides">
              <wp:wrapPolygon>
                <wp:start x="-19" y="-58"/>
                <wp:lineTo x="-19" y="21500"/>
                <wp:lineTo x="21568" y="21500"/>
                <wp:lineTo x="21568" y="-58"/>
                <wp:lineTo x="-19" y="-58"/>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142.27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10.82</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1.59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本年度人员相对稳定，疫情影响校外活动次数减少。</w:t>
      </w:r>
    </w:p>
    <w:p>
      <w:pPr>
        <w:spacing w:line="6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142.27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124.47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87.49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8.11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5.70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560" w:firstLineChars="200"/>
        <w:jc w:val="center"/>
        <w:rPr>
          <w:rFonts w:ascii="仿宋" w:hAnsi="仿宋" w:eastAsia="仿宋"/>
          <w:color w:val="auto"/>
          <w:sz w:val="32"/>
          <w:szCs w:val="32"/>
          <w:highlight w:val="none"/>
        </w:rPr>
      </w:pPr>
      <w:r>
        <w:rPr>
          <w:rFonts w:ascii="仿宋_GB2312" w:eastAsia="仿宋_GB2312"/>
          <w:sz w:val="28"/>
          <w:szCs w:val="28"/>
        </w:rPr>
        <w:drawing>
          <wp:anchor distT="0" distB="0" distL="114300" distR="114300" simplePos="0" relativeHeight="251664384" behindDoc="0" locked="0" layoutInCell="1" allowOverlap="1">
            <wp:simplePos x="0" y="0"/>
            <wp:positionH relativeFrom="column">
              <wp:posOffset>166370</wp:posOffset>
            </wp:positionH>
            <wp:positionV relativeFrom="paragraph">
              <wp:posOffset>276225</wp:posOffset>
            </wp:positionV>
            <wp:extent cx="5166360" cy="1932305"/>
            <wp:effectExtent l="4445" t="4445" r="10795" b="635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28"/>
          <w:szCs w:val="28"/>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142.27</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numPr>
          <w:ilvl w:val="0"/>
          <w:numId w:val="3"/>
        </w:num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初中教育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124.47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cstheme="minorBidi"/>
          <w:b w:val="0"/>
          <w:bCs/>
          <w:color w:val="auto"/>
          <w:sz w:val="32"/>
          <w:szCs w:val="32"/>
          <w:highlight w:val="none"/>
        </w:rPr>
        <w:t>与预算数持平</w:t>
      </w:r>
      <w:r>
        <w:rPr>
          <w:rStyle w:val="15"/>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Fonts w:hint="eastAsia" w:ascii="仿宋" w:hAnsi="仿宋" w:eastAsia="仿宋"/>
          <w:b/>
          <w:color w:val="auto"/>
          <w:sz w:val="32"/>
          <w:szCs w:val="32"/>
          <w:highlight w:val="none"/>
          <w:lang w:eastAsia="zh-CN"/>
        </w:rPr>
      </w:pPr>
      <w:r>
        <w:rPr>
          <w:rStyle w:val="15"/>
          <w:rFonts w:ascii="仿宋" w:hAnsi="仿宋" w:eastAsia="仿宋"/>
          <w:bCs/>
          <w:color w:val="auto"/>
          <w:sz w:val="32"/>
          <w:szCs w:val="32"/>
          <w:highlight w:val="none"/>
        </w:rPr>
        <w:t>2.</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val="en-US"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机关事业单位基本养老保险缴费支出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7.75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cstheme="minorBidi"/>
          <w:b w:val="0"/>
          <w:bCs/>
          <w:color w:val="auto"/>
          <w:sz w:val="32"/>
          <w:szCs w:val="32"/>
          <w:highlight w:val="none"/>
        </w:rPr>
        <w:t>与预算数持平</w:t>
      </w:r>
      <w:r>
        <w:rPr>
          <w:rStyle w:val="15"/>
          <w:rFonts w:hint="eastAsia" w:ascii="仿宋" w:hAnsi="仿宋" w:eastAsia="仿宋"/>
          <w:b w:val="0"/>
          <w:bCs/>
          <w:color w:val="auto"/>
          <w:sz w:val="32"/>
          <w:szCs w:val="32"/>
          <w:highlight w:val="none"/>
          <w:lang w:eastAsia="zh-CN"/>
        </w:rPr>
        <w:t>。</w:t>
      </w:r>
    </w:p>
    <w:p>
      <w:pPr>
        <w:numPr>
          <w:ilvl w:val="0"/>
          <w:numId w:val="0"/>
        </w:numPr>
        <w:spacing w:line="600" w:lineRule="exact"/>
        <w:ind w:firstLine="643" w:firstLineChars="200"/>
        <w:rPr>
          <w:rFonts w:hint="eastAsia" w:ascii="仿宋" w:hAnsi="仿宋" w:eastAsia="仿宋"/>
          <w:b/>
          <w:color w:val="auto"/>
          <w:sz w:val="32"/>
          <w:szCs w:val="32"/>
          <w:highlight w:val="none"/>
          <w:lang w:eastAsia="zh-CN"/>
        </w:rPr>
      </w:pPr>
      <w:r>
        <w:rPr>
          <w:rStyle w:val="15"/>
          <w:rFonts w:ascii="仿宋" w:hAnsi="仿宋" w:eastAsia="仿宋"/>
          <w:bCs/>
          <w:color w:val="auto"/>
          <w:sz w:val="32"/>
          <w:szCs w:val="32"/>
          <w:highlight w:val="none"/>
        </w:rPr>
        <w:t>3.</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val="en-US" w:eastAsia="zh-CN"/>
        </w:rPr>
        <w:t>其他社会保障和就业支出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其他社会保障和就业支出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0.36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cstheme="minorBidi"/>
          <w:b w:val="0"/>
          <w:bCs/>
          <w:color w:val="auto"/>
          <w:sz w:val="32"/>
          <w:szCs w:val="32"/>
          <w:highlight w:val="none"/>
        </w:rPr>
        <w:t>与预算数持平</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4.</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val="en-US" w:eastAsia="zh-CN"/>
        </w:rPr>
        <w:t>行政事业单位医疗</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事业单位医疗</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3.87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cstheme="minorBidi"/>
          <w:b w:val="0"/>
          <w:bCs/>
          <w:color w:val="auto"/>
          <w:sz w:val="32"/>
          <w:szCs w:val="32"/>
          <w:highlight w:val="none"/>
        </w:rPr>
        <w:t>与预算数持平</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5.</w:t>
      </w:r>
      <w:r>
        <w:rPr>
          <w:rFonts w:hint="eastAsia" w:ascii="仿宋" w:hAnsi="仿宋" w:eastAsia="仿宋"/>
          <w:b/>
          <w:bCs/>
          <w:color w:val="auto"/>
          <w:sz w:val="32"/>
          <w:szCs w:val="32"/>
          <w:highlight w:val="none"/>
        </w:rPr>
        <w:t>住房保障</w:t>
      </w:r>
      <w:r>
        <w:rPr>
          <w:rStyle w:val="15"/>
          <w:rFonts w:hint="eastAsia" w:ascii="仿宋" w:hAnsi="仿宋" w:eastAsia="仿宋"/>
          <w:bCs/>
          <w:color w:val="auto"/>
          <w:sz w:val="32"/>
          <w:szCs w:val="32"/>
          <w:highlight w:val="none"/>
        </w:rPr>
        <w:t>（类）住房改革（款）住房公积金（项）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5.81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cstheme="minorBidi"/>
          <w:b w:val="0"/>
          <w:bCs/>
          <w:color w:val="auto"/>
          <w:sz w:val="32"/>
          <w:szCs w:val="32"/>
          <w:highlight w:val="none"/>
        </w:rPr>
        <w:t>与预算数持平</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102.27</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102.26</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59.71万元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0.73万元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24.02万元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7.75万元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职工基本医疗保险缴费3.87万元、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0.36万元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5.81万元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奖励金0.01万元</w:t>
      </w:r>
      <w:r>
        <w:rPr>
          <w:rFonts w:hint="eastAsia" w:ascii="仿宋" w:hAnsi="仿宋" w:eastAsia="仿宋"/>
          <w:color w:val="auto"/>
          <w:sz w:val="32"/>
          <w:szCs w:val="32"/>
          <w:highlight w:val="none"/>
        </w:rPr>
        <w:t>。</w:t>
      </w:r>
    </w:p>
    <w:p>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Style w:val="15"/>
          <w:rFonts w:hint="eastAsia" w:ascii="仿宋" w:hAnsi="仿宋" w:eastAsia="仿宋"/>
          <w:b w:val="0"/>
          <w:bCs/>
          <w:color w:val="auto"/>
          <w:sz w:val="32"/>
          <w:szCs w:val="32"/>
          <w:highlight w:val="none"/>
        </w:rPr>
        <w:t>决算数</w:t>
      </w:r>
      <w:r>
        <w:rPr>
          <w:rFonts w:hint="eastAsia" w:ascii="仿宋" w:hAnsi="仿宋" w:eastAsia="仿宋"/>
          <w:color w:val="auto"/>
          <w:sz w:val="32"/>
          <w:szCs w:val="32"/>
          <w:highlight w:val="none"/>
        </w:rPr>
        <w:t>较202</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年持平</w:t>
      </w:r>
      <w:r>
        <w:rPr>
          <w:rFonts w:hint="eastAsia" w:ascii="仿宋" w:hAnsi="仿宋" w:eastAsia="仿宋"/>
          <w:color w:val="auto"/>
          <w:sz w:val="32"/>
          <w:szCs w:val="32"/>
          <w:highlight w:val="none"/>
          <w:lang w:eastAsia="zh-CN"/>
        </w:rPr>
        <w:t>，</w:t>
      </w:r>
      <w:r>
        <w:rPr>
          <w:rStyle w:val="15"/>
          <w:rFonts w:hint="eastAsia" w:ascii="仿宋" w:hAnsi="仿宋" w:eastAsia="仿宋"/>
          <w:b w:val="0"/>
          <w:bCs/>
          <w:color w:val="auto"/>
          <w:sz w:val="32"/>
          <w:szCs w:val="32"/>
          <w:highlight w:val="none"/>
        </w:rPr>
        <w:t>主要原因是</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未预算此项资金，</w:t>
      </w:r>
      <w:r>
        <w:rPr>
          <w:rFonts w:hint="eastAsia" w:ascii="仿宋" w:hAnsi="仿宋" w:eastAsia="仿宋"/>
          <w:color w:val="000000" w:themeColor="text1"/>
          <w:sz w:val="32"/>
          <w:szCs w:val="32"/>
          <w:highlight w:val="none"/>
          <w:lang w:val="en-US" w:eastAsia="zh-CN"/>
          <w14:textFill>
            <w14:solidFill>
              <w14:schemeClr w14:val="tx1"/>
            </w14:solidFill>
          </w14:textFill>
        </w:rPr>
        <w:t>年度也未发生此项支出活动</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bidi w:val="0"/>
        <w:snapToGrid/>
        <w:spacing w:line="560" w:lineRule="exact"/>
        <w:ind w:firstLine="640"/>
        <w:textAlignment w:val="auto"/>
        <w:outlineLvl w:val="2"/>
        <w:rPr>
          <w:rFonts w:hint="eastAsia" w:ascii="仿宋" w:hAnsi="仿宋" w:eastAsia="仿宋" w:cs="仿宋"/>
          <w:b/>
          <w:color w:val="auto"/>
          <w:sz w:val="32"/>
          <w:szCs w:val="32"/>
          <w:highlight w:val="none"/>
        </w:rPr>
      </w:pPr>
      <w:r>
        <w:rPr>
          <w:rFonts w:hint="eastAsia" w:ascii="仿宋" w:hAnsi="仿宋" w:eastAsia="仿宋" w:cs="仿宋"/>
          <w:sz w:val="32"/>
          <w:szCs w:val="32"/>
        </w:rPr>
        <w:drawing>
          <wp:anchor distT="0" distB="0" distL="114300" distR="114300" simplePos="0" relativeHeight="251665408" behindDoc="0" locked="0" layoutInCell="1" allowOverlap="1">
            <wp:simplePos x="0" y="0"/>
            <wp:positionH relativeFrom="column">
              <wp:posOffset>210820</wp:posOffset>
            </wp:positionH>
            <wp:positionV relativeFrom="paragraph">
              <wp:posOffset>201295</wp:posOffset>
            </wp:positionV>
            <wp:extent cx="5073650" cy="2635250"/>
            <wp:effectExtent l="4445" t="4445" r="8255" b="82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仿宋"/>
          <w:b/>
          <w:color w:val="auto"/>
          <w:sz w:val="32"/>
          <w:szCs w:val="32"/>
          <w:highlight w:val="none"/>
        </w:rPr>
        <w:t>1.因公出国（境）经费支出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Style w:val="15"/>
          <w:rFonts w:hint="eastAsia" w:ascii="仿宋" w:hAnsi="仿宋" w:eastAsia="仿宋" w:cs="仿宋"/>
          <w:b w:val="0"/>
          <w:bCs/>
          <w:color w:val="auto"/>
          <w:sz w:val="32"/>
          <w:szCs w:val="32"/>
          <w:highlight w:val="none"/>
        </w:rPr>
        <w:t>完成预算</w:t>
      </w:r>
      <w:r>
        <w:rPr>
          <w:rFonts w:hint="eastAsia" w:ascii="仿宋" w:hAnsi="仿宋" w:eastAsia="仿宋" w:cs="仿宋"/>
          <w:color w:val="auto"/>
          <w:sz w:val="32"/>
          <w:szCs w:val="32"/>
          <w:highlight w:val="none"/>
          <w:lang w:val="en-US" w:eastAsia="zh-CN"/>
        </w:rPr>
        <w:t>0.00</w:t>
      </w:r>
      <w:r>
        <w:rPr>
          <w:rStyle w:val="15"/>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全年安排因公出国（境）团组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次，出国（境）</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人。因公出国（境）支出决算较202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年持平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本年度未安排因公出国</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开支内容包括：</w:t>
      </w:r>
      <w:r>
        <w:rPr>
          <w:rFonts w:hint="eastAsia" w:ascii="仿宋" w:hAnsi="仿宋" w:eastAsia="仿宋" w:cs="仿宋"/>
          <w:color w:val="auto"/>
          <w:sz w:val="32"/>
          <w:szCs w:val="32"/>
          <w:highlight w:val="none"/>
          <w:lang w:val="en-US" w:eastAsia="zh-CN"/>
        </w:rPr>
        <w:t>本年度未有此项开支</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2.公务用车购置及运行维护费支出</w:t>
      </w:r>
      <w:r>
        <w:rPr>
          <w:rFonts w:hint="eastAsia" w:ascii="仿宋" w:hAnsi="仿宋" w:eastAsia="仿宋" w:cs="仿宋"/>
          <w:b/>
          <w:bCs/>
          <w:color w:val="auto"/>
          <w:sz w:val="32"/>
          <w:szCs w:val="32"/>
          <w:highlight w:val="none"/>
          <w:lang w:val="en-US" w:eastAsia="zh-CN"/>
        </w:rPr>
        <w:t>0.00</w:t>
      </w:r>
      <w:r>
        <w:rPr>
          <w:rFonts w:hint="eastAsia" w:ascii="仿宋" w:hAnsi="仿宋" w:eastAsia="仿宋" w:cs="仿宋"/>
          <w:b/>
          <w:bCs/>
          <w:color w:val="auto"/>
          <w:sz w:val="32"/>
          <w:szCs w:val="32"/>
          <w:highlight w:val="none"/>
        </w:rPr>
        <w:t>万元,</w:t>
      </w:r>
      <w:r>
        <w:rPr>
          <w:rStyle w:val="15"/>
          <w:rFonts w:hint="eastAsia" w:ascii="仿宋" w:hAnsi="仿宋" w:eastAsia="仿宋" w:cs="仿宋"/>
          <w:b w:val="0"/>
          <w:bCs/>
          <w:color w:val="auto"/>
          <w:sz w:val="32"/>
          <w:szCs w:val="32"/>
          <w:highlight w:val="none"/>
        </w:rPr>
        <w:t>完成预算</w:t>
      </w:r>
      <w:r>
        <w:rPr>
          <w:rStyle w:val="15"/>
          <w:rFonts w:hint="eastAsia" w:ascii="仿宋" w:hAnsi="仿宋" w:eastAsia="仿宋" w:cs="仿宋"/>
          <w:b w:val="0"/>
          <w:bCs/>
          <w:color w:val="auto"/>
          <w:sz w:val="32"/>
          <w:szCs w:val="32"/>
          <w:highlight w:val="none"/>
          <w:lang w:val="en-US" w:eastAsia="zh-CN"/>
        </w:rPr>
        <w:t>0.00</w:t>
      </w:r>
      <w:r>
        <w:rPr>
          <w:rStyle w:val="15"/>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公务用车购置及运行维护费支出决算较202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年持平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无公务用车购置及运行维护费支出</w:t>
      </w:r>
      <w:r>
        <w:rPr>
          <w:rFonts w:hint="eastAsia" w:ascii="仿宋" w:hAnsi="仿宋" w:eastAsia="仿宋" w:cs="仿宋"/>
          <w:color w:val="auto"/>
          <w:sz w:val="32"/>
          <w:szCs w:val="32"/>
          <w:highlight w:val="none"/>
        </w:rPr>
        <w:t>。</w:t>
      </w:r>
    </w:p>
    <w:p>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公务用车运行维护费支出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主要用于</w:t>
      </w:r>
      <w:r>
        <w:rPr>
          <w:rFonts w:hint="eastAsia" w:ascii="仿宋" w:hAnsi="仿宋" w:eastAsia="仿宋" w:cs="仿宋"/>
          <w:color w:val="auto"/>
          <w:sz w:val="32"/>
          <w:szCs w:val="32"/>
          <w:highlight w:val="none"/>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3.公务接待费支出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Style w:val="15"/>
          <w:rFonts w:hint="eastAsia" w:ascii="仿宋" w:hAnsi="仿宋" w:eastAsia="仿宋" w:cs="仿宋"/>
          <w:b w:val="0"/>
          <w:bCs/>
          <w:color w:val="auto"/>
          <w:sz w:val="32"/>
          <w:szCs w:val="32"/>
          <w:highlight w:val="none"/>
        </w:rPr>
        <w:t>完成预算</w:t>
      </w:r>
      <w:r>
        <w:rPr>
          <w:rStyle w:val="15"/>
          <w:rFonts w:hint="eastAsia" w:ascii="仿宋" w:hAnsi="仿宋" w:eastAsia="仿宋" w:cs="仿宋"/>
          <w:b w:val="0"/>
          <w:bCs/>
          <w:color w:val="auto"/>
          <w:sz w:val="32"/>
          <w:szCs w:val="32"/>
          <w:highlight w:val="none"/>
          <w:lang w:val="en-US" w:eastAsia="zh-CN"/>
        </w:rPr>
        <w:t>0.00</w:t>
      </w:r>
      <w:r>
        <w:rPr>
          <w:rStyle w:val="15"/>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公务接待费支出决算较202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年持平</w:t>
      </w:r>
      <w:r>
        <w:rPr>
          <w:rFonts w:hint="eastAsia" w:ascii="仿宋" w:hAnsi="仿宋" w:eastAsia="仿宋" w:cs="仿宋"/>
          <w:color w:val="auto"/>
          <w:sz w:val="32"/>
          <w:szCs w:val="32"/>
          <w:highlight w:val="none"/>
          <w:lang w:eastAsia="zh-CN"/>
        </w:rPr>
        <w:t>，</w:t>
      </w:r>
      <w:r>
        <w:rPr>
          <w:rStyle w:val="15"/>
          <w:rFonts w:hint="eastAsia" w:ascii="仿宋" w:hAnsi="仿宋" w:eastAsia="仿宋" w:cs="仿宋"/>
          <w:b w:val="0"/>
          <w:bCs/>
          <w:color w:val="auto"/>
          <w:sz w:val="32"/>
          <w:szCs w:val="32"/>
          <w:highlight w:val="none"/>
        </w:rPr>
        <w:t>主要原因是</w:t>
      </w:r>
      <w:r>
        <w:rPr>
          <w:rStyle w:val="15"/>
          <w:rFonts w:hint="eastAsia" w:ascii="仿宋" w:hAnsi="仿宋" w:eastAsia="仿宋" w:cs="仿宋"/>
          <w:b w:val="0"/>
          <w:bCs/>
          <w:color w:val="000000" w:themeColor="text1"/>
          <w:sz w:val="32"/>
          <w:szCs w:val="32"/>
          <w:highlight w:val="none"/>
          <w:lang w:val="en-US" w:eastAsia="zh-CN"/>
          <w14:textFill>
            <w14:solidFill>
              <w14:schemeClr w14:val="tx1"/>
            </w14:solidFill>
          </w14:textFill>
        </w:rPr>
        <w:t>未预算此项资金，</w:t>
      </w:r>
      <w:r>
        <w:rPr>
          <w:rFonts w:hint="eastAsia" w:ascii="仿宋" w:hAnsi="仿宋" w:eastAsia="仿宋" w:cs="仿宋"/>
          <w:color w:val="000000" w:themeColor="text1"/>
          <w:sz w:val="32"/>
          <w:szCs w:val="32"/>
          <w:highlight w:val="none"/>
          <w:lang w:val="en-US" w:eastAsia="zh-CN"/>
          <w14:textFill>
            <w14:solidFill>
              <w14:schemeClr w14:val="tx1"/>
            </w14:solidFill>
          </w14:textFill>
        </w:rPr>
        <w:t>年度也未发生公务接待活动</w:t>
      </w:r>
      <w:r>
        <w:rPr>
          <w:rFonts w:hint="eastAsia" w:ascii="仿宋" w:hAnsi="仿宋" w:eastAsia="仿宋" w:cs="仿宋"/>
          <w:color w:val="auto"/>
          <w:sz w:val="32"/>
          <w:szCs w:val="32"/>
          <w:highlight w:val="none"/>
        </w:rPr>
        <w:t>。其中：</w:t>
      </w:r>
    </w:p>
    <w:p>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国内公务接待支出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p>
    <w:p>
      <w:pPr>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外事接待支出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bookmarkStart w:id="40" w:name="_Toc15396610"/>
      <w:bookmarkStart w:id="41"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广元市利州区青少年校外活动中心</w:t>
      </w:r>
      <w:r>
        <w:rPr>
          <w:rFonts w:hint="eastAsia" w:ascii="仿宋" w:hAnsi="仿宋" w:eastAsia="仿宋" w:cs="仿宋"/>
          <w:color w:val="auto"/>
          <w:sz w:val="32"/>
          <w:szCs w:val="32"/>
          <w:highlight w:val="none"/>
        </w:rPr>
        <w:t>机关运行经费</w:t>
      </w:r>
      <w:r>
        <w:rPr>
          <w:rFonts w:hint="eastAsia" w:ascii="仿宋" w:hAnsi="仿宋" w:eastAsia="仿宋" w:cs="仿宋"/>
          <w:color w:val="auto"/>
          <w:sz w:val="32"/>
          <w:szCs w:val="32"/>
          <w:highlight w:val="none"/>
          <w:lang w:val="en-US" w:eastAsia="zh-CN"/>
        </w:rPr>
        <w:t>0.00万元，</w:t>
      </w:r>
      <w:r>
        <w:rPr>
          <w:rFonts w:hint="eastAsia" w:ascii="仿宋" w:hAnsi="仿宋" w:eastAsia="仿宋" w:cs="仿宋"/>
          <w:color w:val="auto"/>
          <w:sz w:val="32"/>
          <w:szCs w:val="32"/>
          <w:highlight w:val="none"/>
        </w:rPr>
        <w:t>与20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年决算数持平。主要原因是</w:t>
      </w:r>
      <w:r>
        <w:rPr>
          <w:rFonts w:hint="eastAsia" w:ascii="仿宋" w:hAnsi="仿宋" w:eastAsia="仿宋" w:cs="仿宋"/>
          <w:color w:val="auto"/>
          <w:sz w:val="32"/>
          <w:szCs w:val="32"/>
          <w:highlight w:val="none"/>
          <w:lang w:val="en-US" w:eastAsia="zh-CN"/>
        </w:rPr>
        <w:t>本单位无此项经费预算支出。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广元市利州区青少年校外活动中心</w:t>
      </w:r>
      <w:r>
        <w:rPr>
          <w:rFonts w:hint="eastAsia" w:ascii="仿宋" w:hAnsi="仿宋" w:eastAsia="仿宋" w:cs="仿宋"/>
          <w:color w:val="auto"/>
          <w:sz w:val="32"/>
          <w:szCs w:val="32"/>
          <w:highlight w:val="none"/>
        </w:rPr>
        <w:t>政府采购支出总额</w:t>
      </w:r>
      <w:r>
        <w:rPr>
          <w:rFonts w:hint="eastAsia" w:ascii="仿宋" w:hAnsi="仿宋" w:eastAsia="仿宋" w:cs="仿宋"/>
          <w:color w:val="auto"/>
          <w:sz w:val="32"/>
          <w:szCs w:val="32"/>
          <w:highlight w:val="none"/>
          <w:lang w:val="en-US" w:eastAsia="zh-CN"/>
        </w:rPr>
        <w:t>188.94</w:t>
      </w:r>
      <w:r>
        <w:rPr>
          <w:rFonts w:hint="eastAsia" w:ascii="仿宋" w:hAnsi="仿宋" w:eastAsia="仿宋" w:cs="仿宋"/>
          <w:color w:val="auto"/>
          <w:sz w:val="32"/>
          <w:szCs w:val="32"/>
          <w:highlight w:val="none"/>
        </w:rPr>
        <w:t>万元，其中：政府采购货物支出</w:t>
      </w:r>
      <w:r>
        <w:rPr>
          <w:rFonts w:hint="eastAsia" w:ascii="仿宋" w:hAnsi="仿宋" w:eastAsia="仿宋" w:cs="仿宋"/>
          <w:color w:val="auto"/>
          <w:sz w:val="32"/>
          <w:szCs w:val="32"/>
          <w:highlight w:val="none"/>
          <w:lang w:val="en-US" w:eastAsia="zh-CN"/>
        </w:rPr>
        <w:t>158.94</w:t>
      </w:r>
      <w:r>
        <w:rPr>
          <w:rFonts w:hint="eastAsia" w:ascii="仿宋" w:hAnsi="仿宋" w:eastAsia="仿宋" w:cs="仿宋"/>
          <w:color w:val="auto"/>
          <w:sz w:val="32"/>
          <w:szCs w:val="32"/>
          <w:highlight w:val="none"/>
        </w:rPr>
        <w:t>万元、政府采购工程支出</w:t>
      </w:r>
      <w:r>
        <w:rPr>
          <w:rFonts w:hint="eastAsia" w:ascii="仿宋" w:hAnsi="仿宋" w:eastAsia="仿宋" w:cs="仿宋"/>
          <w:color w:val="auto"/>
          <w:sz w:val="32"/>
          <w:szCs w:val="32"/>
          <w:highlight w:val="none"/>
          <w:lang w:val="en-US" w:eastAsia="zh-CN"/>
        </w:rPr>
        <w:t>30.00</w:t>
      </w:r>
      <w:r>
        <w:rPr>
          <w:rFonts w:hint="eastAsia" w:ascii="仿宋" w:hAnsi="仿宋" w:eastAsia="仿宋" w:cs="仿宋"/>
          <w:color w:val="auto"/>
          <w:sz w:val="32"/>
          <w:szCs w:val="32"/>
          <w:highlight w:val="none"/>
        </w:rPr>
        <w:t>万元、政府采购服务支出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万元。。授予中小企业合同金额</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万元，占政府采购支出总额的</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 w:hAnsi="仿宋" w:eastAsia="仿宋" w:cs="仿宋"/>
          <w:color w:val="auto"/>
          <w:sz w:val="32"/>
          <w:szCs w:val="32"/>
          <w:highlight w:val="none"/>
        </w:rPr>
        <w:t>截至20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年12月31日，</w:t>
      </w:r>
      <w:r>
        <w:rPr>
          <w:rFonts w:hint="eastAsia" w:ascii="仿宋" w:hAnsi="仿宋" w:eastAsia="仿宋" w:cs="仿宋"/>
          <w:color w:val="auto"/>
          <w:sz w:val="32"/>
          <w:szCs w:val="32"/>
          <w:highlight w:val="none"/>
          <w:lang w:val="en-US" w:eastAsia="zh-CN"/>
        </w:rPr>
        <w:t>广元市利州区青少年校外活动中心</w:t>
      </w:r>
      <w:r>
        <w:rPr>
          <w:rFonts w:hint="eastAsia" w:ascii="仿宋" w:hAnsi="仿宋" w:eastAsia="仿宋" w:cs="仿宋"/>
          <w:color w:val="auto"/>
          <w:sz w:val="32"/>
          <w:szCs w:val="32"/>
          <w:highlight w:val="none"/>
        </w:rPr>
        <w:t>共有车辆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单价100万元以上专用设备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rFonts w:ascii="仿宋_GB2312" w:eastAsia="仿宋_GB2312"/>
          <w:b/>
          <w:color w:val="auto"/>
          <w:sz w:val="32"/>
          <w:szCs w:val="32"/>
          <w:highlight w:val="none"/>
        </w:rPr>
      </w:pPr>
      <w:r>
        <w:rPr>
          <w:rFonts w:hint="eastAsia" w:ascii="仿宋" w:hAnsi="仿宋" w:eastAsia="仿宋" w:cs="仿宋"/>
          <w:color w:val="auto"/>
          <w:sz w:val="32"/>
          <w:szCs w:val="32"/>
          <w:highlight w:val="none"/>
        </w:rPr>
        <w:t>根据预算绩效管理要求，本单位在202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年度预算编制阶段，组织对</w:t>
      </w:r>
      <w:r>
        <w:rPr>
          <w:rFonts w:hint="eastAsia" w:ascii="仿宋" w:hAnsi="仿宋" w:eastAsia="仿宋" w:cs="仿宋"/>
          <w:color w:val="auto"/>
          <w:sz w:val="32"/>
          <w:szCs w:val="32"/>
          <w:highlight w:val="none"/>
          <w:lang w:val="en-US" w:eastAsia="zh-CN"/>
        </w:rPr>
        <w:t>购买社工服务</w:t>
      </w:r>
      <w:r>
        <w:rPr>
          <w:rFonts w:hint="eastAsia" w:ascii="仿宋" w:hAnsi="仿宋" w:eastAsia="仿宋" w:cs="仿宋"/>
          <w:color w:val="auto"/>
          <w:sz w:val="32"/>
          <w:szCs w:val="32"/>
          <w:highlight w:val="none"/>
        </w:rPr>
        <w:t>项目等</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个项目开展了预算事前绩效评估，对</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个项目编制了绩效目标，预算执行过程中，选取</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个项目开展绩效监控，组织对</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个项目开展绩效自评，绩效自评表详见</w:t>
      </w:r>
      <w:r>
        <w:rPr>
          <w:rFonts w:hint="eastAsia" w:ascii="仿宋" w:hAnsi="仿宋" w:eastAsia="仿宋" w:cs="仿宋"/>
          <w:color w:val="auto"/>
          <w:sz w:val="32"/>
          <w:szCs w:val="32"/>
          <w:highlight w:val="none"/>
          <w:lang w:eastAsia="zh-CN"/>
        </w:rPr>
        <w:t>第四部分</w:t>
      </w:r>
      <w:r>
        <w:rPr>
          <w:rFonts w:hint="eastAsia" w:ascii="仿宋" w:hAnsi="仿宋" w:eastAsia="仿宋" w:cs="仿宋"/>
          <w:color w:val="auto"/>
          <w:sz w:val="32"/>
          <w:szCs w:val="32"/>
          <w:highlight w:val="none"/>
        </w:rPr>
        <w:t>附件。</w:t>
      </w: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1.财政拨款收入：指单位从同级财政部门取得的财政预算资金。</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2.事业收入：指事业单位开展专业业务活动及辅助活动取得的收入。</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3</w:t>
      </w:r>
      <w:r>
        <w:rPr>
          <w:rFonts w:hint="eastAsia" w:ascii="仿宋" w:hAnsi="仿宋" w:eastAsia="仿宋" w:cs="仿宋"/>
          <w:color w:val="auto"/>
          <w:sz w:val="32"/>
          <w:szCs w:val="32"/>
        </w:rPr>
        <w:t xml:space="preserve">.其他收入：指单位取得的除上述收入以外的各项收入。主要是学前教育保育教育费收入、银行存款利息收入等。 </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4</w:t>
      </w:r>
      <w:r>
        <w:rPr>
          <w:rFonts w:hint="eastAsia" w:ascii="仿宋" w:hAnsi="仿宋" w:eastAsia="仿宋" w:cs="仿宋"/>
          <w:color w:val="auto"/>
          <w:sz w:val="32"/>
          <w:szCs w:val="32"/>
        </w:rPr>
        <w:t>.教育支出（类）教育管理事务（款）行政运行（项）:反映教育行政单位（包括实行公务员管理的事业单位）的基本支出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5</w:t>
      </w:r>
      <w:r>
        <w:rPr>
          <w:rFonts w:hint="eastAsia" w:ascii="仿宋" w:hAnsi="仿宋" w:eastAsia="仿宋" w:cs="仿宋"/>
          <w:color w:val="auto"/>
          <w:sz w:val="32"/>
          <w:szCs w:val="32"/>
        </w:rPr>
        <w:t>. 教育支出（类）教育管理事务（款）一般行政管理事务（项）:反映行政单位（包括实行公务员管理的事业单位）未单独设置项级科目的其它项目支出。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6</w:t>
      </w:r>
      <w:r>
        <w:rPr>
          <w:rFonts w:hint="eastAsia" w:ascii="仿宋" w:hAnsi="仿宋" w:eastAsia="仿宋" w:cs="仿宋"/>
          <w:color w:val="auto"/>
          <w:sz w:val="32"/>
          <w:szCs w:val="32"/>
        </w:rPr>
        <w:t>. 教育支出（类）教育管理事务（款）其它教育管理事务支出（项）:反映除上述项目以外其它用户教育管理事务方面的支出。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7</w:t>
      </w:r>
      <w:r>
        <w:rPr>
          <w:rFonts w:hint="eastAsia" w:ascii="仿宋" w:hAnsi="仿宋" w:eastAsia="仿宋" w:cs="仿宋"/>
          <w:color w:val="auto"/>
          <w:sz w:val="32"/>
          <w:szCs w:val="32"/>
        </w:rPr>
        <w:t>. 教育支出（类）普通教育（款）初中教育（项）: 反映各部门举办的初中教育支出。政府各部门对社会中介组织等举办的初中教育的资助，如捐赠、补贴等，也在本科目中反映。</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8</w:t>
      </w:r>
      <w:r>
        <w:rPr>
          <w:rFonts w:hint="eastAsia" w:ascii="仿宋" w:hAnsi="仿宋" w:eastAsia="仿宋" w:cs="仿宋"/>
          <w:color w:val="auto"/>
          <w:sz w:val="32"/>
          <w:szCs w:val="32"/>
        </w:rPr>
        <w:t>. 教育支出（类）教育附加费安排的支出（款）城市中小学校舍建设（项）: 反映教育附加费安排用于城市中小学校舍新建、改建、修缮和维护的支出。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9</w:t>
      </w:r>
      <w:r>
        <w:rPr>
          <w:rFonts w:hint="eastAsia" w:ascii="仿宋" w:hAnsi="仿宋" w:eastAsia="仿宋" w:cs="仿宋"/>
          <w:color w:val="auto"/>
          <w:sz w:val="32"/>
          <w:szCs w:val="32"/>
        </w:rPr>
        <w:t>. 教育支出（类）教育附加费安排的支出（款）其它教育附加费安排的支出（项）: 指除上述项目以外的教育附加费支出。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10</w:t>
      </w:r>
      <w:r>
        <w:rPr>
          <w:rFonts w:hint="eastAsia" w:ascii="仿宋" w:hAnsi="仿宋" w:eastAsia="仿宋" w:cs="仿宋"/>
          <w:color w:val="auto"/>
          <w:sz w:val="32"/>
          <w:szCs w:val="32"/>
        </w:rPr>
        <w:t>. 教育支出（类）其它教育支出（款）其他教育支出（项）: 指上述项目以外其他用于教育方面的支出。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11</w:t>
      </w:r>
      <w:r>
        <w:rPr>
          <w:rFonts w:hint="eastAsia" w:ascii="仿宋" w:hAnsi="仿宋" w:eastAsia="仿宋" w:cs="仿宋"/>
          <w:color w:val="auto"/>
          <w:sz w:val="32"/>
          <w:szCs w:val="32"/>
        </w:rPr>
        <w:t>. 社会保障和就业支出（类）行政事业单位离退休（款）机关事业单位基本养老保险缴费支出（项）: 指机关事业单位实施养老保险制度由单位缴纳的基本养老保险费支出。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12</w:t>
      </w:r>
      <w:r>
        <w:rPr>
          <w:rFonts w:hint="eastAsia" w:ascii="仿宋" w:hAnsi="仿宋" w:eastAsia="仿宋" w:cs="仿宋"/>
          <w:color w:val="auto"/>
          <w:sz w:val="32"/>
          <w:szCs w:val="32"/>
        </w:rPr>
        <w:t>. 社会保障和就业支出（类）行政事业单位离退休（款）机关事业单位职业年金缴费支出（项）: 指机关事业单位实施养老保险制度由单位实际缴纳的职业年金支出。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13</w:t>
      </w:r>
      <w:r>
        <w:rPr>
          <w:rFonts w:hint="eastAsia" w:ascii="仿宋" w:hAnsi="仿宋" w:eastAsia="仿宋" w:cs="仿宋"/>
          <w:color w:val="auto"/>
          <w:sz w:val="32"/>
          <w:szCs w:val="32"/>
        </w:rPr>
        <w:t>. 社会保障和就业支出（类）抚恤（款）死亡抚恤（项）: 指按规定用于烈士和牺牲、病故人员家属的一次性和定期抚恤金以及丧葬补助费。</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14</w:t>
      </w:r>
      <w:r>
        <w:rPr>
          <w:rFonts w:hint="eastAsia" w:ascii="仿宋" w:hAnsi="仿宋" w:eastAsia="仿宋" w:cs="仿宋"/>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15</w:t>
      </w:r>
      <w:r>
        <w:rPr>
          <w:rFonts w:hint="eastAsia" w:ascii="仿宋" w:hAnsi="仿宋" w:eastAsia="仿宋" w:cs="仿宋"/>
          <w:color w:val="auto"/>
          <w:sz w:val="32"/>
          <w:szCs w:val="32"/>
        </w:rPr>
        <w:t>. 住房保障支出（类）住房改革支出（款）住房公积金（项）: 指行政事业单位按人力资源和社会保障部、财政部规定的基本工资和津贴补贴以及规定比例为职工缴纳的住房公积金。</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16</w:t>
      </w:r>
      <w:r>
        <w:rPr>
          <w:rFonts w:hint="eastAsia" w:ascii="仿宋" w:hAnsi="仿宋" w:eastAsia="仿宋" w:cs="仿宋"/>
          <w:color w:val="auto"/>
          <w:sz w:val="32"/>
          <w:szCs w:val="32"/>
        </w:rPr>
        <w:t>. 其他支出（类）其他支出（款）其他支出（项）: 指上述项目以外其他不能划分到具体功能科目中的支出项目。</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17</w:t>
      </w:r>
      <w:r>
        <w:rPr>
          <w:rFonts w:hint="eastAsia" w:ascii="仿宋" w:hAnsi="仿宋" w:eastAsia="仿宋" w:cs="仿宋"/>
          <w:color w:val="auto"/>
          <w:sz w:val="32"/>
          <w:szCs w:val="32"/>
        </w:rPr>
        <w:t>.基本支出：指为保障机构正常运转、完成日常工作任务而发生的人员支出和公用支出。</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18</w:t>
      </w:r>
      <w:r>
        <w:rPr>
          <w:rFonts w:hint="eastAsia" w:ascii="仿宋" w:hAnsi="仿宋" w:eastAsia="仿宋" w:cs="仿宋"/>
          <w:color w:val="auto"/>
          <w:sz w:val="32"/>
          <w:szCs w:val="32"/>
        </w:rPr>
        <w:t xml:space="preserve">.项目支出：指在基本支出之外为完成特定行政任务和事业发展目标所发生的支出。 </w:t>
      </w:r>
    </w:p>
    <w:p>
      <w:pPr>
        <w:pStyle w:val="23"/>
        <w:snapToGrid w:val="0"/>
        <w:spacing w:line="520" w:lineRule="exact"/>
        <w:ind w:firstLine="640" w:firstLineChars="200"/>
        <w:rPr>
          <w:rFonts w:hint="eastAsia" w:ascii="仿宋" w:hAnsi="仿宋" w:eastAsia="仿宋" w:cs="仿宋"/>
          <w:color w:val="auto"/>
          <w:sz w:val="32"/>
          <w:szCs w:val="32"/>
        </w:rPr>
      </w:pPr>
      <w:r>
        <w:rPr>
          <w:rFonts w:hint="eastAsia" w:hAnsi="仿宋" w:cs="仿宋"/>
          <w:color w:val="auto"/>
          <w:sz w:val="32"/>
          <w:szCs w:val="32"/>
          <w:lang w:val="en-US" w:eastAsia="zh-CN"/>
        </w:rPr>
        <w:t>19</w:t>
      </w:r>
      <w:r>
        <w:rPr>
          <w:rFonts w:hint="eastAsia" w:ascii="仿宋" w:hAnsi="仿宋" w:eastAsia="仿宋" w:cs="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
        <w:rPr>
          <w:rFonts w:hint="eastAsia" w:ascii="仿宋_GB2312" w:eastAsia="仿宋_GB2312"/>
          <w:color w:val="auto"/>
          <w:sz w:val="28"/>
          <w:szCs w:val="28"/>
        </w:rPr>
        <w:br w:type="page"/>
      </w:r>
    </w:p>
    <w:p>
      <w:pPr>
        <w:spacing w:line="600" w:lineRule="exact"/>
        <w:jc w:val="center"/>
        <w:outlineLvl w:val="0"/>
        <w:rPr>
          <w:rStyle w:val="25"/>
          <w:rFonts w:ascii="黑体" w:hAnsi="黑体" w:eastAsia="黑体"/>
          <w:b w:val="0"/>
          <w:color w:val="auto"/>
          <w:highlight w:val="none"/>
        </w:rPr>
      </w:pPr>
      <w:bookmarkStart w:id="51" w:name="_Toc15396614"/>
      <w:bookmarkStart w:id="52" w:name="_Toc15377226"/>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1"/>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center"/>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3"/>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58605F5C"/>
    <w:multiLevelType w:val="singleLevel"/>
    <w:tmpl w:val="58605F5C"/>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9101177"/>
    <w:rsid w:val="0A2032A3"/>
    <w:rsid w:val="0B8A37D8"/>
    <w:rsid w:val="101F6D26"/>
    <w:rsid w:val="10C055FF"/>
    <w:rsid w:val="10EA69E8"/>
    <w:rsid w:val="118107EC"/>
    <w:rsid w:val="11DD6519"/>
    <w:rsid w:val="15CA3AA0"/>
    <w:rsid w:val="16BB723D"/>
    <w:rsid w:val="170A2EC6"/>
    <w:rsid w:val="18015F3F"/>
    <w:rsid w:val="1991112C"/>
    <w:rsid w:val="1BE8440E"/>
    <w:rsid w:val="1D155CEE"/>
    <w:rsid w:val="20F57F95"/>
    <w:rsid w:val="216573AC"/>
    <w:rsid w:val="240371BF"/>
    <w:rsid w:val="25711CC6"/>
    <w:rsid w:val="25C741E6"/>
    <w:rsid w:val="27842671"/>
    <w:rsid w:val="29FD04D3"/>
    <w:rsid w:val="2ABE7A3E"/>
    <w:rsid w:val="2CA234A8"/>
    <w:rsid w:val="2EFA178C"/>
    <w:rsid w:val="30B46D73"/>
    <w:rsid w:val="319F7F4E"/>
    <w:rsid w:val="335351C5"/>
    <w:rsid w:val="365928E6"/>
    <w:rsid w:val="383D272C"/>
    <w:rsid w:val="39AE70AB"/>
    <w:rsid w:val="3C0C0783"/>
    <w:rsid w:val="3CD147F6"/>
    <w:rsid w:val="3F9F3A96"/>
    <w:rsid w:val="42C64181"/>
    <w:rsid w:val="43372780"/>
    <w:rsid w:val="48BF60AB"/>
    <w:rsid w:val="493C27E9"/>
    <w:rsid w:val="496F39ED"/>
    <w:rsid w:val="49FF41D3"/>
    <w:rsid w:val="4BE068DB"/>
    <w:rsid w:val="4BF6002B"/>
    <w:rsid w:val="4ECE2238"/>
    <w:rsid w:val="51DB4B86"/>
    <w:rsid w:val="53DB4E2F"/>
    <w:rsid w:val="55333C3E"/>
    <w:rsid w:val="56D82D1B"/>
    <w:rsid w:val="5E0B361F"/>
    <w:rsid w:val="64CA39A1"/>
    <w:rsid w:val="69630ADE"/>
    <w:rsid w:val="696E565A"/>
    <w:rsid w:val="6B2632E1"/>
    <w:rsid w:val="6B6862B7"/>
    <w:rsid w:val="6C4A05C8"/>
    <w:rsid w:val="6D3B1A89"/>
    <w:rsid w:val="6FA428A0"/>
    <w:rsid w:val="71BF4EC2"/>
    <w:rsid w:val="72734D90"/>
    <w:rsid w:val="7412278C"/>
    <w:rsid w:val="76B320F6"/>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manualLayout>
                  <c:x val="0.00257300913418243"/>
                  <c:y val="0.021720243266724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1313.90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66997135532142"/>
                  <c:y val="0.01172893136403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916.91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2021年</c:v>
                </c:pt>
              </c:strCache>
            </c:strRef>
          </c:cat>
          <c:val>
            <c:numRef>
              <c:f>Sheet1!$B$2:$B$3</c:f>
              <c:numCache>
                <c:formatCode>General</c:formatCode>
                <c:ptCount val="2"/>
                <c:pt idx="0">
                  <c:v>1313.9</c:v>
                </c:pt>
                <c:pt idx="1">
                  <c:v>916.91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ax val="20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majorUnit val="400"/>
      </c:valAx>
      <c:spPr>
        <a:solidFill>
          <a:schemeClr val="bg1"/>
        </a:solidFill>
      </c:spPr>
    </c:plotArea>
    <c:legend>
      <c:legendPos val="r"/>
      <c:layout>
        <c:manualLayout>
          <c:xMode val="edge"/>
          <c:yMode val="edge"/>
          <c:x val="0.693168660748745"/>
          <c:y val="0.0981754995655952"/>
          <c:w val="0.302971825549981"/>
          <c:h val="0.09860990443092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0"/>
              <c:layout>
                <c:manualLayout>
                  <c:x val="-0.0413768358423552"/>
                  <c:y val="-0.1428276573787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一般公共预算财政拨款收入, </a:t>
                    </a:r>
                    <a:r>
                      <a:rPr lang="en-US" altLang="zh-CN"/>
                      <a:t>137.24</a:t>
                    </a:r>
                    <a:r>
                      <a:t>, </a:t>
                    </a:r>
                    <a:r>
                      <a:rPr lang="en-US" altLang="zh-CN"/>
                      <a:t>10.48</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92.77</c:v>
                </c:pt>
                <c:pt idx="1">
                  <c:v>772.33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8560077052733"/>
          <c:y val="0.098864809081527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3021115591406"/>
                  <c:y val="-0.0071403070332024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a:t>
                    </a:r>
                    <a:r>
                      <a:rPr lang="en-US" altLang="zh-CN"/>
                      <a:t>961.61</a:t>
                    </a:r>
                    <a:r>
                      <a:t>, </a:t>
                    </a:r>
                    <a:r>
                      <a:rPr lang="en-US" altLang="zh-CN"/>
                      <a:t>73.19</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 </a:t>
                    </a:r>
                    <a:r>
                      <a:rPr lang="en-US" altLang="zh-CN"/>
                      <a:t>352.29</a:t>
                    </a:r>
                    <a:r>
                      <a:t>, </a:t>
                    </a:r>
                    <a:r>
                      <a:rPr lang="en-US" altLang="zh-CN"/>
                      <a:t>26.81</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330734406438632"/>
                      <c:h val="0.19350232059978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876.87</c:v>
                </c:pt>
                <c:pt idx="1">
                  <c:v>35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915666733956"/>
          <c:y val="0.0609116579265833"/>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144.57</c:v>
                </c:pt>
                <c:pt idx="1">
                  <c:v>142.27</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majorUnit val="50"/>
      </c:valAx>
    </c:plotArea>
    <c:legend>
      <c:legendPos val="r"/>
      <c:layout>
        <c:manualLayout>
          <c:xMode val="edge"/>
          <c:yMode val="edge"/>
          <c:x val="0.582207731165754"/>
          <c:y val="0.00961846745751843"/>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219177415044"/>
          <c:y val="0.0584139264990329"/>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144.57</c:v>
                </c:pt>
                <c:pt idx="1">
                  <c:v>142.27</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59622054778137"/>
          <c:y val="0.0165319617927994"/>
          <c:w val="0.41430450903002"/>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189644600033979"/>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 </a:t>
                    </a:r>
                    <a:r>
                      <a:rPr lang="en-US" altLang="zh-CN"/>
                      <a:t>3.87,2.73</a:t>
                    </a:r>
                    <a:r>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dLbl>
              <c:idx val="3"/>
              <c:layout>
                <c:manualLayout>
                  <c:x val="0.157113723869531"/>
                  <c:y val="0.131449227735787"/>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8751229105211"/>
                      <c:h val="0.178113703581991"/>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124.47</c:v>
                </c:pt>
                <c:pt idx="1">
                  <c:v>8.11</c:v>
                </c:pt>
                <c:pt idx="2">
                  <c:v>3.87</c:v>
                </c:pt>
                <c:pt idx="3">
                  <c:v>5.81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0"/>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0"/>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4"/>
                  <c:y val="0.09759036144578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4938</Words>
  <Characters>5411</Characters>
  <Lines>61</Lines>
  <Paragraphs>17</Paragraphs>
  <TotalTime>0</TotalTime>
  <ScaleCrop>false</ScaleCrop>
  <LinksUpToDate>false</LinksUpToDate>
  <CharactersWithSpaces>5456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2023-07-31T02:35:00Z</cp:lastPrinted>
  <dcterms:modified xsi:type="dcterms:W3CDTF">2023-10-15T07:43:22Z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CEC8844673C04BCD82C36DFE38A22FA6_12</vt:lpwstr>
  </property>
</Properties>
</file>