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8441"/>
      <w:bookmarkStart w:id="2" w:name="_Toc15377425"/>
      <w:bookmarkStart w:id="3" w:name="_Toc15396597"/>
      <w:bookmarkStart w:id="4" w:name="_Toc15377193"/>
      <w:bookmarkStart w:id="5" w:name="_Toc1539647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6" w:name="_Toc15396476"/>
      <w:bookmarkStart w:id="7" w:name="_Toc15377426"/>
      <w:bookmarkStart w:id="8" w:name="_Toc15396598"/>
      <w:bookmarkStart w:id="9" w:name="_Toc15378442"/>
      <w:bookmarkStart w:id="10" w:name="_Toc15377194"/>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val="en-US" w:eastAsia="zh-CN"/>
        </w:rPr>
        <w:t>广元市利州区</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val="en-US" w:eastAsia="zh-CN"/>
        </w:rPr>
        <w:t>三堆国凡幼儿园</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hint="eastAsia" w:eastAsia="仿宋" w:cstheme="minorBidi"/>
          <w:color w:val="auto"/>
          <w:sz w:val="24"/>
          <w:szCs w:val="24"/>
          <w:highlight w:val="none"/>
          <w:lang w:val="en-US" w:eastAsia="zh-CN"/>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eastAsia" w:ascii="仿宋" w:hAnsi="仿宋" w:eastAsia="仿宋" w:cs="仿宋"/>
          <w:bCs/>
          <w:sz w:val="32"/>
          <w:szCs w:val="32"/>
          <w:lang w:val="en-US" w:eastAsia="zh-CN"/>
        </w:rPr>
      </w:pPr>
      <w:r>
        <w:rPr>
          <w:rFonts w:hint="eastAsia"/>
          <w:color w:val="auto"/>
          <w:sz w:val="24"/>
          <w:highlight w:val="none"/>
        </w:rPr>
        <w:t>一、</w:t>
      </w:r>
      <w:r>
        <w:rPr>
          <w:rFonts w:hint="eastAsia"/>
          <w:color w:val="auto"/>
          <w:sz w:val="24"/>
          <w:highlight w:val="none"/>
          <w:lang w:eastAsia="zh-CN"/>
        </w:rPr>
        <w:t>主要职责</w:t>
      </w:r>
    </w:p>
    <w:p>
      <w:pPr>
        <w:pStyle w:val="11"/>
        <w:adjustRightInd w:val="0"/>
        <w:snapToGrid w:val="0"/>
        <w:spacing w:line="440" w:lineRule="exact"/>
        <w:jc w:val="left"/>
        <w:rPr>
          <w:rFonts w:hint="eastAsia" w:eastAsia="仿宋"/>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0"/>
        <w:adjustRightInd w:val="0"/>
        <w:snapToGrid w:val="0"/>
        <w:spacing w:before="0" w:line="440" w:lineRule="exact"/>
        <w:jc w:val="left"/>
        <w:rPr>
          <w:rFonts w:hint="eastAsia"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hint="eastAsia" w:ascii="仿宋" w:hAnsi="仿宋" w:eastAsia="仿宋" w:cstheme="minorBidi"/>
          <w:color w:val="auto"/>
          <w:sz w:val="24"/>
          <w:highlight w:val="none"/>
          <w:lang w:val="en-US" w:eastAsia="zh-CN"/>
        </w:rPr>
      </w:pPr>
      <w:r>
        <w:rPr>
          <w:rFonts w:hint="eastAsia"/>
          <w:color w:val="auto"/>
          <w:sz w:val="24"/>
          <w:highlight w:val="none"/>
        </w:rPr>
        <w:t>二、收入决算情况说明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hint="eastAsia" w:ascii="仿宋" w:hAnsi="仿宋" w:eastAsia="仿宋" w:cstheme="minorBidi"/>
          <w:color w:val="auto"/>
          <w:sz w:val="24"/>
          <w:highlight w:val="none"/>
          <w:lang w:val="en-US" w:eastAsia="zh-CN"/>
        </w:rPr>
      </w:pPr>
      <w:r>
        <w:rPr>
          <w:rFonts w:hint="eastAsia"/>
          <w:color w:val="auto"/>
          <w:sz w:val="24"/>
          <w:highlight w:val="none"/>
        </w:rPr>
        <w:t>四、财政拨款收入支出决算总体情况说明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hint="eastAsia" w:ascii="仿宋" w:hAnsi="仿宋" w:eastAsia="仿宋"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eastAsia" w:eastAsia="仿宋"/>
          <w:color w:val="auto"/>
          <w:sz w:val="24"/>
          <w:highlight w:val="none"/>
          <w:lang w:val="en-US"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hint="eastAsia" w:ascii="仿宋" w:hAnsi="仿宋" w:eastAsia="仿宋" w:cs="仿宋"/>
          <w:bCs/>
          <w:kern w:val="2"/>
          <w:sz w:val="24"/>
          <w:szCs w:val="24"/>
          <w:lang w:val="en-US" w:eastAsia="zh-CN" w:bidi="ar-SA"/>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0"/>
        <w:adjustRightInd w:val="0"/>
        <w:snapToGrid w:val="0"/>
        <w:spacing w:before="0" w:line="440" w:lineRule="exact"/>
        <w:ind w:firstLine="480" w:firstLineChars="200"/>
        <w:jc w:val="left"/>
        <w:rPr>
          <w:rStyle w:val="25"/>
          <w:rFonts w:hint="eastAsia" w:ascii="仿宋" w:hAnsi="仿宋" w:eastAsia="仿宋"/>
          <w:b w:val="0"/>
          <w:bCs w:val="0"/>
          <w:color w:val="auto"/>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部门</w:t>
      </w:r>
      <w:r>
        <w:rPr>
          <w:rFonts w:hint="eastAsia" w:ascii="Times New Roman" w:hAnsi="Times New Roman" w:eastAsia="宋体" w:cs="Times New Roman"/>
          <w:color w:val="auto"/>
          <w:kern w:val="2"/>
          <w:sz w:val="24"/>
          <w:szCs w:val="24"/>
          <w:highlight w:val="none"/>
          <w:lang w:val="en-US" w:eastAsia="zh-CN" w:bidi="ar-SA"/>
        </w:rPr>
        <w:t>预算项目支出绩效自评表（2022年度）</w:t>
      </w:r>
    </w:p>
    <w:p>
      <w:pPr>
        <w:pStyle w:val="10"/>
        <w:adjustRightInd w:val="0"/>
        <w:snapToGrid w:val="0"/>
        <w:spacing w:before="0" w:line="440" w:lineRule="exact"/>
        <w:jc w:val="left"/>
        <w:rPr>
          <w:rFonts w:hint="default" w:ascii="仿宋" w:hAnsi="仿宋" w:eastAsia="仿宋" w:cs="仿宋"/>
          <w:bCs/>
          <w:kern w:val="2"/>
          <w:sz w:val="24"/>
          <w:szCs w:val="24"/>
          <w:lang w:val="en-US" w:eastAsia="zh-CN" w:bidi="ar-SA"/>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default" w:eastAsia="仿宋"/>
          <w:color w:val="auto"/>
          <w:sz w:val="24"/>
          <w:highlight w:val="none"/>
          <w:lang w:val="en-US" w:eastAsia="zh-CN"/>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default" w:eastAsia="仿宋"/>
          <w:color w:val="auto"/>
          <w:sz w:val="24"/>
          <w:highlight w:val="none"/>
          <w:lang w:val="en-US" w:eastAsia="zh-CN"/>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lang w:val="en-US" w:eastAsia="zh-CN"/>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default"/>
          <w:lang w:val="en-US" w:eastAsia="zh-CN"/>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r>
        <w:rPr>
          <w:rFonts w:hint="eastAsia"/>
          <w:color w:val="auto"/>
          <w:sz w:val="24"/>
          <w:highlight w:val="none"/>
        </w:rPr>
        <w:t>十三、财政拨款“三公”经费支出决算表</w:t>
      </w:r>
    </w:p>
    <w:p>
      <w:pPr>
        <w:pStyle w:val="3"/>
        <w:jc w:val="center"/>
        <w:rPr>
          <w:rFonts w:ascii="黑体" w:eastAsia="黑体"/>
          <w:color w:val="auto"/>
          <w:sz w:val="32"/>
          <w:szCs w:val="32"/>
          <w:highlight w:val="none"/>
        </w:rPr>
      </w:pPr>
      <w:bookmarkStart w:id="12" w:name="_Toc15396599"/>
      <w:bookmarkStart w:id="13" w:name="_Toc15377196"/>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pStyle w:val="4"/>
        <w:numPr>
          <w:ilvl w:val="0"/>
          <w:numId w:val="1"/>
        </w:numPr>
        <w:rPr>
          <w:rStyle w:val="25"/>
          <w:rFonts w:hint="eastAsia" w:ascii="黑体" w:hAnsi="黑体" w:eastAsia="黑体"/>
          <w:b w:val="0"/>
          <w:bCs w:val="0"/>
          <w:color w:val="auto"/>
          <w:highlight w:val="none"/>
          <w:lang w:eastAsia="zh-CN"/>
        </w:rPr>
      </w:pPr>
      <w:bookmarkStart w:id="14" w:name="_Toc15377197"/>
      <w:bookmarkStart w:id="15" w:name="_Toc15396600"/>
      <w:r>
        <w:rPr>
          <w:rStyle w:val="25"/>
          <w:rFonts w:hint="eastAsia" w:ascii="黑体" w:hAnsi="黑体" w:eastAsia="黑体"/>
          <w:b w:val="0"/>
          <w:bCs w:val="0"/>
          <w:color w:val="auto"/>
          <w:highlight w:val="none"/>
          <w:lang w:eastAsia="zh-CN"/>
        </w:rPr>
        <w:t>主要职责</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贯彻执行党和国家有关幼儿教育的方针、政策以及教育法规、规章，坚持正确的办园方向。</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执行上级的指示和决议；贯彻执行《幼儿教育纲要》和《幼儿园工作规程》，深化改革，强化管理，使各项工作程序化，规范化，制度化，不断提高保教水平。</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严格执行上级部门关于教育经费、教育拨款、教育基建的办法和方案；贯彻执行上级部门有关学生资助工作方针和政策，落实本园贫困家庭幼儿的资助工作。</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实行保育和教育相结合的原则，对幼儿实施体、智、德、美等方面全面发展的教育，促进其身心和谐发展。为家长解除后顾之忧，热忱为家长服务。</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5.严格执行幼儿园教师资格证书制度；统筹规划幼儿园教师和管理人员队伍建设；负责幼儿园全体教师的继续教育和培训工作，加强幼儿园人才队伍建设。</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6.严格执行幼儿园安全、卫生保健制度，保证幼儿身心健康和生命安全。充分利用幼儿和社区的资源优势，面向家长开展多种形式的早期教育宣传、指导等服务，促进家庭教育质量的不断提高。</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7.以《幼儿园教育指导纲要》、《幼儿园工作规程》、《3-6岁儿童学习与发展指南》为依据，结合幼儿的年龄特点、发展经验和需要制定适合幼儿身心健康发展的教育活动。</w:t>
      </w:r>
    </w:p>
    <w:p>
      <w:pPr>
        <w:pageBreakBefore w:val="0"/>
        <w:widowControl w:val="0"/>
        <w:kinsoku/>
        <w:wordWrap/>
        <w:overflowPunct/>
        <w:topLinePunct w:val="0"/>
        <w:autoSpaceDE/>
        <w:autoSpaceDN/>
        <w:bidi w:val="0"/>
        <w:snapToGrid w:val="0"/>
        <w:spacing w:line="540" w:lineRule="exact"/>
        <w:jc w:val="both"/>
        <w:textAlignment w:val="auto"/>
        <w:rPr>
          <w:rFonts w:hint="eastAsia" w:ascii="仿宋" w:hAnsi="仿宋" w:eastAsia="仿宋"/>
          <w:sz w:val="32"/>
          <w:szCs w:val="32"/>
        </w:rPr>
      </w:pPr>
      <w:r>
        <w:rPr>
          <w:rFonts w:hint="eastAsia" w:ascii="仿宋" w:hAnsi="仿宋" w:eastAsia="仿宋"/>
          <w:sz w:val="32"/>
          <w:szCs w:val="32"/>
        </w:rPr>
        <w:t>8.尊重幼儿的人格尊严和基本权利，尊重幼儿身心发展的特点和规律，为幼儿提供健康、丰富的生活和活动环境。合理组织幼儿一日生活活动和其它活动，促进幼儿体智德美等和谐发展，全面实施素质教育。</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sz w:val="32"/>
          <w:szCs w:val="32"/>
          <w:lang w:eastAsia="zh-CN"/>
        </w:rPr>
      </w:pPr>
      <w:r>
        <w:rPr>
          <w:rFonts w:hint="eastAsia" w:ascii="仿宋" w:hAnsi="仿宋" w:eastAsia="仿宋"/>
          <w:sz w:val="32"/>
          <w:szCs w:val="32"/>
        </w:rPr>
        <w:t>9.贯彻幼儿教育法规、传播科学教育理念、开展教育科学研究、培训师资，推动三堆片区学前教育的良性发展。</w:t>
      </w:r>
    </w:p>
    <w:p>
      <w:pPr>
        <w:pStyle w:val="4"/>
        <w:numPr>
          <w:ilvl w:val="0"/>
          <w:numId w:val="0"/>
        </w:numPr>
        <w:ind w:firstLine="640" w:firstLineChars="20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p>
      <w:pPr>
        <w:pageBreakBefore w:val="0"/>
        <w:widowControl w:val="0"/>
        <w:kinsoku/>
        <w:wordWrap/>
        <w:overflowPunct/>
        <w:topLinePunct w:val="0"/>
        <w:autoSpaceDE/>
        <w:autoSpaceDN/>
        <w:bidi w:val="0"/>
        <w:snapToGrid w:val="0"/>
        <w:spacing w:line="540" w:lineRule="exact"/>
        <w:ind w:firstLine="640" w:firstLineChars="200"/>
        <w:jc w:val="both"/>
        <w:textAlignment w:val="auto"/>
        <w:rPr>
          <w:rFonts w:hint="eastAsia" w:ascii="仿宋" w:hAnsi="仿宋" w:eastAsia="仿宋"/>
          <w:sz w:val="32"/>
          <w:szCs w:val="32"/>
          <w:lang w:eastAsia="zh-CN"/>
        </w:rPr>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pPr>
      <w:r>
        <w:rPr>
          <w:rFonts w:hint="eastAsia" w:ascii="仿宋" w:hAnsi="仿宋" w:eastAsia="仿宋"/>
          <w:sz w:val="32"/>
          <w:szCs w:val="32"/>
        </w:rPr>
        <w:t>我单位为广元市利州区教育局所属二级预算单位，内设部门4个（办公室、财务室、园务室、后勤处）</w:t>
      </w:r>
      <w:r>
        <w:rPr>
          <w:rFonts w:hint="eastAsia" w:ascii="仿宋" w:hAnsi="仿宋" w:eastAsia="仿宋"/>
          <w:sz w:val="32"/>
          <w:szCs w:val="32"/>
          <w:lang w:eastAsia="zh-CN"/>
        </w:rPr>
        <w:t>。</w:t>
      </w:r>
    </w:p>
    <w:bookmarkEnd w:id="14"/>
    <w:bookmarkEnd w:id="15"/>
    <w:p>
      <w:pPr>
        <w:pStyle w:val="3"/>
        <w:ind w:right="440"/>
        <w:jc w:val="center"/>
        <w:rPr>
          <w:rStyle w:val="24"/>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p>
    <w:p>
      <w:pPr>
        <w:rPr>
          <w:color w:val="auto"/>
          <w:highlight w:val="none"/>
        </w:rPr>
      </w:pP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sz w:val="32"/>
          <w:szCs w:val="32"/>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290.11</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224.31万元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，收、支总计各增加</w:t>
      </w:r>
      <w:r>
        <w:rPr>
          <w:rFonts w:hint="eastAsia" w:ascii="仿宋" w:hAnsi="仿宋" w:eastAsia="仿宋"/>
          <w:color w:val="auto"/>
          <w:sz w:val="32"/>
          <w:szCs w:val="32"/>
          <w:highlight w:val="none"/>
          <w:lang w:val="en-US" w:eastAsia="zh-CN"/>
        </w:rPr>
        <w:t>65.8</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29.33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一是新增在职人员，人员经费增多；二是2022年我园对幼儿园教学楼围墙进行了重新粉刷维修，项目支出增多。</w:t>
      </w:r>
    </w:p>
    <w:p>
      <w:pPr>
        <w:pStyle w:val="2"/>
        <w:rPr>
          <w:rFonts w:ascii="仿宋_GB2312" w:eastAsia="仿宋_GB2312"/>
          <w:color w:val="auto"/>
          <w:sz w:val="32"/>
          <w:szCs w:val="32"/>
          <w:highlight w:val="none"/>
        </w:rPr>
      </w:pPr>
      <w:r>
        <w:rPr>
          <w:rFonts w:ascii="仿宋_GB2312" w:eastAsia="仿宋_GB2312"/>
          <w:sz w:val="32"/>
          <w:szCs w:val="32"/>
        </w:rPr>
        <w:drawing>
          <wp:anchor distT="0" distB="0" distL="114300" distR="114300" simplePos="0" relativeHeight="251659264" behindDoc="1" locked="0" layoutInCell="1" allowOverlap="1">
            <wp:simplePos x="0" y="0"/>
            <wp:positionH relativeFrom="column">
              <wp:posOffset>183515</wp:posOffset>
            </wp:positionH>
            <wp:positionV relativeFrom="paragraph">
              <wp:posOffset>273685</wp:posOffset>
            </wp:positionV>
            <wp:extent cx="5118100" cy="2831465"/>
            <wp:effectExtent l="4445" t="4445" r="8255" b="8890"/>
            <wp:wrapTight wrapText="bothSides">
              <wp:wrapPolygon>
                <wp:start x="-19" y="-34"/>
                <wp:lineTo x="-19" y="21571"/>
                <wp:lineTo x="21581" y="21571"/>
                <wp:lineTo x="21581" y="-34"/>
                <wp:lineTo x="-19" y="-34"/>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sz w:val="32"/>
          <w:szCs w:val="32"/>
          <w:lang w:val="en-US" w:eastAsia="zh-CN"/>
        </w:rPr>
        <w:t xml:space="preserve">    </w:t>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仿宋" w:hAnsi="仿宋" w:eastAsia="仿宋"/>
          <w:b/>
          <w:color w:val="auto"/>
          <w:sz w:val="28"/>
          <w:szCs w:val="28"/>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258.94</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197.70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76.34</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47.10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18.18</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14.14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hint="eastAsia" w:ascii="仿宋" w:hAnsi="仿宋" w:eastAsia="仿宋"/>
          <w:b/>
          <w:color w:val="auto"/>
          <w:sz w:val="32"/>
          <w:szCs w:val="32"/>
          <w:highlight w:val="none"/>
          <w:lang w:val="en-US" w:eastAsia="zh-CN"/>
        </w:rPr>
      </w:pPr>
      <w:r>
        <w:rPr>
          <w:rFonts w:ascii="仿宋_GB2312" w:eastAsia="仿宋_GB2312"/>
          <w:sz w:val="32"/>
          <w:szCs w:val="32"/>
        </w:rPr>
        <w:drawing>
          <wp:anchor distT="0" distB="0" distL="114300" distR="114300" simplePos="0" relativeHeight="251666432" behindDoc="1" locked="0" layoutInCell="1" allowOverlap="1">
            <wp:simplePos x="0" y="0"/>
            <wp:positionH relativeFrom="column">
              <wp:posOffset>428625</wp:posOffset>
            </wp:positionH>
            <wp:positionV relativeFrom="paragraph">
              <wp:posOffset>148590</wp:posOffset>
            </wp:positionV>
            <wp:extent cx="4592955" cy="2412365"/>
            <wp:effectExtent l="4445" t="5080" r="12700" b="825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sz w:val="32"/>
        </w:rPr>
        <mc:AlternateContent>
          <mc:Choice Requires="wps">
            <w:drawing>
              <wp:anchor distT="0" distB="0" distL="114300" distR="114300" simplePos="0" relativeHeight="251661312" behindDoc="0" locked="0" layoutInCell="1" allowOverlap="1">
                <wp:simplePos x="0" y="0"/>
                <wp:positionH relativeFrom="column">
                  <wp:posOffset>1515110</wp:posOffset>
                </wp:positionH>
                <wp:positionV relativeFrom="paragraph">
                  <wp:posOffset>140335</wp:posOffset>
                </wp:positionV>
                <wp:extent cx="619760" cy="758190"/>
                <wp:effectExtent l="0" t="0" r="0" b="0"/>
                <wp:wrapNone/>
                <wp:docPr id="6" name="文本框 6"/>
                <wp:cNvGraphicFramePr/>
                <a:graphic xmlns:a="http://schemas.openxmlformats.org/drawingml/2006/main">
                  <a:graphicData uri="http://schemas.microsoft.com/office/word/2010/wordprocessingShape">
                    <wps:wsp>
                      <wps:cNvSpPr txBox="1"/>
                      <wps:spPr>
                        <a:xfrm>
                          <a:off x="2820670" y="2071370"/>
                          <a:ext cx="619760" cy="758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textAlignment w:val="auto"/>
                              <w:rPr>
                                <w:rFonts w:hint="eastAsia"/>
                                <w:sz w:val="15"/>
                                <w:szCs w:val="18"/>
                                <w:lang w:val="en-US" w:eastAsia="zh-CN"/>
                              </w:rPr>
                            </w:pPr>
                            <w:r>
                              <w:rPr>
                                <w:rFonts w:hint="eastAsia"/>
                                <w:sz w:val="15"/>
                                <w:szCs w:val="18"/>
                                <w:lang w:val="en-US" w:eastAsia="zh-CN"/>
                              </w:rPr>
                              <w:t>其他收入</w:t>
                            </w:r>
                          </w:p>
                          <w:p>
                            <w:pPr>
                              <w:pStyle w:val="2"/>
                              <w:keepNext w:val="0"/>
                              <w:keepLines w:val="0"/>
                              <w:pageBreakBefore w:val="0"/>
                              <w:widowControl w:val="0"/>
                              <w:kinsoku/>
                              <w:wordWrap/>
                              <w:overflowPunct/>
                              <w:topLinePunct w:val="0"/>
                              <w:autoSpaceDE/>
                              <w:autoSpaceDN/>
                              <w:bidi w:val="0"/>
                              <w:adjustRightInd/>
                              <w:snapToGrid/>
                              <w:spacing w:beforeLines="0"/>
                              <w:textAlignment w:val="auto"/>
                              <w:rPr>
                                <w:rFonts w:hint="eastAsia"/>
                                <w:sz w:val="18"/>
                                <w:szCs w:val="16"/>
                                <w:lang w:val="en-US" w:eastAsia="zh-CN"/>
                              </w:rPr>
                            </w:pPr>
                            <w:r>
                              <w:rPr>
                                <w:rFonts w:hint="eastAsia"/>
                                <w:sz w:val="18"/>
                                <w:szCs w:val="16"/>
                                <w:lang w:val="en-US" w:eastAsia="zh-CN"/>
                              </w:rPr>
                              <w:t>14.14,</w:t>
                            </w:r>
                          </w:p>
                          <w:p>
                            <w:pPr>
                              <w:pStyle w:val="2"/>
                              <w:keepNext w:val="0"/>
                              <w:keepLines w:val="0"/>
                              <w:pageBreakBefore w:val="0"/>
                              <w:widowControl w:val="0"/>
                              <w:kinsoku/>
                              <w:wordWrap/>
                              <w:overflowPunct/>
                              <w:topLinePunct w:val="0"/>
                              <w:autoSpaceDE/>
                              <w:autoSpaceDN/>
                              <w:bidi w:val="0"/>
                              <w:adjustRightInd/>
                              <w:snapToGrid/>
                              <w:spacing w:beforeLines="0"/>
                              <w:textAlignment w:val="auto"/>
                              <w:rPr>
                                <w:rFonts w:hint="default"/>
                                <w:sz w:val="21"/>
                                <w:szCs w:val="18"/>
                                <w:lang w:val="en-US" w:eastAsia="zh-CN"/>
                              </w:rPr>
                            </w:pPr>
                            <w:r>
                              <w:rPr>
                                <w:rFonts w:hint="eastAsia"/>
                                <w:sz w:val="18"/>
                                <w:szCs w:val="16"/>
                                <w:lang w:val="en-US" w:eastAsia="zh-CN"/>
                              </w:rPr>
                              <w:t>5.4%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9.3pt;margin-top:11.05pt;height:59.7pt;width:48.8pt;z-index:251661312;mso-width-relative:page;mso-height-relative:page;" filled="f" stroked="f" coordsize="21600,21600" o:gfxdata="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ah8XLaAAAACgEAAA8AAAAAAAAAAQAg&#10;AAAAIgAAAGRycy9kb3ducmV2LnhtbFBLAQIUABQAAAAIAIdO4kBa3Db9RQIAAHEEAAAOAAAAAAAA&#10;AAEAIAAAACkBAABkcnMvZTJvRG9jLnhtbFBLBQYAAAAABgAGAFkBAADg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textAlignment w:val="auto"/>
                        <w:rPr>
                          <w:rFonts w:hint="eastAsia"/>
                          <w:sz w:val="15"/>
                          <w:szCs w:val="18"/>
                          <w:lang w:val="en-US" w:eastAsia="zh-CN"/>
                        </w:rPr>
                      </w:pPr>
                      <w:r>
                        <w:rPr>
                          <w:rFonts w:hint="eastAsia"/>
                          <w:sz w:val="15"/>
                          <w:szCs w:val="18"/>
                          <w:lang w:val="en-US" w:eastAsia="zh-CN"/>
                        </w:rPr>
                        <w:t>其他收入</w:t>
                      </w:r>
                    </w:p>
                    <w:p>
                      <w:pPr>
                        <w:pStyle w:val="2"/>
                        <w:keepNext w:val="0"/>
                        <w:keepLines w:val="0"/>
                        <w:pageBreakBefore w:val="0"/>
                        <w:widowControl w:val="0"/>
                        <w:kinsoku/>
                        <w:wordWrap/>
                        <w:overflowPunct/>
                        <w:topLinePunct w:val="0"/>
                        <w:autoSpaceDE/>
                        <w:autoSpaceDN/>
                        <w:bidi w:val="0"/>
                        <w:adjustRightInd/>
                        <w:snapToGrid/>
                        <w:spacing w:beforeLines="0"/>
                        <w:textAlignment w:val="auto"/>
                        <w:rPr>
                          <w:rFonts w:hint="eastAsia"/>
                          <w:sz w:val="18"/>
                          <w:szCs w:val="16"/>
                          <w:lang w:val="en-US" w:eastAsia="zh-CN"/>
                        </w:rPr>
                      </w:pPr>
                      <w:r>
                        <w:rPr>
                          <w:rFonts w:hint="eastAsia"/>
                          <w:sz w:val="18"/>
                          <w:szCs w:val="16"/>
                          <w:lang w:val="en-US" w:eastAsia="zh-CN"/>
                        </w:rPr>
                        <w:t>14.14,</w:t>
                      </w:r>
                    </w:p>
                    <w:p>
                      <w:pPr>
                        <w:pStyle w:val="2"/>
                        <w:keepNext w:val="0"/>
                        <w:keepLines w:val="0"/>
                        <w:pageBreakBefore w:val="0"/>
                        <w:widowControl w:val="0"/>
                        <w:kinsoku/>
                        <w:wordWrap/>
                        <w:overflowPunct/>
                        <w:topLinePunct w:val="0"/>
                        <w:autoSpaceDE/>
                        <w:autoSpaceDN/>
                        <w:bidi w:val="0"/>
                        <w:adjustRightInd/>
                        <w:snapToGrid/>
                        <w:spacing w:beforeLines="0"/>
                        <w:textAlignment w:val="auto"/>
                        <w:rPr>
                          <w:rFonts w:hint="default"/>
                          <w:sz w:val="21"/>
                          <w:szCs w:val="18"/>
                          <w:lang w:val="en-US" w:eastAsia="zh-CN"/>
                        </w:rPr>
                      </w:pPr>
                      <w:r>
                        <w:rPr>
                          <w:rFonts w:hint="eastAsia"/>
                          <w:sz w:val="18"/>
                          <w:szCs w:val="16"/>
                          <w:lang w:val="en-US" w:eastAsia="zh-CN"/>
                        </w:rPr>
                        <w:t>5.4%</w:t>
                      </w:r>
                    </w:p>
                  </w:txbxContent>
                </v:textbox>
              </v:shape>
            </w:pict>
          </mc:Fallback>
        </mc:AlternateContent>
      </w:r>
    </w:p>
    <w:p>
      <w:pPr>
        <w:pStyle w:val="2"/>
        <w:rPr>
          <w:rFonts w:hint="eastAsia" w:ascii="仿宋" w:hAnsi="仿宋" w:eastAsia="仿宋"/>
          <w:b/>
          <w:color w:val="auto"/>
          <w:sz w:val="32"/>
          <w:szCs w:val="32"/>
          <w:highlight w:val="none"/>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646430</wp:posOffset>
                </wp:positionH>
                <wp:positionV relativeFrom="paragraph">
                  <wp:posOffset>400050</wp:posOffset>
                </wp:positionV>
                <wp:extent cx="1125855" cy="4489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25855" cy="448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color w:val="auto"/>
                                <w:lang w:val="en-US" w:eastAsia="zh-CN"/>
                              </w:rPr>
                            </w:pPr>
                            <w:r>
                              <w:rPr>
                                <w:rFonts w:hint="eastAsia"/>
                                <w:color w:val="auto"/>
                                <w:lang w:val="en-US" w:eastAsia="zh-CN"/>
                              </w:rPr>
                              <w:t>事业收入</w:t>
                            </w:r>
                          </w:p>
                          <w:p>
                            <w:pPr>
                              <w:rPr>
                                <w:rFonts w:hint="default"/>
                                <w:color w:val="auto"/>
                                <w:lang w:val="en-US" w:eastAsia="zh-CN"/>
                              </w:rPr>
                            </w:pPr>
                            <w:r>
                              <w:rPr>
                                <w:rFonts w:hint="eastAsia"/>
                                <w:color w:val="auto"/>
                                <w:lang w:val="en-US" w:eastAsia="zh-CN"/>
                              </w:rPr>
                              <w:t>47.10，18.18%</w:t>
                            </w:r>
                          </w:p>
                          <w:p>
                            <w:pPr>
                              <w:pStyle w:val="2"/>
                              <w:rPr>
                                <w:rFonts w:hint="eastAsia"/>
                                <w:color w:val="auto"/>
                                <w:lang w:val="en-US" w:eastAsia="zh-CN"/>
                              </w:rPr>
                            </w:pPr>
                          </w:p>
                          <w:p>
                            <w:pPr>
                              <w:pStyle w:val="2"/>
                              <w:rPr>
                                <w:rFonts w:hint="eastAsia"/>
                                <w:color w:val="auto"/>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pt;margin-top:31.5pt;height:35.35pt;width:88.65pt;z-index:251660288;mso-width-relative:page;mso-height-relative:page;" filled="f" stroked="f" coordsize="21600,21600" o:gfxdata="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31D0HaAAAACgEAAA8AAAAAAAAAAQAgAAAAIgAAAGRy&#10;cy9kb3ducmV2LnhtbFBLAQIUABQAAAAIAIdO4kDUm1QkPAIAAGYEAAAOAAAAAAAAAAEAIAAAACkB&#10;AABkcnMvZTJvRG9jLnhtbFBLBQYAAAAABgAGAFkBAADXBQAAAAA=&#10;">
                <v:fill on="f" focussize="0,0"/>
                <v:stroke on="f" weight="0.5pt"/>
                <v:imagedata o:title=""/>
                <o:lock v:ext="edit" aspectratio="f"/>
                <v:textbox>
                  <w:txbxContent>
                    <w:p>
                      <w:pPr>
                        <w:rPr>
                          <w:rFonts w:hint="eastAsia"/>
                          <w:color w:val="auto"/>
                          <w:lang w:val="en-US" w:eastAsia="zh-CN"/>
                        </w:rPr>
                      </w:pPr>
                      <w:r>
                        <w:rPr>
                          <w:rFonts w:hint="eastAsia"/>
                          <w:color w:val="auto"/>
                          <w:lang w:val="en-US" w:eastAsia="zh-CN"/>
                        </w:rPr>
                        <w:t>事业收入</w:t>
                      </w:r>
                    </w:p>
                    <w:p>
                      <w:pPr>
                        <w:rPr>
                          <w:rFonts w:hint="default"/>
                          <w:color w:val="auto"/>
                          <w:lang w:val="en-US" w:eastAsia="zh-CN"/>
                        </w:rPr>
                      </w:pPr>
                      <w:r>
                        <w:rPr>
                          <w:rFonts w:hint="eastAsia"/>
                          <w:color w:val="auto"/>
                          <w:lang w:val="en-US" w:eastAsia="zh-CN"/>
                        </w:rPr>
                        <w:t>47.10，18.18%</w:t>
                      </w:r>
                    </w:p>
                    <w:p>
                      <w:pPr>
                        <w:pStyle w:val="2"/>
                        <w:rPr>
                          <w:rFonts w:hint="eastAsia"/>
                          <w:color w:val="auto"/>
                          <w:lang w:val="en-US" w:eastAsia="zh-CN"/>
                        </w:rPr>
                      </w:pPr>
                    </w:p>
                    <w:p>
                      <w:pPr>
                        <w:pStyle w:val="2"/>
                        <w:rPr>
                          <w:rFonts w:hint="eastAsia"/>
                          <w:color w:val="auto"/>
                          <w:lang w:val="en-US" w:eastAsia="zh-CN"/>
                        </w:rPr>
                      </w:pPr>
                    </w:p>
                  </w:txbxContent>
                </v:textbox>
              </v:shape>
            </w:pict>
          </mc:Fallback>
        </mc:AlternateContent>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960" w:firstLineChars="300"/>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290.11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225.76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77.82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64.35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22.18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1"/>
        <w:rPr>
          <w:rFonts w:ascii="仿宋" w:hAnsi="仿宋" w:eastAsia="仿宋"/>
          <w:color w:val="auto"/>
          <w:sz w:val="32"/>
          <w:szCs w:val="32"/>
          <w:highlight w:val="none"/>
          <w:shd w:val="pct10" w:color="auto" w:fill="FFFFFF"/>
        </w:rPr>
      </w:pPr>
      <w:r>
        <w:rPr>
          <w:rFonts w:ascii="仿宋_GB2312" w:eastAsia="仿宋_GB2312"/>
          <w:sz w:val="32"/>
          <w:szCs w:val="32"/>
        </w:rPr>
        <w:drawing>
          <wp:anchor distT="0" distB="0" distL="114300" distR="114300" simplePos="0" relativeHeight="251662336" behindDoc="1" locked="0" layoutInCell="1" allowOverlap="1">
            <wp:simplePos x="0" y="0"/>
            <wp:positionH relativeFrom="column">
              <wp:posOffset>408940</wp:posOffset>
            </wp:positionH>
            <wp:positionV relativeFrom="paragraph">
              <wp:posOffset>70485</wp:posOffset>
            </wp:positionV>
            <wp:extent cx="4569460" cy="2182495"/>
            <wp:effectExtent l="4445" t="4445" r="10795" b="10160"/>
            <wp:wrapTight wrapText="bothSides">
              <wp:wrapPolygon>
                <wp:start x="-21" y="-44"/>
                <wp:lineTo x="-21" y="21575"/>
                <wp:lineTo x="21591" y="21575"/>
                <wp:lineTo x="21591" y="-44"/>
                <wp:lineTo x="-21" y="-44"/>
              </wp:wrapPolygon>
            </wp:wrapTight>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firstLineChars="200"/>
        <w:rPr>
          <w:rFonts w:ascii="仿宋" w:hAnsi="仿宋" w:eastAsia="仿宋"/>
          <w:color w:val="auto"/>
          <w:sz w:val="36"/>
          <w:szCs w:val="36"/>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25"/>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4"/>
      <w:bookmarkEnd w:id="25"/>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228.87</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201.17万元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，财政拨款收、支总计各增加</w:t>
      </w:r>
      <w:r>
        <w:rPr>
          <w:rFonts w:hint="eastAsia" w:ascii="仿宋" w:hAnsi="仿宋" w:eastAsia="仿宋"/>
          <w:color w:val="auto"/>
          <w:sz w:val="32"/>
          <w:szCs w:val="32"/>
          <w:highlight w:val="none"/>
          <w:lang w:val="en-US" w:eastAsia="zh-CN"/>
        </w:rPr>
        <w:t>27.7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13.77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一是新增在职人员，人员经费增多；二是2022年我园对幼儿园教学楼围墙进行了重新粉刷维修，项目支出增多</w:t>
      </w:r>
      <w:r>
        <w:rPr>
          <w:rFonts w:hint="eastAsia" w:ascii="仿宋" w:hAnsi="仿宋" w:eastAsia="仿宋"/>
          <w:color w:val="auto"/>
          <w:sz w:val="32"/>
          <w:szCs w:val="32"/>
          <w:highlight w:val="none"/>
          <w:lang w:eastAsia="zh-CN"/>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pStyle w:val="2"/>
      </w:pPr>
      <w:r>
        <w:rPr>
          <w:sz w:val="32"/>
          <w:szCs w:val="32"/>
        </w:rPr>
        <w:drawing>
          <wp:anchor distT="0" distB="0" distL="114300" distR="114300" simplePos="0" relativeHeight="251663360" behindDoc="1" locked="0" layoutInCell="1" allowOverlap="1">
            <wp:simplePos x="0" y="0"/>
            <wp:positionH relativeFrom="column">
              <wp:posOffset>259080</wp:posOffset>
            </wp:positionH>
            <wp:positionV relativeFrom="paragraph">
              <wp:posOffset>80010</wp:posOffset>
            </wp:positionV>
            <wp:extent cx="4833620" cy="2590165"/>
            <wp:effectExtent l="4445" t="4445" r="13335" b="8890"/>
            <wp:wrapTight wrapText="bothSides">
              <wp:wrapPolygon>
                <wp:start x="-20" y="-37"/>
                <wp:lineTo x="-20" y="21568"/>
                <wp:lineTo x="21546" y="21568"/>
                <wp:lineTo x="21546" y="-37"/>
                <wp:lineTo x="-20" y="-37"/>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firstLineChars="200"/>
        <w:rPr>
          <w:rFonts w:ascii="仿宋" w:hAnsi="仿宋" w:eastAsia="仿宋"/>
          <w:b/>
          <w:color w:val="auto"/>
          <w:sz w:val="36"/>
          <w:szCs w:val="36"/>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25"/>
          <w:rFonts w:ascii="黑体" w:hAnsi="黑体" w:eastAsia="黑体"/>
          <w:b w:val="0"/>
          <w:color w:val="auto"/>
          <w:sz w:val="32"/>
          <w:szCs w:val="32"/>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sz w:val="32"/>
          <w:szCs w:val="32"/>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228.87</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78.89</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58.87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34.62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新增在编教师；新增项目。</w:t>
      </w:r>
    </w:p>
    <w:p>
      <w:pPr>
        <w:spacing w:line="600" w:lineRule="exact"/>
        <w:ind w:firstLine="720" w:firstLineChars="200"/>
        <w:rPr>
          <w:rFonts w:ascii="仿宋" w:hAnsi="仿宋" w:eastAsia="仿宋"/>
          <w:color w:val="auto"/>
          <w:sz w:val="36"/>
          <w:szCs w:val="36"/>
          <w:highlight w:val="none"/>
        </w:rPr>
      </w:pPr>
      <w:r>
        <w:rPr>
          <w:rFonts w:ascii="仿宋_GB2312" w:eastAsia="仿宋_GB2312"/>
          <w:sz w:val="36"/>
          <w:szCs w:val="36"/>
        </w:rPr>
        <w:drawing>
          <wp:anchor distT="0" distB="0" distL="114300" distR="114300" simplePos="0" relativeHeight="251664384" behindDoc="1" locked="0" layoutInCell="1" allowOverlap="1">
            <wp:simplePos x="0" y="0"/>
            <wp:positionH relativeFrom="column">
              <wp:posOffset>363855</wp:posOffset>
            </wp:positionH>
            <wp:positionV relativeFrom="paragraph">
              <wp:posOffset>22225</wp:posOffset>
            </wp:positionV>
            <wp:extent cx="4700270" cy="2313940"/>
            <wp:effectExtent l="4445" t="5080" r="6985" b="5080"/>
            <wp:wrapTight wrapText="bothSides">
              <wp:wrapPolygon>
                <wp:start x="-20" y="-47"/>
                <wp:lineTo x="-20" y="21529"/>
                <wp:lineTo x="21574" y="21529"/>
                <wp:lineTo x="21574" y="-47"/>
                <wp:lineTo x="-20" y="-47"/>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仿宋" w:hAnsi="仿宋" w:eastAsia="仿宋"/>
          <w:color w:val="auto"/>
          <w:sz w:val="36"/>
          <w:szCs w:val="36"/>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228.87</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194.09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84.80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23.58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10.30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11.21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6"/>
          <w:szCs w:val="36"/>
          <w:highlight w:val="none"/>
        </w:rPr>
      </w:pPr>
      <w:r>
        <w:rPr>
          <w:rFonts w:ascii="仿宋_GB2312" w:eastAsia="仿宋_GB2312"/>
          <w:sz w:val="36"/>
          <w:szCs w:val="36"/>
        </w:rPr>
        <w:drawing>
          <wp:anchor distT="0" distB="0" distL="114300" distR="114300" simplePos="0" relativeHeight="251665408" behindDoc="0" locked="0" layoutInCell="1" allowOverlap="1">
            <wp:simplePos x="0" y="0"/>
            <wp:positionH relativeFrom="column">
              <wp:posOffset>432435</wp:posOffset>
            </wp:positionH>
            <wp:positionV relativeFrom="paragraph">
              <wp:posOffset>141605</wp:posOffset>
            </wp:positionV>
            <wp:extent cx="4451350" cy="2111375"/>
            <wp:effectExtent l="5080" t="4445" r="13970" b="5080"/>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444"/>
      <w:bookmarkStart w:id="32" w:name="_Toc15377213"/>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228.87万元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教育（类）</w:t>
      </w:r>
      <w:r>
        <w:rPr>
          <w:rStyle w:val="14"/>
          <w:rFonts w:hint="eastAsia" w:ascii="仿宋" w:hAnsi="仿宋" w:eastAsia="仿宋"/>
          <w:bCs/>
          <w:color w:val="auto"/>
          <w:sz w:val="32"/>
          <w:szCs w:val="32"/>
          <w:highlight w:val="none"/>
          <w:lang w:val="en-US" w:eastAsia="zh-CN"/>
        </w:rPr>
        <w:t>普通教育</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学前教育</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194.09</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2.</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sz w:val="32"/>
          <w:szCs w:val="32"/>
        </w:rPr>
        <w:t>行政事业单位养老支出</w:t>
      </w:r>
      <w:r>
        <w:rPr>
          <w:rStyle w:val="14"/>
          <w:rFonts w:hint="eastAsia" w:ascii="仿宋" w:hAnsi="仿宋" w:eastAsia="仿宋"/>
          <w:bCs/>
          <w:color w:val="auto"/>
          <w:sz w:val="32"/>
          <w:szCs w:val="32"/>
          <w:highlight w:val="none"/>
        </w:rPr>
        <w:t>（款）</w:t>
      </w:r>
      <w:r>
        <w:rPr>
          <w:rStyle w:val="14"/>
          <w:rFonts w:hint="eastAsia" w:ascii="仿宋" w:hAnsi="仿宋" w:eastAsia="仿宋"/>
          <w:bCs/>
          <w:sz w:val="32"/>
          <w:szCs w:val="32"/>
        </w:rPr>
        <w:t>机关事业单位基本养老保险缴费支出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13.34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3.</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sz w:val="32"/>
          <w:szCs w:val="32"/>
        </w:rPr>
        <w:t>行政事业单位养老支出</w:t>
      </w:r>
      <w:r>
        <w:rPr>
          <w:rStyle w:val="14"/>
          <w:rFonts w:hint="eastAsia" w:ascii="仿宋" w:hAnsi="仿宋" w:eastAsia="仿宋"/>
          <w:bCs/>
          <w:color w:val="auto"/>
          <w:sz w:val="32"/>
          <w:szCs w:val="32"/>
          <w:highlight w:val="none"/>
        </w:rPr>
        <w:t>（款）</w:t>
      </w:r>
      <w:r>
        <w:rPr>
          <w:rStyle w:val="14"/>
          <w:rFonts w:hint="eastAsia" w:ascii="仿宋" w:hAnsi="仿宋" w:eastAsia="仿宋"/>
          <w:bCs/>
          <w:sz w:val="32"/>
          <w:szCs w:val="32"/>
          <w:lang w:val="en-US" w:eastAsia="zh-CN"/>
        </w:rPr>
        <w:t>事业单位离退休</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6.66</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pStyle w:val="2"/>
        <w:ind w:firstLine="643" w:firstLineChars="200"/>
        <w:rPr>
          <w:rFonts w:hint="default"/>
          <w:sz w:val="32"/>
          <w:szCs w:val="32"/>
          <w:lang w:val="en-US" w:eastAsia="zh-CN"/>
        </w:rPr>
      </w:pPr>
      <w:r>
        <w:rPr>
          <w:rStyle w:val="14"/>
          <w:rFonts w:hint="eastAsia" w:ascii="仿宋" w:hAnsi="仿宋" w:eastAsia="仿宋"/>
          <w:bCs/>
          <w:color w:val="auto"/>
          <w:sz w:val="32"/>
          <w:szCs w:val="32"/>
          <w:highlight w:val="none"/>
          <w:lang w:val="en-US" w:eastAsia="zh-CN"/>
        </w:rPr>
        <w:t>4.</w:t>
      </w:r>
      <w:r>
        <w:rPr>
          <w:rStyle w:val="14"/>
          <w:rFonts w:hint="eastAsia" w:ascii="仿宋" w:hAnsi="仿宋" w:eastAsia="仿宋"/>
          <w:bCs/>
          <w:color w:val="auto"/>
          <w:sz w:val="32"/>
          <w:szCs w:val="32"/>
          <w:highlight w:val="none"/>
        </w:rPr>
        <w:t>社会保障和就业（类）</w:t>
      </w:r>
      <w:r>
        <w:rPr>
          <w:rStyle w:val="14"/>
          <w:rFonts w:hint="eastAsia" w:ascii="仿宋" w:hAnsi="仿宋" w:eastAsia="仿宋"/>
          <w:bCs/>
          <w:sz w:val="32"/>
          <w:szCs w:val="32"/>
          <w:lang w:val="en-US" w:eastAsia="zh-CN"/>
        </w:rPr>
        <w:t>其他社会保障和就业支出</w:t>
      </w:r>
      <w:r>
        <w:rPr>
          <w:rStyle w:val="14"/>
          <w:rFonts w:hint="eastAsia" w:ascii="仿宋" w:hAnsi="仿宋" w:eastAsia="仿宋"/>
          <w:bCs/>
          <w:color w:val="auto"/>
          <w:sz w:val="32"/>
          <w:szCs w:val="32"/>
          <w:highlight w:val="none"/>
        </w:rPr>
        <w:t>（款）</w:t>
      </w:r>
      <w:r>
        <w:rPr>
          <w:rStyle w:val="14"/>
          <w:rFonts w:hint="eastAsia" w:ascii="仿宋" w:hAnsi="仿宋" w:eastAsia="仿宋"/>
          <w:bCs/>
          <w:sz w:val="32"/>
          <w:szCs w:val="32"/>
          <w:lang w:val="en-US" w:eastAsia="zh-CN"/>
        </w:rPr>
        <w:t>其他社会保障和就业支出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3.58</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5</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4"/>
          <w:rFonts w:hint="eastAsia" w:ascii="仿宋" w:hAnsi="仿宋" w:eastAsia="仿宋"/>
          <w:bCs/>
          <w:color w:val="auto"/>
          <w:sz w:val="32"/>
          <w:szCs w:val="32"/>
          <w:highlight w:val="none"/>
        </w:rPr>
        <w:t>（类）</w:t>
      </w:r>
      <w:r>
        <w:rPr>
          <w:rStyle w:val="14"/>
          <w:rFonts w:hint="eastAsia" w:ascii="仿宋" w:hAnsi="仿宋" w:eastAsia="仿宋"/>
          <w:bCs/>
          <w:sz w:val="32"/>
          <w:szCs w:val="32"/>
        </w:rPr>
        <w:t>行政事业单位医疗</w:t>
      </w:r>
      <w:r>
        <w:rPr>
          <w:rStyle w:val="14"/>
          <w:rFonts w:hint="eastAsia" w:ascii="仿宋" w:hAnsi="仿宋" w:eastAsia="仿宋"/>
          <w:bCs/>
          <w:color w:val="auto"/>
          <w:sz w:val="32"/>
          <w:szCs w:val="32"/>
          <w:highlight w:val="none"/>
        </w:rPr>
        <w:t>（款）</w:t>
      </w:r>
      <w:r>
        <w:rPr>
          <w:rStyle w:val="14"/>
          <w:rFonts w:hint="eastAsia" w:ascii="仿宋" w:hAnsi="仿宋" w:eastAsia="仿宋"/>
          <w:bCs/>
          <w:sz w:val="32"/>
          <w:szCs w:val="32"/>
        </w:rPr>
        <w:t>事业单位医疗</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11.21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5"/>
          <w:color w:val="auto"/>
          <w:sz w:val="32"/>
          <w:szCs w:val="32"/>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sz w:val="32"/>
          <w:szCs w:val="32"/>
          <w:highlight w:val="none"/>
        </w:rPr>
        <w:t>般公共预算财政拨款基本支出决算情况说明</w:t>
      </w:r>
      <w:bookmarkEnd w:id="34"/>
      <w:bookmarkEnd w:id="35"/>
      <w:r>
        <w:rPr>
          <w:rStyle w:val="25"/>
          <w:rFonts w:ascii="黑体" w:hAnsi="黑体" w:eastAsia="黑体"/>
          <w:b w:val="0"/>
          <w:color w:val="auto"/>
          <w:sz w:val="32"/>
          <w:szCs w:val="32"/>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164.52</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154.16</w:t>
      </w:r>
      <w:r>
        <w:rPr>
          <w:rFonts w:hint="eastAsia" w:ascii="仿宋" w:hAnsi="仿宋" w:eastAsia="仿宋"/>
          <w:color w:val="auto"/>
          <w:sz w:val="32"/>
          <w:szCs w:val="32"/>
          <w:highlight w:val="none"/>
        </w:rPr>
        <w:t>万元，主要包括：基本工资、津贴补贴、奖金、绩效工资、机关事业单位基本养老保险缴费、职业年金缴费、其他社会保障缴费、其他工资福利支出、抚恤金、生活补助、奖励金、住房公积金、其他对个人和家庭的补助支出等。</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10.36</w:t>
      </w:r>
      <w:r>
        <w:rPr>
          <w:rFonts w:hint="eastAsia" w:ascii="仿宋" w:hAnsi="仿宋" w:eastAsia="仿宋"/>
          <w:color w:val="auto"/>
          <w:sz w:val="32"/>
          <w:szCs w:val="32"/>
          <w:highlight w:val="none"/>
        </w:rPr>
        <w:t>万元，主要包括：办公费、印刷费、咨询费、手续费、水费、电费、邮电费、取暖费、差旅费、维修（护）费、租赁费、会议费、培训费、劳务费、工会经费、福利费、其他交通费、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color w:val="auto"/>
          <w:sz w:val="32"/>
          <w:szCs w:val="32"/>
          <w:highlight w:val="none"/>
        </w:rPr>
      </w:pPr>
      <w:bookmarkStart w:id="36" w:name="_Toc15377215"/>
      <w:bookmarkStart w:id="37" w:name="_Toc15396609"/>
      <w:r>
        <w:rPr>
          <w:rFonts w:hint="eastAsia" w:ascii="黑体" w:eastAsia="黑体"/>
          <w:color w:val="auto"/>
          <w:sz w:val="32"/>
          <w:szCs w:val="32"/>
          <w:highlight w:val="none"/>
        </w:rPr>
        <w:t>七、</w:t>
      </w:r>
      <w:r>
        <w:rPr>
          <w:rStyle w:val="25"/>
          <w:rFonts w:hint="eastAsia" w:ascii="黑体" w:hAnsi="黑体" w:eastAsia="黑体"/>
          <w:b w:val="0"/>
          <w:color w:val="auto"/>
          <w:sz w:val="32"/>
          <w:szCs w:val="32"/>
          <w:highlight w:val="none"/>
        </w:rPr>
        <w:t>财政拨款</w:t>
      </w:r>
      <w:r>
        <w:rPr>
          <w:rStyle w:val="25"/>
          <w:rFonts w:hint="eastAsia" w:ascii="黑体" w:hAnsi="黑体" w:eastAsia="黑体"/>
          <w:color w:val="auto"/>
          <w:sz w:val="32"/>
          <w:szCs w:val="32"/>
          <w:highlight w:val="none"/>
        </w:rPr>
        <w:t>“</w:t>
      </w:r>
      <w:r>
        <w:rPr>
          <w:rStyle w:val="25"/>
          <w:rFonts w:hint="eastAsia" w:ascii="黑体" w:hAnsi="黑体" w:eastAsia="黑体"/>
          <w:b w:val="0"/>
          <w:color w:val="auto"/>
          <w:sz w:val="32"/>
          <w:szCs w:val="32"/>
          <w:highlight w:val="none"/>
        </w:rPr>
        <w:t>三公”经费支出决算情况说明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numPr>
          <w:ilvl w:val="0"/>
          <w:numId w:val="0"/>
        </w:numPr>
        <w:spacing w:line="600" w:lineRule="exact"/>
        <w:ind w:firstLine="643" w:firstLineChars="200"/>
        <w:rPr>
          <w:rStyle w:val="14"/>
          <w:rFonts w:hint="eastAsia" w:ascii="仿宋" w:hAnsi="仿宋" w:eastAsia="仿宋"/>
          <w:b w:val="0"/>
          <w:bCs/>
          <w:color w:val="auto"/>
          <w:sz w:val="32"/>
          <w:szCs w:val="32"/>
          <w:highlight w:val="none"/>
        </w:rPr>
      </w:pPr>
      <w:r>
        <w:rPr>
          <w:rFonts w:hint="eastAsia" w:ascii="仿宋_GB2312" w:eastAsia="仿宋_GB2312"/>
          <w:b/>
          <w:color w:val="auto"/>
          <w:sz w:val="32"/>
          <w:szCs w:val="32"/>
          <w:highlight w:val="none"/>
          <w:lang w:val="en-US" w:eastAsia="zh-CN"/>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w:t>
      </w:r>
    </w:p>
    <w:p>
      <w:pPr>
        <w:numPr>
          <w:ilvl w:val="0"/>
          <w:numId w:val="0"/>
        </w:numPr>
        <w:spacing w:line="600" w:lineRule="exact"/>
        <w:ind w:firstLine="643" w:firstLineChars="200"/>
        <w:rPr>
          <w:rFonts w:hint="eastAsia" w:ascii="仿宋_GB2312" w:eastAsia="仿宋_GB2312"/>
          <w:b/>
          <w:color w:val="auto"/>
          <w:sz w:val="32"/>
          <w:szCs w:val="32"/>
          <w:highlight w:val="none"/>
          <w:lang w:eastAsia="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rPr>
        <w:t>公务用车运行维护费支出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p>
    <w:p>
      <w:pPr>
        <w:spacing w:line="600" w:lineRule="exact"/>
        <w:ind w:firstLine="640"/>
        <w:rPr>
          <w:rFonts w:ascii="黑体" w:eastAsia="黑体"/>
          <w:color w:val="auto"/>
          <w:sz w:val="32"/>
          <w:szCs w:val="32"/>
          <w:highlight w:val="none"/>
        </w:rPr>
      </w:pPr>
      <w:r>
        <w:rPr>
          <w:rFonts w:hint="eastAsia" w:ascii="仿宋_GB2312" w:eastAsia="仿宋_GB2312"/>
          <w:b w:val="0"/>
          <w:bCs w:val="0"/>
          <w:color w:val="auto"/>
          <w:sz w:val="32"/>
          <w:szCs w:val="32"/>
          <w:highlight w:val="none"/>
        </w:rPr>
        <w:t>3.公务接待费支出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r>
        <w:rPr>
          <w:rFonts w:hint="eastAsia" w:ascii="仿宋_GB2312" w:eastAsia="仿宋_GB2312"/>
          <w:b w:val="0"/>
          <w:bCs w:val="0"/>
          <w:color w:val="auto"/>
          <w:sz w:val="32"/>
          <w:szCs w:val="32"/>
          <w:highlight w:val="none"/>
          <w:lang w:eastAsia="zh-CN"/>
        </w:rPr>
        <w:t>。</w:t>
      </w:r>
      <w:r>
        <w:rPr>
          <w:rFonts w:hint="eastAsia" w:ascii="仿宋_GB2312" w:eastAsia="仿宋_GB2312"/>
          <w:b w:val="0"/>
          <w:bCs w:val="0"/>
          <w:color w:val="auto"/>
          <w:sz w:val="32"/>
          <w:szCs w:val="32"/>
          <w:highlight w:val="none"/>
        </w:rPr>
        <w:t>外事接待支出</w:t>
      </w:r>
      <w:r>
        <w:rPr>
          <w:rFonts w:hint="eastAsia" w:ascii="仿宋_GB2312" w:eastAsia="仿宋_GB2312"/>
          <w:b w:val="0"/>
          <w:bCs w:val="0"/>
          <w:color w:val="auto"/>
          <w:sz w:val="32"/>
          <w:szCs w:val="32"/>
          <w:highlight w:val="none"/>
          <w:lang w:val="en-US" w:eastAsia="zh-CN"/>
        </w:rPr>
        <w:t>0</w:t>
      </w:r>
      <w:r>
        <w:rPr>
          <w:rFonts w:hint="eastAsia" w:ascii="仿宋_GB2312" w:eastAsia="仿宋_GB2312"/>
          <w:b w:val="0"/>
          <w:bCs w:val="0"/>
          <w:color w:val="auto"/>
          <w:sz w:val="32"/>
          <w:szCs w:val="32"/>
          <w:highlight w:val="none"/>
        </w:rPr>
        <w:t>万元</w:t>
      </w:r>
      <w:r>
        <w:rPr>
          <w:rFonts w:hint="eastAsia" w:ascii="仿宋_GB2312" w:eastAsia="仿宋_GB2312"/>
          <w:color w:val="auto"/>
          <w:sz w:val="32"/>
          <w:szCs w:val="32"/>
          <w:highlight w:val="none"/>
          <w:lang w:eastAsia="zh-CN"/>
        </w:rPr>
        <w:t>。</w:t>
      </w:r>
      <w:bookmarkStart w:id="40" w:name="_Toc15396610"/>
      <w:bookmarkStart w:id="41" w:name="_Toc15377218"/>
    </w:p>
    <w:p>
      <w:pPr>
        <w:spacing w:line="600" w:lineRule="exact"/>
        <w:ind w:firstLine="640"/>
        <w:outlineLvl w:val="1"/>
        <w:rPr>
          <w:rStyle w:val="25"/>
          <w:rFonts w:ascii="黑体" w:hAnsi="黑体" w:eastAsia="黑体"/>
          <w:color w:val="auto"/>
          <w:sz w:val="32"/>
          <w:szCs w:val="32"/>
          <w:highlight w:val="none"/>
        </w:rPr>
      </w:pPr>
      <w:r>
        <w:rPr>
          <w:rFonts w:hint="eastAsia" w:ascii="黑体" w:eastAsia="黑体"/>
          <w:color w:val="auto"/>
          <w:sz w:val="32"/>
          <w:szCs w:val="32"/>
          <w:highlight w:val="none"/>
        </w:rPr>
        <w:t>八、</w:t>
      </w:r>
      <w:r>
        <w:rPr>
          <w:rStyle w:val="25"/>
          <w:rFonts w:hint="eastAsia" w:ascii="黑体" w:hAnsi="黑体" w:eastAsia="黑体"/>
          <w:b w:val="0"/>
          <w:color w:val="auto"/>
          <w:sz w:val="32"/>
          <w:szCs w:val="32"/>
          <w:highlight w:val="none"/>
        </w:rPr>
        <w:t>政府性基金预算支出决算情况说明</w:t>
      </w:r>
      <w:bookmarkEnd w:id="40"/>
      <w:bookmarkEnd w:id="41"/>
    </w:p>
    <w:p>
      <w:pPr>
        <w:spacing w:line="600" w:lineRule="exact"/>
        <w:ind w:firstLine="640"/>
        <w:rPr>
          <w:rFonts w:hint="eastAsia"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ascii="黑体" w:hAnsi="黑体" w:eastAsia="黑体"/>
          <w:b w:val="0"/>
          <w:color w:val="auto"/>
          <w:sz w:val="32"/>
          <w:szCs w:val="32"/>
          <w:highlight w:val="none"/>
        </w:rPr>
      </w:pPr>
      <w:bookmarkStart w:id="42" w:name="_Toc15377219"/>
      <w:bookmarkStart w:id="43" w:name="_Toc15396611"/>
      <w:r>
        <w:rPr>
          <w:rStyle w:val="25"/>
          <w:rFonts w:hint="eastAsia" w:ascii="黑体" w:hAnsi="黑体" w:eastAsia="黑体"/>
          <w:b w:val="0"/>
          <w:color w:val="auto"/>
          <w:sz w:val="32"/>
          <w:szCs w:val="32"/>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hint="eastAsia" w:ascii="黑体" w:hAnsi="黑体" w:eastAsia="黑体"/>
          <w:b w:val="0"/>
          <w:color w:val="auto"/>
          <w:sz w:val="32"/>
          <w:szCs w:val="32"/>
          <w:highlight w:val="none"/>
        </w:rPr>
      </w:pPr>
      <w:bookmarkStart w:id="44" w:name="_Toc15396612"/>
      <w:bookmarkStart w:id="45" w:name="_Toc15377221"/>
      <w:r>
        <w:rPr>
          <w:rStyle w:val="25"/>
          <w:rFonts w:hint="eastAsia" w:ascii="黑体" w:hAnsi="黑体" w:eastAsia="黑体"/>
          <w:b w:val="0"/>
          <w:color w:val="auto"/>
          <w:sz w:val="32"/>
          <w:szCs w:val="32"/>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广元市利州区三堆国凡幼儿园</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学前教育减免保教费、生均公用经费</w:t>
      </w:r>
      <w:r>
        <w:rPr>
          <w:rFonts w:hint="eastAsia" w:ascii="仿宋_GB2312" w:hAnsi="仿宋_GB2312" w:eastAsia="仿宋_GB2312" w:cs="仿宋_GB2312"/>
          <w:color w:val="auto"/>
          <w:sz w:val="32"/>
          <w:szCs w:val="32"/>
          <w:highlight w:val="none"/>
        </w:rPr>
        <w:t>等</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pStyle w:val="2"/>
        <w:ind w:firstLine="640" w:firstLineChars="200"/>
        <w:rPr>
          <w:rFonts w:hint="eastAsia" w:ascii="仿宋_GB2312" w:hAnsi="仿宋_GB2312" w:eastAsia="仿宋_GB2312" w:cs="仿宋_GB2312"/>
          <w:color w:val="auto"/>
          <w:sz w:val="32"/>
          <w:szCs w:val="32"/>
          <w:highlight w:val="none"/>
        </w:rPr>
      </w:pPr>
    </w:p>
    <w:p>
      <w:pPr>
        <w:numPr>
          <w:ilvl w:val="0"/>
          <w:numId w:val="4"/>
        </w:numPr>
        <w:spacing w:line="600" w:lineRule="exact"/>
        <w:ind w:firstLine="660" w:firstLineChars="150"/>
        <w:jc w:val="center"/>
        <w:outlineLvl w:val="0"/>
        <w:rPr>
          <w:rStyle w:val="24"/>
          <w:rFonts w:ascii="黑体" w:hAnsi="黑体" w:eastAsia="黑体"/>
          <w:b w:val="0"/>
          <w:color w:val="auto"/>
          <w:sz w:val="32"/>
          <w:szCs w:val="32"/>
          <w:highlight w:val="none"/>
        </w:rPr>
      </w:pPr>
      <w:bookmarkStart w:id="49" w:name="_Toc15377225"/>
      <w:bookmarkStart w:id="50"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sz w:val="44"/>
          <w:szCs w:val="44"/>
          <w:highlight w:val="none"/>
        </w:rPr>
        <w:t>词解释</w:t>
      </w:r>
      <w:bookmarkEnd w:id="49"/>
      <w:bookmarkEnd w:id="50"/>
    </w:p>
    <w:p>
      <w:pPr>
        <w:spacing w:line="600" w:lineRule="exact"/>
        <w:jc w:val="left"/>
        <w:rPr>
          <w:rFonts w:ascii="宋体"/>
          <w:b/>
          <w:color w:val="auto"/>
          <w:sz w:val="32"/>
          <w:szCs w:val="32"/>
          <w:highlight w:val="none"/>
        </w:rPr>
      </w:pPr>
    </w:p>
    <w:p>
      <w:pPr>
        <w:pStyle w:val="22"/>
        <w:snapToGrid w:val="0"/>
        <w:spacing w:line="560" w:lineRule="exact"/>
        <w:ind w:firstLine="640" w:firstLineChars="200"/>
        <w:outlineLvl w:val="2"/>
        <w:rPr>
          <w:rFonts w:hint="eastAsia" w:hAnsi="仿宋"/>
          <w:color w:val="auto"/>
          <w:sz w:val="32"/>
          <w:szCs w:val="32"/>
        </w:rPr>
      </w:pPr>
      <w:r>
        <w:rPr>
          <w:rFonts w:hint="eastAsia" w:hAnsi="仿宋"/>
          <w:color w:val="auto"/>
          <w:sz w:val="32"/>
          <w:szCs w:val="32"/>
        </w:rPr>
        <w:t>1.财政拨款收入：指单位从同级财政部门取得的财政预算资金。</w:t>
      </w:r>
    </w:p>
    <w:p>
      <w:pPr>
        <w:pStyle w:val="22"/>
        <w:snapToGrid w:val="0"/>
        <w:spacing w:line="560" w:lineRule="exact"/>
        <w:ind w:firstLine="640" w:firstLineChars="200"/>
        <w:outlineLvl w:val="2"/>
        <w:rPr>
          <w:rFonts w:hint="eastAsia" w:hAnsi="仿宋"/>
          <w:color w:val="auto"/>
          <w:sz w:val="32"/>
          <w:szCs w:val="32"/>
        </w:rPr>
      </w:pPr>
      <w:r>
        <w:rPr>
          <w:rFonts w:hint="eastAsia" w:hAnsi="仿宋"/>
          <w:color w:val="auto"/>
          <w:sz w:val="32"/>
          <w:szCs w:val="32"/>
        </w:rPr>
        <w:t>2.事业收入：指事业单位开展专业业务活动及辅助活动取得的收入。</w:t>
      </w:r>
    </w:p>
    <w:p>
      <w:pPr>
        <w:pStyle w:val="22"/>
        <w:snapToGrid w:val="0"/>
        <w:spacing w:line="560" w:lineRule="exact"/>
        <w:ind w:firstLine="640" w:firstLineChars="200"/>
        <w:outlineLvl w:val="2"/>
        <w:rPr>
          <w:rFonts w:hint="eastAsia" w:hAnsi="仿宋"/>
          <w:color w:val="auto"/>
          <w:sz w:val="32"/>
          <w:szCs w:val="32"/>
        </w:rPr>
      </w:pPr>
      <w:r>
        <w:rPr>
          <w:rFonts w:hint="eastAsia" w:hAnsi="仿宋"/>
          <w:color w:val="auto"/>
          <w:sz w:val="32"/>
          <w:szCs w:val="32"/>
        </w:rPr>
        <w:t>3.经营收入：指事业单位在专业业务活动及其辅助活动之外开展非独立核算经营活动取得的收入。</w:t>
      </w:r>
    </w:p>
    <w:p>
      <w:pPr>
        <w:pStyle w:val="22"/>
        <w:snapToGrid w:val="0"/>
        <w:spacing w:line="560" w:lineRule="exact"/>
        <w:ind w:firstLine="640" w:firstLineChars="200"/>
        <w:outlineLvl w:val="2"/>
        <w:rPr>
          <w:rFonts w:hint="eastAsia" w:hAnsi="仿宋"/>
          <w:color w:val="auto"/>
          <w:sz w:val="32"/>
          <w:szCs w:val="32"/>
        </w:rPr>
      </w:pPr>
      <w:r>
        <w:rPr>
          <w:rFonts w:hint="eastAsia" w:hAnsi="仿宋"/>
          <w:color w:val="auto"/>
          <w:sz w:val="32"/>
          <w:szCs w:val="32"/>
        </w:rPr>
        <w:t>4.其他收入：指单位取得的除上述收入以外的各项收入。主要是</w:t>
      </w:r>
      <w:r>
        <w:rPr>
          <w:rFonts w:hint="eastAsia" w:hAnsi="仿宋"/>
          <w:color w:val="auto"/>
          <w:sz w:val="32"/>
          <w:szCs w:val="32"/>
          <w:lang w:val="en-US" w:eastAsia="zh-CN"/>
        </w:rPr>
        <w:t>捐赠收入、利息收入</w:t>
      </w:r>
      <w:r>
        <w:rPr>
          <w:rFonts w:hint="eastAsia" w:hAnsi="仿宋"/>
          <w:color w:val="auto"/>
          <w:sz w:val="32"/>
          <w:szCs w:val="32"/>
        </w:rPr>
        <w:t>等。</w:t>
      </w:r>
    </w:p>
    <w:p>
      <w:pPr>
        <w:pStyle w:val="22"/>
        <w:snapToGrid w:val="0"/>
        <w:spacing w:line="560" w:lineRule="exact"/>
        <w:ind w:firstLine="640" w:firstLineChars="200"/>
        <w:outlineLvl w:val="2"/>
        <w:rPr>
          <w:rFonts w:hint="eastAsia" w:hAnsi="仿宋"/>
          <w:color w:val="auto"/>
          <w:sz w:val="32"/>
          <w:szCs w:val="32"/>
        </w:rPr>
      </w:pPr>
      <w:r>
        <w:rPr>
          <w:rFonts w:hint="eastAsia" w:hAnsi="仿宋"/>
          <w:color w:val="auto"/>
          <w:sz w:val="32"/>
          <w:szCs w:val="32"/>
        </w:rPr>
        <w:t>5.</w:t>
      </w:r>
      <w:r>
        <w:rPr>
          <w:rFonts w:hint="eastAsia" w:hAnsi="仿宋"/>
          <w:color w:val="auto"/>
          <w:sz w:val="32"/>
          <w:szCs w:val="32"/>
          <w:lang w:eastAsia="zh-CN"/>
        </w:rPr>
        <w:t>使用非财政拨款结余</w:t>
      </w:r>
      <w:r>
        <w:rPr>
          <w:rFonts w:hint="eastAsia" w:hAnsi="仿宋"/>
          <w:color w:val="auto"/>
          <w:sz w:val="32"/>
          <w:szCs w:val="32"/>
        </w:rPr>
        <w:t>：指事业单位</w:t>
      </w:r>
      <w:r>
        <w:rPr>
          <w:rFonts w:hint="eastAsia" w:hAnsi="仿宋"/>
          <w:color w:val="auto"/>
          <w:sz w:val="32"/>
          <w:szCs w:val="32"/>
          <w:lang w:eastAsia="zh-CN"/>
        </w:rPr>
        <w:t>使用以前年度积累的非财政拨款结余弥补当年收支差额的金额。</w:t>
      </w:r>
    </w:p>
    <w:p>
      <w:pPr>
        <w:pStyle w:val="22"/>
        <w:snapToGrid w:val="0"/>
        <w:spacing w:line="560" w:lineRule="exact"/>
        <w:ind w:firstLine="640" w:firstLineChars="200"/>
        <w:outlineLvl w:val="2"/>
        <w:rPr>
          <w:rFonts w:hint="eastAsia" w:hAnsi="仿宋"/>
          <w:color w:val="auto"/>
          <w:sz w:val="32"/>
          <w:szCs w:val="32"/>
        </w:rPr>
      </w:pPr>
      <w:r>
        <w:rPr>
          <w:rFonts w:hint="eastAsia" w:hAnsi="仿宋"/>
          <w:color w:val="auto"/>
          <w:sz w:val="32"/>
          <w:szCs w:val="32"/>
        </w:rPr>
        <w:t>6.年初结转和结余：指以前年度尚未完成、结转到本年按有关规定继续使用的资金。</w:t>
      </w:r>
    </w:p>
    <w:p>
      <w:pPr>
        <w:pStyle w:val="22"/>
        <w:snapToGrid w:val="0"/>
        <w:spacing w:line="560" w:lineRule="exact"/>
        <w:ind w:firstLine="640" w:firstLineChars="200"/>
        <w:outlineLvl w:val="2"/>
        <w:rPr>
          <w:rFonts w:hint="eastAsia" w:hAnsi="仿宋"/>
          <w:color w:val="auto"/>
          <w:sz w:val="32"/>
          <w:szCs w:val="32"/>
        </w:rPr>
      </w:pPr>
      <w:r>
        <w:rPr>
          <w:rFonts w:hint="eastAsia" w:hAnsi="仿宋"/>
          <w:color w:val="auto"/>
          <w:sz w:val="32"/>
          <w:szCs w:val="32"/>
        </w:rPr>
        <w:t>7.结余分配：指事业单位按照会计制度规定</w:t>
      </w:r>
      <w:r>
        <w:rPr>
          <w:rFonts w:hint="eastAsia" w:hAnsi="仿宋"/>
          <w:color w:val="auto"/>
          <w:sz w:val="32"/>
          <w:szCs w:val="32"/>
          <w:lang w:eastAsia="zh-CN"/>
        </w:rPr>
        <w:t>缴纳的所得税、提取的专用结余以及转入非财政拨款结余的金额</w:t>
      </w:r>
      <w:r>
        <w:rPr>
          <w:rFonts w:hint="eastAsia" w:hAnsi="仿宋"/>
          <w:color w:val="auto"/>
          <w:sz w:val="32"/>
          <w:szCs w:val="32"/>
        </w:rPr>
        <w:t>等。</w:t>
      </w:r>
    </w:p>
    <w:p>
      <w:pPr>
        <w:pStyle w:val="22"/>
        <w:snapToGrid w:val="0"/>
        <w:spacing w:line="560" w:lineRule="exact"/>
        <w:ind w:firstLine="640" w:firstLineChars="200"/>
        <w:outlineLvl w:val="2"/>
        <w:rPr>
          <w:rFonts w:hint="eastAsia" w:hAnsi="仿宋"/>
          <w:color w:val="auto"/>
          <w:sz w:val="32"/>
          <w:szCs w:val="32"/>
        </w:rPr>
      </w:pPr>
      <w:r>
        <w:rPr>
          <w:rFonts w:hint="eastAsia" w:hAnsi="仿宋"/>
          <w:color w:val="auto"/>
          <w:sz w:val="32"/>
          <w:szCs w:val="32"/>
        </w:rPr>
        <w:t>8</w:t>
      </w:r>
      <w:r>
        <w:rPr>
          <w:rFonts w:hint="eastAsia" w:hAnsi="仿宋"/>
          <w:color w:val="auto"/>
          <w:sz w:val="32"/>
          <w:szCs w:val="32"/>
          <w:lang w:val="en-US" w:eastAsia="zh-CN"/>
        </w:rPr>
        <w:t>.</w:t>
      </w:r>
      <w:r>
        <w:rPr>
          <w:rFonts w:hint="eastAsia" w:hAnsi="仿宋"/>
          <w:color w:val="auto"/>
          <w:sz w:val="32"/>
          <w:szCs w:val="32"/>
        </w:rPr>
        <w:t>年末结转和结余：指单位按有关规定结转到下年或以后年度继续使用的资金。</w:t>
      </w:r>
    </w:p>
    <w:p>
      <w:pPr>
        <w:pStyle w:val="22"/>
        <w:snapToGrid w:val="0"/>
        <w:spacing w:line="560" w:lineRule="exact"/>
        <w:ind w:firstLine="640" w:firstLineChars="200"/>
        <w:outlineLvl w:val="2"/>
        <w:rPr>
          <w:rFonts w:ascii="仿宋_GB2312" w:eastAsia="仿宋_GB2312"/>
          <w:color w:val="auto"/>
          <w:sz w:val="32"/>
          <w:szCs w:val="32"/>
          <w:highlight w:val="none"/>
        </w:rPr>
      </w:pPr>
      <w:r>
        <w:rPr>
          <w:rFonts w:hint="eastAsia" w:hAnsi="仿宋"/>
          <w:color w:val="auto"/>
          <w:sz w:val="32"/>
          <w:szCs w:val="32"/>
        </w:rPr>
        <w:t>9.教育支出（类）普通教育（款）学前教育（项）:</w:t>
      </w:r>
      <w:r>
        <w:rPr>
          <w:rFonts w:hint="eastAsia" w:hAnsi="仿宋"/>
          <w:color w:val="auto"/>
          <w:sz w:val="32"/>
          <w:szCs w:val="32"/>
          <w:lang w:val="en-US" w:eastAsia="zh-CN"/>
        </w:rPr>
        <w:t>指</w:t>
      </w:r>
      <w:r>
        <w:rPr>
          <w:rFonts w:hint="eastAsia" w:hAnsi="仿宋"/>
          <w:color w:val="auto"/>
          <w:sz w:val="32"/>
          <w:szCs w:val="32"/>
        </w:rPr>
        <w:t>反映各部门举办的学前教育支出</w:t>
      </w:r>
      <w:r>
        <w:rPr>
          <w:rFonts w:hint="eastAsia" w:ascii="仿宋_GB2312" w:eastAsia="仿宋_GB2312"/>
          <w:color w:val="auto"/>
          <w:sz w:val="32"/>
          <w:szCs w:val="32"/>
        </w:rPr>
        <w:t>。</w:t>
      </w:r>
    </w:p>
    <w:p>
      <w:pPr>
        <w:pStyle w:val="22"/>
        <w:snapToGrid w:val="0"/>
        <w:spacing w:line="560" w:lineRule="exact"/>
        <w:ind w:firstLine="640" w:firstLineChars="200"/>
        <w:outlineLvl w:val="2"/>
        <w:rPr>
          <w:rFonts w:hint="eastAsia" w:hAnsi="仿宋"/>
          <w:color w:val="auto"/>
          <w:sz w:val="32"/>
          <w:szCs w:val="32"/>
        </w:rPr>
      </w:pPr>
      <w:r>
        <w:rPr>
          <w:rFonts w:ascii="仿宋_GB2312" w:eastAsia="仿宋_GB2312"/>
          <w:color w:val="auto"/>
          <w:sz w:val="32"/>
          <w:szCs w:val="32"/>
          <w:highlight w:val="none"/>
        </w:rPr>
        <w:t>10.</w:t>
      </w:r>
      <w:r>
        <w:rPr>
          <w:rFonts w:hint="eastAsia" w:hAnsi="仿宋"/>
          <w:color w:val="auto"/>
          <w:sz w:val="32"/>
          <w:szCs w:val="32"/>
        </w:rPr>
        <w:t>社会保障和就业支出（类）行政事业单位离退休（款）机关事业单位基本养老保险缴费支出（项）:指机关事业单位实施养老保险制度由单位缴纳的基本养老保险费支出。</w:t>
      </w:r>
    </w:p>
    <w:p>
      <w:pPr>
        <w:pStyle w:val="22"/>
        <w:snapToGrid w:val="0"/>
        <w:spacing w:line="560" w:lineRule="exact"/>
        <w:ind w:firstLine="640" w:firstLineChars="200"/>
        <w:outlineLvl w:val="2"/>
        <w:rPr>
          <w:rFonts w:hint="eastAsia" w:hAnsi="仿宋"/>
          <w:color w:val="auto"/>
          <w:sz w:val="32"/>
          <w:szCs w:val="32"/>
        </w:rPr>
      </w:pPr>
      <w:r>
        <w:rPr>
          <w:rFonts w:hint="eastAsia" w:hAnsi="仿宋"/>
          <w:color w:val="auto"/>
          <w:sz w:val="32"/>
          <w:szCs w:val="32"/>
          <w:lang w:val="en-US" w:eastAsia="zh-CN"/>
        </w:rPr>
        <w:t>11.</w:t>
      </w:r>
      <w:r>
        <w:rPr>
          <w:rFonts w:hint="eastAsia" w:hAnsi="仿宋"/>
          <w:color w:val="auto"/>
          <w:sz w:val="32"/>
          <w:szCs w:val="32"/>
        </w:rPr>
        <w:t>社会保障和就业支出（类）行政事业单位离退休（款）机关事业单位职业年金缴费支出（项）:指机关事业单位实施养老保险制度由单位实际缴纳的职业年金支出。</w:t>
      </w:r>
    </w:p>
    <w:p>
      <w:pPr>
        <w:pStyle w:val="22"/>
        <w:snapToGrid w:val="0"/>
        <w:spacing w:line="560" w:lineRule="exact"/>
        <w:ind w:firstLine="640" w:firstLineChars="200"/>
        <w:outlineLvl w:val="2"/>
        <w:rPr>
          <w:rFonts w:hAnsi="仿宋"/>
          <w:color w:val="auto"/>
          <w:sz w:val="32"/>
          <w:szCs w:val="32"/>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hint="eastAsia" w:hAnsi="仿宋"/>
          <w:color w:val="auto"/>
          <w:sz w:val="32"/>
          <w:szCs w:val="32"/>
        </w:rPr>
        <w:t>医疗卫生与计划生育（类）行政事业单位医疗（款）事业单位医疗（项）:指财政部门安排的事业单位基本医疗保险缴费经费，未参加医疗保险的事业单位的公费医疗经费，按国家规定享受离休人员待遇的医疗经费。</w:t>
      </w:r>
    </w:p>
    <w:p>
      <w:pPr>
        <w:ind w:firstLine="640" w:firstLineChars="200"/>
        <w:rPr>
          <w:rFonts w:hint="eastAsia" w:ascii="仿宋" w:hAnsi="仿宋" w:eastAsia="仿宋" w:cs="仿宋"/>
          <w:color w:val="auto"/>
          <w:kern w:val="0"/>
          <w:sz w:val="32"/>
          <w:szCs w:val="32"/>
          <w:lang w:val="en-US" w:eastAsia="zh-CN" w:bidi="ar-SA"/>
        </w:rPr>
      </w:pPr>
      <w:r>
        <w:rPr>
          <w:rFonts w:hint="eastAsia" w:ascii="仿宋_GB2312" w:eastAsia="仿宋_GB2312"/>
          <w:color w:val="auto"/>
          <w:sz w:val="32"/>
          <w:szCs w:val="32"/>
          <w:highlight w:val="none"/>
          <w:lang w:val="en-US" w:eastAsia="zh-CN"/>
        </w:rPr>
        <w:t>13.</w:t>
      </w:r>
      <w:r>
        <w:rPr>
          <w:rFonts w:hint="eastAsia" w:ascii="仿宋" w:hAnsi="仿宋" w:eastAsia="仿宋" w:cs="仿宋"/>
          <w:color w:val="auto"/>
          <w:kern w:val="0"/>
          <w:sz w:val="32"/>
          <w:szCs w:val="32"/>
          <w:lang w:val="en-US" w:eastAsia="zh-CN" w:bidi="ar-SA"/>
        </w:rPr>
        <w:t>住房保障支出（类）住房改革支出（款）住房公积金（项）:指行政事业单位按人力资源和社会保障部、财政部规定的基本工资和津贴补贴以及规定比例为职工缴纳的住房公积金。</w:t>
      </w:r>
    </w:p>
    <w:p>
      <w:pPr>
        <w:pStyle w:val="2"/>
        <w:ind w:firstLine="640" w:firstLineChars="200"/>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14.其他支出（类）其他支出（款）其他支出（项）:指上述项目以外其他不能划分到具体功能科目中的支出项目。</w:t>
      </w:r>
    </w:p>
    <w:p>
      <w:pPr>
        <w:pStyle w:val="2"/>
        <w:ind w:firstLine="640" w:firstLineChars="200"/>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15.基本支出：指为保障机构正常运转、完成日常工作任务而发生的人员支出和公用支出。</w:t>
      </w:r>
    </w:p>
    <w:p>
      <w:pPr>
        <w:pStyle w:val="2"/>
        <w:ind w:firstLine="640" w:firstLineChars="200"/>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16.项目支出：指在基本支出之外为完成特定行政任务和事业发展目标所发生的支出。</w:t>
      </w:r>
    </w:p>
    <w:p>
      <w:pPr>
        <w:pStyle w:val="2"/>
        <w:ind w:firstLine="640" w:firstLineChars="200"/>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17.经营支出：指事业单位在专业业务活动及其辅助活动之外开展非独立核算经营活动发生的支出。</w:t>
      </w:r>
    </w:p>
    <w:p>
      <w:pPr>
        <w:pStyle w:val="22"/>
        <w:snapToGrid w:val="0"/>
        <w:spacing w:line="560" w:lineRule="exact"/>
        <w:ind w:firstLine="640" w:firstLineChars="200"/>
        <w:outlineLvl w:val="2"/>
        <w:rPr>
          <w:rFonts w:hAnsi="仿宋"/>
          <w:color w:val="auto"/>
          <w:sz w:val="32"/>
          <w:szCs w:val="32"/>
        </w:rPr>
      </w:pPr>
      <w:r>
        <w:rPr>
          <w:rFonts w:hint="eastAsia" w:hAnsi="仿宋"/>
          <w:color w:val="auto"/>
          <w:sz w:val="32"/>
          <w:szCs w:val="32"/>
          <w:lang w:val="en-US" w:eastAsia="zh-CN"/>
        </w:rPr>
        <w:t>18.</w:t>
      </w:r>
      <w:r>
        <w:rPr>
          <w:rFonts w:hint="eastAsia" w:hAnsi="仿宋"/>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ind w:firstLine="640" w:firstLineChars="200"/>
        <w:rPr>
          <w:rFonts w:hint="default" w:hAnsi="仿宋" w:eastAsia="仿宋_GB2312"/>
          <w:color w:val="auto"/>
          <w:sz w:val="32"/>
          <w:szCs w:val="32"/>
          <w:lang w:val="en-US" w:eastAsia="zh-CN"/>
        </w:rPr>
      </w:pPr>
      <w:r>
        <w:rPr>
          <w:rFonts w:hint="eastAsia" w:ascii="仿宋" w:hAnsi="仿宋" w:eastAsia="仿宋" w:cs="仿宋"/>
          <w:color w:val="auto"/>
          <w:kern w:val="0"/>
          <w:sz w:val="32"/>
          <w:szCs w:val="32"/>
          <w:lang w:val="en-US" w:eastAsia="zh-CN" w:bidi="ar-SA"/>
        </w:rPr>
        <w:t>19.</w:t>
      </w:r>
      <w:r>
        <w:rPr>
          <w:rFonts w:hint="eastAsia" w:ascii="仿宋" w:hAnsi="仿宋" w:eastAsia="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eastAsia="仿宋_GB2312"/>
          <w:color w:val="auto"/>
          <w:sz w:val="32"/>
          <w:szCs w:val="32"/>
          <w:highlight w:val="none"/>
        </w:rPr>
      </w:pPr>
    </w:p>
    <w:p>
      <w:pPr>
        <w:spacing w:line="600" w:lineRule="exact"/>
        <w:jc w:val="center"/>
        <w:outlineLvl w:val="0"/>
        <w:rPr>
          <w:rFonts w:hint="eastAsia" w:ascii="黑体" w:hAnsi="黑体" w:eastAsia="黑体"/>
          <w:color w:val="auto"/>
          <w:sz w:val="32"/>
          <w:szCs w:val="32"/>
          <w:highlight w:val="none"/>
        </w:rPr>
      </w:pPr>
      <w:bookmarkStart w:id="51" w:name="_Toc15396614"/>
      <w:bookmarkStart w:id="52" w:name="_Toc15377226"/>
    </w:p>
    <w:p>
      <w:pPr>
        <w:spacing w:line="600" w:lineRule="exact"/>
        <w:jc w:val="center"/>
        <w:outlineLvl w:val="0"/>
        <w:rPr>
          <w:rFonts w:hint="eastAsia" w:ascii="黑体" w:hAnsi="黑体" w:eastAsia="黑体"/>
          <w:color w:val="auto"/>
          <w:sz w:val="32"/>
          <w:szCs w:val="32"/>
          <w:highlight w:val="none"/>
        </w:rPr>
      </w:pPr>
    </w:p>
    <w:p>
      <w:pPr>
        <w:spacing w:line="600" w:lineRule="exact"/>
        <w:jc w:val="center"/>
        <w:outlineLvl w:val="0"/>
        <w:rPr>
          <w:rFonts w:hint="eastAsia" w:ascii="黑体" w:hAnsi="黑体" w:eastAsia="黑体"/>
          <w:color w:val="auto"/>
          <w:sz w:val="32"/>
          <w:szCs w:val="32"/>
          <w:highlight w:val="none"/>
        </w:rPr>
      </w:pPr>
    </w:p>
    <w:p>
      <w:pPr>
        <w:spacing w:line="600" w:lineRule="exact"/>
        <w:jc w:val="center"/>
        <w:outlineLvl w:val="0"/>
        <w:rPr>
          <w:rFonts w:hint="eastAsia" w:ascii="黑体" w:hAnsi="黑体" w:eastAsia="黑体"/>
          <w:color w:val="auto"/>
          <w:sz w:val="32"/>
          <w:szCs w:val="32"/>
          <w:highlight w:val="none"/>
        </w:rPr>
      </w:pPr>
    </w:p>
    <w:p>
      <w:pPr>
        <w:spacing w:line="600" w:lineRule="exact"/>
        <w:jc w:val="center"/>
        <w:outlineLvl w:val="0"/>
        <w:rPr>
          <w:rFonts w:hint="eastAsia" w:ascii="黑体" w:hAnsi="黑体" w:eastAsia="黑体"/>
          <w:color w:val="auto"/>
          <w:sz w:val="32"/>
          <w:szCs w:val="32"/>
          <w:highlight w:val="none"/>
        </w:rPr>
      </w:pPr>
    </w:p>
    <w:p>
      <w:pPr>
        <w:spacing w:line="600" w:lineRule="exact"/>
        <w:jc w:val="center"/>
        <w:outlineLvl w:val="0"/>
        <w:rPr>
          <w:rFonts w:hint="eastAsia" w:ascii="黑体" w:hAnsi="黑体" w:eastAsia="黑体"/>
          <w:color w:val="auto"/>
          <w:sz w:val="32"/>
          <w:szCs w:val="32"/>
          <w:highlight w:val="none"/>
        </w:rPr>
      </w:pPr>
    </w:p>
    <w:p>
      <w:pPr>
        <w:spacing w:line="600" w:lineRule="exact"/>
        <w:jc w:val="center"/>
        <w:outlineLvl w:val="0"/>
        <w:rPr>
          <w:rFonts w:hint="eastAsia" w:ascii="黑体" w:hAnsi="黑体" w:eastAsia="黑体"/>
          <w:color w:val="auto"/>
          <w:sz w:val="32"/>
          <w:szCs w:val="32"/>
          <w:highlight w:val="none"/>
        </w:rPr>
      </w:pPr>
    </w:p>
    <w:p>
      <w:pPr>
        <w:spacing w:line="600" w:lineRule="exact"/>
        <w:jc w:val="center"/>
        <w:outlineLvl w:val="0"/>
        <w:rPr>
          <w:rFonts w:hint="eastAsia" w:ascii="黑体" w:hAnsi="黑体" w:eastAsia="黑体"/>
          <w:color w:val="auto"/>
          <w:sz w:val="32"/>
          <w:szCs w:val="32"/>
          <w:highlight w:val="none"/>
        </w:rPr>
      </w:pPr>
    </w:p>
    <w:p>
      <w:pPr>
        <w:spacing w:line="600" w:lineRule="exact"/>
        <w:jc w:val="center"/>
        <w:outlineLvl w:val="0"/>
        <w:rPr>
          <w:rFonts w:hint="eastAsia" w:ascii="黑体" w:hAnsi="黑体" w:eastAsia="黑体"/>
          <w:color w:val="auto"/>
          <w:sz w:val="32"/>
          <w:szCs w:val="32"/>
          <w:highlight w:val="none"/>
        </w:rPr>
      </w:pPr>
    </w:p>
    <w:p>
      <w:pPr>
        <w:spacing w:line="600" w:lineRule="exact"/>
        <w:jc w:val="center"/>
        <w:outlineLvl w:val="0"/>
        <w:rPr>
          <w:rFonts w:hint="eastAsia" w:ascii="黑体" w:hAnsi="黑体" w:eastAsia="黑体"/>
          <w:color w:val="auto"/>
          <w:sz w:val="32"/>
          <w:szCs w:val="32"/>
          <w:highlight w:val="none"/>
        </w:rPr>
      </w:pPr>
    </w:p>
    <w:p>
      <w:pPr>
        <w:pStyle w:val="2"/>
        <w:rPr>
          <w:rFonts w:hint="eastAsia" w:ascii="黑体" w:hAnsi="黑体" w:eastAsia="黑体"/>
          <w:color w:val="auto"/>
          <w:sz w:val="44"/>
          <w:szCs w:val="44"/>
          <w:highlight w:val="none"/>
        </w:rPr>
      </w:pPr>
    </w:p>
    <w:p>
      <w:pPr>
        <w:numPr>
          <w:ilvl w:val="0"/>
          <w:numId w:val="4"/>
        </w:numPr>
        <w:spacing w:line="600" w:lineRule="exact"/>
        <w:ind w:left="0" w:leftChars="0" w:firstLine="660" w:firstLineChars="150"/>
        <w:jc w:val="center"/>
        <w:outlineLvl w:val="0"/>
        <w:rPr>
          <w:rStyle w:val="24"/>
          <w:rFonts w:hint="eastAsia" w:ascii="黑体" w:hAnsi="黑体" w:eastAsia="黑体"/>
          <w:b w:val="0"/>
          <w:color w:val="auto"/>
          <w:highlight w:val="none"/>
        </w:rPr>
      </w:pPr>
      <w:r>
        <w:rPr>
          <w:rStyle w:val="24"/>
          <w:rFonts w:hint="eastAsia" w:ascii="黑体" w:hAnsi="黑体" w:eastAsia="黑体"/>
          <w:b w:val="0"/>
          <w:color w:val="auto"/>
          <w:highlight w:val="none"/>
        </w:rPr>
        <w:t>附件</w:t>
      </w:r>
      <w:bookmarkEnd w:id="51"/>
    </w:p>
    <w:p>
      <w:pPr>
        <w:pStyle w:val="2"/>
        <w:jc w:val="center"/>
        <w:rPr>
          <w:rFonts w:hint="eastAsia" w:ascii="仿宋_GB2312" w:hAnsi="Calibri" w:eastAsia="仿宋_GB2312" w:cs="仿宋"/>
          <w:color w:val="auto"/>
          <w:kern w:val="0"/>
          <w:sz w:val="32"/>
          <w:szCs w:val="32"/>
          <w:highlight w:val="none"/>
          <w:lang w:val="en-US" w:eastAsia="zh-CN" w:bidi="ar-SA"/>
        </w:rPr>
      </w:pPr>
      <w:bookmarkStart w:id="53" w:name="_Toc15396618"/>
      <w:r>
        <w:rPr>
          <w:rStyle w:val="25"/>
          <w:rFonts w:hint="eastAsia" w:ascii="仿宋" w:hAnsi="仿宋" w:eastAsia="仿宋"/>
          <w:b w:val="0"/>
          <w:bCs w:val="0"/>
          <w:color w:val="auto"/>
          <w:highlight w:val="none"/>
          <w:lang w:val="en-US" w:eastAsia="zh-CN" w:bidi="ar-SA"/>
        </w:rPr>
        <w:t>部门预算项目支出绩效自评表（2022年度）</w:t>
      </w:r>
    </w:p>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bookmarkStart w:id="67" w:name="_GoBack"/>
      <w:bookmarkEnd w:id="67"/>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2"/>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7"/>
    </w:p>
    <w:p>
      <w:pPr>
        <w:pStyle w:val="4"/>
        <w:rPr>
          <w:rStyle w:val="25"/>
          <w:rFonts w:ascii="仿宋" w:hAnsi="仿宋" w:eastAsia="仿宋"/>
          <w:b w:val="0"/>
          <w:bCs w:val="0"/>
          <w:color w:val="auto"/>
          <w:highlight w:val="none"/>
        </w:rPr>
      </w:pPr>
      <w:bookmarkStart w:id="58"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59"/>
    </w:p>
    <w:p>
      <w:pPr>
        <w:pStyle w:val="4"/>
        <w:rPr>
          <w:rStyle w:val="25"/>
          <w:rFonts w:hint="eastAsia" w:ascii="仿宋" w:hAnsi="仿宋" w:eastAsia="仿宋"/>
          <w:b w:val="0"/>
          <w:bCs w:val="0"/>
          <w:color w:val="auto"/>
          <w:highlight w:val="none"/>
        </w:rPr>
      </w:pPr>
      <w:bookmarkStart w:id="60"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0"/>
      <w:bookmarkStart w:id="61" w:name="_Toc15396626"/>
    </w:p>
    <w:p>
      <w:pPr>
        <w:pStyle w:val="4"/>
        <w:rPr>
          <w:rFonts w:ascii="仿宋" w:hAnsi="仿宋" w:eastAsia="仿宋"/>
          <w:color w:val="auto"/>
          <w:highlight w:val="none"/>
        </w:rPr>
      </w:pPr>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5"/>
          <w:rFonts w:hint="eastAsia" w:ascii="仿宋" w:hAnsi="仿宋" w:eastAsia="仿宋"/>
          <w:b w:val="0"/>
          <w:bCs w:val="0"/>
          <w:color w:val="auto"/>
          <w:highlight w:val="none"/>
        </w:rPr>
        <w:t>十、</w:t>
      </w:r>
      <w:bookmarkEnd w:id="63"/>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64" w:name="_Toc15396629"/>
      <w:r>
        <w:rPr>
          <w:rStyle w:val="25"/>
          <w:rFonts w:hint="eastAsia" w:ascii="仿宋" w:hAnsi="仿宋" w:eastAsia="仿宋"/>
          <w:b w:val="0"/>
          <w:bCs w:val="0"/>
          <w:color w:val="auto"/>
          <w:highlight w:val="none"/>
        </w:rPr>
        <w:t>十一、</w:t>
      </w:r>
      <w:bookmarkEnd w:id="64"/>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5" w:name="_Toc15396630"/>
      <w:r>
        <w:rPr>
          <w:rStyle w:val="25"/>
          <w:rFonts w:hint="eastAsia" w:ascii="仿宋" w:hAnsi="仿宋" w:eastAsia="仿宋"/>
          <w:b w:val="0"/>
          <w:bCs w:val="0"/>
          <w:color w:val="auto"/>
          <w:highlight w:val="none"/>
        </w:rPr>
        <w:t>十二、</w:t>
      </w:r>
      <w:bookmarkEnd w:id="65"/>
      <w:r>
        <w:rPr>
          <w:rStyle w:val="25"/>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6" w:name="_Toc15396631"/>
      <w:r>
        <w:rPr>
          <w:rStyle w:val="25"/>
          <w:rFonts w:hint="eastAsia" w:ascii="仿宋" w:hAnsi="仿宋" w:eastAsia="仿宋"/>
          <w:b w:val="0"/>
          <w:bCs w:val="0"/>
          <w:color w:val="auto"/>
          <w:highlight w:val="none"/>
        </w:rPr>
        <w:t>十三、</w:t>
      </w:r>
      <w:bookmarkEnd w:id="66"/>
      <w:r>
        <w:rPr>
          <w:rStyle w:val="25"/>
          <w:rFonts w:hint="eastAsia" w:ascii="仿宋" w:hAnsi="仿宋" w:eastAsia="仿宋"/>
          <w:b w:val="0"/>
          <w:bCs w:val="0"/>
          <w:color w:val="auto"/>
          <w:highlight w:val="none"/>
          <w:lang w:eastAsia="zh-CN"/>
        </w:rPr>
        <w:t>财政拨款“三公”经费支出决算表</w:t>
      </w:r>
    </w:p>
    <w:sectPr>
      <w:footerReference r:id="rId10" w:type="first"/>
      <w:footerReference r:id="rId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E99645-E1E6-426A-A1C8-5A937089A8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24BB050-0692-431C-B6C5-5DFC1288AC8C}"/>
  </w:font>
  <w:font w:name="Cambria">
    <w:panose1 w:val="02040503050406030204"/>
    <w:charset w:val="00"/>
    <w:family w:val="roman"/>
    <w:pitch w:val="default"/>
    <w:sig w:usb0="E00006FF" w:usb1="420024FF" w:usb2="02000000" w:usb3="00000000" w:csb0="2000019F" w:csb1="00000000"/>
    <w:embedRegular r:id="rId3" w:fontKey="{D3ED2B6F-8EB0-4AAE-AB3D-3C0F2E11A2A1}"/>
  </w:font>
  <w:font w:name="仿宋_GB2312">
    <w:panose1 w:val="02010609030101010101"/>
    <w:charset w:val="86"/>
    <w:family w:val="modern"/>
    <w:pitch w:val="default"/>
    <w:sig w:usb0="00000001" w:usb1="080E0000" w:usb2="00000000" w:usb3="00000000" w:csb0="00040000" w:csb1="00000000"/>
    <w:embedRegular r:id="rId4" w:fontKey="{5D964110-D568-43DB-892F-73FBB5C41AE2}"/>
  </w:font>
  <w:font w:name="仿宋">
    <w:panose1 w:val="02010609060101010101"/>
    <w:charset w:val="86"/>
    <w:family w:val="modern"/>
    <w:pitch w:val="default"/>
    <w:sig w:usb0="800002BF" w:usb1="38CF7CFA" w:usb2="00000016" w:usb3="00000000" w:csb0="00040001" w:csb1="00000000"/>
    <w:embedRegular r:id="rId5" w:fontKey="{1CF9AAD8-A5AD-4D2E-A2D7-21FA530C791C}"/>
  </w:font>
  <w:font w:name="方正小标宋简体">
    <w:panose1 w:val="02000000000000000000"/>
    <w:charset w:val="86"/>
    <w:family w:val="script"/>
    <w:pitch w:val="default"/>
    <w:sig w:usb0="A00002BF" w:usb1="184F6CFA" w:usb2="00000012" w:usb3="00000000" w:csb0="00040001" w:csb1="00000000"/>
    <w:embedRegular r:id="rId6" w:fontKey="{0B83A0F6-1612-494B-A106-8BEFA1AEA78D}"/>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TBmYmZhMjYwMTI1OWZhNWY2NjQ0YTYyMDNmY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5264E"/>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C790E"/>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95F78"/>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E5315A"/>
    <w:rsid w:val="01FC748B"/>
    <w:rsid w:val="025D354B"/>
    <w:rsid w:val="053A62B5"/>
    <w:rsid w:val="06393AB4"/>
    <w:rsid w:val="0A2032A3"/>
    <w:rsid w:val="0B293A5F"/>
    <w:rsid w:val="0B8A37D8"/>
    <w:rsid w:val="0BBE299A"/>
    <w:rsid w:val="1008439E"/>
    <w:rsid w:val="10C055FF"/>
    <w:rsid w:val="10FF1B4C"/>
    <w:rsid w:val="118107EC"/>
    <w:rsid w:val="11DD6519"/>
    <w:rsid w:val="120F6090"/>
    <w:rsid w:val="152A0AFF"/>
    <w:rsid w:val="168D697F"/>
    <w:rsid w:val="16BB723D"/>
    <w:rsid w:val="18015F3F"/>
    <w:rsid w:val="18F356AC"/>
    <w:rsid w:val="1B5763C6"/>
    <w:rsid w:val="1BE20E8C"/>
    <w:rsid w:val="1BE8440E"/>
    <w:rsid w:val="1C511068"/>
    <w:rsid w:val="1D155CEE"/>
    <w:rsid w:val="1F932853"/>
    <w:rsid w:val="20F57F95"/>
    <w:rsid w:val="23F43793"/>
    <w:rsid w:val="240371BF"/>
    <w:rsid w:val="25711CC6"/>
    <w:rsid w:val="25C741E6"/>
    <w:rsid w:val="266D2FD9"/>
    <w:rsid w:val="27842671"/>
    <w:rsid w:val="28A03AE1"/>
    <w:rsid w:val="29FD04D3"/>
    <w:rsid w:val="2A8E1D50"/>
    <w:rsid w:val="2ABE7A3E"/>
    <w:rsid w:val="2B793FF1"/>
    <w:rsid w:val="2CA234A8"/>
    <w:rsid w:val="2EFA178C"/>
    <w:rsid w:val="2F82048D"/>
    <w:rsid w:val="30B46D73"/>
    <w:rsid w:val="319F7F4E"/>
    <w:rsid w:val="31AA23AC"/>
    <w:rsid w:val="367D5C22"/>
    <w:rsid w:val="383D272C"/>
    <w:rsid w:val="39AE70AB"/>
    <w:rsid w:val="3C0C0783"/>
    <w:rsid w:val="3F913DEC"/>
    <w:rsid w:val="3F9F3A96"/>
    <w:rsid w:val="4073149A"/>
    <w:rsid w:val="41861ABC"/>
    <w:rsid w:val="43C14D32"/>
    <w:rsid w:val="48BF60AB"/>
    <w:rsid w:val="493C27E9"/>
    <w:rsid w:val="496F39ED"/>
    <w:rsid w:val="49FF41D3"/>
    <w:rsid w:val="4BE068DB"/>
    <w:rsid w:val="4BF6002B"/>
    <w:rsid w:val="4DA74031"/>
    <w:rsid w:val="4ECE2238"/>
    <w:rsid w:val="51DB4B86"/>
    <w:rsid w:val="537D2167"/>
    <w:rsid w:val="546C32D0"/>
    <w:rsid w:val="55333C3E"/>
    <w:rsid w:val="56272BE3"/>
    <w:rsid w:val="56921A85"/>
    <w:rsid w:val="57435475"/>
    <w:rsid w:val="5CF91529"/>
    <w:rsid w:val="64CA39A1"/>
    <w:rsid w:val="65110961"/>
    <w:rsid w:val="688B191C"/>
    <w:rsid w:val="69630ADE"/>
    <w:rsid w:val="6C4A05C8"/>
    <w:rsid w:val="6D3B1A89"/>
    <w:rsid w:val="70B23B50"/>
    <w:rsid w:val="71BF4EC2"/>
    <w:rsid w:val="72734D90"/>
    <w:rsid w:val="7412278C"/>
    <w:rsid w:val="742C1F3D"/>
    <w:rsid w:val="746338D5"/>
    <w:rsid w:val="75745E3C"/>
    <w:rsid w:val="784A0436"/>
    <w:rsid w:val="79E7B28D"/>
    <w:rsid w:val="7BB250E3"/>
    <w:rsid w:val="7E945A34"/>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52605459057072"/>
          <c:y val="0.0381313131313131"/>
          <c:w val="0.802166349721575"/>
          <c:h val="0.847475195631506"/>
        </c:manualLayout>
      </c:layout>
      <c:barChart>
        <c:barDir val="col"/>
        <c:grouping val="clustered"/>
        <c:varyColors val="0"/>
        <c:ser>
          <c:idx val="2"/>
          <c:order val="2"/>
          <c:tx>
            <c:strRef>
              <c:f>Sheet1!$B$1</c:f>
              <c:strCache>
                <c:ptCount val="1"/>
                <c:pt idx="0">
                  <c:v>收、支决算总计（万元）</c:v>
                </c:pt>
              </c:strCache>
            </c:strRef>
          </c:tx>
          <c:invertIfNegative val="0"/>
          <c:dLbls>
            <c:dLbl>
              <c:idx val="0"/>
              <c:layout>
                <c:manualLayout>
                  <c:x val="0.00124069478908189"/>
                  <c:y val="0.032828282828282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224.31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248138957816377"/>
                  <c:y val="0.025252525252525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290.11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224.31</c:v>
                </c:pt>
                <c:pt idx="1">
                  <c:v>290.11</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legend>
      <c:legendPos val="r"/>
      <c:layout>
        <c:manualLayout>
          <c:xMode val="edge"/>
          <c:yMode val="edge"/>
          <c:x val="0.2636476426799"/>
          <c:y val="0.028409090909090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Lbls>
            <c:dLbl>
              <c:idx val="0"/>
              <c:layout>
                <c:manualLayout>
                  <c:x val="-0.128839522928838"/>
                  <c:y val="-0.14774536907768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一般公共预算财政拨款收入</a:t>
                    </a:r>
                    <a:r>
                      <a:rPr lang="en-US" altLang="zh-CN"/>
                      <a:t>, 197.70, 76.34%</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manualLayout>
                      <c:w val="0.329280038526366"/>
                      <c:h val="0.160990712074303"/>
                    </c:manualLayout>
                  </c15:layout>
                </c:ext>
              </c:extLst>
            </c:dLbl>
            <c:dLbl>
              <c:idx val="1"/>
              <c:delete val="1"/>
            </c:dLbl>
            <c:dLbl>
              <c:idx val="2"/>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一般公共预算财政拨款收入</c:v>
                </c:pt>
                <c:pt idx="1">
                  <c:v>事业收入</c:v>
                </c:pt>
                <c:pt idx="2">
                  <c:v>其它收入</c:v>
                </c:pt>
              </c:strCache>
            </c:strRef>
          </c:cat>
          <c:val>
            <c:numRef>
              <c:f>Sheet1!$B$2:$B$4</c:f>
              <c:numCache>
                <c:formatCode>General</c:formatCode>
                <c:ptCount val="3"/>
                <c:pt idx="0">
                  <c:v>197.7</c:v>
                </c:pt>
                <c:pt idx="1">
                  <c:v>47.1</c:v>
                </c:pt>
                <c:pt idx="2">
                  <c:v>14.14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0748189968731711"/>
                  <c:y val="-0.18989845268874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396178094583277"/>
                  <c:y val="0.16551894364782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225.76</c:v>
                </c:pt>
                <c:pt idx="1">
                  <c:v>64.35</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1998125302649"/>
          <c:y val="0.097424298325821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89700472937467"/>
          <c:y val="0.0392253003187056"/>
          <c:w val="0.802166349721575"/>
          <c:h val="0.847475195631506"/>
        </c:manualLayout>
      </c:layout>
      <c:barChart>
        <c:barDir val="col"/>
        <c:grouping val="clustered"/>
        <c:varyColors val="0"/>
        <c:ser>
          <c:idx val="2"/>
          <c:order val="2"/>
          <c:tx>
            <c:strRef>
              <c:f>Sheet1!$B$1</c:f>
              <c:strCache>
                <c:ptCount val="1"/>
                <c:pt idx="0">
                  <c:v>财政拨款收、支决算总计（万元）</c:v>
                </c:pt>
              </c:strCache>
            </c:strRef>
          </c:tx>
          <c:spPr>
            <a:solidFill>
              <a:schemeClr val="accent2">
                <a:lumMod val="40000"/>
                <a:lumOff val="60000"/>
              </a:schemeClr>
            </a:solidFill>
          </c:spPr>
          <c:invertIfNegative val="0"/>
          <c:dLbls>
            <c:dLbl>
              <c:idx val="0"/>
              <c:layout>
                <c:manualLayout>
                  <c:x val="0.0328428796636889"/>
                  <c:y val="0.014219171365530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201.17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73252758801892"/>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228.87</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201.17</c:v>
                </c:pt>
                <c:pt idx="1">
                  <c:v>228.87</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116263794009459"/>
          <c:y val="0.0102966413336602"/>
          <c:w val="0.391093011035208"/>
          <c:h val="0.17185584702132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一般公共预算财政拨款支出（万元）</c:v>
                </c:pt>
              </c:strCache>
            </c:strRef>
          </c:tx>
          <c:invertIfNegative val="0"/>
          <c:dLbls>
            <c:dLbl>
              <c:idx val="1"/>
              <c:layout>
                <c:manualLayout>
                  <c:x val="0.00337746554985139"/>
                  <c:y val="0.024972557628979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170</c:v>
                </c:pt>
                <c:pt idx="1">
                  <c:v>228.87</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0987570926776547"/>
          <c:y val="0.0271679473106476"/>
          <c:w val="0.458119427181843"/>
          <c:h val="0.13419319429198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Lbls>
            <c:dLbl>
              <c:idx val="0"/>
              <c:layout>
                <c:manualLayout>
                  <c:x val="-0.00415685620961155"/>
                  <c:y val="-0.26080386823813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
                  <c:y val="0.0902255639097744"/>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92066155321189"/>
                      <c:h val="0.238742822605017"/>
                    </c:manualLayout>
                  </c15:layout>
                </c:ext>
              </c:extLst>
            </c:dLbl>
            <c:dLbl>
              <c:idx val="2"/>
              <c:layout>
                <c:manualLayout>
                  <c:x val="0.175754834465197"/>
                  <c:y val="0.049323308270676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卫生健康支出</a:t>
                    </a:r>
                    <a:r>
                      <a:rPr lang="en-US" altLang="zh-CN"/>
                      <a:t>, 11.21,4.9%</a:t>
                    </a:r>
                    <a:endParaRPr altLang="en-US"/>
                  </a:p>
                </c:rich>
              </c:tx>
              <c:dLblPos val="bestFit"/>
              <c:showLegendKey val="0"/>
              <c:showVal val="1"/>
              <c:showCatName val="1"/>
              <c:showSerName val="0"/>
              <c:showPercent val="0"/>
              <c:showBubbleSize val="0"/>
              <c:extLst>
                <c:ext xmlns:c15="http://schemas.microsoft.com/office/drawing/2012/chart" uri="{CE6537A1-D6FC-4f65-9D91-7224C49458BB}">
                  <c15:layout>
                    <c:manualLayout>
                      <c:w val="0.350910834132311"/>
                      <c:h val="0.119975823511635"/>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教育支出</c:v>
                </c:pt>
                <c:pt idx="1">
                  <c:v>社会保障和就业支出</c:v>
                </c:pt>
                <c:pt idx="2">
                  <c:v>卫生健康支出</c:v>
                </c:pt>
              </c:strCache>
            </c:strRef>
          </c:cat>
          <c:val>
            <c:numRef>
              <c:f>Sheet1!$B$2:$B$4</c:f>
              <c:numCache>
                <c:formatCode>General</c:formatCode>
                <c:ptCount val="3"/>
                <c:pt idx="0">
                  <c:v>194.09</c:v>
                </c:pt>
                <c:pt idx="1">
                  <c:v>23.58</c:v>
                </c:pt>
                <c:pt idx="2">
                  <c:v>11.21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88362193186233"/>
          <c:y val="0.193230134158927"/>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25</Pages>
  <Words>8474</Words>
  <Characters>9220</Characters>
  <Lines>61</Lines>
  <Paragraphs>17</Paragraphs>
  <TotalTime>0</TotalTime>
  <ScaleCrop>false</ScaleCrop>
  <LinksUpToDate>false</LinksUpToDate>
  <CharactersWithSpaces>9241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凝望</cp:lastModifiedBy>
  <cp:lastPrinted>2023-07-31T02:35:00Z</cp:lastPrinted>
  <dcterms:modified xsi:type="dcterms:W3CDTF">2023-10-15T06:09:12Z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41C92468AF0845D7A21C83FA6DB1CAC4_12</vt:lpwstr>
  </property>
</Properties>
</file>