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475"/>
      <w:bookmarkStart w:id="2" w:name="_Toc15378441"/>
      <w:bookmarkStart w:id="3" w:name="_Toc15377425"/>
      <w:bookmarkStart w:id="4" w:name="_Toc15377193"/>
      <w:bookmarkStart w:id="5" w:name="_Toc15396597"/>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6" w:name="_Toc15396476"/>
      <w:bookmarkStart w:id="7" w:name="_Toc15396598"/>
      <w:bookmarkStart w:id="8" w:name="_Toc15377426"/>
      <w:bookmarkStart w:id="9" w:name="_Toc15378442"/>
      <w:bookmarkStart w:id="10" w:name="_Toc15377194"/>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r>
        <w:rPr>
          <w:rFonts w:hint="eastAsia" w:ascii="方正小标宋简体" w:hAnsi="方正小标宋简体" w:eastAsia="方正小标宋简体" w:cs="方正小标宋简体"/>
          <w:color w:val="auto"/>
          <w:sz w:val="72"/>
          <w:szCs w:val="72"/>
          <w:highlight w:val="none"/>
          <w:lang w:eastAsia="zh-CN"/>
        </w:rPr>
        <w:t>广元市利州区万达实验学校</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r>
        <w:rPr>
          <w:rFonts w:hint="eastAsia" w:ascii="方正小标宋简体" w:hAnsi="方正小标宋简体" w:eastAsia="方正小标宋简体" w:cs="方正小标宋简体"/>
          <w:color w:val="auto"/>
          <w:sz w:val="72"/>
          <w:szCs w:val="72"/>
          <w:highlight w:val="none"/>
          <w:lang w:eastAsia="zh-CN"/>
        </w:rPr>
        <w:t>公开</w:t>
      </w:r>
    </w:p>
    <w:p>
      <w:pPr>
        <w:widowControl/>
        <w:jc w:val="center"/>
        <w:rPr>
          <w:rFonts w:hint="eastAsia" w:ascii="黑体" w:hAnsi="黑体" w:eastAsia="黑体"/>
          <w:color w:val="auto"/>
          <w:sz w:val="48"/>
          <w:szCs w:val="48"/>
          <w:highlight w:val="none"/>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15</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pPr>
        <w:pStyle w:val="11"/>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w:t>
      </w:r>
      <w:r>
        <w:rPr>
          <w:rFonts w:hint="eastAsia"/>
          <w:color w:val="auto"/>
          <w:sz w:val="24"/>
          <w:highlight w:val="none"/>
          <w:lang w:eastAsia="zh-CN"/>
        </w:rPr>
        <w:t>主要职责</w:t>
      </w:r>
    </w:p>
    <w:p>
      <w:pPr>
        <w:pStyle w:val="11"/>
        <w:adjustRightInd w:val="0"/>
        <w:snapToGrid w:val="0"/>
        <w:spacing w:line="440" w:lineRule="exact"/>
        <w:jc w:val="left"/>
        <w:rPr>
          <w:rFonts w:hint="eastAsia" w:eastAsia="宋体"/>
          <w:color w:val="auto"/>
          <w:lang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p>
    <w:p>
      <w:pPr>
        <w:pStyle w:val="10"/>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p>
    <w:p>
      <w:pPr>
        <w:pStyle w:val="11"/>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0"/>
        <w:adjustRightInd w:val="0"/>
        <w:snapToGrid w:val="0"/>
        <w:spacing w:before="0" w:line="440" w:lineRule="exact"/>
        <w:jc w:val="left"/>
        <w:rPr>
          <w:rFonts w:hint="eastAsia"/>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keepNext w:val="0"/>
        <w:keepLines w:val="0"/>
        <w:pageBreakBefore w:val="0"/>
        <w:kinsoku/>
        <w:wordWrap/>
        <w:overflowPunct/>
        <w:topLinePunct w:val="0"/>
        <w:autoSpaceDE/>
        <w:autoSpaceDN/>
        <w:bidi w:val="0"/>
        <w:spacing w:line="572" w:lineRule="exact"/>
        <w:ind w:firstLine="240" w:firstLineChars="100"/>
        <w:jc w:val="left"/>
        <w:textAlignment w:val="auto"/>
        <w:outlineLvl w:val="0"/>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部门预算项目支出绩效自评表</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lang w:eastAsia="zh-CN"/>
        </w:rPr>
        <w:t>第</w:t>
      </w:r>
      <w:r>
        <w:rPr>
          <w:rFonts w:hint="eastAsia"/>
          <w:color w:val="auto"/>
          <w:sz w:val="24"/>
          <w:highlight w:val="none"/>
        </w:rPr>
        <w:t>五部分</w:t>
      </w:r>
      <w:r>
        <w:rPr>
          <w:color w:val="auto"/>
          <w:sz w:val="24"/>
          <w:highlight w:val="none"/>
        </w:rPr>
        <w:t xml:space="preserve"> </w:t>
      </w:r>
      <w:r>
        <w:rPr>
          <w:rFonts w:hint="eastAsia"/>
          <w:color w:val="auto"/>
          <w:sz w:val="24"/>
          <w:highlight w:val="none"/>
        </w:rPr>
        <w:t>附表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pPr>
        <w:pStyle w:val="3"/>
        <w:jc w:val="center"/>
        <w:rPr>
          <w:rStyle w:val="24"/>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numPr>
          <w:ilvl w:val="0"/>
          <w:numId w:val="1"/>
        </w:numPr>
        <w:rPr>
          <w:rStyle w:val="25"/>
          <w:rFonts w:hint="eastAsia" w:ascii="黑体" w:hAnsi="黑体" w:eastAsia="黑体"/>
          <w:b w:val="0"/>
          <w:bCs w:val="0"/>
          <w:color w:val="auto"/>
          <w:highlight w:val="none"/>
          <w:lang w:eastAsia="zh-CN"/>
        </w:rPr>
      </w:pPr>
      <w:bookmarkStart w:id="14" w:name="_Toc15396600"/>
      <w:bookmarkStart w:id="15" w:name="_Toc15377197"/>
      <w:r>
        <w:rPr>
          <w:rStyle w:val="25"/>
          <w:rFonts w:hint="eastAsia" w:ascii="黑体" w:hAnsi="黑体" w:eastAsia="黑体"/>
          <w:b w:val="0"/>
          <w:bCs w:val="0"/>
          <w:color w:val="auto"/>
          <w:highlight w:val="none"/>
          <w:lang w:eastAsia="zh-CN"/>
        </w:rPr>
        <w:t>主要职责</w:t>
      </w:r>
    </w:p>
    <w:p>
      <w:pPr>
        <w:keepNext w:val="0"/>
        <w:keepLines w:val="0"/>
        <w:pageBreakBefore w:val="0"/>
        <w:widowControl w:val="0"/>
        <w:numPr>
          <w:ilvl w:val="0"/>
          <w:numId w:val="0"/>
        </w:numPr>
        <w:kinsoku/>
        <w:wordWrap/>
        <w:overflowPunct/>
        <w:topLinePunct w:val="0"/>
        <w:autoSpaceDE/>
        <w:autoSpaceDN/>
        <w:bidi w:val="0"/>
        <w:snapToGrid w:val="0"/>
        <w:spacing w:line="576" w:lineRule="exact"/>
        <w:ind w:firstLine="640" w:firstLineChars="200"/>
        <w:textAlignment w:val="auto"/>
        <w:outlineLvl w:val="0"/>
        <w:rPr>
          <w:rFonts w:hint="eastAsia" w:ascii="黑体" w:hAnsi="黑体" w:eastAsia="黑体" w:cs="黑体"/>
          <w:color w:val="auto"/>
          <w:sz w:val="32"/>
          <w:szCs w:val="32"/>
          <w:lang w:val="en-US" w:eastAsia="zh-CN"/>
        </w:rPr>
      </w:pPr>
      <w:r>
        <w:rPr>
          <w:rFonts w:hint="eastAsia" w:ascii="仿宋" w:hAnsi="仿宋" w:eastAsia="仿宋" w:cs="Times New Roman"/>
          <w:color w:val="auto"/>
          <w:kern w:val="2"/>
          <w:sz w:val="32"/>
          <w:szCs w:val="32"/>
          <w:highlight w:val="none"/>
          <w:lang w:val="en-US" w:eastAsia="zh-CN" w:bidi="ar-SA"/>
        </w:rPr>
        <w:t>广元市利州区万达实验学校是一所九年一贯制学校，学校实施幼儿园、小学及初中学历教育，促进基础教育发展,幼儿园、小学及初中学学历教育。</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left"/>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1.</w:t>
      </w:r>
      <w:r>
        <w:rPr>
          <w:rFonts w:ascii="仿宋_GB2312" w:eastAsia="仿宋_GB2312"/>
          <w:color w:val="auto"/>
          <w:sz w:val="32"/>
          <w:szCs w:val="32"/>
        </w:rPr>
        <w:t>贯彻执行党和国家教育</w:t>
      </w:r>
      <w:r>
        <w:rPr>
          <w:rFonts w:hint="eastAsia" w:ascii="仿宋_GB2312" w:eastAsia="仿宋_GB2312"/>
          <w:color w:val="auto"/>
          <w:sz w:val="32"/>
          <w:szCs w:val="32"/>
          <w:lang w:eastAsia="zh-CN"/>
        </w:rPr>
        <w:t>教学的职能，全面培养学生成为德智体美劳全方面发展的共产党接班人</w:t>
      </w:r>
      <w:r>
        <w:rPr>
          <w:rFonts w:ascii="仿宋_GB2312" w:eastAsia="仿宋_GB2312"/>
          <w:color w:val="auto"/>
          <w:sz w:val="32"/>
          <w:szCs w:val="32"/>
        </w:rPr>
        <w:t>。</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left"/>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为</w:t>
      </w:r>
      <w:r>
        <w:rPr>
          <w:rFonts w:ascii="仿宋_GB2312" w:eastAsia="仿宋_GB2312"/>
          <w:color w:val="auto"/>
          <w:sz w:val="32"/>
          <w:szCs w:val="32"/>
        </w:rPr>
        <w:t>教育</w:t>
      </w:r>
      <w:r>
        <w:rPr>
          <w:rFonts w:hint="eastAsia" w:ascii="仿宋_GB2312" w:eastAsia="仿宋_GB2312"/>
          <w:color w:val="auto"/>
          <w:sz w:val="32"/>
          <w:szCs w:val="32"/>
          <w:lang w:eastAsia="zh-CN"/>
        </w:rPr>
        <w:t>工作做出贡献、合理使用</w:t>
      </w:r>
      <w:r>
        <w:rPr>
          <w:rFonts w:ascii="仿宋_GB2312" w:eastAsia="仿宋_GB2312"/>
          <w:color w:val="auto"/>
          <w:sz w:val="32"/>
          <w:szCs w:val="32"/>
        </w:rPr>
        <w:t>教育经费</w:t>
      </w:r>
      <w:r>
        <w:rPr>
          <w:rFonts w:hint="eastAsia" w:ascii="仿宋_GB2312" w:eastAsia="仿宋_GB2312"/>
          <w:color w:val="auto"/>
          <w:sz w:val="32"/>
          <w:szCs w:val="32"/>
          <w:lang w:eastAsia="zh-CN"/>
        </w:rPr>
        <w:t>、管理好教育经费</w:t>
      </w:r>
      <w:r>
        <w:rPr>
          <w:rFonts w:ascii="仿宋_GB2312" w:eastAsia="仿宋_GB2312"/>
          <w:color w:val="auto"/>
          <w:sz w:val="32"/>
          <w:szCs w:val="32"/>
        </w:rPr>
        <w:t>，</w:t>
      </w:r>
      <w:r>
        <w:rPr>
          <w:rFonts w:hint="eastAsia" w:ascii="仿宋_GB2312" w:eastAsia="仿宋_GB2312"/>
          <w:color w:val="auto"/>
          <w:sz w:val="32"/>
          <w:szCs w:val="32"/>
          <w:lang w:eastAsia="zh-CN"/>
        </w:rPr>
        <w:t>让</w:t>
      </w:r>
      <w:r>
        <w:rPr>
          <w:rFonts w:ascii="仿宋_GB2312" w:eastAsia="仿宋_GB2312"/>
          <w:color w:val="auto"/>
          <w:sz w:val="32"/>
          <w:szCs w:val="32"/>
        </w:rPr>
        <w:t>教育经费</w:t>
      </w:r>
      <w:r>
        <w:rPr>
          <w:rFonts w:hint="eastAsia" w:ascii="仿宋_GB2312" w:eastAsia="仿宋_GB2312"/>
          <w:color w:val="auto"/>
          <w:sz w:val="32"/>
          <w:szCs w:val="32"/>
          <w:lang w:eastAsia="zh-CN"/>
        </w:rPr>
        <w:t>全部用于学生</w:t>
      </w:r>
      <w:r>
        <w:rPr>
          <w:rFonts w:ascii="仿宋_GB2312" w:eastAsia="仿宋_GB2312"/>
          <w:color w:val="auto"/>
          <w:sz w:val="32"/>
          <w:szCs w:val="32"/>
        </w:rPr>
        <w:t>、</w:t>
      </w:r>
      <w:r>
        <w:rPr>
          <w:rFonts w:hint="eastAsia" w:ascii="仿宋_GB2312" w:eastAsia="仿宋_GB2312"/>
          <w:color w:val="auto"/>
          <w:sz w:val="32"/>
          <w:szCs w:val="32"/>
          <w:lang w:eastAsia="zh-CN"/>
        </w:rPr>
        <w:t>改善</w:t>
      </w:r>
      <w:r>
        <w:rPr>
          <w:rFonts w:ascii="仿宋_GB2312" w:eastAsia="仿宋_GB2312"/>
          <w:color w:val="auto"/>
          <w:sz w:val="32"/>
          <w:szCs w:val="32"/>
        </w:rPr>
        <w:t>教育</w:t>
      </w:r>
      <w:r>
        <w:rPr>
          <w:rFonts w:hint="eastAsia" w:ascii="仿宋_GB2312" w:eastAsia="仿宋_GB2312"/>
          <w:color w:val="auto"/>
          <w:sz w:val="32"/>
          <w:szCs w:val="32"/>
          <w:lang w:eastAsia="zh-CN"/>
        </w:rPr>
        <w:t>教育条件，改善学校基础建设</w:t>
      </w:r>
      <w:r>
        <w:rPr>
          <w:rFonts w:ascii="仿宋_GB2312" w:eastAsia="仿宋_GB2312"/>
          <w:color w:val="auto"/>
          <w:sz w:val="32"/>
          <w:szCs w:val="32"/>
        </w:rPr>
        <w:t>；贯彻执行国家和省市有关学生</w:t>
      </w:r>
      <w:r>
        <w:rPr>
          <w:rFonts w:hint="eastAsia" w:ascii="仿宋_GB2312" w:eastAsia="仿宋_GB2312"/>
          <w:color w:val="auto"/>
          <w:sz w:val="32"/>
          <w:szCs w:val="32"/>
          <w:lang w:eastAsia="zh-CN"/>
        </w:rPr>
        <w:t>的</w:t>
      </w:r>
      <w:r>
        <w:rPr>
          <w:rFonts w:ascii="仿宋_GB2312" w:eastAsia="仿宋_GB2312"/>
          <w:color w:val="auto"/>
          <w:sz w:val="32"/>
          <w:szCs w:val="32"/>
        </w:rPr>
        <w:t>资助工作，</w:t>
      </w:r>
      <w:r>
        <w:rPr>
          <w:rFonts w:hint="eastAsia" w:ascii="仿宋_GB2312" w:eastAsia="仿宋_GB2312"/>
          <w:color w:val="auto"/>
          <w:sz w:val="32"/>
          <w:szCs w:val="32"/>
          <w:lang w:eastAsia="zh-CN"/>
        </w:rPr>
        <w:t>实施学校</w:t>
      </w:r>
      <w:r>
        <w:rPr>
          <w:rFonts w:ascii="仿宋_GB2312" w:eastAsia="仿宋_GB2312"/>
          <w:color w:val="auto"/>
          <w:sz w:val="32"/>
          <w:szCs w:val="32"/>
        </w:rPr>
        <w:t>贫困家庭学生资助工作。</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left"/>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推进义务教育均衡发展和促进教育公平，义务教育全面实施素质教育。</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left"/>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ascii="仿宋_GB2312" w:eastAsia="仿宋_GB2312"/>
          <w:color w:val="auto"/>
          <w:sz w:val="32"/>
          <w:szCs w:val="32"/>
        </w:rPr>
        <w:t>学校</w:t>
      </w:r>
      <w:r>
        <w:rPr>
          <w:rFonts w:hint="eastAsia" w:ascii="仿宋_GB2312" w:eastAsia="仿宋_GB2312"/>
          <w:color w:val="auto"/>
          <w:sz w:val="32"/>
          <w:szCs w:val="32"/>
          <w:lang w:eastAsia="zh-CN"/>
        </w:rPr>
        <w:t>职能还包括</w:t>
      </w:r>
      <w:r>
        <w:rPr>
          <w:rFonts w:ascii="仿宋_GB2312" w:eastAsia="仿宋_GB2312"/>
          <w:color w:val="auto"/>
          <w:sz w:val="32"/>
          <w:szCs w:val="32"/>
        </w:rPr>
        <w:t xml:space="preserve">的依法治校、安全、综合治理、档案、保密工作。 </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left"/>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lang w:eastAsia="zh-CN"/>
        </w:rPr>
        <w:t>学校</w:t>
      </w:r>
      <w:r>
        <w:rPr>
          <w:rFonts w:ascii="仿宋_GB2312" w:eastAsia="仿宋_GB2312"/>
          <w:color w:val="auto"/>
          <w:sz w:val="32"/>
          <w:szCs w:val="32"/>
        </w:rPr>
        <w:t xml:space="preserve">管理和学校体育、卫生与艺术教育工作。 </w:t>
      </w:r>
    </w:p>
    <w:p>
      <w:pPr>
        <w:keepNext w:val="0"/>
        <w:keepLines w:val="0"/>
        <w:pageBreakBefore w:val="0"/>
        <w:widowControl w:val="0"/>
        <w:kinsoku/>
        <w:wordWrap/>
        <w:overflowPunct/>
        <w:topLinePunct w:val="0"/>
        <w:autoSpaceDE/>
        <w:autoSpaceDN/>
        <w:bidi w:val="0"/>
        <w:snapToGrid w:val="0"/>
        <w:spacing w:line="576" w:lineRule="exact"/>
        <w:ind w:firstLine="640" w:firstLineChars="200"/>
        <w:jc w:val="left"/>
        <w:textAlignment w:val="auto"/>
        <w:rPr>
          <w:rFonts w:hint="eastAsia"/>
          <w:lang w:eastAsia="zh-CN"/>
        </w:rPr>
      </w:pPr>
      <w:r>
        <w:rPr>
          <w:rFonts w:hint="eastAsia" w:ascii="仿宋_GB2312" w:eastAsia="仿宋_GB2312"/>
          <w:color w:val="auto"/>
          <w:sz w:val="32"/>
          <w:szCs w:val="32"/>
          <w:lang w:val="en-US" w:eastAsia="zh-CN"/>
        </w:rPr>
        <w:t>6.</w:t>
      </w:r>
      <w:r>
        <w:rPr>
          <w:rFonts w:ascii="仿宋_GB2312" w:eastAsia="仿宋_GB2312"/>
          <w:color w:val="auto"/>
          <w:sz w:val="32"/>
          <w:szCs w:val="32"/>
        </w:rPr>
        <w:t>承办上级交办的其他事项</w:t>
      </w:r>
      <w:r>
        <w:rPr>
          <w:rFonts w:hint="eastAsia" w:ascii="仿宋_GB2312" w:eastAsia="仿宋_GB2312"/>
          <w:color w:val="auto"/>
          <w:sz w:val="32"/>
          <w:szCs w:val="32"/>
        </w:rPr>
        <w:t>。</w:t>
      </w:r>
    </w:p>
    <w:p>
      <w:pPr>
        <w:pStyle w:val="4"/>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bookmarkEnd w:id="14"/>
    <w:bookmarkEnd w:id="15"/>
    <w:p>
      <w:pPr>
        <w:keepNext w:val="0"/>
        <w:keepLines w:val="0"/>
        <w:pageBreakBefore w:val="0"/>
        <w:widowControl w:val="0"/>
        <w:numPr>
          <w:ilvl w:val="0"/>
          <w:numId w:val="0"/>
        </w:numPr>
        <w:kinsoku/>
        <w:wordWrap/>
        <w:overflowPunct/>
        <w:topLinePunct w:val="0"/>
        <w:autoSpaceDE/>
        <w:autoSpaceDN/>
        <w:bidi w:val="0"/>
        <w:snapToGrid w:val="0"/>
        <w:spacing w:line="576" w:lineRule="exact"/>
        <w:ind w:firstLine="640" w:firstLineChars="200"/>
        <w:textAlignment w:val="auto"/>
        <w:rPr>
          <w:rFonts w:hint="eastAsia" w:ascii="仿宋_GB2312" w:eastAsia="仿宋_GB2312"/>
          <w:color w:val="auto"/>
          <w:sz w:val="32"/>
          <w:szCs w:val="32"/>
          <w:lang w:val="en-US" w:eastAsia="zh-CN"/>
        </w:rPr>
      </w:pPr>
      <w:r>
        <w:rPr>
          <w:rFonts w:ascii="仿宋" w:hAnsi="仿宋" w:eastAsia="仿宋"/>
          <w:color w:val="auto"/>
          <w:sz w:val="32"/>
          <w:szCs w:val="32"/>
          <w:highlight w:val="none"/>
        </w:rPr>
        <w:br w:type="page"/>
      </w:r>
      <w:r>
        <w:rPr>
          <w:rFonts w:hint="eastAsia" w:ascii="仿宋_GB2312" w:eastAsia="仿宋_GB2312"/>
          <w:color w:val="auto"/>
          <w:sz w:val="32"/>
          <w:szCs w:val="32"/>
          <w:lang w:eastAsia="zh-CN"/>
        </w:rPr>
        <w:t>广元市利州区万达实验学校</w:t>
      </w:r>
      <w:r>
        <w:rPr>
          <w:rFonts w:hint="eastAsia" w:ascii="仿宋_GB2312" w:eastAsia="仿宋_GB2312"/>
          <w:color w:val="auto"/>
          <w:sz w:val="32"/>
          <w:szCs w:val="32"/>
          <w:lang w:val="en-US" w:eastAsia="zh-CN"/>
        </w:rPr>
        <w:t>为广元市利州区教育局下属二级预算单位</w:t>
      </w:r>
      <w:r>
        <w:rPr>
          <w:rFonts w:hint="eastAsia" w:ascii="仿宋_GB2312" w:eastAsia="仿宋_GB2312"/>
          <w:color w:val="auto"/>
          <w:sz w:val="32"/>
          <w:szCs w:val="32"/>
        </w:rPr>
        <w:t>。</w:t>
      </w:r>
      <w:r>
        <w:rPr>
          <w:rFonts w:hint="eastAsia" w:ascii="仿宋_GB2312" w:eastAsia="仿宋_GB2312"/>
          <w:color w:val="auto"/>
          <w:sz w:val="32"/>
          <w:szCs w:val="32"/>
          <w:lang w:eastAsia="zh-CN"/>
        </w:rPr>
        <w:t>成立于</w:t>
      </w:r>
      <w:r>
        <w:rPr>
          <w:rFonts w:hint="eastAsia" w:ascii="仿宋_GB2312" w:eastAsia="仿宋_GB2312"/>
          <w:color w:val="auto"/>
          <w:sz w:val="32"/>
          <w:szCs w:val="32"/>
          <w:lang w:val="en-US" w:eastAsia="zh-CN"/>
        </w:rPr>
        <w:t>2021年9月，</w:t>
      </w:r>
      <w:r>
        <w:rPr>
          <w:rFonts w:hint="eastAsia" w:ascii="仿宋_GB2312" w:eastAsia="仿宋_GB2312"/>
          <w:color w:val="auto"/>
          <w:sz w:val="32"/>
          <w:szCs w:val="32"/>
        </w:rPr>
        <w:t>总编制</w:t>
      </w:r>
      <w:r>
        <w:rPr>
          <w:rFonts w:hint="eastAsia" w:ascii="仿宋" w:hAnsi="仿宋" w:eastAsia="仿宋" w:cs="仿宋"/>
          <w:color w:val="auto"/>
          <w:sz w:val="32"/>
          <w:szCs w:val="32"/>
          <w:lang w:val="en-US" w:eastAsia="zh-CN"/>
        </w:rPr>
        <w:t>305</w:t>
      </w:r>
      <w:r>
        <w:rPr>
          <w:rFonts w:hint="eastAsia" w:ascii="仿宋_GB2312" w:eastAsia="仿宋_GB2312"/>
          <w:color w:val="auto"/>
          <w:sz w:val="32"/>
          <w:szCs w:val="32"/>
        </w:rPr>
        <w:t>名，事业编制</w:t>
      </w:r>
      <w:r>
        <w:rPr>
          <w:rFonts w:hint="eastAsia" w:ascii="仿宋" w:hAnsi="仿宋" w:eastAsia="仿宋" w:cs="仿宋"/>
          <w:color w:val="auto"/>
          <w:sz w:val="32"/>
          <w:szCs w:val="32"/>
          <w:lang w:val="en-US" w:eastAsia="zh-CN"/>
        </w:rPr>
        <w:t>305</w:t>
      </w:r>
      <w:r>
        <w:rPr>
          <w:rFonts w:hint="eastAsia" w:ascii="仿宋_GB2312" w:eastAsia="仿宋_GB2312"/>
          <w:color w:val="auto"/>
          <w:sz w:val="32"/>
          <w:szCs w:val="32"/>
        </w:rPr>
        <w:t>名。在职人员总数</w:t>
      </w:r>
      <w:r>
        <w:rPr>
          <w:rFonts w:hint="eastAsia" w:ascii="仿宋" w:hAnsi="仿宋" w:eastAsia="仿宋" w:cs="仿宋"/>
          <w:color w:val="auto"/>
          <w:sz w:val="32"/>
          <w:szCs w:val="32"/>
          <w:lang w:val="en-US" w:eastAsia="zh-CN"/>
        </w:rPr>
        <w:t>259</w:t>
      </w:r>
      <w:r>
        <w:rPr>
          <w:rFonts w:hint="eastAsia" w:ascii="仿宋_GB2312" w:eastAsia="仿宋_GB2312"/>
          <w:color w:val="auto"/>
          <w:sz w:val="32"/>
          <w:szCs w:val="32"/>
        </w:rPr>
        <w:t>人，其中：</w:t>
      </w:r>
      <w:r>
        <w:rPr>
          <w:rFonts w:hint="eastAsia" w:ascii="仿宋_GB2312" w:eastAsia="仿宋_GB2312"/>
          <w:color w:val="auto"/>
          <w:sz w:val="32"/>
          <w:szCs w:val="32"/>
          <w:lang w:eastAsia="zh-CN"/>
        </w:rPr>
        <w:t>专业技术事业</w:t>
      </w:r>
      <w:r>
        <w:rPr>
          <w:rFonts w:hint="eastAsia" w:ascii="仿宋_GB2312" w:eastAsia="仿宋_GB2312"/>
          <w:color w:val="auto"/>
          <w:sz w:val="32"/>
          <w:szCs w:val="32"/>
        </w:rPr>
        <w:t>人员</w:t>
      </w:r>
      <w:r>
        <w:rPr>
          <w:rFonts w:hint="eastAsia" w:ascii="仿宋" w:hAnsi="仿宋" w:eastAsia="仿宋" w:cs="仿宋"/>
          <w:color w:val="auto"/>
          <w:sz w:val="32"/>
          <w:szCs w:val="32"/>
          <w:lang w:val="en-US" w:eastAsia="zh-CN"/>
        </w:rPr>
        <w:t>259</w:t>
      </w:r>
      <w:r>
        <w:rPr>
          <w:rFonts w:hint="eastAsia" w:ascii="仿宋_GB2312" w:eastAsia="仿宋_GB2312"/>
          <w:color w:val="auto"/>
          <w:sz w:val="32"/>
          <w:szCs w:val="32"/>
        </w:rPr>
        <w:t>人；退休人员</w:t>
      </w:r>
      <w:r>
        <w:rPr>
          <w:rFonts w:hint="eastAsia" w:ascii="仿宋" w:hAnsi="仿宋" w:eastAsia="仿宋" w:cs="仿宋"/>
          <w:color w:val="auto"/>
          <w:sz w:val="32"/>
          <w:szCs w:val="32"/>
          <w:lang w:val="en-US" w:eastAsia="zh-CN"/>
        </w:rPr>
        <w:t>21</w:t>
      </w:r>
      <w:r>
        <w:rPr>
          <w:rFonts w:hint="eastAsia" w:ascii="仿宋_GB2312" w:eastAsia="仿宋_GB2312"/>
          <w:color w:val="auto"/>
          <w:sz w:val="32"/>
          <w:szCs w:val="32"/>
        </w:rPr>
        <w:t>人。</w:t>
      </w:r>
      <w:r>
        <w:rPr>
          <w:rFonts w:hint="eastAsia" w:ascii="仿宋_GB2312" w:eastAsia="仿宋_GB2312"/>
          <w:color w:val="auto"/>
          <w:sz w:val="32"/>
          <w:szCs w:val="32"/>
          <w:lang w:val="en-US" w:eastAsia="zh-CN"/>
        </w:rPr>
        <w:t>下设各处室15个，分别是党政办公室、教学质量管理中心、学生德育管理中心、后勤服务中心、安全办公室、教师发展中心、信息中心、团委、社工部、工会办公室、艺体中心、实验中心、科创中心、财务室。</w:t>
      </w:r>
    </w:p>
    <w:p>
      <w:pPr>
        <w:pStyle w:val="3"/>
        <w:ind w:right="440"/>
        <w:jc w:val="center"/>
        <w:rPr>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16"/>
      <w:bookmarkEnd w:id="17"/>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w:t>
      </w:r>
      <w:r>
        <w:rPr>
          <w:rFonts w:hint="eastAsia" w:ascii="仿宋" w:hAnsi="仿宋" w:eastAsia="仿宋"/>
          <w:color w:val="auto"/>
          <w:sz w:val="32"/>
          <w:szCs w:val="32"/>
          <w:highlight w:val="none"/>
          <w:lang w:val="en-US" w:eastAsia="zh-CN"/>
        </w:rPr>
        <w:t>总</w:t>
      </w:r>
      <w:r>
        <w:rPr>
          <w:rFonts w:hint="eastAsia" w:ascii="仿宋" w:hAnsi="仿宋" w:eastAsia="仿宋"/>
          <w:color w:val="auto"/>
          <w:sz w:val="32"/>
          <w:szCs w:val="32"/>
          <w:highlight w:val="none"/>
        </w:rPr>
        <w:t>收、支</w:t>
      </w:r>
      <w:r>
        <w:rPr>
          <w:rFonts w:hint="eastAsia" w:ascii="仿宋" w:hAnsi="仿宋" w:eastAsia="仿宋"/>
          <w:color w:val="auto"/>
          <w:sz w:val="32"/>
          <w:szCs w:val="32"/>
          <w:highlight w:val="none"/>
          <w:lang w:val="en-US" w:eastAsia="zh-CN"/>
        </w:rPr>
        <w:t>为：4629.46</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3195.28</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222.79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2021年学校9月份成立决算只有4个月，2022年决算数据为整年</w:t>
      </w:r>
      <w:r>
        <w:rPr>
          <w:rFonts w:hint="eastAsia" w:ascii="仿宋" w:hAnsi="仿宋" w:eastAsia="仿宋"/>
          <w:color w:val="auto"/>
          <w:sz w:val="32"/>
          <w:szCs w:val="32"/>
          <w:highlight w:val="none"/>
          <w:lang w:eastAsia="zh-CN"/>
        </w:rPr>
        <w:t>。</w:t>
      </w:r>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59264" behindDoc="0" locked="0" layoutInCell="1" allowOverlap="1">
            <wp:simplePos x="0" y="0"/>
            <wp:positionH relativeFrom="column">
              <wp:posOffset>177165</wp:posOffset>
            </wp:positionH>
            <wp:positionV relativeFrom="paragraph">
              <wp:posOffset>160020</wp:posOffset>
            </wp:positionV>
            <wp:extent cx="4643120" cy="2279650"/>
            <wp:effectExtent l="4445" t="4445" r="19685" b="2095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ind w:firstLine="640" w:firstLineChars="200"/>
        <w:jc w:val="left"/>
        <w:rPr>
          <w:rFonts w:ascii="仿宋_GB2312" w:eastAsia="仿宋_GB2312"/>
          <w:color w:val="auto"/>
          <w:sz w:val="32"/>
          <w:szCs w:val="32"/>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60288" behindDoc="0" locked="0" layoutInCell="1" allowOverlap="1">
            <wp:simplePos x="0" y="0"/>
            <wp:positionH relativeFrom="column">
              <wp:posOffset>-29845</wp:posOffset>
            </wp:positionH>
            <wp:positionV relativeFrom="paragraph">
              <wp:posOffset>1607185</wp:posOffset>
            </wp:positionV>
            <wp:extent cx="5256530" cy="2988310"/>
            <wp:effectExtent l="5080" t="4445" r="15240" b="1714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年本年收入合计4225.81万元，其中：一般公共预算财政拨款收入</w:t>
      </w:r>
      <w:r>
        <w:rPr>
          <w:rFonts w:hint="eastAsia" w:ascii="仿宋" w:hAnsi="仿宋" w:eastAsia="仿宋"/>
          <w:color w:val="auto"/>
          <w:sz w:val="32"/>
          <w:szCs w:val="32"/>
          <w:highlight w:val="none"/>
          <w:lang w:val="en-US" w:eastAsia="zh-CN"/>
        </w:rPr>
        <w:t>3915.19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92.65</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；事业收入309.06万元，占</w:t>
      </w:r>
      <w:r>
        <w:rPr>
          <w:rFonts w:hint="eastAsia" w:ascii="仿宋" w:hAnsi="仿宋" w:eastAsia="仿宋"/>
          <w:color w:val="auto"/>
          <w:sz w:val="32"/>
          <w:szCs w:val="32"/>
          <w:highlight w:val="none"/>
          <w:lang w:val="en-US" w:eastAsia="zh-CN"/>
        </w:rPr>
        <w:t>7.31</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；其他收入1.56万元，占</w:t>
      </w:r>
      <w:r>
        <w:rPr>
          <w:rFonts w:hint="eastAsia" w:ascii="仿宋" w:hAnsi="仿宋" w:eastAsia="仿宋"/>
          <w:color w:val="auto"/>
          <w:sz w:val="32"/>
          <w:szCs w:val="32"/>
          <w:highlight w:val="none"/>
          <w:lang w:val="en-US" w:eastAsia="zh-CN"/>
        </w:rPr>
        <w:t>0.04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spacing w:line="600" w:lineRule="exact"/>
        <w:rPr>
          <w:rFonts w:hint="eastAsia" w:ascii="仿宋" w:hAnsi="仿宋" w:eastAsia="仿宋"/>
          <w:color w:val="auto"/>
          <w:sz w:val="32"/>
          <w:szCs w:val="32"/>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年本年支出合计4629.46万元，其中：基本支出4077.35万元，占</w:t>
      </w:r>
      <w:r>
        <w:rPr>
          <w:rFonts w:hint="eastAsia" w:ascii="仿宋" w:hAnsi="仿宋" w:eastAsia="仿宋"/>
          <w:color w:val="auto"/>
          <w:sz w:val="32"/>
          <w:szCs w:val="32"/>
          <w:highlight w:val="none"/>
          <w:lang w:val="en-US" w:eastAsia="zh-CN"/>
        </w:rPr>
        <w:t>88.07</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；项目支出552.10万元，占</w:t>
      </w:r>
      <w:r>
        <w:rPr>
          <w:rFonts w:hint="eastAsia" w:ascii="仿宋" w:hAnsi="仿宋" w:eastAsia="仿宋"/>
          <w:color w:val="auto"/>
          <w:sz w:val="32"/>
          <w:szCs w:val="32"/>
          <w:highlight w:val="none"/>
          <w:lang w:val="en-US" w:eastAsia="zh-CN"/>
        </w:rPr>
        <w:t>11.93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outlineLvl w:val="1"/>
        <w:rPr>
          <w:rFonts w:hint="eastAsia" w:ascii="仿宋" w:hAnsi="仿宋" w:eastAsia="仿宋"/>
          <w:b/>
          <w:color w:val="auto"/>
          <w:sz w:val="32"/>
          <w:szCs w:val="32"/>
          <w:highlight w:val="none"/>
        </w:rPr>
      </w:pPr>
    </w:p>
    <w:p>
      <w:pPr>
        <w:spacing w:line="600" w:lineRule="exact"/>
        <w:outlineLvl w:val="1"/>
        <w:rPr>
          <w:rFonts w:hint="eastAsia" w:ascii="黑体" w:hAnsi="黑体" w:eastAsia="黑体"/>
          <w:color w:val="auto"/>
          <w:sz w:val="32"/>
          <w:szCs w:val="32"/>
          <w:highlight w:val="none"/>
        </w:rPr>
      </w:pPr>
      <w:r>
        <w:rPr>
          <w:rFonts w:hint="eastAsia" w:ascii="仿宋" w:hAnsi="仿宋" w:eastAsia="仿宋"/>
          <w:color w:val="auto"/>
          <w:sz w:val="32"/>
          <w:szCs w:val="32"/>
          <w:highlight w:val="none"/>
          <w:shd w:val="clear" w:color="auto" w:fill="auto"/>
          <w:lang w:eastAsia="zh-CN"/>
        </w:rPr>
        <w:drawing>
          <wp:anchor distT="0" distB="0" distL="114300" distR="114300" simplePos="0" relativeHeight="251661312" behindDoc="1" locked="0" layoutInCell="1" allowOverlap="1">
            <wp:simplePos x="0" y="0"/>
            <wp:positionH relativeFrom="column">
              <wp:posOffset>7620</wp:posOffset>
            </wp:positionH>
            <wp:positionV relativeFrom="paragraph">
              <wp:posOffset>170180</wp:posOffset>
            </wp:positionV>
            <wp:extent cx="5256530" cy="2988310"/>
            <wp:effectExtent l="5080" t="4445" r="15240" b="17145"/>
            <wp:wrapTight wrapText="bothSides">
              <wp:wrapPolygon>
                <wp:start x="-21" y="-32"/>
                <wp:lineTo x="-21" y="21449"/>
                <wp:lineTo x="21506" y="21449"/>
                <wp:lineTo x="21506" y="-32"/>
                <wp:lineTo x="-21" y="-32"/>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auto"/>
          <w:sz w:val="32"/>
          <w:szCs w:val="32"/>
          <w:highlight w:val="none"/>
          <w:shd w:val="clear" w:color="auto" w:fill="auto"/>
          <w:lang w:val="en-US" w:eastAsia="zh-CN"/>
        </w:rPr>
        <w:t xml:space="preserve">          </w:t>
      </w:r>
      <w:r>
        <w:rPr>
          <w:rFonts w:hint="eastAsia" w:ascii="仿宋" w:hAnsi="仿宋" w:eastAsia="仿宋"/>
          <w:color w:val="auto"/>
          <w:sz w:val="32"/>
          <w:szCs w:val="32"/>
          <w:highlight w:val="none"/>
        </w:rPr>
        <w:t>（图3：支出决算结构图）（饼状图）</w:t>
      </w:r>
      <w:bookmarkStart w:id="24" w:name="_Toc15377208"/>
      <w:bookmarkStart w:id="25" w:name="_Toc15396606"/>
    </w:p>
    <w:p>
      <w:pPr>
        <w:spacing w:line="600" w:lineRule="exact"/>
        <w:ind w:firstLine="640" w:firstLineChars="200"/>
        <w:outlineLvl w:val="1"/>
        <w:rPr>
          <w:rStyle w:val="25"/>
          <w:rFonts w:ascii="黑体" w:hAnsi="黑体" w:eastAsia="黑体"/>
          <w:b w:val="0"/>
          <w:color w:val="auto"/>
          <w:highlight w:val="none"/>
        </w:rPr>
      </w:pPr>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24"/>
      <w:bookmarkEnd w:id="25"/>
    </w:p>
    <w:p>
      <w:pPr>
        <w:spacing w:line="600" w:lineRule="exact"/>
        <w:ind w:firstLine="64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4318.84</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2960.00</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217.83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2021年学校9月份成立决算只有4个月，2022年决算数据为整年</w:t>
      </w:r>
      <w:r>
        <w:rPr>
          <w:rFonts w:hint="eastAsia" w:ascii="仿宋" w:hAnsi="仿宋" w:eastAsia="仿宋"/>
          <w:color w:val="auto"/>
          <w:sz w:val="32"/>
          <w:szCs w:val="32"/>
          <w:highlight w:val="none"/>
          <w:lang w:eastAsia="zh-CN"/>
        </w:rPr>
        <w:t>。</w:t>
      </w:r>
    </w:p>
    <w:p>
      <w:pPr>
        <w:spacing w:line="600" w:lineRule="exact"/>
        <w:ind w:firstLine="640"/>
        <w:rPr>
          <w:rFonts w:ascii="仿宋" w:hAnsi="仿宋" w:eastAsia="仿宋"/>
          <w:b/>
          <w:color w:val="auto"/>
          <w:sz w:val="32"/>
          <w:szCs w:val="32"/>
          <w:highlight w:val="none"/>
        </w:rPr>
      </w:pPr>
    </w:p>
    <w:p>
      <w:pPr>
        <w:spacing w:line="600" w:lineRule="exact"/>
        <w:rPr>
          <w:rFonts w:ascii="仿宋" w:hAnsi="仿宋" w:eastAsia="仿宋"/>
          <w:b/>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2336" behindDoc="0" locked="0" layoutInCell="1" allowOverlap="1">
            <wp:simplePos x="0" y="0"/>
            <wp:positionH relativeFrom="column">
              <wp:posOffset>311150</wp:posOffset>
            </wp:positionH>
            <wp:positionV relativeFrom="paragraph">
              <wp:posOffset>92075</wp:posOffset>
            </wp:positionV>
            <wp:extent cx="4643120" cy="2279650"/>
            <wp:effectExtent l="4445" t="4445" r="19685" b="2095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（图4：财政拨款收、支决算总计变动情况）（柱状图）</w:t>
      </w:r>
    </w:p>
    <w:p>
      <w:pPr>
        <w:spacing w:line="600" w:lineRule="exact"/>
        <w:ind w:firstLine="640" w:firstLineChars="200"/>
        <w:outlineLvl w:val="1"/>
        <w:rPr>
          <w:rStyle w:val="25"/>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26"/>
      <w:bookmarkEnd w:id="27"/>
    </w:p>
    <w:p>
      <w:pPr>
        <w:spacing w:line="600" w:lineRule="exact"/>
        <w:ind w:firstLine="642"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年一般公共预算财政拨款支出4318.84万元，占本年支出合计的</w:t>
      </w:r>
      <w:r>
        <w:rPr>
          <w:rFonts w:hint="eastAsia" w:ascii="仿宋" w:hAnsi="仿宋" w:eastAsia="仿宋"/>
          <w:color w:val="auto"/>
          <w:sz w:val="32"/>
          <w:szCs w:val="32"/>
          <w:highlight w:val="none"/>
          <w:lang w:val="en-US" w:eastAsia="zh-CN"/>
        </w:rPr>
        <w:t>93.65</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2960.00</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217.83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2021年学校9月份成立决算只有4个月，2022年决算数据为整年</w:t>
      </w:r>
      <w:r>
        <w:rPr>
          <w:rFonts w:hint="eastAsia" w:ascii="仿宋" w:hAnsi="仿宋" w:eastAsia="仿宋"/>
          <w:color w:val="auto"/>
          <w:sz w:val="32"/>
          <w:szCs w:val="32"/>
          <w:highlight w:val="none"/>
          <w:lang w:eastAsia="zh-CN"/>
        </w:rPr>
        <w:t>。</w:t>
      </w:r>
    </w:p>
    <w:p>
      <w:pPr>
        <w:spacing w:line="600" w:lineRule="exact"/>
        <w:ind w:firstLine="64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63360" behindDoc="0" locked="0" layoutInCell="1" allowOverlap="1">
            <wp:simplePos x="0" y="0"/>
            <wp:positionH relativeFrom="column">
              <wp:posOffset>398145</wp:posOffset>
            </wp:positionH>
            <wp:positionV relativeFrom="paragraph">
              <wp:posOffset>145415</wp:posOffset>
            </wp:positionV>
            <wp:extent cx="4643120" cy="2279650"/>
            <wp:effectExtent l="4445" t="4445" r="19685" b="2095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rPr>
          <w:rFonts w:hint="eastAsia"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642"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年一般公共预算财政拨款支出4318.84万元，主要用于以下方面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rPr>
        <w:t>4311.86万元，占</w:t>
      </w:r>
      <w:r>
        <w:rPr>
          <w:rFonts w:hint="eastAsia" w:ascii="仿宋" w:hAnsi="仿宋" w:eastAsia="仿宋"/>
          <w:color w:val="auto"/>
          <w:sz w:val="32"/>
          <w:szCs w:val="32"/>
          <w:highlight w:val="none"/>
          <w:lang w:val="en-US" w:eastAsia="zh-CN"/>
        </w:rPr>
        <w:t>99.84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rPr>
        <w:t>6.98万元，占</w:t>
      </w:r>
      <w:r>
        <w:rPr>
          <w:rFonts w:hint="eastAsia" w:ascii="仿宋" w:hAnsi="仿宋" w:eastAsia="仿宋"/>
          <w:color w:val="auto"/>
          <w:sz w:val="32"/>
          <w:szCs w:val="32"/>
          <w:highlight w:val="none"/>
          <w:lang w:val="en-US" w:eastAsia="zh-CN"/>
        </w:rPr>
        <w:t>0.16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hint="eastAsia" w:ascii="仿宋" w:hAnsi="仿宋" w:eastAsia="仿宋"/>
          <w:b/>
          <w:color w:val="auto"/>
          <w:sz w:val="32"/>
          <w:szCs w:val="32"/>
          <w:highlight w:val="none"/>
        </w:rPr>
      </w:pPr>
    </w:p>
    <w:p>
      <w:pPr>
        <w:spacing w:line="600" w:lineRule="exact"/>
        <w:ind w:firstLine="640"/>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drawing>
          <wp:anchor distT="0" distB="0" distL="114300" distR="114300" simplePos="0" relativeHeight="251664384" behindDoc="0" locked="0" layoutInCell="1" allowOverlap="1">
            <wp:simplePos x="0" y="0"/>
            <wp:positionH relativeFrom="column">
              <wp:posOffset>157480</wp:posOffset>
            </wp:positionH>
            <wp:positionV relativeFrom="paragraph">
              <wp:posOffset>84455</wp:posOffset>
            </wp:positionV>
            <wp:extent cx="5256530" cy="2988310"/>
            <wp:effectExtent l="5080" t="4445" r="15240" b="17145"/>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color w:val="auto"/>
          <w:sz w:val="32"/>
          <w:szCs w:val="32"/>
          <w:highlight w:val="none"/>
        </w:rPr>
        <w:t>（图6：一般公共预算财政拨款支出决算结构）（饼状图）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2"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2" w:firstLineChars="200"/>
        <w:outlineLvl w:val="2"/>
        <w:rPr>
          <w:rFonts w:ascii="仿宋" w:hAnsi="仿宋" w:eastAsia="仿宋"/>
          <w:color w:val="auto"/>
          <w:sz w:val="32"/>
          <w:szCs w:val="32"/>
          <w:highlight w:val="none"/>
        </w:rPr>
      </w:pPr>
      <w:bookmarkStart w:id="31" w:name="_Toc15378460"/>
      <w:bookmarkStart w:id="32" w:name="_Toc15377213"/>
      <w:bookmarkStart w:id="33"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般公共预算支出决算数为4318.84</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1"/>
      <w:bookmarkEnd w:id="32"/>
      <w:bookmarkEnd w:id="33"/>
    </w:p>
    <w:p>
      <w:pPr>
        <w:pStyle w:val="2"/>
        <w:snapToGrid w:val="0"/>
        <w:spacing w:beforeLines="0" w:line="550" w:lineRule="exact"/>
        <w:ind w:firstLine="642" w:firstLineChars="200"/>
        <w:outlineLvl w:val="2"/>
        <w:rPr>
          <w:rStyle w:val="14"/>
          <w:rFonts w:ascii="仿宋" w:hAnsi="仿宋" w:eastAsia="仿宋"/>
          <w:b w:val="0"/>
          <w:bCs/>
          <w:color w:val="000000" w:themeColor="text1"/>
          <w:sz w:val="32"/>
          <w:szCs w:val="32"/>
          <w14:textFill>
            <w14:solidFill>
              <w14:schemeClr w14:val="tx1"/>
            </w14:solidFill>
          </w14:textFill>
        </w:rPr>
      </w:pPr>
      <w:r>
        <w:rPr>
          <w:rStyle w:val="14"/>
          <w:rFonts w:hint="eastAsia" w:ascii="仿宋" w:hAnsi="仿宋" w:eastAsia="仿宋" w:cstheme="minorBidi"/>
          <w:bCs/>
          <w:kern w:val="2"/>
          <w:sz w:val="32"/>
          <w:szCs w:val="32"/>
        </w:rPr>
        <w:t>1</w:t>
      </w:r>
      <w:r>
        <w:rPr>
          <w:rStyle w:val="14"/>
          <w:rFonts w:ascii="仿宋" w:hAnsi="仿宋" w:eastAsia="仿宋" w:cstheme="minorBidi"/>
          <w:bCs/>
          <w:kern w:val="2"/>
          <w:sz w:val="32"/>
          <w:szCs w:val="32"/>
        </w:rPr>
        <w:t>.</w:t>
      </w:r>
      <w:r>
        <w:rPr>
          <w:rStyle w:val="14"/>
          <w:rFonts w:hint="eastAsia" w:ascii="仿宋" w:hAnsi="仿宋" w:eastAsia="仿宋" w:cstheme="minorBidi"/>
          <w:bCs/>
          <w:kern w:val="2"/>
          <w:sz w:val="32"/>
          <w:szCs w:val="32"/>
        </w:rPr>
        <w:t>教育支出（类）普通教育（款）学前教育（项）</w:t>
      </w:r>
      <w:r>
        <w:rPr>
          <w:rStyle w:val="14"/>
          <w:rFonts w:ascii="仿宋" w:hAnsi="仿宋" w:eastAsia="仿宋" w:cstheme="minorBidi"/>
          <w:bCs/>
          <w:kern w:val="2"/>
          <w:sz w:val="32"/>
          <w:szCs w:val="32"/>
        </w:rPr>
        <w:t>:</w:t>
      </w:r>
      <w:r>
        <w:rPr>
          <w:rStyle w:val="14"/>
          <w:rFonts w:hint="eastAsia" w:ascii="仿宋" w:hAnsi="仿宋" w:eastAsia="仿宋"/>
          <w:b w:val="0"/>
          <w:bCs/>
          <w:sz w:val="32"/>
          <w:szCs w:val="32"/>
        </w:rPr>
        <w:t>支出决算为194.10万元，完成预算100</w:t>
      </w:r>
      <w:r>
        <w:rPr>
          <w:rStyle w:val="14"/>
          <w:rFonts w:ascii="仿宋" w:hAnsi="仿宋" w:eastAsia="仿宋"/>
          <w:b w:val="0"/>
          <w:bCs/>
          <w:sz w:val="32"/>
          <w:szCs w:val="32"/>
        </w:rPr>
        <w:t>%</w:t>
      </w:r>
      <w:r>
        <w:rPr>
          <w:rStyle w:val="14"/>
          <w:rFonts w:hint="eastAsia" w:ascii="仿宋" w:hAnsi="仿宋" w:eastAsia="仿宋"/>
          <w:b w:val="0"/>
          <w:bCs/>
          <w:color w:val="000000" w:themeColor="text1"/>
          <w:sz w:val="32"/>
          <w:szCs w:val="32"/>
          <w14:textFill>
            <w14:solidFill>
              <w14:schemeClr w14:val="tx1"/>
            </w14:solidFill>
          </w14:textFill>
        </w:rPr>
        <w:t>。</w:t>
      </w:r>
    </w:p>
    <w:p>
      <w:pPr>
        <w:pStyle w:val="2"/>
        <w:snapToGrid w:val="0"/>
        <w:spacing w:beforeLines="0" w:line="550" w:lineRule="exact"/>
        <w:ind w:firstLine="642" w:firstLineChars="200"/>
        <w:outlineLvl w:val="2"/>
        <w:rPr>
          <w:rFonts w:ascii="仿宋" w:hAnsi="仿宋" w:eastAsia="仿宋"/>
          <w:b/>
          <w:sz w:val="32"/>
          <w:szCs w:val="32"/>
        </w:rPr>
      </w:pPr>
      <w:r>
        <w:rPr>
          <w:rStyle w:val="14"/>
          <w:rFonts w:hint="eastAsia" w:ascii="仿宋" w:hAnsi="仿宋" w:eastAsia="仿宋"/>
          <w:bCs/>
          <w:sz w:val="32"/>
          <w:szCs w:val="32"/>
        </w:rPr>
        <w:t>2</w:t>
      </w:r>
      <w:r>
        <w:rPr>
          <w:rStyle w:val="14"/>
          <w:rFonts w:ascii="仿宋" w:hAnsi="仿宋" w:eastAsia="仿宋"/>
          <w:bCs/>
          <w:sz w:val="32"/>
          <w:szCs w:val="32"/>
        </w:rPr>
        <w:t>.</w:t>
      </w:r>
      <w:r>
        <w:rPr>
          <w:rStyle w:val="14"/>
          <w:rFonts w:hint="eastAsia" w:ascii="仿宋" w:hAnsi="仿宋" w:eastAsia="仿宋" w:cstheme="minorBidi"/>
          <w:bCs/>
          <w:kern w:val="2"/>
          <w:sz w:val="32"/>
          <w:szCs w:val="32"/>
        </w:rPr>
        <w:t>教育支出（类）普通教育（款）小学教育（项）</w:t>
      </w:r>
      <w:r>
        <w:rPr>
          <w:rStyle w:val="14"/>
          <w:rFonts w:ascii="仿宋" w:hAnsi="仿宋" w:eastAsia="仿宋" w:cstheme="minorBidi"/>
          <w:bCs/>
          <w:kern w:val="2"/>
          <w:sz w:val="32"/>
          <w:szCs w:val="32"/>
        </w:rPr>
        <w:t>:</w:t>
      </w:r>
      <w:r>
        <w:rPr>
          <w:rStyle w:val="14"/>
          <w:rFonts w:hint="eastAsia" w:ascii="仿宋" w:hAnsi="仿宋" w:eastAsia="仿宋"/>
          <w:b w:val="0"/>
          <w:bCs/>
          <w:sz w:val="32"/>
          <w:szCs w:val="32"/>
        </w:rPr>
        <w:t>支出决算为939.87万元，完成预算100</w:t>
      </w:r>
      <w:r>
        <w:rPr>
          <w:rStyle w:val="14"/>
          <w:rFonts w:ascii="仿宋" w:hAnsi="仿宋" w:eastAsia="仿宋"/>
          <w:b w:val="0"/>
          <w:bCs/>
          <w:sz w:val="32"/>
          <w:szCs w:val="32"/>
        </w:rPr>
        <w:t>%</w:t>
      </w:r>
      <w:r>
        <w:rPr>
          <w:rStyle w:val="14"/>
          <w:rFonts w:hint="eastAsia" w:ascii="仿宋" w:hAnsi="仿宋" w:eastAsia="仿宋"/>
          <w:b w:val="0"/>
          <w:bCs/>
          <w:color w:val="000000" w:themeColor="text1"/>
          <w:sz w:val="32"/>
          <w:szCs w:val="32"/>
          <w14:textFill>
            <w14:solidFill>
              <w14:schemeClr w14:val="tx1"/>
            </w14:solidFill>
          </w14:textFill>
        </w:rPr>
        <w:t>。</w:t>
      </w:r>
    </w:p>
    <w:p>
      <w:pPr>
        <w:snapToGrid w:val="0"/>
        <w:spacing w:line="550" w:lineRule="exact"/>
        <w:ind w:firstLine="642" w:firstLineChars="200"/>
        <w:outlineLvl w:val="2"/>
        <w:rPr>
          <w:rStyle w:val="14"/>
          <w:rFonts w:ascii="仿宋" w:hAnsi="仿宋" w:eastAsia="仿宋" w:cstheme="minorBidi"/>
          <w:b w:val="0"/>
          <w:bCs/>
          <w:color w:val="000000" w:themeColor="text1"/>
          <w:kern w:val="0"/>
          <w:sz w:val="32"/>
          <w:szCs w:val="32"/>
          <w14:textFill>
            <w14:solidFill>
              <w14:schemeClr w14:val="tx1"/>
            </w14:solidFill>
          </w14:textFill>
        </w:rPr>
      </w:pPr>
      <w:r>
        <w:rPr>
          <w:rStyle w:val="14"/>
          <w:rFonts w:hint="eastAsia" w:ascii="仿宋" w:hAnsi="仿宋" w:eastAsia="仿宋"/>
          <w:bCs/>
          <w:sz w:val="32"/>
          <w:szCs w:val="32"/>
        </w:rPr>
        <w:t>3</w:t>
      </w:r>
      <w:r>
        <w:rPr>
          <w:rStyle w:val="14"/>
          <w:rFonts w:ascii="仿宋" w:hAnsi="仿宋" w:eastAsia="仿宋"/>
          <w:bCs/>
          <w:sz w:val="32"/>
          <w:szCs w:val="32"/>
        </w:rPr>
        <w:t>.</w:t>
      </w:r>
      <w:r>
        <w:rPr>
          <w:rStyle w:val="14"/>
          <w:rFonts w:hint="eastAsia" w:ascii="仿宋" w:hAnsi="仿宋" w:eastAsia="仿宋" w:cstheme="minorBidi"/>
          <w:bCs/>
          <w:sz w:val="32"/>
          <w:szCs w:val="32"/>
        </w:rPr>
        <w:t>教育支出（类）普通教育（款）初中教育（项）</w:t>
      </w:r>
      <w:r>
        <w:rPr>
          <w:rStyle w:val="14"/>
          <w:rFonts w:ascii="仿宋" w:hAnsi="仿宋" w:eastAsia="仿宋" w:cstheme="minorBidi"/>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支出决算为3144.03万元，完成预算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Style w:val="14"/>
          <w:rFonts w:hint="eastAsia" w:ascii="仿宋" w:hAnsi="仿宋" w:eastAsia="仿宋" w:cstheme="minorBidi"/>
          <w:b w:val="0"/>
          <w:bCs/>
          <w:color w:val="000000" w:themeColor="text1"/>
          <w:kern w:val="0"/>
          <w:sz w:val="32"/>
          <w:szCs w:val="32"/>
          <w14:textFill>
            <w14:solidFill>
              <w14:schemeClr w14:val="tx1"/>
            </w14:solidFill>
          </w14:textFill>
        </w:rPr>
        <w:t>。</w:t>
      </w:r>
    </w:p>
    <w:p>
      <w:pPr>
        <w:pStyle w:val="2"/>
        <w:snapToGrid w:val="0"/>
        <w:spacing w:beforeLines="0" w:line="550" w:lineRule="exact"/>
        <w:ind w:firstLine="642" w:firstLineChars="200"/>
        <w:outlineLvl w:val="2"/>
        <w:rPr>
          <w:rStyle w:val="14"/>
          <w:rFonts w:ascii="仿宋" w:hAnsi="仿宋" w:eastAsia="仿宋" w:cstheme="minorBidi"/>
          <w:b w:val="0"/>
          <w:bCs/>
          <w:color w:val="000000" w:themeColor="text1"/>
          <w:sz w:val="32"/>
          <w:szCs w:val="32"/>
          <w14:textFill>
            <w14:solidFill>
              <w14:schemeClr w14:val="tx1"/>
            </w14:solidFill>
          </w14:textFill>
        </w:rPr>
      </w:pPr>
      <w:r>
        <w:rPr>
          <w:rStyle w:val="14"/>
          <w:rFonts w:hint="eastAsia" w:ascii="仿宋" w:hAnsi="仿宋" w:eastAsia="仿宋"/>
          <w:bCs/>
          <w:sz w:val="32"/>
          <w:szCs w:val="32"/>
        </w:rPr>
        <w:t>4</w:t>
      </w:r>
      <w:r>
        <w:rPr>
          <w:rStyle w:val="14"/>
          <w:rFonts w:ascii="仿宋" w:hAnsi="仿宋" w:eastAsia="仿宋"/>
          <w:bCs/>
          <w:sz w:val="32"/>
          <w:szCs w:val="32"/>
        </w:rPr>
        <w:t>.</w:t>
      </w:r>
      <w:r>
        <w:rPr>
          <w:rStyle w:val="14"/>
          <w:rFonts w:hint="eastAsia" w:ascii="仿宋" w:hAnsi="仿宋" w:eastAsia="仿宋" w:cstheme="minorBidi"/>
          <w:bCs/>
          <w:kern w:val="2"/>
          <w:sz w:val="32"/>
          <w:szCs w:val="32"/>
        </w:rPr>
        <w:t>教育支出（类）普通教育（款）其他普通教育（项）</w:t>
      </w:r>
      <w:r>
        <w:rPr>
          <w:rStyle w:val="14"/>
          <w:rFonts w:ascii="仿宋" w:hAnsi="仿宋" w:eastAsia="仿宋" w:cstheme="minorBidi"/>
          <w:bCs/>
          <w:kern w:val="2"/>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支出决算为33.86万元，完成预算100.00</w:t>
      </w:r>
      <w:r>
        <w:rPr>
          <w:rStyle w:val="14"/>
          <w:rFonts w:ascii="仿宋" w:hAnsi="仿宋" w:eastAsia="仿宋"/>
          <w:b w:val="0"/>
          <w:bCs/>
          <w:sz w:val="32"/>
          <w:szCs w:val="32"/>
        </w:rPr>
        <w:t>%</w:t>
      </w:r>
      <w:r>
        <w:rPr>
          <w:rStyle w:val="14"/>
          <w:rFonts w:hint="eastAsia" w:ascii="仿宋" w:hAnsi="仿宋" w:eastAsia="仿宋" w:cstheme="minorBidi"/>
          <w:b w:val="0"/>
          <w:bCs/>
          <w:color w:val="000000" w:themeColor="text1"/>
          <w:sz w:val="32"/>
          <w:szCs w:val="32"/>
          <w14:textFill>
            <w14:solidFill>
              <w14:schemeClr w14:val="tx1"/>
            </w14:solidFill>
          </w14:textFill>
        </w:rPr>
        <w:t>。</w:t>
      </w:r>
    </w:p>
    <w:p>
      <w:pPr>
        <w:snapToGrid w:val="0"/>
        <w:spacing w:line="550" w:lineRule="exact"/>
        <w:ind w:firstLine="642" w:firstLineChars="200"/>
        <w:outlineLvl w:val="2"/>
        <w:rPr>
          <w:rFonts w:ascii="仿宋" w:hAnsi="仿宋" w:eastAsia="仿宋"/>
          <w:b/>
          <w:color w:val="auto"/>
          <w:sz w:val="32"/>
          <w:szCs w:val="32"/>
          <w:highlight w:val="none"/>
        </w:rPr>
      </w:pPr>
      <w:r>
        <w:rPr>
          <w:rStyle w:val="14"/>
          <w:rFonts w:hint="eastAsia" w:ascii="仿宋" w:hAnsi="仿宋" w:eastAsia="仿宋"/>
          <w:bCs/>
          <w:sz w:val="32"/>
          <w:szCs w:val="32"/>
        </w:rPr>
        <w:t>5</w:t>
      </w:r>
      <w:r>
        <w:rPr>
          <w:rStyle w:val="14"/>
          <w:rFonts w:ascii="仿宋" w:hAnsi="仿宋" w:eastAsia="仿宋"/>
          <w:bCs/>
          <w:sz w:val="32"/>
          <w:szCs w:val="32"/>
        </w:rPr>
        <w:t>.</w:t>
      </w:r>
      <w:r>
        <w:rPr>
          <w:rStyle w:val="14"/>
          <w:rFonts w:hint="eastAsia" w:ascii="仿宋" w:hAnsi="仿宋" w:eastAsia="仿宋"/>
          <w:bCs/>
          <w:sz w:val="32"/>
          <w:szCs w:val="32"/>
        </w:rPr>
        <w:t>社会保障和就业（类）行政事业单位养老支出（款）事业单位离退休（项）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支出决算为6.98万元，完成预算100.00</w:t>
      </w:r>
      <w:r>
        <w:rPr>
          <w:rStyle w:val="14"/>
          <w:rFonts w:ascii="仿宋" w:hAnsi="仿宋" w:eastAsia="仿宋"/>
          <w:b w:val="0"/>
          <w:bCs/>
          <w:sz w:val="32"/>
          <w:szCs w:val="32"/>
        </w:rPr>
        <w:t>%</w:t>
      </w:r>
      <w:r>
        <w:rPr>
          <w:rStyle w:val="14"/>
          <w:rFonts w:hint="eastAsia" w:ascii="仿宋" w:hAnsi="仿宋" w:eastAsia="仿宋"/>
          <w:b w:val="0"/>
          <w:bCs/>
          <w:color w:val="000000" w:themeColor="text1"/>
          <w:sz w:val="32"/>
          <w:szCs w:val="32"/>
          <w14:textFill>
            <w14:solidFill>
              <w14:schemeClr w14:val="tx1"/>
            </w14:solidFill>
          </w14:textFill>
        </w:rPr>
        <w:t>。</w:t>
      </w:r>
    </w:p>
    <w:p>
      <w:pPr>
        <w:spacing w:line="600" w:lineRule="exact"/>
        <w:ind w:firstLine="640"/>
        <w:rPr>
          <w:rFonts w:ascii="仿宋" w:hAnsi="仿宋" w:eastAsia="仿宋"/>
          <w:b/>
          <w:color w:val="auto"/>
          <w:sz w:val="32"/>
          <w:szCs w:val="32"/>
          <w:highlight w:val="none"/>
        </w:rPr>
      </w:pPr>
    </w:p>
    <w:p>
      <w:pPr>
        <w:tabs>
          <w:tab w:val="right" w:pos="8306"/>
        </w:tabs>
        <w:spacing w:line="600" w:lineRule="exact"/>
        <w:ind w:firstLine="640"/>
        <w:outlineLvl w:val="1"/>
        <w:rPr>
          <w:rStyle w:val="25"/>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34"/>
      <w:bookmarkEnd w:id="35"/>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3766.73</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人员经费3265.31万元，主要包括：基本工资、津贴补贴、绩效工资、机关事业单位基本养老保险缴费、其他社会保障缴费、其他工资福利支出、生活补助、</w:t>
      </w:r>
      <w:r>
        <w:rPr>
          <w:rFonts w:hint="eastAsia" w:ascii="仿宋" w:hAnsi="仿宋" w:eastAsia="仿宋"/>
          <w:color w:val="auto"/>
          <w:sz w:val="32"/>
          <w:szCs w:val="32"/>
          <w:highlight w:val="none"/>
          <w:lang w:val="en-US" w:eastAsia="zh-CN"/>
        </w:rPr>
        <w:t>职工基本医疗保险缴费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住房公积金、其他对个人和家庭的补助支出等。</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公用经费501.42万元，主要包括：办公费、印刷费、咨询费、手续费、水费、电费、邮电费、物业管理费、差旅费、维修（护）费、租赁费、培训费、劳务费、工会经费、福利费等。</w:t>
      </w:r>
    </w:p>
    <w:p>
      <w:pPr>
        <w:spacing w:line="600" w:lineRule="exact"/>
        <w:ind w:firstLine="640"/>
        <w:rPr>
          <w:rFonts w:ascii="仿宋" w:hAnsi="仿宋" w:eastAsia="仿宋"/>
          <w:b/>
          <w:color w:val="auto"/>
          <w:sz w:val="32"/>
          <w:szCs w:val="32"/>
          <w:highlight w:val="none"/>
        </w:rPr>
      </w:pPr>
    </w:p>
    <w:p>
      <w:pPr>
        <w:spacing w:line="600" w:lineRule="exact"/>
        <w:ind w:firstLine="640"/>
        <w:outlineLvl w:val="1"/>
        <w:rPr>
          <w:rStyle w:val="25"/>
          <w:rFonts w:ascii="黑体" w:hAnsi="黑体" w:eastAsia="黑体"/>
          <w:b w:val="0"/>
          <w:color w:val="auto"/>
          <w:highlight w:val="none"/>
        </w:rPr>
      </w:pPr>
      <w:bookmarkStart w:id="36" w:name="_Toc15377215"/>
      <w:bookmarkStart w:id="37" w:name="_Toc15396609"/>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与2021年持平。</w:t>
      </w:r>
      <w:r>
        <w:rPr>
          <w:rFonts w:hint="eastAsia" w:ascii="仿宋" w:hAnsi="仿宋" w:eastAsia="仿宋"/>
          <w:color w:val="auto"/>
          <w:sz w:val="32"/>
          <w:szCs w:val="32"/>
          <w:highlight w:val="none"/>
        </w:rPr>
        <w:t>决算数预算数持平</w:t>
      </w:r>
      <w:r>
        <w:rPr>
          <w:rFonts w:hint="eastAsia" w:ascii="仿宋" w:hAnsi="仿宋" w:eastAsia="仿宋"/>
          <w:color w:val="auto"/>
          <w:sz w:val="32"/>
          <w:szCs w:val="32"/>
          <w:highlight w:val="none"/>
          <w:lang w:eastAsia="zh-CN"/>
        </w:rPr>
        <w:t>是因为无三公经费使用</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hint="eastAsia" w:ascii="仿宋" w:hAnsi="仿宋" w:eastAsia="仿宋"/>
          <w:color w:val="auto"/>
          <w:sz w:val="32"/>
          <w:szCs w:val="32"/>
          <w:highlight w:val="none"/>
        </w:rPr>
      </w:pPr>
      <w:r>
        <w:rPr>
          <w:rFonts w:ascii="仿宋" w:hAnsi="仿宋" w:eastAsia="仿宋"/>
          <w:sz w:val="32"/>
          <w:szCs w:val="32"/>
        </w:rPr>
        <w:drawing>
          <wp:anchor distT="0" distB="0" distL="114300" distR="114300" simplePos="0" relativeHeight="251665408" behindDoc="0" locked="0" layoutInCell="1" allowOverlap="1">
            <wp:simplePos x="0" y="0"/>
            <wp:positionH relativeFrom="column">
              <wp:posOffset>269240</wp:posOffset>
            </wp:positionH>
            <wp:positionV relativeFrom="paragraph">
              <wp:posOffset>25400</wp:posOffset>
            </wp:positionV>
            <wp:extent cx="5073650" cy="2635250"/>
            <wp:effectExtent l="4445" t="4445" r="8255" b="8255"/>
            <wp:wrapSquare wrapText="bothSides"/>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无因公出国</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无公务车辆</w:t>
      </w:r>
      <w:r>
        <w:rPr>
          <w:rFonts w:hint="eastAsia" w:ascii="仿宋_GB2312" w:eastAsia="仿宋_GB2312"/>
          <w:color w:val="auto"/>
          <w:sz w:val="32"/>
          <w:szCs w:val="32"/>
          <w:highlight w:val="none"/>
        </w:rPr>
        <w:t>。</w:t>
      </w:r>
    </w:p>
    <w:p>
      <w:pPr>
        <w:spacing w:line="600" w:lineRule="exact"/>
        <w:ind w:firstLine="642" w:firstLineChars="20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无公务接待费用</w:t>
      </w:r>
      <w:r>
        <w:rPr>
          <w:rFonts w:hint="eastAsia" w:ascii="仿宋_GB2312" w:eastAsia="仿宋_GB2312"/>
          <w:color w:val="auto"/>
          <w:sz w:val="32"/>
          <w:szCs w:val="32"/>
          <w:highlight w:val="none"/>
        </w:rPr>
        <w:t>。</w:t>
      </w:r>
    </w:p>
    <w:p>
      <w:pPr>
        <w:spacing w:line="600" w:lineRule="exact"/>
        <w:ind w:firstLine="640"/>
        <w:outlineLvl w:val="1"/>
        <w:rPr>
          <w:rFonts w:ascii="黑体" w:eastAsia="黑体"/>
          <w:color w:val="auto"/>
          <w:sz w:val="32"/>
          <w:szCs w:val="32"/>
          <w:highlight w:val="none"/>
        </w:rPr>
      </w:pPr>
      <w:bookmarkStart w:id="40" w:name="_Toc15396610"/>
      <w:bookmarkStart w:id="41" w:name="_Toc15377218"/>
    </w:p>
    <w:p>
      <w:pPr>
        <w:spacing w:line="600" w:lineRule="exact"/>
        <w:ind w:firstLine="640"/>
        <w:outlineLvl w:val="1"/>
        <w:rPr>
          <w:rStyle w:val="25"/>
          <w:rFonts w:ascii="黑体" w:hAnsi="黑体" w:eastAsia="黑体"/>
          <w:color w:val="auto"/>
          <w:highlight w:val="none"/>
        </w:rPr>
      </w:pPr>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3"/>
        </w:numPr>
        <w:spacing w:line="600" w:lineRule="exact"/>
        <w:ind w:firstLine="640"/>
        <w:outlineLvl w:val="1"/>
        <w:rPr>
          <w:rStyle w:val="25"/>
          <w:rFonts w:ascii="黑体" w:hAnsi="黑体" w:eastAsia="黑体"/>
          <w:b w:val="0"/>
          <w:color w:val="auto"/>
          <w:highlight w:val="none"/>
        </w:rPr>
      </w:pPr>
      <w:bookmarkStart w:id="42" w:name="_Toc15396611"/>
      <w:bookmarkStart w:id="43" w:name="_Toc15377219"/>
      <w:r>
        <w:rPr>
          <w:rStyle w:val="25"/>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3"/>
        </w:numPr>
        <w:spacing w:line="600" w:lineRule="exact"/>
        <w:ind w:firstLine="640"/>
        <w:outlineLvl w:val="1"/>
        <w:rPr>
          <w:rStyle w:val="25"/>
          <w:rFonts w:hint="eastAsia" w:ascii="黑体" w:hAnsi="黑体" w:eastAsia="黑体"/>
          <w:b w:val="0"/>
          <w:color w:val="auto"/>
          <w:highlight w:val="none"/>
        </w:rPr>
      </w:pPr>
      <w:bookmarkStart w:id="44" w:name="_Toc15396612"/>
      <w:bookmarkStart w:id="45" w:name="_Toc15377221"/>
      <w:r>
        <w:rPr>
          <w:rStyle w:val="25"/>
          <w:rFonts w:hint="eastAsia" w:ascii="黑体" w:hAnsi="黑体" w:eastAsia="黑体"/>
          <w:b w:val="0"/>
          <w:color w:val="auto"/>
          <w:highlight w:val="none"/>
        </w:rPr>
        <w:t>其他重要事项的情况说明</w:t>
      </w:r>
      <w:bookmarkEnd w:id="44"/>
      <w:bookmarkEnd w:id="45"/>
    </w:p>
    <w:p>
      <w:pPr>
        <w:spacing w:line="600" w:lineRule="exact"/>
        <w:ind w:firstLine="642"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广元市利州区万达实验学校</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无机关运行费用。</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广元市利州区万达实验学校</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14.6</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14.6</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学校办公设备添置</w:t>
      </w:r>
      <w:r>
        <w:rPr>
          <w:rFonts w:hint="eastAsia" w:ascii="仿宋_GB2312" w:eastAsia="仿宋_GB2312"/>
          <w:color w:val="auto"/>
          <w:sz w:val="32"/>
          <w:szCs w:val="32"/>
          <w:highlight w:val="none"/>
        </w:rPr>
        <w:t>。</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本单位</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2"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2"/>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w:t>
      </w:r>
      <w:r>
        <w:rPr>
          <w:rFonts w:hint="eastAsia" w:hAnsi="仿宋_GB2312" w:cs="仿宋_GB2312"/>
          <w:color w:val="auto"/>
          <w:sz w:val="32"/>
          <w:szCs w:val="32"/>
          <w:highlight w:val="none"/>
          <w:lang w:eastAsia="zh-CN"/>
        </w:rPr>
        <w:t>组织</w:t>
      </w:r>
      <w:r>
        <w:rPr>
          <w:rFonts w:hint="eastAsia" w:ascii="仿宋_GB2312" w:hAnsi="仿宋_GB2312" w:eastAsia="仿宋_GB2312" w:cs="仿宋_GB2312"/>
          <w:color w:val="auto"/>
          <w:sz w:val="32"/>
          <w:szCs w:val="32"/>
          <w:highlight w:val="none"/>
        </w:rPr>
        <w:t>广元市利州区万达实验学校2022年学前教育免保教费项目等</w:t>
      </w:r>
      <w:r>
        <w:rPr>
          <w:rFonts w:hint="eastAsia" w:hAnsi="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4"/>
          <w:rFonts w:ascii="黑体" w:hAnsi="黑体" w:eastAsia="黑体"/>
          <w:b w:val="0"/>
          <w:color w:val="auto"/>
          <w:highlight w:val="none"/>
        </w:rPr>
      </w:pPr>
      <w:bookmarkStart w:id="49" w:name="_Toc15377225"/>
      <w:bookmarkStart w:id="50" w:name="_Toc15396613"/>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2"/>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.教育支出（类）普通教育（款）学前教育（项）:反映各部门举办的学前教育支出。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.教育支出（类）普通教育（款）小学教育（项）:反映各部门举办的小学教育支出。政府各部门对社会中介组织等举办的小学的资助，如各类捐赠、补贴等，也在本科目中反映。</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.教育支出（类）普通教育（款）初中教育（项）: 反映各部门举办的初中教育支出。政府各部门对社会中介组织等举办的初中教育的资助，如捐赠、补贴等，也在本科目中反映。</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.教育支出（类）普通教育（款）其它普通教育（项）: 反映除上述项目以外其他用于普通教育方面的支出。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rPr>
        <w:t>.社会保障和就业支出（类）行政事业单位离退休（款）机关事业单位基本养老保险缴费支出（项）: 指机关事业单位实施养老保险制度由单位缴纳的基本养老保险费支出。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.医疗卫生与计划生育（类）行政事业单位医疗（款）事业单位医疗（项）: 指财政部门安排的事业单位基本医疗保险缴费经费，未参加医疗保险的事业单位的公费医疗经费，按国家规定享受离休人员待遇的医疗经费。</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hint="eastAsia" w:ascii="仿宋_GB2312" w:eastAsia="仿宋_GB2312"/>
          <w:color w:val="auto"/>
          <w:sz w:val="32"/>
          <w:szCs w:val="32"/>
          <w:highlight w:val="none"/>
        </w:rPr>
        <w:t xml:space="preserve">.项目支出：指在基本支出之外为完成特定行政任务和事业发展目标所发生的支出。 </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2"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（名词解释部分请根据各</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实际列支情况罗列，并根据本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职责职能增减名词解释内容。）</w:t>
      </w:r>
    </w:p>
    <w:p>
      <w:pPr>
        <w:spacing w:line="600" w:lineRule="exact"/>
        <w:jc w:val="center"/>
        <w:outlineLvl w:val="0"/>
        <w:rPr>
          <w:rStyle w:val="24"/>
          <w:rFonts w:ascii="黑体" w:hAnsi="黑体" w:eastAsia="黑体"/>
          <w:b w:val="0"/>
          <w:color w:val="auto"/>
          <w:highlight w:val="none"/>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52"/>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仿宋_GB2312" w:hAnsi="仿宋_GB2312" w:eastAsia="仿宋_GB2312" w:cs="仿宋_GB2312"/>
          <w:color w:val="auto"/>
          <w:sz w:val="32"/>
          <w:szCs w:val="32"/>
          <w:highlight w:val="none"/>
        </w:rPr>
      </w:pPr>
      <w:bookmarkStart w:id="53" w:name="_Toc15396618"/>
      <w:r>
        <w:rPr>
          <w:rFonts w:hint="eastAsia" w:ascii="仿宋_GB2312" w:hAnsi="仿宋_GB2312" w:eastAsia="仿宋_GB2312" w:cs="仿宋_GB2312"/>
          <w:color w:val="auto"/>
          <w:sz w:val="32"/>
          <w:szCs w:val="32"/>
          <w:highlight w:val="none"/>
        </w:rPr>
        <w:t>部门预算项目支出绩效自评表(2022年度)</w:t>
      </w: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bookmarkStart w:id="67" w:name="_GoBack"/>
      <w:bookmarkEnd w:id="67"/>
    </w:p>
    <w:p>
      <w:pPr>
        <w:pStyle w:val="2"/>
        <w:rPr>
          <w:rFonts w:hint="eastAsia" w:ascii="仿宋_GB2312" w:hAnsi="Calibri" w:eastAsia="仿宋_GB2312" w:cs="仿宋"/>
          <w:color w:val="auto"/>
          <w:kern w:val="0"/>
          <w:sz w:val="32"/>
          <w:szCs w:val="32"/>
          <w:highlight w:val="none"/>
          <w:lang w:val="en-US" w:eastAsia="zh-CN" w:bidi="ar-SA"/>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51"/>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57"/>
    </w:p>
    <w:p>
      <w:pPr>
        <w:pStyle w:val="4"/>
        <w:rPr>
          <w:rStyle w:val="25"/>
          <w:rFonts w:ascii="仿宋" w:hAnsi="仿宋" w:eastAsia="仿宋"/>
          <w:b w:val="0"/>
          <w:bCs w:val="0"/>
          <w:color w:val="auto"/>
          <w:highlight w:val="none"/>
        </w:rPr>
      </w:pPr>
      <w:bookmarkStart w:id="58"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25"/>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64" w:name="_Toc15396629"/>
      <w:r>
        <w:rPr>
          <w:rStyle w:val="25"/>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5" w:name="_Toc15396630"/>
      <w:r>
        <w:rPr>
          <w:rStyle w:val="25"/>
          <w:rFonts w:hint="eastAsia" w:ascii="仿宋" w:hAnsi="仿宋" w:eastAsia="仿宋"/>
          <w:b w:val="0"/>
          <w:bCs w:val="0"/>
          <w:color w:val="auto"/>
          <w:highlight w:val="none"/>
        </w:rPr>
        <w:t>十二、</w:t>
      </w:r>
      <w:bookmarkEnd w:id="65"/>
      <w:r>
        <w:rPr>
          <w:rStyle w:val="25"/>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66" w:name="_Toc15396631"/>
      <w:r>
        <w:rPr>
          <w:rStyle w:val="25"/>
          <w:rFonts w:hint="eastAsia" w:ascii="仿宋" w:hAnsi="仿宋" w:eastAsia="仿宋"/>
          <w:b w:val="0"/>
          <w:bCs w:val="0"/>
          <w:color w:val="auto"/>
          <w:highlight w:val="none"/>
        </w:rPr>
        <w:t>十三、</w:t>
      </w:r>
      <w:bookmarkEnd w:id="66"/>
      <w:r>
        <w:rPr>
          <w:rStyle w:val="25"/>
          <w:rFonts w:hint="eastAsia" w:ascii="仿宋" w:hAnsi="仿宋" w:eastAsia="仿宋"/>
          <w:b w:val="0"/>
          <w:bCs w:val="0"/>
          <w:color w:val="auto"/>
          <w:highlight w:val="none"/>
          <w:lang w:eastAsia="zh-CN"/>
        </w:rPr>
        <w:t>财政拨款“三公”经费支出决算表</w:t>
      </w:r>
    </w:p>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方正黑体简体">
    <w:altName w:val="方正小标宋简体"/>
    <w:panose1 w:val="00000000000000000000"/>
    <w:charset w:val="86"/>
    <w:family w:val="auto"/>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9276F2A"/>
    <w:rsid w:val="0A2032A3"/>
    <w:rsid w:val="0B8A37D8"/>
    <w:rsid w:val="0F7554C5"/>
    <w:rsid w:val="10C055FF"/>
    <w:rsid w:val="118107EC"/>
    <w:rsid w:val="11DD6519"/>
    <w:rsid w:val="129465AA"/>
    <w:rsid w:val="12FE98B0"/>
    <w:rsid w:val="14F670A8"/>
    <w:rsid w:val="16BB723D"/>
    <w:rsid w:val="18015F3F"/>
    <w:rsid w:val="1BE8440E"/>
    <w:rsid w:val="1D155CEE"/>
    <w:rsid w:val="1F2E7F37"/>
    <w:rsid w:val="20F57F95"/>
    <w:rsid w:val="214747D3"/>
    <w:rsid w:val="240371BF"/>
    <w:rsid w:val="25711CC6"/>
    <w:rsid w:val="25C741E6"/>
    <w:rsid w:val="27842671"/>
    <w:rsid w:val="29FD04D3"/>
    <w:rsid w:val="2ABE7A3E"/>
    <w:rsid w:val="2CA234A8"/>
    <w:rsid w:val="2EFA178C"/>
    <w:rsid w:val="30B46D73"/>
    <w:rsid w:val="319F7F4E"/>
    <w:rsid w:val="326312B5"/>
    <w:rsid w:val="33A53D1B"/>
    <w:rsid w:val="33E5680D"/>
    <w:rsid w:val="376C68FE"/>
    <w:rsid w:val="383D272C"/>
    <w:rsid w:val="38B02094"/>
    <w:rsid w:val="39AE70AB"/>
    <w:rsid w:val="3A7C32FC"/>
    <w:rsid w:val="3C0C0783"/>
    <w:rsid w:val="3F9F3A96"/>
    <w:rsid w:val="44B73656"/>
    <w:rsid w:val="45F64156"/>
    <w:rsid w:val="48BF60AB"/>
    <w:rsid w:val="493C27E9"/>
    <w:rsid w:val="496F39ED"/>
    <w:rsid w:val="49FF41D3"/>
    <w:rsid w:val="4A6F5CAB"/>
    <w:rsid w:val="4BE068DB"/>
    <w:rsid w:val="4BF6002B"/>
    <w:rsid w:val="4DD94895"/>
    <w:rsid w:val="4ECE2238"/>
    <w:rsid w:val="50E33C7D"/>
    <w:rsid w:val="51DB4B86"/>
    <w:rsid w:val="55173EF5"/>
    <w:rsid w:val="55333C3E"/>
    <w:rsid w:val="56D57BC4"/>
    <w:rsid w:val="58EE31BF"/>
    <w:rsid w:val="5B962018"/>
    <w:rsid w:val="5BCC5A39"/>
    <w:rsid w:val="63A92B04"/>
    <w:rsid w:val="64CA39A1"/>
    <w:rsid w:val="65D33E68"/>
    <w:rsid w:val="69630ADE"/>
    <w:rsid w:val="6C4A05C8"/>
    <w:rsid w:val="6D3B1A89"/>
    <w:rsid w:val="71BF4EC2"/>
    <w:rsid w:val="72734D90"/>
    <w:rsid w:val="7412278C"/>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四号正文"/>
    <w:basedOn w:val="1"/>
    <w:qFormat/>
    <w:uiPriority w:val="0"/>
    <w:pPr>
      <w:spacing w:line="360" w:lineRule="auto"/>
    </w:pPr>
    <w:rPr>
      <w:rFonts w:ascii="??" w:hAnsi="??" w:eastAsia="Times New Roman"/>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系列 1</c:v>
                </c:pt>
              </c:strCache>
            </c:strRef>
          </c:tx>
          <c:spPr>
            <a:solidFill>
              <a:schemeClr val="accent1"/>
            </a:solidFill>
            <a:ln>
              <a:noFill/>
            </a:ln>
            <a:effectLst/>
          </c:spPr>
          <c:invertIfNegative val="false"/>
          <c:dLbls>
            <c:delete val="true"/>
          </c:dLbls>
          <c:cat>
            <c:strRef>
              <c:f>Sheet1!$A$2:$A$3</c:f>
              <c:strCache>
                <c:ptCount val="2"/>
                <c:pt idx="0">
                  <c:v>2021年</c:v>
                </c:pt>
                <c:pt idx="1">
                  <c:v>2022年</c:v>
                </c:pt>
              </c:strCache>
            </c:strRef>
          </c:cat>
          <c:val>
            <c:numRef>
              <c:f>Sheet1!$B$2:$B$3</c:f>
              <c:numCache>
                <c:formatCode>General</c:formatCode>
                <c:ptCount val="2"/>
                <c:pt idx="0">
                  <c:v>1434.18</c:v>
                </c:pt>
                <c:pt idx="1">
                  <c:v>4629.46</c:v>
                </c:pt>
              </c:numCache>
            </c:numRef>
          </c:val>
        </c:ser>
        <c:dLbls>
          <c:showLegendKey val="false"/>
          <c:showVal val="false"/>
          <c:showCatName val="false"/>
          <c:showSerName val="false"/>
          <c:showPercent val="false"/>
          <c:showBubbleSize val="false"/>
        </c:dLbls>
        <c:gapWidth val="246"/>
        <c:overlap val="-28"/>
        <c:axId val="960537467"/>
        <c:axId val="137479288"/>
      </c:barChart>
      <c:catAx>
        <c:axId val="960537467"/>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37479288"/>
        <c:crosses val="autoZero"/>
        <c:auto val="true"/>
        <c:lblAlgn val="ctr"/>
        <c:lblOffset val="100"/>
        <c:noMultiLvlLbl val="false"/>
      </c:catAx>
      <c:valAx>
        <c:axId val="137479288"/>
        <c:scaling>
          <c:orientation val="minMax"/>
        </c:scaling>
        <c:delete val="false"/>
        <c:axPos val="l"/>
        <c:majorGridlines>
          <c:spPr>
            <a:ln w="9525" cap="flat" cmpd="sng" algn="ctr">
              <a:solidFill>
                <a:schemeClr val="bg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60537467"/>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spPr/>
          <c:explosion val="0"/>
          <c:dPt>
            <c:idx val="0"/>
            <c:bubble3D val="false"/>
            <c:spPr>
              <a:gradFill>
                <a:gsLst>
                  <a:gs pos="0">
                    <a:schemeClr val="accent1">
                      <a:hueOff val="-1670000"/>
                    </a:schemeClr>
                  </a:gs>
                  <a:gs pos="100000">
                    <a:schemeClr val="accent1"/>
                  </a:gs>
                </a:gsLst>
                <a:lin ang="5400000" scaled="false"/>
              </a:gradFill>
              <a:ln>
                <a:gradFill>
                  <a:gsLst>
                    <a:gs pos="0">
                      <a:schemeClr val="accent1">
                        <a:lumMod val="75000"/>
                        <a:hueOff val="-1670000"/>
                      </a:schemeClr>
                    </a:gs>
                    <a:gs pos="100000">
                      <a:schemeClr val="accent1">
                        <a:lumMod val="75000"/>
                      </a:schemeClr>
                    </a:gs>
                  </a:gsLst>
                  <a:lin ang="5160000" scaled="true"/>
                </a:gradFill>
              </a:ln>
              <a:effectLst/>
            </c:spPr>
          </c:dPt>
          <c:dPt>
            <c:idx val="1"/>
            <c:bubble3D val="false"/>
            <c:spPr>
              <a:gradFill>
                <a:gsLst>
                  <a:gs pos="0">
                    <a:schemeClr val="accent2">
                      <a:hueOff val="-1670000"/>
                    </a:schemeClr>
                  </a:gs>
                  <a:gs pos="100000">
                    <a:schemeClr val="accent2"/>
                  </a:gs>
                </a:gsLst>
                <a:lin ang="5400000" scaled="false"/>
              </a:gradFill>
              <a:ln>
                <a:gradFill>
                  <a:gsLst>
                    <a:gs pos="0">
                      <a:schemeClr val="accent2">
                        <a:lumMod val="75000"/>
                        <a:hueOff val="-1670000"/>
                      </a:schemeClr>
                    </a:gs>
                    <a:gs pos="100000">
                      <a:schemeClr val="accent2">
                        <a:lumMod val="75000"/>
                      </a:schemeClr>
                    </a:gs>
                  </a:gsLst>
                  <a:lin ang="5160000" scaled="true"/>
                </a:gradFill>
              </a:ln>
              <a:effectLst/>
            </c:spPr>
          </c:dPt>
          <c:dPt>
            <c:idx val="2"/>
            <c:bubble3D val="false"/>
            <c:spPr>
              <a:gradFill>
                <a:gsLst>
                  <a:gs pos="0">
                    <a:schemeClr val="accent3">
                      <a:hueOff val="-1670000"/>
                    </a:schemeClr>
                  </a:gs>
                  <a:gs pos="100000">
                    <a:schemeClr val="accent3"/>
                  </a:gs>
                </a:gsLst>
                <a:lin ang="5400000" scaled="false"/>
              </a:gradFill>
              <a:ln>
                <a:gradFill>
                  <a:gsLst>
                    <a:gs pos="0">
                      <a:schemeClr val="accent3">
                        <a:lumMod val="75000"/>
                        <a:hueOff val="-1670000"/>
                      </a:schemeClr>
                    </a:gs>
                    <a:gs pos="100000">
                      <a:schemeClr val="accent3">
                        <a:lumMod val="75000"/>
                      </a:schemeClr>
                    </a:gs>
                  </a:gsLst>
                  <a:lin ang="5160000" scaled="true"/>
                </a:gradFill>
              </a:ln>
              <a:effectLst/>
            </c:spPr>
          </c:dPt>
          <c:dLbls>
            <c:dLbl>
              <c:idx val="0"/>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t>一般公共预算财政拨款收入9</a:t>
                    </a:r>
                    <a:r>
                      <a:rPr lang="en-US" altLang="zh-CN"/>
                      <a:t>2.65</a:t>
                    </a:r>
                    <a:r>
                      <a:t>%</a:t>
                    </a:r>
                  </a:p>
                </c:rich>
              </c:tx>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dLbl>
              <c:idx val="1"/>
              <c:layout>
                <c:manualLayout>
                  <c:x val="-0.073057284546662"/>
                  <c:y val="0.0160530735679242"/>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t>事业收入7</a:t>
                    </a:r>
                    <a:r>
                      <a:rPr lang="en-US" altLang="zh-CN"/>
                      <a:t>.31</a:t>
                    </a:r>
                    <a:r>
                      <a:t>%</a:t>
                    </a:r>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2"/>
              <c:layout>
                <c:manualLayout>
                  <c:x val="0.197409252921132"/>
                  <c:y val="0.0426465379477896"/>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t>其他收入0</a:t>
                    </a:r>
                    <a:r>
                      <a:rPr lang="en-US" altLang="zh-CN"/>
                      <a:t>.04</a:t>
                    </a:r>
                    <a:r>
                      <a:t>%</a:t>
                    </a:r>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一般公共预算财政拨款收入</c:v>
                </c:pt>
                <c:pt idx="1">
                  <c:v>事业收入</c:v>
                </c:pt>
                <c:pt idx="2">
                  <c:v>其他收入</c:v>
                </c:pt>
              </c:strCache>
            </c:strRef>
          </c:cat>
          <c:val>
            <c:numRef>
              <c:f>Sheet1!$B$2:$B$4</c:f>
              <c:numCache>
                <c:formatCode>General</c:formatCode>
                <c:ptCount val="3"/>
                <c:pt idx="0">
                  <c:v>3915.19</c:v>
                </c:pt>
                <c:pt idx="1">
                  <c:v>309.06</c:v>
                </c:pt>
                <c:pt idx="2">
                  <c:v>1.56</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lt1">
        <a:lumMod val="96000"/>
      </a:schemeClr>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spPr/>
          <c:explosion val="0"/>
          <c:dPt>
            <c:idx val="0"/>
            <c:bubble3D val="false"/>
            <c:spPr>
              <a:gradFill>
                <a:gsLst>
                  <a:gs pos="0">
                    <a:schemeClr val="accent1">
                      <a:hueOff val="-1670000"/>
                    </a:schemeClr>
                  </a:gs>
                  <a:gs pos="100000">
                    <a:schemeClr val="accent1"/>
                  </a:gs>
                </a:gsLst>
                <a:lin ang="5400000" scaled="false"/>
              </a:gradFill>
              <a:ln>
                <a:gradFill>
                  <a:gsLst>
                    <a:gs pos="0">
                      <a:schemeClr val="accent1">
                        <a:lumMod val="75000"/>
                        <a:hueOff val="-1670000"/>
                      </a:schemeClr>
                    </a:gs>
                    <a:gs pos="100000">
                      <a:schemeClr val="accent1">
                        <a:lumMod val="75000"/>
                      </a:schemeClr>
                    </a:gs>
                  </a:gsLst>
                  <a:lin ang="5160000" scaled="true"/>
                </a:gradFill>
              </a:ln>
              <a:effectLst/>
            </c:spPr>
          </c:dPt>
          <c:dPt>
            <c:idx val="1"/>
            <c:bubble3D val="false"/>
            <c:spPr>
              <a:gradFill>
                <a:gsLst>
                  <a:gs pos="0">
                    <a:schemeClr val="accent2">
                      <a:hueOff val="-1670000"/>
                    </a:schemeClr>
                  </a:gs>
                  <a:gs pos="100000">
                    <a:schemeClr val="accent2"/>
                  </a:gs>
                </a:gsLst>
                <a:lin ang="5400000" scaled="false"/>
              </a:gradFill>
              <a:ln>
                <a:gradFill>
                  <a:gsLst>
                    <a:gs pos="0">
                      <a:schemeClr val="accent2">
                        <a:lumMod val="75000"/>
                        <a:hueOff val="-1670000"/>
                      </a:schemeClr>
                    </a:gs>
                    <a:gs pos="100000">
                      <a:schemeClr val="accent2">
                        <a:lumMod val="75000"/>
                      </a:schemeClr>
                    </a:gs>
                  </a:gsLst>
                  <a:lin ang="5160000" scaled="true"/>
                </a:gradFill>
              </a:ln>
              <a:effectLst/>
            </c:spPr>
          </c:dPt>
          <c:dLbls>
            <c:dLbl>
              <c:idx val="0"/>
              <c:layout>
                <c:manualLayout>
                  <c:x val="0.165261637408373"/>
                  <c:y val="-0.13856547046877"/>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t>基本支出88</a:t>
                    </a:r>
                    <a:r>
                      <a:rPr lang="en-US" altLang="zh-CN"/>
                      <a:t>.07</a:t>
                    </a:r>
                    <a:r>
                      <a:t>%</a:t>
                    </a:r>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1"/>
              <c:layout>
                <c:manualLayout>
                  <c:x val="-0.0807001627003511"/>
                  <c:y val="0.0289182176850479"/>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t>项目支出1</a:t>
                    </a:r>
                    <a:r>
                      <a:rPr lang="en-US" altLang="zh-CN"/>
                      <a:t>1.93</a:t>
                    </a:r>
                    <a:r>
                      <a:t>%</a:t>
                    </a:r>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4077.35</c:v>
                </c:pt>
                <c:pt idx="1">
                  <c:v>552.1</c:v>
                </c:pt>
              </c:numCache>
            </c:numRef>
          </c:val>
        </c:ser>
        <c:dLbls>
          <c:showLegendKey val="false"/>
          <c:showVal val="false"/>
          <c:showCatName val="tru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lt1">
        <a:lumMod val="96000"/>
      </a:schemeClr>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系列 1</c:v>
                </c:pt>
              </c:strCache>
            </c:strRef>
          </c:tx>
          <c:spPr>
            <a:solidFill>
              <a:schemeClr val="accent1"/>
            </a:solidFill>
            <a:ln>
              <a:noFill/>
            </a:ln>
            <a:effectLst/>
          </c:spPr>
          <c:invertIfNegative val="false"/>
          <c:dLbls>
            <c:delete val="true"/>
          </c:dLbls>
          <c:cat>
            <c:strRef>
              <c:f>Sheet1!$A$2:$A$3</c:f>
              <c:strCache>
                <c:ptCount val="2"/>
                <c:pt idx="0">
                  <c:v>2021年</c:v>
                </c:pt>
                <c:pt idx="1">
                  <c:v>2022年</c:v>
                </c:pt>
              </c:strCache>
            </c:strRef>
          </c:cat>
          <c:val>
            <c:numRef>
              <c:f>Sheet1!$B$2:$B$3</c:f>
              <c:numCache>
                <c:formatCode>General</c:formatCode>
                <c:ptCount val="2"/>
                <c:pt idx="0">
                  <c:v>1358.84</c:v>
                </c:pt>
                <c:pt idx="1">
                  <c:v>4318.84</c:v>
                </c:pt>
              </c:numCache>
            </c:numRef>
          </c:val>
        </c:ser>
        <c:dLbls>
          <c:showLegendKey val="false"/>
          <c:showVal val="false"/>
          <c:showCatName val="false"/>
          <c:showSerName val="false"/>
          <c:showPercent val="false"/>
          <c:showBubbleSize val="false"/>
        </c:dLbls>
        <c:gapWidth val="246"/>
        <c:overlap val="-28"/>
        <c:axId val="960537467"/>
        <c:axId val="137479288"/>
      </c:barChart>
      <c:catAx>
        <c:axId val="960537467"/>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37479288"/>
        <c:crosses val="autoZero"/>
        <c:auto val="true"/>
        <c:lblAlgn val="ctr"/>
        <c:lblOffset val="100"/>
        <c:noMultiLvlLbl val="false"/>
      </c:catAx>
      <c:valAx>
        <c:axId val="137479288"/>
        <c:scaling>
          <c:orientation val="minMax"/>
        </c:scaling>
        <c:delete val="false"/>
        <c:axPos val="l"/>
        <c:majorGridlines>
          <c:spPr>
            <a:ln w="9525" cap="flat" cmpd="sng" algn="ctr">
              <a:solidFill>
                <a:schemeClr val="bg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60537467"/>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系列 1</c:v>
                </c:pt>
              </c:strCache>
            </c:strRef>
          </c:tx>
          <c:spPr>
            <a:solidFill>
              <a:schemeClr val="accent1"/>
            </a:solidFill>
            <a:ln>
              <a:noFill/>
            </a:ln>
            <a:effectLst/>
          </c:spPr>
          <c:invertIfNegative val="false"/>
          <c:dLbls>
            <c:delete val="true"/>
          </c:dLbls>
          <c:cat>
            <c:strRef>
              <c:f>Sheet1!$A$2:$A$3</c:f>
              <c:strCache>
                <c:ptCount val="2"/>
                <c:pt idx="0">
                  <c:v>2021年</c:v>
                </c:pt>
                <c:pt idx="1">
                  <c:v>2022年</c:v>
                </c:pt>
              </c:strCache>
            </c:strRef>
          </c:cat>
          <c:val>
            <c:numRef>
              <c:f>Sheet1!$B$2:$B$3</c:f>
              <c:numCache>
                <c:formatCode>General</c:formatCode>
                <c:ptCount val="2"/>
                <c:pt idx="0">
                  <c:v>1358.84</c:v>
                </c:pt>
                <c:pt idx="1">
                  <c:v>4318.84</c:v>
                </c:pt>
              </c:numCache>
            </c:numRef>
          </c:val>
        </c:ser>
        <c:dLbls>
          <c:showLegendKey val="false"/>
          <c:showVal val="false"/>
          <c:showCatName val="false"/>
          <c:showSerName val="false"/>
          <c:showPercent val="false"/>
          <c:showBubbleSize val="false"/>
        </c:dLbls>
        <c:gapWidth val="246"/>
        <c:overlap val="-28"/>
        <c:axId val="960537467"/>
        <c:axId val="137479288"/>
      </c:barChart>
      <c:catAx>
        <c:axId val="960537467"/>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37479288"/>
        <c:crosses val="autoZero"/>
        <c:auto val="true"/>
        <c:lblAlgn val="ctr"/>
        <c:lblOffset val="100"/>
        <c:noMultiLvlLbl val="false"/>
      </c:catAx>
      <c:valAx>
        <c:axId val="137479288"/>
        <c:scaling>
          <c:orientation val="minMax"/>
        </c:scaling>
        <c:delete val="false"/>
        <c:axPos val="l"/>
        <c:majorGridlines>
          <c:spPr>
            <a:ln w="9525" cap="flat" cmpd="sng" algn="ctr">
              <a:solidFill>
                <a:schemeClr val="bg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60537467"/>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Lbls>
            <c:dLbl>
              <c:idx val="0"/>
              <c:layout>
                <c:manualLayout>
                  <c:x val="0.0241604252234839"/>
                  <c:y val="-0.191457713557161"/>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t>教育支出</a:t>
                    </a:r>
                  </a:p>
                  <a:p>
                    <a:pPr defTabSz="914400">
                      <a:defRPr lang="zh-CN" sz="1000" b="0" i="0" u="none" strike="noStrike" kern="1200" baseline="0">
                        <a:solidFill>
                          <a:schemeClr val="tx1">
                            <a:lumMod val="75000"/>
                            <a:lumOff val="25000"/>
                          </a:schemeClr>
                        </a:solidFill>
                        <a:latin typeface="+mn-lt"/>
                        <a:ea typeface="+mn-ea"/>
                        <a:cs typeface="+mn-cs"/>
                      </a:defRPr>
                    </a:pPr>
                    <a:r>
                      <a:rPr lang="en-US" altLang="zh-CN"/>
                      <a:t>99.84</a:t>
                    </a:r>
                    <a:r>
                      <a:t>%</a:t>
                    </a:r>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1"/>
              <c:layout>
                <c:manualLayout>
                  <c:x val="-0.271804783764194"/>
                  <c:y val="0.0849978750531237"/>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chemeClr val="tx1">
                            <a:lumMod val="75000"/>
                            <a:lumOff val="25000"/>
                          </a:schemeClr>
                        </a:solidFill>
                        <a:latin typeface="+mn-lt"/>
                        <a:ea typeface="+mn-ea"/>
                        <a:cs typeface="+mn-cs"/>
                      </a:defRPr>
                    </a:pPr>
                    <a:r>
                      <a:t>社会保障和就业支出0</a:t>
                    </a:r>
                    <a:r>
                      <a:rPr lang="en-US" altLang="zh-CN"/>
                      <a:t>.16</a:t>
                    </a:r>
                    <a:r>
                      <a:t>%</a:t>
                    </a:r>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教育支出</c:v>
                </c:pt>
                <c:pt idx="1">
                  <c:v>社会保障和就业支出</c:v>
                </c:pt>
              </c:strCache>
            </c:strRef>
          </c:cat>
          <c:val>
            <c:numRef>
              <c:f>Sheet1!$B$2:$B$3</c:f>
              <c:numCache>
                <c:formatCode>General</c:formatCode>
                <c:ptCount val="2"/>
                <c:pt idx="0">
                  <c:v>4311.86</c:v>
                </c:pt>
                <c:pt idx="1">
                  <c:v>6.98</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t"/>
      <c:layout>
        <c:manualLayout>
          <c:xMode val="edge"/>
          <c:yMode val="edge"/>
          <c:x val="0.326709350084561"/>
          <c:y val="0.92286442838929"/>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no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“三公”经费财政拨款支出（万元）</c:v>
                </c:pt>
              </c:strCache>
            </c:strRef>
          </c:tx>
          <c:spPr>
            <a:pattFill prst="pct30">
              <a:fgClr>
                <a:srgbClr val="FF0000"/>
              </a:fgClr>
              <a:bgClr>
                <a:schemeClr val="accent1">
                  <a:lumMod val="20000"/>
                  <a:lumOff val="80000"/>
                </a:schemeClr>
              </a:bgClr>
            </a:pattFill>
          </c:spPr>
          <c:explosion val="0"/>
          <c:dPt>
            <c:idx val="0"/>
            <c:bubble3D val="false"/>
            <c:spPr>
              <a:pattFill prst="pct30">
                <a:fgClr>
                  <a:srgbClr val="FF0000"/>
                </a:fgClr>
                <a:bgClr>
                  <a:schemeClr val="accent1">
                    <a:lumMod val="20000"/>
                    <a:lumOff val="80000"/>
                  </a:schemeClr>
                </a:bgClr>
              </a:pattFill>
              <a:ln w="19050">
                <a:solidFill>
                  <a:schemeClr val="lt1"/>
                </a:solidFill>
              </a:ln>
              <a:effectLst>
                <a:innerShdw blurRad="114300">
                  <a:schemeClr val="accent1"/>
                </a:innerShdw>
              </a:effectLst>
            </c:spPr>
          </c:dPt>
          <c:dPt>
            <c:idx val="1"/>
            <c:bubble3D val="false"/>
            <c:spPr>
              <a:pattFill prst="pct30">
                <a:fgClr>
                  <a:srgbClr val="FF0000"/>
                </a:fgClr>
                <a:bgClr>
                  <a:schemeClr val="accent1">
                    <a:lumMod val="20000"/>
                    <a:lumOff val="80000"/>
                  </a:schemeClr>
                </a:bgClr>
              </a:pattFill>
              <a:ln w="19050">
                <a:solidFill>
                  <a:schemeClr val="lt1"/>
                </a:solidFill>
              </a:ln>
              <a:effectLst>
                <a:innerShdw blurRad="114300">
                  <a:schemeClr val="accent2"/>
                </a:innerShdw>
              </a:effectLst>
            </c:spPr>
          </c:dPt>
          <c:dPt>
            <c:idx val="2"/>
            <c:bubble3D val="false"/>
            <c:spPr>
              <a:solidFill>
                <a:schemeClr val="accent4">
                  <a:lumMod val="60000"/>
                  <a:lumOff val="40000"/>
                </a:schemeClr>
              </a:solidFill>
              <a:ln w="19050">
                <a:solidFill>
                  <a:schemeClr val="lt1"/>
                </a:solidFill>
              </a:ln>
              <a:effectLst>
                <a:innerShdw blurRad="114300">
                  <a:schemeClr val="accent3"/>
                </a:innerShdw>
              </a:effectLst>
            </c:spPr>
          </c:dPt>
          <c:dLbls>
            <c:dLbl>
              <c:idx val="0"/>
              <c:layout>
                <c:manualLayout>
                  <c:x val="-0.34956195244055"/>
                  <c:y val="-0.0146987951807232"/>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dLbl>
              <c:idx val="1"/>
              <c:layout>
                <c:manualLayout>
                  <c:x val="0.360450563204004"/>
                  <c:y val="0.0975903614457836"/>
                </c:manualLayout>
              </c:layout>
              <c:dLblPos val="bestFit"/>
              <c:showLegendKey val="false"/>
              <c:showVal val="true"/>
              <c:showCatName val="tru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t"/>
      <c:layout>
        <c:manualLayout>
          <c:xMode val="edge"/>
          <c:yMode val="edge"/>
          <c:x val="0.72540675844806"/>
          <c:y val="0.675903614457831"/>
          <c:w val="0.261576971214018"/>
          <c:h val="0.309879518072289"/>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lt1">
          <a:lumMod val="96000"/>
        </a:schemeClr>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0">
      <cs:styleClr val="auto"/>
    </cs:fillRef>
    <cs:effectRef idx="0"/>
    <cs:fontRef idx="minor">
      <a:schemeClr val="dk1"/>
    </cs:fontRef>
    <cs:spPr>
      <a:gradFill>
        <a:gsLst>
          <a:gs pos="0">
            <a:schemeClr val="phClr">
              <a:hueOff val="-1670000"/>
            </a:schemeClr>
          </a:gs>
          <a:gs pos="100000">
            <a:schemeClr val="phClr"/>
          </a:gs>
        </a:gsLst>
        <a:lin ang="5400000" scaled="false"/>
      </a:gradFill>
      <a:ln>
        <a:gradFill>
          <a:gsLst>
            <a:gs pos="0">
              <a:schemeClr val="phClr">
                <a:lumMod val="75000"/>
                <a:hueOff val="-1670000"/>
              </a:schemeClr>
            </a:gs>
            <a:gs pos="100000">
              <a:schemeClr val="phClr">
                <a:lumMod val="75000"/>
              </a:schemeClr>
            </a:gs>
          </a:gsLst>
          <a:lin ang="5160000" scaled="true"/>
        </a:gra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lt1">
          <a:lumMod val="96000"/>
        </a:schemeClr>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0">
      <cs:styleClr val="auto"/>
    </cs:fillRef>
    <cs:effectRef idx="0"/>
    <cs:fontRef idx="minor">
      <a:schemeClr val="dk1"/>
    </cs:fontRef>
    <cs:spPr>
      <a:gradFill>
        <a:gsLst>
          <a:gs pos="0">
            <a:schemeClr val="phClr">
              <a:hueOff val="-1670000"/>
            </a:schemeClr>
          </a:gs>
          <a:gs pos="100000">
            <a:schemeClr val="phClr"/>
          </a:gs>
        </a:gsLst>
        <a:lin ang="5400000" scaled="false"/>
      </a:gradFill>
      <a:ln>
        <a:gradFill>
          <a:gsLst>
            <a:gs pos="0">
              <a:schemeClr val="phClr">
                <a:lumMod val="75000"/>
                <a:hueOff val="-1670000"/>
              </a:schemeClr>
            </a:gs>
            <a:gs pos="100000">
              <a:schemeClr val="phClr">
                <a:lumMod val="75000"/>
              </a:schemeClr>
            </a:gs>
          </a:gsLst>
          <a:lin ang="5160000" scaled="true"/>
        </a:gra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55</Pages>
  <Words>21657</Words>
  <Characters>22392</Characters>
  <Lines>61</Lines>
  <Paragraphs>17</Paragraphs>
  <TotalTime>0</TotalTime>
  <ScaleCrop>false</ScaleCrop>
  <LinksUpToDate>false</LinksUpToDate>
  <CharactersWithSpaces>22675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2023-07-31T10:35:00Z</cp:lastPrinted>
  <dcterms:modified xsi:type="dcterms:W3CDTF">2023-10-15T13:41:16Z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094AD8E012934DC9A1EF3DA29ABB4E09_12</vt:lpwstr>
  </property>
</Properties>
</file>