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方正小标宋简体" w:hAnsi="宋体" w:eastAsia="方正小标宋简体"/>
          <w:color w:val="auto"/>
          <w:sz w:val="21"/>
          <w:szCs w:val="21"/>
          <w:highlight w:val="none"/>
        </w:rPr>
      </w:pPr>
      <w:bookmarkStart w:id="0" w:name="_Toc15306267"/>
    </w:p>
    <w:p w14:paraId="3F33EC8A">
      <w:pPr>
        <w:spacing w:line="600" w:lineRule="exact"/>
        <w:jc w:val="center"/>
        <w:outlineLvl w:val="9"/>
        <w:rPr>
          <w:rFonts w:ascii="方正小标宋简体" w:hAnsi="宋体" w:eastAsia="方正小标宋简体"/>
          <w:color w:val="auto"/>
          <w:sz w:val="72"/>
          <w:szCs w:val="72"/>
          <w:highlight w:val="none"/>
        </w:rPr>
      </w:pPr>
    </w:p>
    <w:p w14:paraId="1BB40B8D">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p>
    <w:p w14:paraId="03016E66">
      <w:pPr>
        <w:widowControl/>
        <w:suppressAutoHyphens/>
        <w:bidi w:val="0"/>
        <w:jc w:val="center"/>
        <w:rPr>
          <w:rFonts w:hint="default" w:ascii="方正小标宋简体" w:hAnsi="宋体" w:eastAsia="方正小标宋简体" w:cs="Times New Roman"/>
          <w:color w:val="auto"/>
          <w:w w:val="90"/>
          <w:kern w:val="2"/>
          <w:sz w:val="44"/>
          <w:szCs w:val="44"/>
          <w:highlight w:val="none"/>
          <w:lang w:val="en-US" w:eastAsia="zh-CN" w:bidi="ar-SA"/>
        </w:rPr>
      </w:pPr>
      <w:bookmarkStart w:id="1" w:name="_Toc15377425"/>
      <w:bookmarkStart w:id="2" w:name="_Toc15378441"/>
      <w:bookmarkStart w:id="3" w:name="_Toc15377193"/>
      <w:bookmarkStart w:id="4" w:name="_Toc15396597"/>
      <w:bookmarkStart w:id="5" w:name="_Toc24884"/>
      <w:bookmarkStart w:id="6" w:name="_Toc15396475"/>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0"/>
      <w:bookmarkEnd w:id="1"/>
      <w:bookmarkEnd w:id="2"/>
      <w:bookmarkEnd w:id="3"/>
      <w:bookmarkEnd w:id="4"/>
      <w:bookmarkEnd w:id="5"/>
      <w:bookmarkEnd w:id="6"/>
      <w:bookmarkStart w:id="7" w:name="_Toc14803"/>
      <w:r>
        <w:rPr>
          <w:rFonts w:hint="eastAsia" w:ascii="方正小标宋简体" w:hAnsi="宋体" w:eastAsia="方正小标宋简体" w:cs="Times New Roman"/>
          <w:color w:val="auto"/>
          <w:w w:val="90"/>
          <w:kern w:val="2"/>
          <w:sz w:val="44"/>
          <w:szCs w:val="44"/>
          <w:highlight w:val="none"/>
          <w:lang w:val="en-US" w:eastAsia="zh-CN" w:bidi="ar-SA"/>
        </w:rPr>
        <w:t>广元市利州区</w:t>
      </w:r>
      <w:bookmarkEnd w:id="7"/>
      <w:r>
        <w:rPr>
          <w:rFonts w:hint="eastAsia" w:ascii="方正小标宋简体" w:hAnsi="宋体" w:eastAsia="方正小标宋简体" w:cs="Times New Roman"/>
          <w:color w:val="auto"/>
          <w:w w:val="90"/>
          <w:kern w:val="2"/>
          <w:sz w:val="44"/>
          <w:szCs w:val="44"/>
          <w:highlight w:val="none"/>
          <w:lang w:val="en-US" w:eastAsia="zh-CN" w:bidi="ar-SA"/>
        </w:rPr>
        <w:t>东城实验初级中学</w:t>
      </w:r>
    </w:p>
    <w:p w14:paraId="270F3666">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8" w:name="_Toc19089860"/>
      <w:r>
        <w:rPr>
          <w:rFonts w:hint="eastAsia" w:ascii="方正小标宋简体" w:hAnsi="宋体" w:eastAsia="方正小标宋简体" w:cs="Times New Roman"/>
          <w:color w:val="auto"/>
          <w:w w:val="90"/>
          <w:kern w:val="2"/>
          <w:sz w:val="44"/>
          <w:szCs w:val="44"/>
          <w:highlight w:val="none"/>
          <w:lang w:val="en-US" w:eastAsia="zh-CN" w:bidi="ar-SA"/>
        </w:rPr>
        <w:t>单位决算</w:t>
      </w:r>
      <w:bookmarkEnd w:id="8"/>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10月14</w:t>
      </w:r>
      <w:bookmarkStart w:id="112" w:name="_GoBack"/>
      <w:bookmarkEnd w:id="112"/>
      <w:r>
        <w:rPr>
          <w:rFonts w:hint="eastAsia"/>
          <w:color w:val="auto"/>
          <w:highlight w:val="none"/>
        </w:rPr>
        <w:t>日</w:t>
      </w:r>
    </w:p>
    <w:p w14:paraId="200E1D51">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_Toc23797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 xml:space="preserve">第一部分 </w:t>
      </w:r>
      <w:r>
        <w:rPr>
          <w:rFonts w:hint="eastAsia" w:asciiTheme="majorEastAsia" w:hAnsiTheme="majorEastAsia" w:eastAsiaTheme="majorEastAsia" w:cstheme="majorEastAsia"/>
          <w:sz w:val="24"/>
          <w:szCs w:val="24"/>
          <w:highlight w:val="none"/>
          <w:lang w:eastAsia="zh-CN"/>
        </w:rPr>
        <w:t>单位</w:t>
      </w:r>
      <w:r>
        <w:rPr>
          <w:rFonts w:hint="eastAsia" w:asciiTheme="majorEastAsia" w:hAnsiTheme="majorEastAsia" w:eastAsiaTheme="majorEastAsia" w:cstheme="majorEastAsia"/>
          <w:bCs w:val="0"/>
          <w:sz w:val="24"/>
          <w:szCs w:val="24"/>
          <w:highlight w:val="none"/>
        </w:rPr>
        <w:t>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_Toc23797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4BF4A1C">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lang w:eastAsia="zh-CN"/>
        </w:rPr>
        <w:t>一、</w:t>
      </w:r>
      <w:r>
        <w:rPr>
          <w:rFonts w:hint="eastAsia" w:asciiTheme="majorEastAsia" w:hAnsiTheme="majorEastAsia" w:eastAsiaTheme="majorEastAsia" w:cstheme="majorEastAsia"/>
          <w:bCs w:val="0"/>
          <w:sz w:val="24"/>
          <w:szCs w:val="24"/>
          <w:highlight w:val="none"/>
          <w:lang w:eastAsia="zh-CN"/>
        </w:rPr>
        <w:t>主要职责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_Toc19840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D4BEFA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_Toc23676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lang w:val="en-US" w:eastAsia="zh-CN"/>
        </w:rPr>
        <w:t>二、机构设置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_Toc23676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754B07">
      <w:pPr>
        <w:pStyle w:val="11"/>
        <w:tabs>
          <w:tab w:val="right" w:leader="dot" w:pos="8306"/>
          <w:tab w:val="clear" w:pos="8296"/>
        </w:tabs>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_Toc27549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highlight w:val="none"/>
        </w:rPr>
        <w:t xml:space="preserve">第二部分 </w:t>
      </w:r>
      <w:r>
        <w:rPr>
          <w:rFonts w:hint="eastAsia" w:asciiTheme="majorEastAsia" w:hAnsiTheme="majorEastAsia" w:eastAsiaTheme="majorEastAsia" w:cstheme="majorEastAsia"/>
          <w:bCs/>
          <w:sz w:val="24"/>
          <w:szCs w:val="24"/>
          <w:highlight w:val="none"/>
          <w:lang w:val="en-US" w:eastAsia="zh-CN"/>
        </w:rPr>
        <w:t>2024年度</w:t>
      </w:r>
      <w:r>
        <w:rPr>
          <w:rFonts w:hint="eastAsia" w:asciiTheme="majorEastAsia" w:hAnsiTheme="majorEastAsia" w:eastAsiaTheme="majorEastAsia" w:cstheme="majorEastAsia"/>
          <w:bCs/>
          <w:sz w:val="24"/>
          <w:szCs w:val="24"/>
          <w:highlight w:val="none"/>
          <w:lang w:eastAsia="zh-CN"/>
        </w:rPr>
        <w:t>单位</w:t>
      </w:r>
      <w:r>
        <w:rPr>
          <w:rFonts w:hint="eastAsia" w:asciiTheme="majorEastAsia" w:hAnsiTheme="majorEastAsia" w:eastAsiaTheme="majorEastAsia" w:cstheme="majorEastAsia"/>
          <w:bCs/>
          <w:sz w:val="24"/>
          <w:szCs w:val="24"/>
          <w:highlight w:val="none"/>
        </w:rPr>
        <w:t>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_Toc27549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67DE8CA">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_Toc12334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highlight w:val="none"/>
        </w:rPr>
        <w:t>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_Toc12334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29F6C6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_Toc23054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二、</w:t>
      </w:r>
      <w:r>
        <w:rPr>
          <w:rFonts w:hint="eastAsia" w:asciiTheme="majorEastAsia" w:hAnsiTheme="majorEastAsia" w:eastAsiaTheme="majorEastAsia" w:cstheme="majorEastAsia"/>
          <w:sz w:val="24"/>
          <w:szCs w:val="24"/>
          <w:highlight w:val="none"/>
        </w:rPr>
        <w:t>收入决算情况说明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_Toc23054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E43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_Toc22882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highlight w:val="none"/>
        </w:rPr>
        <w:t>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_Toc22882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EFB364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_Toc12802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四、财政拨款收入支出决算总体情况说明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_Toc12802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51688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_Toc8035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五、一般公共预算财政拨款支出决算情况说明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_Toc8035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85C1019">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_Toc25864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六、一般公共预算财政拨款基本支出决算情况说明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_Toc25864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544995">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_Toc5906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七、财政拨款“三公”经费支出决算情况说明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_Toc5906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D31BD3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_Toc12944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八、政府性基金预算支出决算情况说明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_Toc12944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50F4A7">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九、</w:t>
      </w:r>
      <w:r>
        <w:rPr>
          <w:rFonts w:hint="eastAsia" w:asciiTheme="majorEastAsia" w:hAnsiTheme="majorEastAsia" w:eastAsiaTheme="majorEastAsia" w:cstheme="majorEastAsia"/>
          <w:sz w:val="24"/>
          <w:szCs w:val="24"/>
          <w:highlight w:val="none"/>
        </w:rPr>
        <w:t>国有资本经营预算支出决算情况说明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_Toc22402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A41D14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十、</w:t>
      </w:r>
      <w:r>
        <w:rPr>
          <w:rFonts w:hint="eastAsia" w:asciiTheme="majorEastAsia" w:hAnsiTheme="majorEastAsia" w:eastAsiaTheme="majorEastAsia" w:cstheme="majorEastAsia"/>
          <w:sz w:val="24"/>
          <w:szCs w:val="24"/>
          <w:highlight w:val="none"/>
        </w:rPr>
        <w:t>其他重要事项的情况说明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FF8FB55">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_Toc23296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xml:space="preserve">第三部分 </w:t>
      </w:r>
      <w:r>
        <w:rPr>
          <w:rFonts w:hint="eastAsia" w:asciiTheme="majorEastAsia" w:hAnsiTheme="majorEastAsia" w:eastAsiaTheme="majorEastAsia" w:cstheme="majorEastAsia"/>
          <w:sz w:val="24"/>
          <w:szCs w:val="24"/>
          <w:highlight w:val="none"/>
        </w:rPr>
        <w:t>名词解释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_Toc23296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4F33C3F">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第四部分 附件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_Toc12015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BBEAE64">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第五部分 附表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D3EDFF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_Toc27221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一、收</w:t>
      </w:r>
      <w:r>
        <w:rPr>
          <w:rFonts w:hint="eastAsia" w:asciiTheme="majorEastAsia" w:hAnsiTheme="majorEastAsia" w:eastAsiaTheme="majorEastAsia" w:cstheme="majorEastAsia"/>
          <w:bCs w:val="0"/>
          <w:sz w:val="24"/>
          <w:szCs w:val="24"/>
          <w:highlight w:val="none"/>
        </w:rPr>
        <w:t>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_Toc27221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E558C0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_Toc31659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二、收</w:t>
      </w:r>
      <w:r>
        <w:rPr>
          <w:rFonts w:hint="eastAsia" w:asciiTheme="majorEastAsia" w:hAnsiTheme="majorEastAsia" w:eastAsiaTheme="majorEastAsia" w:cstheme="majorEastAsia"/>
          <w:bCs w:val="0"/>
          <w:sz w:val="24"/>
          <w:szCs w:val="24"/>
          <w:highlight w:val="none"/>
        </w:rPr>
        <w:t>入决算表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_Toc31659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F20477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三、</w:t>
      </w:r>
      <w:r>
        <w:rPr>
          <w:rFonts w:hint="eastAsia" w:asciiTheme="majorEastAsia" w:hAnsiTheme="majorEastAsia" w:eastAsiaTheme="majorEastAsia" w:cstheme="majorEastAsia"/>
          <w:sz w:val="24"/>
          <w:szCs w:val="24"/>
          <w:highlight w:val="none"/>
        </w:rPr>
        <w:t>支</w:t>
      </w:r>
      <w:r>
        <w:rPr>
          <w:rFonts w:hint="eastAsia" w:asciiTheme="majorEastAsia" w:hAnsiTheme="majorEastAsia" w:eastAsiaTheme="majorEastAsia" w:cstheme="majorEastAsia"/>
          <w:bCs w:val="0"/>
          <w:sz w:val="24"/>
          <w:szCs w:val="24"/>
          <w:highlight w:val="none"/>
        </w:rPr>
        <w:t>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_Toc32523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008CA2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四、</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政拨款收入支出决算总表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D194A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五、</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_Toc8325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1C7CFD">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_Toc7574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六、</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_Toc7574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D4901">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_Toc28693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七、</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_Toc28693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7EE14F3">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_Toc26803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八、</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般公共预算财政拨款基本支出决算表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_Toc26803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E55F10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_Toc1784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九、</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般公共预算财政拨款项目支出决算表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_Toc1784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11EA18E">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_Toc19072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w:t>
      </w:r>
      <w:r>
        <w:rPr>
          <w:rFonts w:hint="eastAsia" w:asciiTheme="majorEastAsia" w:hAnsiTheme="majorEastAsia" w:eastAsiaTheme="majorEastAsia" w:cstheme="majorEastAsia"/>
          <w:sz w:val="24"/>
          <w:szCs w:val="24"/>
          <w:highlight w:val="none"/>
        </w:rPr>
        <w:t>政</w:t>
      </w:r>
      <w:r>
        <w:rPr>
          <w:rFonts w:hint="eastAsia" w:asciiTheme="majorEastAsia" w:hAnsiTheme="majorEastAsia" w:eastAsiaTheme="majorEastAsia" w:cstheme="majorEastAsia"/>
          <w:bCs w:val="0"/>
          <w:sz w:val="24"/>
          <w:szCs w:val="24"/>
          <w:highlight w:val="none"/>
        </w:rPr>
        <w:t>府性基金预算财政拨款收入支出决算表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_Toc19072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86C9723">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十一、</w:t>
      </w:r>
      <w:r>
        <w:rPr>
          <w:rFonts w:hint="eastAsia" w:asciiTheme="majorEastAsia" w:hAnsiTheme="majorEastAsia" w:eastAsiaTheme="majorEastAsia" w:cstheme="majorEastAsia"/>
          <w:sz w:val="24"/>
          <w:szCs w:val="24"/>
          <w:highlight w:val="none"/>
        </w:rPr>
        <w:t>国</w:t>
      </w:r>
      <w:r>
        <w:rPr>
          <w:rFonts w:hint="eastAsia" w:asciiTheme="majorEastAsia" w:hAnsiTheme="majorEastAsia" w:eastAsiaTheme="majorEastAsia" w:cstheme="majorEastAsia"/>
          <w:bCs w:val="0"/>
          <w:sz w:val="24"/>
          <w:szCs w:val="24"/>
          <w:highlight w:val="none"/>
        </w:rPr>
        <w:t>有资本经营预算</w:t>
      </w:r>
      <w:r>
        <w:rPr>
          <w:rFonts w:hint="eastAsia" w:asciiTheme="majorEastAsia" w:hAnsiTheme="majorEastAsia" w:eastAsiaTheme="majorEastAsia" w:cstheme="majorEastAsia"/>
          <w:bCs w:val="0"/>
          <w:sz w:val="24"/>
          <w:szCs w:val="24"/>
          <w:highlight w:val="none"/>
          <w:lang w:eastAsia="zh-CN"/>
        </w:rPr>
        <w:t>财政拨款收入</w:t>
      </w:r>
      <w:r>
        <w:rPr>
          <w:rFonts w:hint="eastAsia" w:asciiTheme="majorEastAsia" w:hAnsiTheme="majorEastAsia" w:eastAsiaTheme="majorEastAsia" w:cstheme="majorEastAsia"/>
          <w:bCs w:val="0"/>
          <w:sz w:val="24"/>
          <w:szCs w:val="24"/>
          <w:highlight w:val="none"/>
        </w:rPr>
        <w:t>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_Toc16597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F7DB56">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十二、</w:t>
      </w:r>
      <w:r>
        <w:rPr>
          <w:rFonts w:hint="eastAsia" w:asciiTheme="majorEastAsia" w:hAnsiTheme="majorEastAsia" w:eastAsiaTheme="majorEastAsia" w:cstheme="majorEastAsia"/>
          <w:bCs w:val="0"/>
          <w:sz w:val="24"/>
          <w:szCs w:val="24"/>
          <w:highlight w:val="none"/>
          <w:lang w:eastAsia="zh-CN"/>
        </w:rPr>
        <w:t>国有资本经营预算财政拨款支出决算表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_Toc1852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A90E933">
      <w:pPr>
        <w:pStyle w:val="12"/>
        <w:tabs>
          <w:tab w:val="right" w:leader="dot" w:pos="8306"/>
          <w:tab w:val="clear" w:pos="8296"/>
        </w:tabs>
        <w:rPr>
          <w:rFonts w:hint="eastAsia" w:ascii="仿宋" w:hAnsi="仿宋" w:eastAsia="仿宋" w:cs="仿宋"/>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_Toc13118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十三、</w:t>
      </w:r>
      <w:r>
        <w:rPr>
          <w:rFonts w:hint="eastAsia" w:asciiTheme="majorEastAsia" w:hAnsiTheme="majorEastAsia" w:eastAsiaTheme="majorEastAsia" w:cstheme="majorEastAsia"/>
          <w:bCs w:val="0"/>
          <w:sz w:val="24"/>
          <w:szCs w:val="24"/>
          <w:highlight w:val="none"/>
          <w:lang w:eastAsia="zh-CN"/>
        </w:rPr>
        <w:t>财政拨款“三公”经费支出决算表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_Toc13118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4BBEBAE">
      <w:pPr>
        <w:rPr>
          <w:rFonts w:hint="eastAsia" w:ascii="黑体" w:hAnsi="黑体" w:eastAsia="黑体"/>
          <w:b w:val="0"/>
          <w:color w:val="auto"/>
          <w:highlight w:val="none"/>
        </w:rPr>
      </w:pPr>
      <w:r>
        <w:rPr>
          <w:rFonts w:hint="eastAsia" w:ascii="仿宋" w:hAnsi="仿宋" w:eastAsia="仿宋" w:cs="仿宋"/>
          <w:sz w:val="24"/>
          <w:szCs w:val="24"/>
        </w:rPr>
        <w:fldChar w:fldCharType="end"/>
      </w:r>
      <w:bookmarkStart w:id="9" w:name="_Toc15396599"/>
      <w:bookmarkStart w:id="10" w:name="_Toc12066"/>
      <w:bookmarkStart w:id="11" w:name="_Toc15377196"/>
    </w:p>
    <w:p w14:paraId="3D2F7455">
      <w:pPr>
        <w:pStyle w:val="3"/>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6"/>
          <w:rFonts w:ascii="黑体" w:hAnsi="黑体" w:eastAsia="黑体"/>
          <w:b/>
          <w:bCs w:val="0"/>
          <w:color w:val="auto"/>
          <w:highlight w:val="none"/>
        </w:rPr>
      </w:pPr>
      <w:bookmarkStart w:id="12"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9"/>
      <w:bookmarkEnd w:id="10"/>
      <w:bookmarkEnd w:id="11"/>
      <w:bookmarkEnd w:id="12"/>
    </w:p>
    <w:p w14:paraId="0D081770">
      <w:pPr>
        <w:widowControl/>
        <w:jc w:val="left"/>
        <w:rPr>
          <w:rFonts w:ascii="黑体" w:eastAsia="黑体"/>
          <w:color w:val="auto"/>
          <w:sz w:val="32"/>
          <w:szCs w:val="32"/>
          <w:highlight w:val="none"/>
        </w:rPr>
      </w:pPr>
    </w:p>
    <w:p w14:paraId="713C7CA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27"/>
          <w:rFonts w:hint="eastAsia" w:ascii="黑体" w:hAnsi="黑体" w:eastAsia="黑体"/>
          <w:b w:val="0"/>
          <w:bCs w:val="0"/>
          <w:color w:val="auto"/>
          <w:highlight w:val="none"/>
          <w:lang w:eastAsia="zh-CN"/>
        </w:rPr>
      </w:pPr>
      <w:bookmarkStart w:id="13" w:name="_Toc19840"/>
      <w:bookmarkStart w:id="14" w:name="_Toc15377197"/>
      <w:bookmarkStart w:id="15" w:name="_Toc15396600"/>
      <w:r>
        <w:rPr>
          <w:rStyle w:val="27"/>
          <w:rFonts w:hint="eastAsia" w:ascii="黑体" w:hAnsi="黑体" w:eastAsia="黑体"/>
          <w:b w:val="0"/>
          <w:bCs w:val="0"/>
          <w:color w:val="auto"/>
          <w:highlight w:val="none"/>
          <w:lang w:eastAsia="zh-CN"/>
        </w:rPr>
        <w:t>主要职责</w:t>
      </w:r>
      <w:bookmarkEnd w:id="13"/>
    </w:p>
    <w:p w14:paraId="67C3AD39">
      <w:pPr>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1．贯彻执行党和国家关于教育改革和发展的各项方针、政策，拟订全校教育事业发展规划和有关教育的规范性文件并组织实施；指导协调学校各部门的教育、教学体制改革。</w:t>
      </w:r>
    </w:p>
    <w:p w14:paraId="73CBFE64">
      <w:pPr>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6F12724B">
      <w:pPr>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3．负责推进义务教育均衡发展和促进教育公平，负责义务教育的宏观指导与协调；指导学校全面实施素质教育；督促检查学校各类学校的办学标准、教学基本要求、教学基本条件的落实情况。</w:t>
      </w:r>
    </w:p>
    <w:p w14:paraId="39638880">
      <w:pPr>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28"/>
          <w:szCs w:val="28"/>
        </w:rPr>
        <w:t>4.促进基础教育发展，教育学生成长为德学兼备、思想端正的学生，让学生获得基本的基础知识，尽可能培养其自学能力。</w:t>
      </w:r>
    </w:p>
    <w:p w14:paraId="134FE7FF">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bookmarkStart w:id="16" w:name="_Toc23676"/>
      <w:r>
        <w:rPr>
          <w:rFonts w:hint="eastAsia" w:ascii="黑体" w:hAnsi="黑体" w:eastAsia="黑体"/>
          <w:b w:val="0"/>
          <w:color w:val="auto"/>
          <w:highlight w:val="none"/>
          <w:lang w:val="en-US" w:eastAsia="zh-CN"/>
        </w:rPr>
        <w:t>二、机构设置</w:t>
      </w:r>
      <w:bookmarkEnd w:id="16"/>
    </w:p>
    <w:bookmarkEnd w:id="14"/>
    <w:bookmarkEnd w:id="15"/>
    <w:p w14:paraId="33DE54FE">
      <w:pPr>
        <w:widowControl/>
        <w:ind w:firstLine="560" w:firstLineChars="200"/>
        <w:jc w:val="left"/>
        <w:rPr>
          <w:rFonts w:hint="eastAsia" w:ascii="仿宋" w:hAnsi="仿宋" w:eastAsia="仿宋"/>
          <w:color w:val="auto"/>
          <w:kern w:val="0"/>
          <w:sz w:val="28"/>
          <w:szCs w:val="28"/>
          <w:highlight w:val="none"/>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东城实验初级中学</w:t>
      </w:r>
      <w:r>
        <w:rPr>
          <w:rFonts w:hint="eastAsia" w:ascii="仿宋" w:hAnsi="仿宋" w:eastAsia="仿宋" w:cs="仿宋"/>
          <w:color w:val="auto"/>
          <w:sz w:val="28"/>
          <w:szCs w:val="28"/>
        </w:rPr>
        <w:t>是经利州区编制委员会批准成立的，隶属区教</w:t>
      </w:r>
      <w:r>
        <w:rPr>
          <w:rFonts w:hint="eastAsia" w:ascii="仿宋" w:hAnsi="仿宋" w:eastAsia="仿宋"/>
          <w:color w:val="auto"/>
          <w:kern w:val="0"/>
          <w:sz w:val="28"/>
          <w:szCs w:val="28"/>
          <w:highlight w:val="none"/>
        </w:rPr>
        <w:t>育局领导下的一所</w:t>
      </w:r>
      <w:r>
        <w:rPr>
          <w:rFonts w:hint="eastAsia" w:ascii="仿宋" w:hAnsi="仿宋" w:eastAsia="仿宋"/>
          <w:color w:val="auto"/>
          <w:kern w:val="0"/>
          <w:sz w:val="28"/>
          <w:szCs w:val="28"/>
          <w:highlight w:val="none"/>
          <w:lang w:val="en-US" w:eastAsia="zh-CN"/>
        </w:rPr>
        <w:t>九年一贯制</w:t>
      </w:r>
      <w:r>
        <w:rPr>
          <w:rFonts w:hint="eastAsia" w:ascii="仿宋" w:hAnsi="仿宋" w:eastAsia="仿宋"/>
          <w:color w:val="auto"/>
          <w:kern w:val="0"/>
          <w:sz w:val="28"/>
          <w:szCs w:val="28"/>
          <w:highlight w:val="none"/>
        </w:rPr>
        <w:t>学校。主要职能：实施义务教育，</w:t>
      </w:r>
      <w:r>
        <w:rPr>
          <w:rFonts w:hint="eastAsia" w:ascii="仿宋" w:hAnsi="仿宋" w:eastAsia="仿宋"/>
          <w:color w:val="auto"/>
          <w:kern w:val="0"/>
          <w:sz w:val="28"/>
          <w:szCs w:val="28"/>
          <w:highlight w:val="none"/>
          <w:lang w:val="en-US" w:eastAsia="zh-CN"/>
        </w:rPr>
        <w:t>初中</w:t>
      </w:r>
      <w:r>
        <w:rPr>
          <w:rFonts w:hint="eastAsia" w:ascii="仿宋" w:hAnsi="仿宋" w:eastAsia="仿宋"/>
          <w:color w:val="auto"/>
          <w:kern w:val="0"/>
          <w:sz w:val="28"/>
          <w:szCs w:val="28"/>
          <w:highlight w:val="none"/>
        </w:rPr>
        <w:t>学历教育。</w:t>
      </w:r>
    </w:p>
    <w:p w14:paraId="724EC8A7">
      <w:pPr>
        <w:widowControl/>
        <w:ind w:firstLine="560" w:firstLineChars="200"/>
        <w:jc w:val="left"/>
        <w:rPr>
          <w:color w:val="auto"/>
          <w:lang w:val="en-US" w:eastAsia="zh-CN"/>
        </w:rPr>
      </w:pPr>
      <w:r>
        <w:rPr>
          <w:rFonts w:hint="eastAsia" w:ascii="仿宋" w:hAnsi="仿宋" w:eastAsia="仿宋"/>
          <w:color w:val="auto"/>
          <w:kern w:val="0"/>
          <w:sz w:val="28"/>
          <w:szCs w:val="28"/>
          <w:highlight w:val="none"/>
        </w:rPr>
        <w:t>2、</w:t>
      </w:r>
      <w:r>
        <w:rPr>
          <w:rFonts w:hint="eastAsia" w:ascii="仿宋" w:hAnsi="仿宋" w:eastAsia="仿宋"/>
          <w:color w:val="auto"/>
          <w:kern w:val="0"/>
          <w:sz w:val="28"/>
          <w:szCs w:val="28"/>
          <w:highlight w:val="none"/>
          <w:lang w:val="en-US" w:eastAsia="zh-CN"/>
        </w:rPr>
        <w:t>东城实验初级中学</w:t>
      </w:r>
      <w:r>
        <w:rPr>
          <w:rFonts w:hint="eastAsia" w:ascii="仿宋" w:hAnsi="仿宋" w:eastAsia="仿宋"/>
          <w:color w:val="auto"/>
          <w:kern w:val="0"/>
          <w:sz w:val="28"/>
          <w:szCs w:val="28"/>
          <w:highlight w:val="none"/>
        </w:rPr>
        <w:t>是区编制委员会命名的独立法人机构，为经费独立核算单位。</w:t>
      </w:r>
      <w:r>
        <w:rPr>
          <w:rFonts w:hint="eastAsia" w:ascii="仿宋" w:hAnsi="仿宋" w:eastAsia="仿宋" w:cs="仿宋"/>
          <w:color w:val="auto"/>
          <w:sz w:val="28"/>
          <w:szCs w:val="28"/>
          <w:lang w:val="en-US" w:eastAsia="zh-CN"/>
        </w:rPr>
        <w:t>内设部门7个：行政办公室、教务处、德育安全处、后勤处、教科室、招生办、财务室。上级业务主管部门是广元市利州区教育局。</w:t>
      </w:r>
    </w:p>
    <w:p w14:paraId="73165519">
      <w:pPr>
        <w:pStyle w:val="3"/>
        <w:keepNext/>
        <w:keepLines/>
        <w:pageBreakBefore w:val="0"/>
        <w:widowControl w:val="0"/>
        <w:kinsoku/>
        <w:wordWrap/>
        <w:overflowPunct/>
        <w:topLinePunct w:val="0"/>
        <w:autoSpaceDE/>
        <w:autoSpaceDN/>
        <w:bidi w:val="0"/>
        <w:adjustRightInd/>
        <w:snapToGrid/>
        <w:spacing w:line="579" w:lineRule="auto"/>
        <w:ind w:right="442"/>
        <w:jc w:val="center"/>
        <w:textAlignment w:val="auto"/>
        <w:rPr>
          <w:rFonts w:ascii="仿宋_GB2312" w:hAnsi="Times New Roman" w:eastAsia="仿宋_GB2312" w:cs="Times New Roman"/>
          <w:color w:val="auto"/>
          <w:kern w:val="0"/>
          <w:sz w:val="30"/>
          <w:szCs w:val="24"/>
          <w:lang w:val="en-US" w:eastAsia="zh-CN" w:bidi="ar-SA"/>
        </w:rPr>
      </w:pPr>
      <w:bookmarkStart w:id="17" w:name="_Toc2754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7"/>
    </w:p>
    <w:p w14:paraId="13314B05">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18" w:name="_Toc15396603"/>
      <w:bookmarkStart w:id="19" w:name="_Toc12334"/>
      <w:bookmarkStart w:id="20"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bookmarkEnd w:id="20"/>
    </w:p>
    <w:p w14:paraId="105AAB7A">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w:t>
      </w:r>
      <w:r>
        <w:rPr>
          <w:rFonts w:hint="eastAsia" w:ascii="仿宋_GB2312" w:hAnsi="仿宋_GB2312" w:eastAsia="仿宋_GB2312" w:cs="仿宋_GB2312"/>
          <w:color w:val="auto"/>
          <w:sz w:val="32"/>
          <w:szCs w:val="32"/>
          <w:highlight w:val="none"/>
          <w:lang w:val="en-US" w:eastAsia="zh-CN"/>
        </w:rPr>
        <w:t>入总计</w:t>
      </w:r>
      <w:r>
        <w:rPr>
          <w:rFonts w:hint="eastAsia" w:ascii="仿宋_GB2312" w:hAnsi="仿宋_GB2312" w:eastAsia="仿宋_GB2312" w:cs="仿宋_GB2312"/>
          <w:color w:val="auto"/>
          <w:sz w:val="32"/>
          <w:szCs w:val="32"/>
          <w:highlight w:val="none"/>
        </w:rPr>
        <w:t>3040.07万元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w:t>
      </w:r>
      <w:r>
        <w:rPr>
          <w:rFonts w:hint="eastAsia" w:ascii="仿宋_GB2312" w:hAnsi="仿宋_GB2312" w:eastAsia="仿宋_GB2312" w:cs="仿宋_GB2312"/>
          <w:color w:val="auto"/>
          <w:sz w:val="32"/>
          <w:szCs w:val="32"/>
          <w:highlight w:val="none"/>
          <w:lang w:val="en-US" w:eastAsia="zh-CN"/>
        </w:rPr>
        <w:t>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3007.21万元</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lang w:val="en-US" w:eastAsia="zh-CN"/>
        </w:rPr>
        <w:t>收支总计</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2886.92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相比，收</w:t>
      </w:r>
      <w:r>
        <w:rPr>
          <w:rFonts w:hint="eastAsia" w:ascii="仿宋_GB2312" w:hAnsi="仿宋_GB2312" w:eastAsia="仿宋_GB2312" w:cs="仿宋_GB2312"/>
          <w:color w:val="auto"/>
          <w:sz w:val="32"/>
          <w:szCs w:val="32"/>
          <w:highlight w:val="none"/>
          <w:lang w:val="en-US" w:eastAsia="zh-CN"/>
        </w:rPr>
        <w:t>入增加153.15万元</w:t>
      </w:r>
      <w:r>
        <w:rPr>
          <w:rFonts w:hint="eastAsia" w:ascii="仿宋_GB2312" w:hAnsi="仿宋_GB2312" w:eastAsia="仿宋_GB2312" w:cs="仿宋_GB2312"/>
          <w:color w:val="auto"/>
          <w:sz w:val="32"/>
          <w:szCs w:val="32"/>
          <w:highlight w:val="none"/>
        </w:rPr>
        <w:t>增长</w:t>
      </w:r>
      <w:r>
        <w:rPr>
          <w:rFonts w:hint="eastAsia" w:ascii="仿宋_GB2312" w:hAnsi="仿宋_GB2312" w:eastAsia="仿宋_GB2312" w:cs="仿宋_GB2312"/>
          <w:color w:val="auto"/>
          <w:sz w:val="32"/>
          <w:szCs w:val="32"/>
          <w:highlight w:val="none"/>
          <w:lang w:val="en-US" w:eastAsia="zh-CN"/>
        </w:rPr>
        <w:t>5.3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w:t>
      </w:r>
      <w:r>
        <w:rPr>
          <w:rFonts w:hint="eastAsia" w:ascii="仿宋_GB2312" w:hAnsi="仿宋_GB2312" w:eastAsia="仿宋_GB2312" w:cs="仿宋_GB2312"/>
          <w:color w:val="auto"/>
          <w:sz w:val="32"/>
          <w:szCs w:val="32"/>
          <w:highlight w:val="none"/>
          <w:lang w:val="en-US" w:eastAsia="zh-CN"/>
        </w:rPr>
        <w:t>出增加1573.22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年末结余结转资金32.87万元。</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一是按学校实际情况对师生生活补助救助资金变动；二是</w:t>
      </w:r>
      <w:r>
        <w:rPr>
          <w:rFonts w:hint="eastAsia" w:ascii="仿宋" w:hAnsi="仿宋" w:eastAsia="仿宋"/>
          <w:color w:val="auto"/>
          <w:sz w:val="32"/>
          <w:szCs w:val="32"/>
          <w:highlight w:val="none"/>
          <w:lang w:val="en-US" w:eastAsia="zh-CN"/>
        </w:rPr>
        <w:t>在职教师人员变动工资、保险支付增加。</w:t>
      </w: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2"/>
      </w:pPr>
      <w:r>
        <w:rPr>
          <w:rFonts w:hint="eastAsia" w:eastAsiaTheme="minorEastAsia"/>
          <w:lang w:val="en-US" w:eastAsia="zh-CN"/>
        </w:rPr>
        <w:t>30</w:t>
      </w:r>
      <w:r>
        <w:rPr>
          <w:rFonts w:hint="eastAsia" w:eastAsiaTheme="minorEastAsia"/>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1" w:name="_Toc23054"/>
      <w:bookmarkStart w:id="22" w:name="_Toc15396604"/>
      <w:bookmarkStart w:id="23"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1"/>
      <w:bookmarkEnd w:id="22"/>
      <w:bookmarkEnd w:id="23"/>
    </w:p>
    <w:p w14:paraId="560DF2A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bookmarkStart w:id="24" w:name="_Toc198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3040.07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2622.37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86.26</w:t>
      </w:r>
      <w:r>
        <w:rPr>
          <w:rFonts w:hint="eastAsia" w:ascii="仿宋_GB2312" w:hAnsi="仿宋_GB2312" w:eastAsia="仿宋_GB2312" w:cs="仿宋_GB2312"/>
          <w:color w:val="auto"/>
          <w:sz w:val="32"/>
          <w:szCs w:val="32"/>
          <w:highlight w:val="none"/>
        </w:rPr>
        <w:t>%；其他收</w:t>
      </w:r>
      <w:r>
        <w:rPr>
          <w:rFonts w:hint="eastAsia" w:ascii="仿宋_GB2312" w:hAnsi="仿宋_GB2312" w:eastAsia="仿宋_GB2312" w:cs="仿宋_GB2312"/>
          <w:color w:val="auto"/>
          <w:sz w:val="32"/>
          <w:szCs w:val="32"/>
          <w:highlight w:val="none"/>
          <w:lang w:val="en-US" w:eastAsia="zh-CN"/>
        </w:rPr>
        <w:t>入417.7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13.74</w:t>
      </w:r>
      <w:r>
        <w:rPr>
          <w:rFonts w:hint="eastAsia" w:ascii="仿宋_GB2312" w:hAnsi="仿宋_GB2312" w:eastAsia="仿宋_GB2312" w:cs="仿宋_GB2312"/>
          <w:color w:val="auto"/>
          <w:sz w:val="32"/>
          <w:szCs w:val="32"/>
          <w:highlight w:val="none"/>
        </w:rPr>
        <w:t>%。</w:t>
      </w:r>
      <w:bookmarkEnd w:id="24"/>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2"/>
        <w:rPr>
          <w:rFonts w:hint="eastAsia" w:ascii="仿宋" w:hAnsi="仿宋" w:eastAsia="仿宋"/>
          <w:color w:val="auto"/>
          <w:sz w:val="32"/>
          <w:szCs w:val="32"/>
          <w:highlight w:val="none"/>
        </w:rPr>
      </w:pPr>
    </w:p>
    <w:p w14:paraId="298616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p>
    <w:p w14:paraId="71730B68">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5" w:name="_Toc15396605"/>
      <w:bookmarkStart w:id="26" w:name="_Toc15377207"/>
      <w:bookmarkStart w:id="27" w:name="_Toc22882"/>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5"/>
      <w:bookmarkEnd w:id="26"/>
      <w:bookmarkEnd w:id="27"/>
    </w:p>
    <w:p w14:paraId="25C12B84">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28" w:name="_Toc629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3007.21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2347.14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78.05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660.06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21.95</w:t>
      </w:r>
      <w:r>
        <w:rPr>
          <w:rFonts w:hint="eastAsia" w:ascii="仿宋_GB2312" w:hAnsi="仿宋_GB2312" w:eastAsia="仿宋_GB2312" w:cs="仿宋_GB2312"/>
          <w:color w:val="auto"/>
          <w:sz w:val="32"/>
          <w:szCs w:val="32"/>
          <w:highlight w:val="none"/>
        </w:rPr>
        <w:t>%</w:t>
      </w:r>
      <w:bookmarkEnd w:id="28"/>
      <w:r>
        <w:rPr>
          <w:rFonts w:hint="eastAsia" w:ascii="仿宋_GB2312" w:hAnsi="仿宋_GB2312" w:eastAsia="仿宋_GB2312" w:cs="仿宋_GB2312"/>
          <w:color w:val="auto"/>
          <w:sz w:val="32"/>
          <w:szCs w:val="32"/>
          <w:highlight w:val="none"/>
          <w:lang w:eastAsia="zh-CN"/>
        </w:rPr>
        <w:t>。</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572FF9D8">
      <w:pPr>
        <w:pStyle w:val="2"/>
        <w:rPr>
          <w:rFonts w:ascii="仿宋_GB2312" w:eastAsia="仿宋_GB2312"/>
          <w:color w:val="auto"/>
          <w:sz w:val="32"/>
          <w:szCs w:val="32"/>
          <w:highlight w:val="none"/>
        </w:rPr>
      </w:pPr>
      <w:r>
        <w:rPr>
          <w:rFonts w:hint="eastAsia" w:eastAsia="仿宋"/>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wpswe:webExtensionRef xmlns:wpswe="http://www.wps.cn/officeDocument/2018/webExtension" r:id="rId11"/>
                    </a:extLst>
                  </pic:spPr>
                </pic:pic>
              </a:graphicData>
            </a:graphic>
          </wp:inline>
        </w:drawing>
      </w: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7"/>
          <w:rFonts w:ascii="黑体" w:hAnsi="黑体" w:eastAsia="黑体"/>
          <w:b w:val="0"/>
          <w:color w:val="auto"/>
          <w:highlight w:val="none"/>
        </w:rPr>
      </w:pPr>
      <w:bookmarkStart w:id="29" w:name="_Toc15396606"/>
      <w:bookmarkStart w:id="30" w:name="_Toc12802"/>
      <w:bookmarkStart w:id="31"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9"/>
      <w:bookmarkEnd w:id="30"/>
      <w:bookmarkEnd w:id="31"/>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均为2622.37</w:t>
      </w:r>
      <w:r>
        <w:rPr>
          <w:rFonts w:hint="eastAsia" w:ascii="仿宋_GB2312" w:hAnsi="仿宋_GB2312" w:eastAsia="仿宋_GB2312" w:cs="仿宋_GB2312"/>
          <w:color w:val="auto"/>
          <w:sz w:val="32"/>
          <w:szCs w:val="32"/>
          <w:highlight w:val="none"/>
          <w:lang w:eastAsia="zh-CN"/>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相比（</w:t>
      </w:r>
      <w:r>
        <w:rPr>
          <w:rFonts w:hint="eastAsia" w:ascii="仿宋_GB2312" w:hAnsi="仿宋_GB2312" w:eastAsia="仿宋_GB2312" w:cs="仿宋_GB2312"/>
          <w:color w:val="auto"/>
          <w:sz w:val="32"/>
          <w:szCs w:val="32"/>
          <w:highlight w:val="none"/>
          <w:lang w:val="en-US" w:eastAsia="zh-CN"/>
        </w:rPr>
        <w:t>2577.76万元</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各增加44.61</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增加1.73</w:t>
      </w:r>
      <w:r>
        <w:rPr>
          <w:rFonts w:hint="eastAsia" w:ascii="仿宋_GB2312" w:hAnsi="仿宋_GB2312" w:eastAsia="仿宋_GB2312" w:cs="仿宋_GB2312"/>
          <w:color w:val="auto"/>
          <w:sz w:val="32"/>
          <w:szCs w:val="32"/>
          <w:highlight w:val="none"/>
          <w:lang w:eastAsia="zh-CN"/>
        </w:rPr>
        <w:t>%。主要变动原因：</w:t>
      </w:r>
      <w:r>
        <w:rPr>
          <w:rFonts w:hint="eastAsia" w:ascii="仿宋_GB2312" w:hAnsi="仿宋_GB2312" w:eastAsia="仿宋_GB2312" w:cs="仿宋_GB2312"/>
          <w:color w:val="auto"/>
          <w:sz w:val="32"/>
          <w:szCs w:val="32"/>
          <w:highlight w:val="none"/>
          <w:lang w:val="en-US" w:eastAsia="zh-CN"/>
        </w:rPr>
        <w:t>一是按学校实际情况对师生生活补助救助资金变动；二是在职教师人员变动工资、保险支付增加。</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2"/>
        <w:rPr>
          <w:rFonts w:hint="eastAsia" w:ascii="仿宋" w:hAnsi="仿宋" w:eastAsia="仿宋"/>
          <w:b/>
          <w:color w:val="auto"/>
          <w:sz w:val="32"/>
          <w:szCs w:val="32"/>
          <w:highlight w:val="none"/>
          <w:lang w:eastAsia="zh-CN"/>
        </w:rPr>
      </w:pPr>
      <w:r>
        <w:rPr>
          <w:rFonts w:hint="eastAsia" w:eastAsiaTheme="minorEastAsia"/>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32" w:name="_Toc15396607"/>
      <w:bookmarkStart w:id="33" w:name="_Toc15377209"/>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7"/>
          <w:rFonts w:ascii="黑体" w:hAnsi="黑体" w:eastAsia="黑体"/>
          <w:b w:val="0"/>
          <w:color w:val="auto"/>
          <w:highlight w:val="none"/>
        </w:rPr>
      </w:pPr>
      <w:bookmarkStart w:id="34"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2"/>
      <w:bookmarkEnd w:id="33"/>
      <w:bookmarkEnd w:id="34"/>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5" w:name="_Toc11808"/>
      <w:bookmarkStart w:id="36" w:name="_Toc15377210"/>
      <w:r>
        <w:rPr>
          <w:rFonts w:hint="eastAsia" w:ascii="仿宋_GB2312" w:hAnsi="仿宋_GB2312" w:eastAsia="仿宋_GB2312" w:cs="仿宋_GB2312"/>
          <w:b/>
          <w:color w:val="auto"/>
          <w:sz w:val="32"/>
          <w:szCs w:val="32"/>
          <w:highlight w:val="none"/>
        </w:rPr>
        <w:t>（一）一般公共预算财政拨款支出决算总体情况</w:t>
      </w:r>
      <w:bookmarkEnd w:id="35"/>
      <w:bookmarkEnd w:id="36"/>
    </w:p>
    <w:p w14:paraId="4728A452">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2622.37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87.20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2577.76万元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增加44.61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减少1.73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主要变动原因：一是按学校实际情况对师生生活补助救助资金变动；二是在职教师人员变动工资、保险支付减少。</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7" w:name="_Toc12667"/>
      <w:bookmarkStart w:id="38" w:name="_Toc15377211"/>
      <w:r>
        <w:rPr>
          <w:rFonts w:hint="eastAsia" w:ascii="仿宋_GB2312" w:hAnsi="仿宋_GB2312" w:eastAsia="仿宋_GB2312" w:cs="仿宋_GB2312"/>
          <w:b/>
          <w:color w:val="auto"/>
          <w:sz w:val="32"/>
          <w:szCs w:val="32"/>
          <w:highlight w:val="none"/>
        </w:rPr>
        <w:t>（二）一般公共预算财政拨款支出决算结构情况</w:t>
      </w:r>
      <w:bookmarkEnd w:id="37"/>
      <w:bookmarkEnd w:id="38"/>
    </w:p>
    <w:p w14:paraId="35801B02">
      <w:pPr>
        <w:suppressAutoHyphens/>
        <w:bidi w:val="0"/>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2622.37</w:t>
      </w:r>
      <w:r>
        <w:rPr>
          <w:rFonts w:hint="eastAsia" w:ascii="仿宋_GB2312" w:hAnsi="仿宋_GB2312" w:eastAsia="仿宋_GB2312" w:cs="仿宋_GB2312"/>
          <w:color w:val="auto"/>
          <w:sz w:val="32"/>
          <w:szCs w:val="32"/>
          <w:highlight w:val="none"/>
        </w:rPr>
        <w:t>万元，主要用于以下方面:教育支出</w:t>
      </w:r>
      <w:r>
        <w:rPr>
          <w:rFonts w:hint="eastAsia" w:ascii="仿宋_GB2312" w:hAnsi="仿宋_GB2312" w:eastAsia="仿宋_GB2312" w:cs="仿宋_GB2312"/>
          <w:color w:val="auto"/>
          <w:sz w:val="32"/>
          <w:szCs w:val="32"/>
          <w:highlight w:val="none"/>
          <w:lang w:val="en-US" w:eastAsia="zh-CN"/>
        </w:rPr>
        <w:t>2618.91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99.86</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0.52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2.64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住房保障支出0.30万元，占0.01%。</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9" w:name="_Toc15377212"/>
      <w:bookmarkStart w:id="40" w:name="_Toc15397"/>
      <w:r>
        <w:rPr>
          <w:rFonts w:hint="eastAsia" w:ascii="仿宋_GB2312" w:hAnsi="仿宋_GB2312" w:eastAsia="仿宋_GB2312" w:cs="仿宋_GB2312"/>
          <w:b/>
          <w:color w:val="auto"/>
          <w:sz w:val="32"/>
          <w:szCs w:val="32"/>
          <w:highlight w:val="none"/>
        </w:rPr>
        <w:t>（三）一般公共预算财政拨款支出决算具体情况</w:t>
      </w:r>
      <w:bookmarkEnd w:id="39"/>
      <w:bookmarkEnd w:id="40"/>
    </w:p>
    <w:p w14:paraId="16B63239">
      <w:pPr>
        <w:spacing w:line="600" w:lineRule="exact"/>
        <w:ind w:firstLine="643" w:firstLineChars="200"/>
        <w:outlineLvl w:val="1"/>
        <w:rPr>
          <w:rStyle w:val="16"/>
          <w:rFonts w:hint="eastAsia" w:ascii="仿宋_GB2312" w:hAnsi="仿宋_GB2312" w:eastAsia="仿宋_GB2312" w:cs="仿宋_GB2312"/>
          <w:b w:val="0"/>
          <w:bCs/>
          <w:color w:val="auto"/>
          <w:sz w:val="32"/>
          <w:szCs w:val="32"/>
          <w:highlight w:val="none"/>
        </w:rPr>
      </w:pPr>
      <w:bookmarkStart w:id="41" w:name="_Toc15377444"/>
      <w:bookmarkStart w:id="42" w:name="_Toc13226"/>
      <w:bookmarkStart w:id="43" w:name="_Toc15378460"/>
      <w:bookmarkStart w:id="44" w:name="_Toc15377213"/>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2622.37万元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1"/>
      <w:bookmarkEnd w:id="42"/>
      <w:bookmarkEnd w:id="43"/>
      <w:bookmarkEnd w:id="44"/>
    </w:p>
    <w:p w14:paraId="12E91322">
      <w:pPr>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outlineLvl w:val="2"/>
        <w:rPr>
          <w:rStyle w:val="16"/>
          <w:rFonts w:hint="eastAsia" w:ascii="仿宋_GB2312" w:hAnsi="仿宋_GB2312" w:eastAsia="仿宋_GB2312" w:cs="仿宋_GB2312"/>
          <w:b w:val="0"/>
          <w:bCs/>
          <w:color w:val="auto"/>
          <w:sz w:val="32"/>
          <w:szCs w:val="32"/>
          <w:highlight w:val="none"/>
          <w:lang w:val="en-US" w:eastAsia="zh-CN"/>
        </w:rPr>
      </w:pPr>
      <w:bookmarkStart w:id="45" w:name="_Toc17792"/>
      <w:r>
        <w:rPr>
          <w:rStyle w:val="16"/>
          <w:rFonts w:hint="eastAsia" w:ascii="仿宋_GB2312" w:hAnsi="仿宋_GB2312" w:eastAsia="仿宋_GB2312" w:cs="仿宋_GB2312"/>
          <w:bCs/>
          <w:color w:val="auto"/>
          <w:sz w:val="32"/>
          <w:szCs w:val="32"/>
          <w:highlight w:val="none"/>
          <w:lang w:val="en-US" w:eastAsia="zh-CN"/>
        </w:rPr>
        <w:t>1</w:t>
      </w:r>
      <w:r>
        <w:rPr>
          <w:rStyle w:val="16"/>
          <w:rFonts w:hint="eastAsia" w:ascii="仿宋_GB2312" w:hAnsi="仿宋_GB2312" w:eastAsia="仿宋_GB2312" w:cs="仿宋_GB2312"/>
          <w:bCs/>
          <w:color w:val="auto"/>
          <w:sz w:val="32"/>
          <w:szCs w:val="32"/>
          <w:highlight w:val="none"/>
        </w:rPr>
        <w:t>.</w:t>
      </w:r>
      <w:r>
        <w:rPr>
          <w:rStyle w:val="16"/>
          <w:rFonts w:hint="eastAsia" w:ascii="仿宋_GB2312" w:hAnsi="仿宋_GB2312" w:eastAsia="仿宋_GB2312" w:cs="仿宋_GB2312"/>
          <w:bCs/>
          <w:color w:val="auto"/>
          <w:sz w:val="32"/>
          <w:szCs w:val="32"/>
          <w:highlight w:val="none"/>
          <w:lang w:val="en-US" w:eastAsia="zh-CN"/>
        </w:rPr>
        <w:t>教育（类）普通教育（款）初中教育（项）:</w:t>
      </w:r>
      <w:r>
        <w:rPr>
          <w:rStyle w:val="16"/>
          <w:rFonts w:hint="eastAsia" w:ascii="仿宋_GB2312" w:hAnsi="仿宋_GB2312" w:eastAsia="仿宋_GB2312" w:cs="仿宋_GB2312"/>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2618.91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 xml:space="preserve">100 </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5"/>
    </w:p>
    <w:p w14:paraId="6AC0054C">
      <w:pPr>
        <w:suppressAutoHyphens/>
        <w:bidi w:val="0"/>
        <w:spacing w:line="600" w:lineRule="exact"/>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ascii="仿宋_GB2312" w:hAnsi="仿宋_GB2312" w:eastAsia="仿宋_GB2312" w:cs="仿宋_GB2312"/>
          <w:bCs/>
          <w:color w:val="auto"/>
          <w:kern w:val="2"/>
          <w:sz w:val="32"/>
          <w:szCs w:val="32"/>
          <w:highlight w:val="none"/>
          <w:lang w:val="en-US" w:eastAsia="zh-CN" w:bidi="ar-SA"/>
        </w:rPr>
        <w:t>2.社会保障和就业（类）行政事业单位养老（款）机关事业单位基本养老保险缴费（项）: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kern w:val="2"/>
          <w:sz w:val="32"/>
          <w:szCs w:val="32"/>
          <w:highlight w:val="none"/>
          <w:lang w:val="en-US" w:eastAsia="zh-CN" w:bidi="ar-SA"/>
        </w:rPr>
        <w:t>支出决算为0.39万元，</w:t>
      </w:r>
      <w:r>
        <w:rPr>
          <w:rStyle w:val="16"/>
          <w:rFonts w:hint="eastAsia" w:ascii="仿宋_GB2312" w:hAnsi="仿宋_GB2312" w:eastAsia="仿宋_GB2312" w:cs="仿宋_GB2312"/>
          <w:b w:val="0"/>
          <w:bCs/>
          <w:color w:val="auto"/>
          <w:sz w:val="32"/>
          <w:szCs w:val="32"/>
          <w:highlight w:val="none"/>
          <w:lang w:val="en-US" w:eastAsia="zh-CN"/>
        </w:rPr>
        <w:t>完成预算100%。</w:t>
      </w:r>
    </w:p>
    <w:p w14:paraId="1186F85B">
      <w:pPr>
        <w:pStyle w:val="2"/>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hAnsi="仿宋_GB2312" w:cs="仿宋_GB2312"/>
          <w:bCs/>
          <w:color w:val="auto"/>
          <w:kern w:val="2"/>
          <w:sz w:val="32"/>
          <w:szCs w:val="32"/>
          <w:highlight w:val="none"/>
          <w:lang w:val="en-US" w:eastAsia="zh-CN" w:bidi="ar-SA"/>
        </w:rPr>
        <w:t>3</w:t>
      </w:r>
      <w:r>
        <w:rPr>
          <w:rStyle w:val="16"/>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6"/>
          <w:rFonts w:hint="eastAsia" w:ascii="仿宋_GB2312" w:hAnsi="仿宋_GB2312" w:eastAsia="仿宋_GB2312" w:cs="仿宋_GB2312"/>
          <w:b w:val="0"/>
          <w:bCs/>
          <w:color w:val="auto"/>
          <w:kern w:val="2"/>
          <w:sz w:val="32"/>
          <w:szCs w:val="32"/>
          <w:highlight w:val="none"/>
          <w:lang w:val="en-US" w:eastAsia="zh-CN" w:bidi="ar-SA"/>
        </w:rPr>
        <w:t>支出决算为0.</w:t>
      </w:r>
      <w:r>
        <w:rPr>
          <w:rStyle w:val="16"/>
          <w:rFonts w:hint="eastAsia" w:hAnsi="仿宋_GB2312" w:cs="仿宋_GB2312"/>
          <w:b w:val="0"/>
          <w:bCs/>
          <w:color w:val="auto"/>
          <w:kern w:val="2"/>
          <w:sz w:val="32"/>
          <w:szCs w:val="32"/>
          <w:highlight w:val="none"/>
          <w:lang w:val="en-US" w:eastAsia="zh-CN" w:bidi="ar-SA"/>
        </w:rPr>
        <w:t>13</w:t>
      </w:r>
      <w:r>
        <w:rPr>
          <w:rStyle w:val="16"/>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bookmarkStart w:id="46" w:name="_Toc10747"/>
      <w:r>
        <w:rPr>
          <w:rStyle w:val="16"/>
          <w:rFonts w:hint="eastAsia" w:ascii="仿宋_GB2312" w:hAnsi="仿宋_GB2312" w:eastAsia="仿宋_GB2312" w:cs="仿宋_GB2312"/>
          <w:bCs/>
          <w:color w:val="auto"/>
          <w:sz w:val="32"/>
          <w:szCs w:val="32"/>
          <w:highlight w:val="none"/>
          <w:lang w:val="en-US" w:eastAsia="zh-CN"/>
        </w:rPr>
        <w:t>4</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事业单位医疗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0.19</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6"/>
    </w:p>
    <w:p w14:paraId="152E85C2">
      <w:pPr>
        <w:suppressAutoHyphens/>
        <w:bidi w:val="0"/>
        <w:spacing w:line="600" w:lineRule="exact"/>
        <w:ind w:firstLine="643" w:firstLineChars="200"/>
        <w:rPr>
          <w:rFonts w:hint="eastAsia"/>
          <w:color w:val="auto"/>
          <w:lang w:val="en-US" w:eastAsia="zh-CN"/>
        </w:rPr>
      </w:pPr>
      <w:r>
        <w:rPr>
          <w:rStyle w:val="16"/>
          <w:rFonts w:hint="eastAsia" w:ascii="仿宋_GB2312" w:hAnsi="仿宋_GB2312" w:eastAsia="仿宋_GB2312" w:cs="仿宋_GB2312"/>
          <w:bCs/>
          <w:color w:val="auto"/>
          <w:sz w:val="32"/>
          <w:szCs w:val="32"/>
          <w:highlight w:val="none"/>
          <w:lang w:val="en-US" w:eastAsia="zh-CN"/>
        </w:rPr>
        <w:t>5</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其他卫生健康支出</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其他卫生健康支出</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2.46</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p>
    <w:p w14:paraId="3EBCB00B">
      <w:pPr>
        <w:suppressAutoHyphens/>
        <w:bidi w:val="0"/>
        <w:spacing w:line="600" w:lineRule="exact"/>
        <w:ind w:firstLine="643" w:firstLineChars="200"/>
        <w:rPr>
          <w:rStyle w:val="16"/>
          <w:rFonts w:hint="eastAsia" w:ascii="仿宋_GB2312" w:hAnsi="仿宋_GB2312" w:eastAsia="仿宋_GB2312" w:cs="仿宋_GB2312"/>
          <w:b w:val="0"/>
          <w:bCs/>
          <w:color w:val="0000FF"/>
          <w:sz w:val="32"/>
          <w:szCs w:val="32"/>
          <w:highlight w:val="none"/>
          <w:lang w:val="en-US" w:eastAsia="zh-CN"/>
        </w:rPr>
      </w:pPr>
      <w:r>
        <w:rPr>
          <w:rStyle w:val="16"/>
          <w:rFonts w:hint="eastAsia" w:ascii="仿宋_GB2312" w:hAnsi="仿宋_GB2312" w:eastAsia="仿宋_GB2312" w:cs="仿宋_GB2312"/>
          <w:bCs/>
          <w:color w:val="auto"/>
          <w:kern w:val="2"/>
          <w:sz w:val="32"/>
          <w:szCs w:val="32"/>
          <w:highlight w:val="none"/>
          <w:lang w:val="en-US" w:eastAsia="zh-CN" w:bidi="ar-SA"/>
        </w:rPr>
        <w:t>6.住房保障（类）住房改革（款）住房公积金（项）：</w:t>
      </w:r>
      <w:r>
        <w:rPr>
          <w:rStyle w:val="16"/>
          <w:rFonts w:hint="eastAsia" w:ascii="仿宋_GB2312" w:hAnsi="仿宋_GB2312" w:eastAsia="仿宋_GB2312" w:cs="仿宋_GB2312"/>
          <w:b w:val="0"/>
          <w:bCs/>
          <w:color w:val="auto"/>
          <w:sz w:val="32"/>
          <w:szCs w:val="32"/>
          <w:highlight w:val="none"/>
          <w:lang w:val="en-US" w:eastAsia="zh-CN"/>
        </w:rPr>
        <w:t>支出决算为0.30万元，完成预算100.00%。</w:t>
      </w:r>
      <w:bookmarkStart w:id="47" w:name="_Toc15377214"/>
      <w:bookmarkStart w:id="48" w:name="_Toc15396608"/>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7"/>
          <w:color w:val="auto"/>
          <w:highlight w:val="none"/>
        </w:rPr>
      </w:pPr>
      <w:bookmarkStart w:id="49"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7"/>
      <w:bookmarkEnd w:id="48"/>
      <w:bookmarkEnd w:id="49"/>
      <w:r>
        <w:rPr>
          <w:rStyle w:val="27"/>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2346.85</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2041.90</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304.95</w:t>
      </w:r>
      <w:r>
        <w:rPr>
          <w:rFonts w:hint="eastAsia" w:ascii="仿宋_GB2312" w:hAnsi="仿宋_GB2312" w:eastAsia="仿宋_GB2312" w:cs="仿宋_GB2312"/>
          <w:color w:val="auto"/>
          <w:sz w:val="32"/>
          <w:szCs w:val="32"/>
          <w:highlight w:val="none"/>
        </w:rPr>
        <w:t>万元，主要包括：办公费、水费、电费、邮电费、差旅费、维修（护）费、劳务费、工会经费、福利费</w:t>
      </w:r>
      <w:r>
        <w:rPr>
          <w:rFonts w:hint="eastAsia" w:ascii="仿宋_GB2312" w:hAnsi="仿宋_GB2312" w:eastAsia="仿宋_GB2312" w:cs="仿宋_GB2312"/>
          <w:color w:val="auto"/>
          <w:sz w:val="32"/>
          <w:szCs w:val="32"/>
          <w:highlight w:val="none"/>
          <w:lang w:eastAsia="zh-CN"/>
        </w:rPr>
        <w:t>。</w:t>
      </w:r>
      <w:bookmarkStart w:id="50" w:name="_Toc15377215"/>
      <w:bookmarkStart w:id="51" w:name="_Toc15396609"/>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2" w:name="_Toc5906"/>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50"/>
      <w:bookmarkEnd w:id="51"/>
      <w:bookmarkEnd w:id="52"/>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3" w:name="_Toc16719"/>
      <w:bookmarkStart w:id="54" w:name="_Toc15377216"/>
      <w:r>
        <w:rPr>
          <w:rFonts w:hint="eastAsia" w:ascii="仿宋_GB2312" w:hAnsi="仿宋_GB2312" w:eastAsia="仿宋_GB2312" w:cs="仿宋_GB2312"/>
          <w:b/>
          <w:color w:val="auto"/>
          <w:sz w:val="32"/>
          <w:szCs w:val="32"/>
          <w:highlight w:val="none"/>
        </w:rPr>
        <w:t>（一）“三公”经费财政拨款支出决算总体情况说明</w:t>
      </w:r>
      <w:bookmarkEnd w:id="53"/>
      <w:bookmarkEnd w:id="54"/>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5" w:name="_Toc951"/>
      <w:bookmarkStart w:id="56" w:name="_Toc15377217"/>
      <w:r>
        <w:rPr>
          <w:rFonts w:hint="eastAsia" w:ascii="仿宋_GB2312" w:hAnsi="仿宋_GB2312" w:eastAsia="仿宋_GB2312" w:cs="仿宋_GB2312"/>
          <w:b/>
          <w:color w:val="auto"/>
          <w:sz w:val="32"/>
          <w:szCs w:val="32"/>
          <w:highlight w:val="none"/>
        </w:rPr>
        <w:t>（二）“三公”经费财政拨款支出决算具体情况说明</w:t>
      </w:r>
      <w:bookmarkEnd w:id="55"/>
      <w:bookmarkEnd w:id="56"/>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D1151B1">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其中：公务用车购置支出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万元。全年按规定更新购置公务用车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万元。截至20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年12月底，单位共有公务用车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w:t>
      </w:r>
    </w:p>
    <w:p w14:paraId="54C2877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57" w:name="_Toc15377218"/>
      <w:bookmarkStart w:id="58" w:name="_Toc15396610"/>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color w:val="auto"/>
          <w:highlight w:val="none"/>
        </w:rPr>
      </w:pPr>
      <w:bookmarkStart w:id="59" w:name="_Toc12944"/>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7"/>
      <w:bookmarkEnd w:id="58"/>
      <w:bookmarkEnd w:id="59"/>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60" w:name="_Toc15396611"/>
      <w:bookmarkStart w:id="61" w:name="_Toc22402"/>
      <w:bookmarkStart w:id="62" w:name="_Toc15377219"/>
      <w:r>
        <w:rPr>
          <w:rStyle w:val="27"/>
          <w:rFonts w:hint="eastAsia" w:ascii="黑体" w:hAnsi="黑体" w:eastAsia="黑体"/>
          <w:b w:val="0"/>
          <w:color w:val="auto"/>
          <w:highlight w:val="none"/>
        </w:rPr>
        <w:t>国有资本经营预算支出决算情况说明</w:t>
      </w:r>
      <w:bookmarkEnd w:id="60"/>
      <w:bookmarkEnd w:id="61"/>
      <w:bookmarkEnd w:id="62"/>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hint="eastAsia" w:ascii="黑体" w:hAnsi="黑体" w:eastAsia="黑体"/>
          <w:b w:val="0"/>
          <w:color w:val="auto"/>
          <w:highlight w:val="none"/>
        </w:rPr>
      </w:pPr>
      <w:bookmarkStart w:id="63" w:name="_Toc22823"/>
      <w:bookmarkStart w:id="64" w:name="_Toc15396612"/>
      <w:bookmarkStart w:id="65" w:name="_Toc15377221"/>
      <w:r>
        <w:rPr>
          <w:rStyle w:val="27"/>
          <w:rFonts w:hint="eastAsia" w:ascii="黑体" w:hAnsi="黑体" w:eastAsia="黑体"/>
          <w:b w:val="0"/>
          <w:color w:val="auto"/>
          <w:highlight w:val="none"/>
        </w:rPr>
        <w:t>其他重要事项的情况说明</w:t>
      </w:r>
      <w:bookmarkEnd w:id="63"/>
      <w:bookmarkEnd w:id="64"/>
      <w:bookmarkEnd w:id="65"/>
    </w:p>
    <w:p w14:paraId="1D08A6E0">
      <w:pPr>
        <w:spacing w:line="600" w:lineRule="exact"/>
        <w:ind w:firstLine="643" w:firstLineChars="200"/>
        <w:outlineLvl w:val="2"/>
        <w:rPr>
          <w:rFonts w:ascii="仿宋" w:hAnsi="仿宋" w:eastAsia="仿宋"/>
          <w:color w:val="auto"/>
          <w:sz w:val="32"/>
          <w:szCs w:val="32"/>
          <w:highlight w:val="none"/>
        </w:rPr>
      </w:pPr>
      <w:bookmarkStart w:id="66" w:name="_Toc13305"/>
      <w:bookmarkStart w:id="67" w:name="_Toc15377222"/>
      <w:r>
        <w:rPr>
          <w:rFonts w:hint="eastAsia" w:ascii="仿宋" w:hAnsi="仿宋" w:eastAsia="仿宋"/>
          <w:b/>
          <w:color w:val="auto"/>
          <w:sz w:val="32"/>
          <w:szCs w:val="32"/>
          <w:highlight w:val="none"/>
        </w:rPr>
        <w:t>（一）机关运行经费支出情况</w:t>
      </w:r>
      <w:bookmarkEnd w:id="66"/>
      <w:bookmarkEnd w:id="67"/>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2466"/>
      <w:bookmarkStart w:id="69" w:name="_Toc15377223"/>
      <w:r>
        <w:rPr>
          <w:rFonts w:hint="eastAsia" w:ascii="仿宋" w:hAnsi="仿宋" w:eastAsia="仿宋"/>
          <w:b/>
          <w:color w:val="auto"/>
          <w:sz w:val="32"/>
          <w:szCs w:val="32"/>
          <w:highlight w:val="none"/>
        </w:rPr>
        <w:t>（二）政府采购支出情况</w:t>
      </w:r>
      <w:bookmarkEnd w:id="68"/>
      <w:bookmarkEnd w:id="69"/>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bookmarkStart w:id="71" w:name="_Toc19881"/>
      <w:r>
        <w:rPr>
          <w:rFonts w:hint="eastAsia" w:ascii="仿宋" w:hAnsi="仿宋" w:eastAsia="仿宋"/>
          <w:b/>
          <w:color w:val="auto"/>
          <w:sz w:val="32"/>
          <w:szCs w:val="32"/>
          <w:highlight w:val="none"/>
        </w:rPr>
        <w:t>（三）国有资产占有使用情况</w:t>
      </w:r>
      <w:bookmarkEnd w:id="70"/>
      <w:bookmarkEnd w:id="71"/>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2" w:name="_Toc19788"/>
      <w:r>
        <w:rPr>
          <w:rFonts w:hint="eastAsia" w:ascii="仿宋" w:hAnsi="仿宋" w:eastAsia="仿宋"/>
          <w:b/>
          <w:color w:val="auto"/>
          <w:sz w:val="32"/>
          <w:szCs w:val="32"/>
          <w:highlight w:val="none"/>
        </w:rPr>
        <w:t>（四）预算绩效管理情况</w:t>
      </w:r>
      <w:bookmarkEnd w:id="72"/>
    </w:p>
    <w:p w14:paraId="0C49A973">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年度预算编制阶段，组织对三区人才支持计划</w:t>
      </w:r>
      <w:r>
        <w:rPr>
          <w:rFonts w:hint="eastAsia" w:hAnsi="仿宋_GB2312" w:cs="仿宋_GB2312"/>
          <w:sz w:val="32"/>
          <w:szCs w:val="32"/>
        </w:rPr>
        <w:t>、教育强区建设专项资金、家庭经济困难学生生活补贴</w:t>
      </w:r>
      <w:r>
        <w:rPr>
          <w:rFonts w:hint="eastAsia" w:hAnsi="仿宋_GB2312" w:cs="仿宋_GB2312"/>
          <w:sz w:val="32"/>
          <w:szCs w:val="32"/>
          <w:lang w:eastAsia="zh-CN"/>
        </w:rPr>
        <w:t>、公共卫生特别服务岗省级补助资金、</w:t>
      </w:r>
      <w:r>
        <w:rPr>
          <w:rFonts w:hint="eastAsia" w:hAnsi="仿宋_GB2312" w:cs="仿宋_GB2312"/>
          <w:color w:val="auto"/>
          <w:sz w:val="32"/>
          <w:szCs w:val="32"/>
          <w:highlight w:val="none"/>
          <w:lang w:eastAsia="zh-CN"/>
        </w:rPr>
        <w:t>其他政策性支出、职业年金等</w:t>
      </w:r>
      <w:r>
        <w:rPr>
          <w:rFonts w:hint="eastAsia" w:hAnsi="仿宋_GB2312" w:cs="仿宋_GB2312"/>
          <w:color w:val="auto"/>
          <w:sz w:val="32"/>
          <w:szCs w:val="32"/>
          <w:highlight w:val="none"/>
          <w:lang w:val="en-US" w:eastAsia="zh-CN"/>
        </w:rPr>
        <w:t>7个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00B0CC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6"/>
          <w:rFonts w:ascii="黑体" w:hAnsi="黑体" w:eastAsia="黑体"/>
          <w:b w:val="0"/>
          <w:color w:val="auto"/>
          <w:highlight w:val="none"/>
        </w:rPr>
      </w:pPr>
      <w:bookmarkStart w:id="73" w:name="_Toc6197"/>
      <w:bookmarkStart w:id="74" w:name="_Toc23296"/>
      <w:bookmarkStart w:id="75" w:name="_Toc15396613"/>
      <w:bookmarkStart w:id="76"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3"/>
      <w:bookmarkEnd w:id="74"/>
      <w:bookmarkEnd w:id="75"/>
      <w:bookmarkEnd w:id="76"/>
    </w:p>
    <w:p w14:paraId="59DB753F">
      <w:pPr>
        <w:spacing w:line="600" w:lineRule="exact"/>
        <w:jc w:val="left"/>
        <w:rPr>
          <w:rFonts w:ascii="宋体"/>
          <w:b/>
          <w:color w:val="auto"/>
          <w:sz w:val="44"/>
          <w:szCs w:val="44"/>
          <w:highlight w:val="none"/>
        </w:rPr>
      </w:pPr>
    </w:p>
    <w:p w14:paraId="179C00FD">
      <w:pPr>
        <w:pStyle w:val="24"/>
        <w:snapToGrid w:val="0"/>
        <w:spacing w:line="520" w:lineRule="exact"/>
        <w:ind w:firstLine="640" w:firstLineChars="200"/>
        <w:outlineLvl w:val="1"/>
        <w:rPr>
          <w:rFonts w:ascii="仿宋_GB2312" w:eastAsia="仿宋_GB2312"/>
          <w:color w:val="auto"/>
          <w:sz w:val="32"/>
          <w:szCs w:val="32"/>
        </w:rPr>
      </w:pPr>
      <w:bookmarkStart w:id="77" w:name="_Toc7036"/>
      <w:bookmarkStart w:id="78" w:name="_Toc15377226"/>
      <w:r>
        <w:rPr>
          <w:rFonts w:hint="eastAsia" w:ascii="仿宋_GB2312" w:eastAsia="仿宋_GB2312"/>
          <w:color w:val="auto"/>
          <w:sz w:val="32"/>
          <w:szCs w:val="32"/>
        </w:rPr>
        <w:t>1.财政拨款收入：指单位从同级财政部门取得的财政预算资金。</w:t>
      </w:r>
      <w:bookmarkEnd w:id="77"/>
    </w:p>
    <w:p w14:paraId="6189DC6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5824AE0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 xml:space="preserve">.其他收入：指单位取得的除上述收入以外的各项收入。主要是学前教育保育教育费收入、银行存款利息收入等。 </w:t>
      </w:r>
    </w:p>
    <w:p w14:paraId="53D2FB7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14:paraId="65A3B8E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 教育支出（类）普通教育（款）初中教育（项）: 反映各部门举办的初中教育支出。政府各部门对社会中介组织等举办的初中教育的资助，如捐赠、补贴等，也在本科目中反映。</w:t>
      </w:r>
    </w:p>
    <w:p w14:paraId="1A02D47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 教育支出（类）普通教育（款）其它普通教育（项）: 反映除上述项目以外其他用于普通教育方面的支出。</w:t>
      </w:r>
    </w:p>
    <w:p w14:paraId="3084B4E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 教育支出（类）教育附加费安排的支出（款）城市中小学校舍建设（项）: 反映教育附加费安排用于城市中小学校舍新建、改建、修缮和维护的支出。</w:t>
      </w:r>
    </w:p>
    <w:p w14:paraId="54BF4000">
      <w:pPr>
        <w:pStyle w:val="24"/>
        <w:snapToGrid w:val="0"/>
        <w:spacing w:line="52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 社会保障和就业支出（类）行政事业单位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（款）机关事业单位基本养老保险缴费支出（项）: 指机关事业单位实施养老保险制度由单位缴纳的基本养老保险费支出。</w:t>
      </w:r>
    </w:p>
    <w:p w14:paraId="1C9896B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14:paraId="5C6C656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780221E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2BB69DB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.基本支出：指为保障机构正常运转、完成日常工作任务而发生的人员支出和公用支出。</w:t>
      </w:r>
    </w:p>
    <w:p w14:paraId="2A53756E">
      <w:pPr>
        <w:pStyle w:val="24"/>
        <w:snapToGrid w:val="0"/>
        <w:spacing w:line="52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 xml:space="preserve">.项目支出：指在基本支出之外为完成特定行政任务和事业发展目标所发生的支出。 </w:t>
      </w:r>
      <w:bookmarkStart w:id="79" w:name="_Toc15396614"/>
      <w:bookmarkStart w:id="80" w:name="_Toc24485"/>
      <w:bookmarkStart w:id="81" w:name="_Toc12015"/>
    </w:p>
    <w:p w14:paraId="06329B14">
      <w:pPr>
        <w:pStyle w:val="24"/>
        <w:snapToGrid w:val="0"/>
        <w:spacing w:line="520" w:lineRule="exact"/>
        <w:ind w:firstLine="640" w:firstLineChars="200"/>
        <w:rPr>
          <w:rFonts w:hint="eastAsia" w:ascii="仿宋_GB2312" w:eastAsia="仿宋_GB2312"/>
          <w:color w:val="0000FF"/>
          <w:sz w:val="32"/>
          <w:szCs w:val="32"/>
        </w:rPr>
      </w:pPr>
    </w:p>
    <w:p w14:paraId="5377645C">
      <w:pPr>
        <w:pStyle w:val="24"/>
        <w:snapToGrid w:val="0"/>
        <w:spacing w:line="520" w:lineRule="exact"/>
        <w:ind w:firstLine="640" w:firstLineChars="200"/>
        <w:rPr>
          <w:rFonts w:hint="eastAsia" w:ascii="仿宋_GB2312" w:eastAsia="仿宋_GB2312"/>
          <w:color w:val="0000FF"/>
          <w:sz w:val="32"/>
          <w:szCs w:val="32"/>
        </w:rPr>
      </w:pPr>
    </w:p>
    <w:p w14:paraId="4DDC5590">
      <w:pPr>
        <w:pStyle w:val="24"/>
        <w:snapToGrid w:val="0"/>
        <w:spacing w:line="520" w:lineRule="exact"/>
        <w:ind w:firstLine="640" w:firstLineChars="200"/>
        <w:rPr>
          <w:rFonts w:hint="eastAsia" w:ascii="仿宋_GB2312" w:eastAsia="仿宋_GB2312"/>
          <w:color w:val="0000FF"/>
          <w:sz w:val="32"/>
          <w:szCs w:val="32"/>
        </w:rPr>
      </w:pPr>
    </w:p>
    <w:p w14:paraId="3F3257DD">
      <w:pPr>
        <w:pStyle w:val="24"/>
        <w:snapToGrid w:val="0"/>
        <w:spacing w:line="520" w:lineRule="exact"/>
        <w:ind w:firstLine="640" w:firstLineChars="200"/>
        <w:rPr>
          <w:rFonts w:hint="eastAsia" w:ascii="仿宋_GB2312" w:eastAsia="仿宋_GB2312"/>
          <w:color w:val="0000FF"/>
          <w:sz w:val="32"/>
          <w:szCs w:val="32"/>
        </w:rPr>
      </w:pPr>
    </w:p>
    <w:p w14:paraId="621FBCD6">
      <w:pPr>
        <w:pStyle w:val="24"/>
        <w:snapToGrid w:val="0"/>
        <w:spacing w:line="520" w:lineRule="exact"/>
        <w:ind w:firstLine="640" w:firstLineChars="200"/>
        <w:rPr>
          <w:rFonts w:hint="eastAsia" w:ascii="仿宋_GB2312" w:eastAsia="仿宋_GB2312"/>
          <w:color w:val="0000FF"/>
          <w:sz w:val="32"/>
          <w:szCs w:val="32"/>
        </w:rPr>
      </w:pPr>
    </w:p>
    <w:p w14:paraId="5C8232FB">
      <w:pPr>
        <w:pStyle w:val="24"/>
        <w:snapToGrid w:val="0"/>
        <w:spacing w:line="520" w:lineRule="exact"/>
        <w:ind w:firstLine="640" w:firstLineChars="200"/>
        <w:rPr>
          <w:rFonts w:hint="eastAsia" w:ascii="仿宋_GB2312" w:eastAsia="仿宋_GB2312"/>
          <w:color w:val="0000FF"/>
          <w:sz w:val="32"/>
          <w:szCs w:val="32"/>
        </w:rPr>
      </w:pPr>
    </w:p>
    <w:p w14:paraId="31648C24">
      <w:pPr>
        <w:pStyle w:val="24"/>
        <w:snapToGrid w:val="0"/>
        <w:spacing w:line="520" w:lineRule="exact"/>
        <w:ind w:firstLine="640" w:firstLineChars="200"/>
        <w:rPr>
          <w:rFonts w:hint="eastAsia" w:ascii="仿宋_GB2312" w:eastAsia="仿宋_GB2312"/>
          <w:color w:val="0000FF"/>
          <w:sz w:val="32"/>
          <w:szCs w:val="32"/>
        </w:rPr>
      </w:pPr>
    </w:p>
    <w:p w14:paraId="3F6E2A81">
      <w:pPr>
        <w:pStyle w:val="24"/>
        <w:snapToGrid w:val="0"/>
        <w:spacing w:line="520" w:lineRule="exact"/>
        <w:ind w:firstLine="640" w:firstLineChars="200"/>
        <w:rPr>
          <w:rFonts w:hint="eastAsia" w:ascii="仿宋_GB2312" w:eastAsia="仿宋_GB2312"/>
          <w:color w:val="0000FF"/>
          <w:sz w:val="32"/>
          <w:szCs w:val="32"/>
        </w:rPr>
      </w:pPr>
    </w:p>
    <w:p w14:paraId="6DADCEBF">
      <w:pPr>
        <w:pStyle w:val="24"/>
        <w:snapToGrid w:val="0"/>
        <w:spacing w:line="520" w:lineRule="exact"/>
        <w:ind w:firstLine="640" w:firstLineChars="200"/>
        <w:rPr>
          <w:rFonts w:hint="eastAsia" w:ascii="仿宋_GB2312" w:eastAsia="仿宋_GB2312"/>
          <w:color w:val="0000FF"/>
          <w:sz w:val="32"/>
          <w:szCs w:val="32"/>
        </w:rPr>
      </w:pPr>
    </w:p>
    <w:p w14:paraId="63D5A3FB">
      <w:pPr>
        <w:pStyle w:val="24"/>
        <w:snapToGrid w:val="0"/>
        <w:spacing w:line="520" w:lineRule="exact"/>
        <w:ind w:firstLine="640" w:firstLineChars="200"/>
        <w:rPr>
          <w:rFonts w:hint="eastAsia" w:ascii="仿宋_GB2312" w:eastAsia="仿宋_GB2312"/>
          <w:color w:val="0000FF"/>
          <w:sz w:val="32"/>
          <w:szCs w:val="32"/>
        </w:rPr>
      </w:pPr>
    </w:p>
    <w:p w14:paraId="624B3BD5">
      <w:pPr>
        <w:pStyle w:val="24"/>
        <w:snapToGrid w:val="0"/>
        <w:spacing w:line="520" w:lineRule="exact"/>
        <w:ind w:firstLine="640" w:firstLineChars="200"/>
        <w:rPr>
          <w:rFonts w:hint="eastAsia" w:ascii="仿宋_GB2312" w:eastAsia="仿宋_GB2312"/>
          <w:color w:val="0000FF"/>
          <w:sz w:val="32"/>
          <w:szCs w:val="32"/>
        </w:rPr>
      </w:pPr>
    </w:p>
    <w:p w14:paraId="17A9B89B">
      <w:pPr>
        <w:pStyle w:val="24"/>
        <w:snapToGrid w:val="0"/>
        <w:spacing w:line="520" w:lineRule="exact"/>
        <w:ind w:firstLine="640" w:firstLineChars="200"/>
        <w:rPr>
          <w:rFonts w:hint="eastAsia" w:ascii="仿宋_GB2312" w:eastAsia="仿宋_GB2312"/>
          <w:color w:val="0000FF"/>
          <w:sz w:val="32"/>
          <w:szCs w:val="32"/>
        </w:rPr>
      </w:pPr>
    </w:p>
    <w:p w14:paraId="2FC6E12F">
      <w:pPr>
        <w:pStyle w:val="24"/>
        <w:snapToGrid w:val="0"/>
        <w:spacing w:line="520" w:lineRule="exact"/>
        <w:ind w:firstLine="640" w:firstLineChars="200"/>
        <w:rPr>
          <w:rFonts w:hint="eastAsia" w:ascii="仿宋_GB2312" w:eastAsia="仿宋_GB2312"/>
          <w:color w:val="0000FF"/>
          <w:sz w:val="32"/>
          <w:szCs w:val="32"/>
        </w:rPr>
      </w:pPr>
    </w:p>
    <w:p w14:paraId="7D18561C">
      <w:pPr>
        <w:pStyle w:val="24"/>
        <w:snapToGrid w:val="0"/>
        <w:spacing w:line="520" w:lineRule="exact"/>
        <w:ind w:firstLine="640" w:firstLineChars="200"/>
        <w:rPr>
          <w:rFonts w:hint="eastAsia" w:ascii="仿宋_GB2312" w:eastAsia="仿宋_GB2312"/>
          <w:color w:val="0000FF"/>
          <w:sz w:val="32"/>
          <w:szCs w:val="32"/>
        </w:rPr>
      </w:pPr>
    </w:p>
    <w:p w14:paraId="278C1E32">
      <w:pPr>
        <w:pStyle w:val="24"/>
        <w:snapToGrid w:val="0"/>
        <w:spacing w:line="520" w:lineRule="exact"/>
        <w:ind w:firstLine="880" w:firstLineChars="200"/>
        <w:jc w:val="center"/>
        <w:rPr>
          <w:rStyle w:val="26"/>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79"/>
      <w:bookmarkEnd w:id="80"/>
      <w:bookmarkEnd w:id="81"/>
    </w:p>
    <w:p w14:paraId="32C5571C">
      <w:pPr>
        <w:pStyle w:val="2"/>
        <w:rPr>
          <w:rFonts w:hint="eastAsia"/>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82" w:name="_Toc212"/>
      <w:r>
        <w:rPr>
          <w:rFonts w:hint="eastAsia" w:ascii="宋体" w:hAnsi="宋体" w:eastAsia="宋体" w:cs="宋体"/>
          <w:color w:val="auto"/>
          <w:kern w:val="0"/>
          <w:sz w:val="32"/>
          <w:szCs w:val="32"/>
          <w:highlight w:val="none"/>
          <w:lang w:val="en-US" w:eastAsia="zh-CN" w:bidi="ar-SA"/>
        </w:rPr>
        <w:t>附件：广元市利州区</w:t>
      </w:r>
      <w:r>
        <w:rPr>
          <w:rFonts w:hint="eastAsia" w:ascii="宋体" w:hAnsi="宋体" w:cs="宋体"/>
          <w:color w:val="auto"/>
          <w:kern w:val="0"/>
          <w:sz w:val="32"/>
          <w:szCs w:val="32"/>
          <w:highlight w:val="none"/>
          <w:lang w:val="en-US" w:eastAsia="zh-CN" w:bidi="ar-SA"/>
        </w:rPr>
        <w:t>东城实验初级中学</w:t>
      </w:r>
      <w:r>
        <w:rPr>
          <w:rFonts w:hint="eastAsia" w:ascii="宋体" w:hAnsi="宋体" w:eastAsia="宋体" w:cs="宋体"/>
          <w:color w:val="auto"/>
          <w:kern w:val="0"/>
          <w:sz w:val="32"/>
          <w:szCs w:val="32"/>
          <w:highlight w:val="none"/>
          <w:lang w:val="en-US" w:eastAsia="zh-CN" w:bidi="ar-SA"/>
        </w:rPr>
        <w:t>2024年度部门预算项目支出绩效自评表</w:t>
      </w:r>
      <w:bookmarkEnd w:id="82"/>
    </w:p>
    <w:p w14:paraId="32478B00">
      <w:pPr>
        <w:pStyle w:val="2"/>
        <w:rPr>
          <w:rFonts w:hint="eastAsia"/>
        </w:rPr>
      </w:pPr>
    </w:p>
    <w:p w14:paraId="1CCBEF81">
      <w:pPr>
        <w:pStyle w:val="2"/>
        <w:rPr>
          <w:rFonts w:hint="eastAsia"/>
        </w:rPr>
      </w:pPr>
    </w:p>
    <w:p w14:paraId="3AA157FD">
      <w:pPr>
        <w:pStyle w:val="2"/>
        <w:rPr>
          <w:rFonts w:hint="eastAsia"/>
        </w:rPr>
      </w:pPr>
    </w:p>
    <w:p w14:paraId="2BACF05A">
      <w:pPr>
        <w:pStyle w:val="2"/>
        <w:rPr>
          <w:rFonts w:hint="eastAsia"/>
        </w:rPr>
      </w:pPr>
    </w:p>
    <w:p w14:paraId="4F6E1C09">
      <w:pPr>
        <w:pStyle w:val="2"/>
        <w:rPr>
          <w:rFonts w:hint="eastAsia"/>
        </w:rPr>
      </w:pPr>
    </w:p>
    <w:p w14:paraId="19CAE830">
      <w:pPr>
        <w:pStyle w:val="2"/>
        <w:rPr>
          <w:rFonts w:hint="eastAsia"/>
        </w:rPr>
      </w:pPr>
    </w:p>
    <w:p w14:paraId="34DA677C">
      <w:pPr>
        <w:pStyle w:val="2"/>
        <w:rPr>
          <w:rFonts w:hint="eastAsia"/>
        </w:rPr>
      </w:pPr>
    </w:p>
    <w:p w14:paraId="70ABBBDB">
      <w:pPr>
        <w:pStyle w:val="2"/>
        <w:rPr>
          <w:rFonts w:hint="eastAsia"/>
        </w:rPr>
      </w:pPr>
    </w:p>
    <w:p w14:paraId="2703751E">
      <w:pPr>
        <w:pStyle w:val="2"/>
        <w:rPr>
          <w:rFonts w:hint="eastAsia"/>
        </w:rPr>
      </w:pPr>
    </w:p>
    <w:p w14:paraId="72CB84BA">
      <w:pPr>
        <w:pStyle w:val="2"/>
        <w:rPr>
          <w:rFonts w:hint="eastAsia"/>
        </w:rPr>
      </w:pPr>
    </w:p>
    <w:p w14:paraId="11D440B6">
      <w:pPr>
        <w:pStyle w:val="2"/>
        <w:rPr>
          <w:rFonts w:hint="eastAsia"/>
        </w:rPr>
      </w:pPr>
    </w:p>
    <w:p w14:paraId="579E7571">
      <w:pPr>
        <w:pStyle w:val="2"/>
        <w:rPr>
          <w:rFonts w:hint="eastAsia"/>
        </w:rPr>
      </w:pPr>
    </w:p>
    <w:p w14:paraId="6DE3BBA9">
      <w:pPr>
        <w:pStyle w:val="2"/>
        <w:rPr>
          <w:rFonts w:hint="eastAsia"/>
        </w:rPr>
      </w:pPr>
    </w:p>
    <w:p w14:paraId="4EC7AB1C">
      <w:pPr>
        <w:pStyle w:val="2"/>
        <w:rPr>
          <w:rFonts w:hint="eastAsia"/>
        </w:rPr>
      </w:pPr>
    </w:p>
    <w:p w14:paraId="72776002">
      <w:pPr>
        <w:pStyle w:val="2"/>
        <w:rPr>
          <w:rFonts w:hint="eastAsia"/>
        </w:rPr>
      </w:pPr>
    </w:p>
    <w:p w14:paraId="113B6C05">
      <w:pPr>
        <w:pStyle w:val="2"/>
        <w:rPr>
          <w:rFonts w:hint="eastAsia"/>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83" w:name="_Toc1435"/>
      <w:bookmarkStart w:id="84" w:name="_Toc17230"/>
      <w:bookmarkStart w:id="85" w:name="_Toc15396618"/>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78"/>
      <w:bookmarkEnd w:id="83"/>
      <w:bookmarkEnd w:id="84"/>
      <w:bookmarkEnd w:id="85"/>
      <w:bookmarkStart w:id="86" w:name="_Toc15396619"/>
    </w:p>
    <w:p w14:paraId="73118F6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7" w:name="_Toc27221"/>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86"/>
      <w:bookmarkEnd w:id="87"/>
    </w:p>
    <w:p w14:paraId="2828551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8" w:name="_Toc31659"/>
      <w:bookmarkStart w:id="89"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88"/>
      <w:bookmarkEnd w:id="89"/>
    </w:p>
    <w:p w14:paraId="1522194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0" w:name="_Toc15396621"/>
      <w:bookmarkStart w:id="91" w:name="_Toc32523"/>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0"/>
      <w:bookmarkEnd w:id="91"/>
    </w:p>
    <w:p w14:paraId="688A3DC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92" w:name="_Toc15396622"/>
      <w:bookmarkStart w:id="93" w:name="_Toc11510"/>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2"/>
      <w:bookmarkEnd w:id="93"/>
    </w:p>
    <w:p w14:paraId="48BB7A9A">
      <w:pPr>
        <w:pStyle w:val="4"/>
        <w:keepNext/>
        <w:keepLines/>
        <w:pageBreakBefore w:val="0"/>
        <w:widowControl w:val="0"/>
        <w:kinsoku/>
        <w:wordWrap/>
        <w:overflowPunct/>
        <w:topLinePunct w:val="0"/>
        <w:autoSpaceDE/>
        <w:autoSpaceDN/>
        <w:bidi w:val="0"/>
        <w:adjustRightInd/>
        <w:snapToGrid/>
        <w:spacing w:line="416" w:lineRule="auto"/>
        <w:textAlignment w:val="auto"/>
        <w:rPr>
          <w:rStyle w:val="27"/>
          <w:rFonts w:ascii="仿宋" w:hAnsi="仿宋" w:eastAsia="仿宋"/>
          <w:b w:val="0"/>
          <w:bCs w:val="0"/>
          <w:color w:val="auto"/>
          <w:highlight w:val="none"/>
        </w:rPr>
      </w:pPr>
      <w:bookmarkStart w:id="94" w:name="_Toc8325"/>
      <w:bookmarkStart w:id="95"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4"/>
      <w:bookmarkEnd w:id="95"/>
      <w:bookmarkStart w:id="96" w:name="_Toc15396624"/>
    </w:p>
    <w:p w14:paraId="0D937A3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7" w:name="_Toc757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96"/>
      <w:bookmarkEnd w:id="97"/>
    </w:p>
    <w:p w14:paraId="623D1DE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8" w:name="_Toc15396625"/>
      <w:bookmarkStart w:id="99" w:name="_Toc28693"/>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8"/>
      <w:bookmarkEnd w:id="99"/>
    </w:p>
    <w:p w14:paraId="370B2E72">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0" w:name="_Toc26803"/>
      <w:bookmarkStart w:id="10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0"/>
      <w:bookmarkEnd w:id="101"/>
    </w:p>
    <w:p w14:paraId="509A3F8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2" w:name="_Toc15396627"/>
      <w:bookmarkStart w:id="103" w:name="_Toc1784"/>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2"/>
      <w:bookmarkEnd w:id="103"/>
    </w:p>
    <w:p w14:paraId="76F9790F">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4" w:name="_Toc15396628"/>
      <w:bookmarkStart w:id="105" w:name="_Toc19072"/>
      <w:r>
        <w:rPr>
          <w:rStyle w:val="27"/>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5"/>
    </w:p>
    <w:p w14:paraId="35B518FA">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6" w:name="_Toc15396629"/>
      <w:bookmarkStart w:id="107" w:name="_Toc16597"/>
      <w:r>
        <w:rPr>
          <w:rStyle w:val="27"/>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7"/>
    </w:p>
    <w:p w14:paraId="1650CFA4">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8" w:name="_Toc15396630"/>
      <w:bookmarkStart w:id="109" w:name="_Toc1852"/>
      <w:r>
        <w:rPr>
          <w:rStyle w:val="27"/>
          <w:rFonts w:hint="eastAsia" w:ascii="仿宋" w:hAnsi="仿宋" w:eastAsia="仿宋"/>
          <w:b w:val="0"/>
          <w:bCs w:val="0"/>
          <w:color w:val="auto"/>
          <w:highlight w:val="none"/>
        </w:rPr>
        <w:t>十二、</w:t>
      </w:r>
      <w:bookmarkEnd w:id="108"/>
      <w:r>
        <w:rPr>
          <w:rStyle w:val="27"/>
          <w:rFonts w:hint="eastAsia" w:ascii="仿宋" w:hAnsi="仿宋" w:eastAsia="仿宋"/>
          <w:b w:val="0"/>
          <w:bCs w:val="0"/>
          <w:color w:val="auto"/>
          <w:highlight w:val="none"/>
          <w:lang w:eastAsia="zh-CN"/>
        </w:rPr>
        <w:t>国有资本经营预算财政拨款支出决算表</w:t>
      </w:r>
      <w:bookmarkEnd w:id="109"/>
    </w:p>
    <w:p w14:paraId="49F0B8D6">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10" w:name="_Toc15396631"/>
      <w:bookmarkStart w:id="111" w:name="_Toc13118"/>
      <w:r>
        <w:rPr>
          <w:rStyle w:val="27"/>
          <w:rFonts w:hint="eastAsia" w:ascii="仿宋" w:hAnsi="仿宋" w:eastAsia="仿宋"/>
          <w:b w:val="0"/>
          <w:bCs w:val="0"/>
          <w:color w:val="auto"/>
          <w:highlight w:val="none"/>
        </w:rPr>
        <w:t>十三、</w:t>
      </w:r>
      <w:bookmarkEnd w:id="110"/>
      <w:r>
        <w:rPr>
          <w:rStyle w:val="27"/>
          <w:rFonts w:hint="eastAsia" w:ascii="仿宋" w:hAnsi="仿宋" w:eastAsia="仿宋"/>
          <w:b w:val="0"/>
          <w:bCs w:val="0"/>
          <w:color w:val="auto"/>
          <w:highlight w:val="none"/>
          <w:lang w:eastAsia="zh-CN"/>
        </w:rPr>
        <w:t>财政拨款“三公”经费支出决算表</w:t>
      </w:r>
      <w:bookmarkEnd w:id="111"/>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CDA3E4-E908-427D-B5BC-BFE7C94F0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A65B1B-FEC4-482D-B443-BF2B4B247951}"/>
  </w:font>
  <w:font w:name="Cambria">
    <w:panose1 w:val="02040503050406030204"/>
    <w:charset w:val="00"/>
    <w:family w:val="roman"/>
    <w:pitch w:val="default"/>
    <w:sig w:usb0="E00006FF" w:usb1="420024FF" w:usb2="02000000" w:usb3="00000000" w:csb0="2000019F" w:csb1="00000000"/>
    <w:embedRegular r:id="rId3" w:fontKey="{48E619FB-6216-4C79-9F16-E088012BE05A}"/>
  </w:font>
  <w:font w:name="仿宋_GB2312">
    <w:altName w:val="仿宋"/>
    <w:panose1 w:val="02010609030101010101"/>
    <w:charset w:val="86"/>
    <w:family w:val="modern"/>
    <w:pitch w:val="default"/>
    <w:sig w:usb0="00000000" w:usb1="00000000" w:usb2="00000000" w:usb3="00000000" w:csb0="00040000" w:csb1="00000000"/>
    <w:embedRegular r:id="rId4" w:fontKey="{120A63B9-3C6F-41A3-A7B8-3DFE1B41D98F}"/>
  </w:font>
  <w:font w:name="仿宋">
    <w:panose1 w:val="02010609060101010101"/>
    <w:charset w:val="86"/>
    <w:family w:val="modern"/>
    <w:pitch w:val="default"/>
    <w:sig w:usb0="800002BF" w:usb1="38CF7CFA" w:usb2="00000016" w:usb3="00000000" w:csb0="00040001" w:csb1="00000000"/>
    <w:embedRegular r:id="rId5" w:fontKey="{17171570-0F2D-43C0-AF2A-D8AE2206BE77}"/>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embedRegular r:id="rId6" w:fontKey="{16EB6A43-8CF6-48EE-A23B-31CBE51F34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v:textbox>
            </v:shape>
          </w:pict>
        </mc:Fallback>
      </mc:AlternateContent>
    </w:r>
  </w:p>
  <w:p w14:paraId="1C33F5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32FE"/>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4EE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47C4"/>
    <w:rsid w:val="01176EA7"/>
    <w:rsid w:val="014F219D"/>
    <w:rsid w:val="019B1886"/>
    <w:rsid w:val="01A06E9D"/>
    <w:rsid w:val="0204112E"/>
    <w:rsid w:val="020C008E"/>
    <w:rsid w:val="02823918"/>
    <w:rsid w:val="028642E4"/>
    <w:rsid w:val="02881E0B"/>
    <w:rsid w:val="033755DF"/>
    <w:rsid w:val="03936CB9"/>
    <w:rsid w:val="03993BA4"/>
    <w:rsid w:val="03A67A1B"/>
    <w:rsid w:val="040A4AA1"/>
    <w:rsid w:val="041E22FB"/>
    <w:rsid w:val="04257D07"/>
    <w:rsid w:val="042C2C6A"/>
    <w:rsid w:val="042E69E2"/>
    <w:rsid w:val="04471852"/>
    <w:rsid w:val="053A62B5"/>
    <w:rsid w:val="05561C4D"/>
    <w:rsid w:val="058F1702"/>
    <w:rsid w:val="05D4264D"/>
    <w:rsid w:val="05F24570"/>
    <w:rsid w:val="06163BD1"/>
    <w:rsid w:val="067578E9"/>
    <w:rsid w:val="06A42F8B"/>
    <w:rsid w:val="06CA05A6"/>
    <w:rsid w:val="06CC440E"/>
    <w:rsid w:val="07294AED"/>
    <w:rsid w:val="07BA233A"/>
    <w:rsid w:val="07DE071F"/>
    <w:rsid w:val="07E51AAD"/>
    <w:rsid w:val="07F41CF0"/>
    <w:rsid w:val="084D31AF"/>
    <w:rsid w:val="088539E3"/>
    <w:rsid w:val="088A61B1"/>
    <w:rsid w:val="09371E95"/>
    <w:rsid w:val="093A42B4"/>
    <w:rsid w:val="0966617B"/>
    <w:rsid w:val="098470A4"/>
    <w:rsid w:val="099224C2"/>
    <w:rsid w:val="09A3577C"/>
    <w:rsid w:val="09D65B51"/>
    <w:rsid w:val="0A2032A3"/>
    <w:rsid w:val="0A2E7B50"/>
    <w:rsid w:val="0B460AB5"/>
    <w:rsid w:val="0B8415DD"/>
    <w:rsid w:val="0B8A37D8"/>
    <w:rsid w:val="0BE1258C"/>
    <w:rsid w:val="0BF1626A"/>
    <w:rsid w:val="0C027923"/>
    <w:rsid w:val="0C046E3A"/>
    <w:rsid w:val="0D39099C"/>
    <w:rsid w:val="0D554FDF"/>
    <w:rsid w:val="0D9553DC"/>
    <w:rsid w:val="0D9C2C0E"/>
    <w:rsid w:val="0DA11FD2"/>
    <w:rsid w:val="0DAB2E51"/>
    <w:rsid w:val="0DBE0DD6"/>
    <w:rsid w:val="0E611762"/>
    <w:rsid w:val="0EB421D9"/>
    <w:rsid w:val="0ED70CC9"/>
    <w:rsid w:val="0ED939EE"/>
    <w:rsid w:val="0EE749C6"/>
    <w:rsid w:val="0F171D4D"/>
    <w:rsid w:val="0F31382A"/>
    <w:rsid w:val="0F6C6610"/>
    <w:rsid w:val="0FD06B9F"/>
    <w:rsid w:val="0FF00FEF"/>
    <w:rsid w:val="105C48D7"/>
    <w:rsid w:val="106D0892"/>
    <w:rsid w:val="107439CE"/>
    <w:rsid w:val="109156AE"/>
    <w:rsid w:val="10B62239"/>
    <w:rsid w:val="10C055FF"/>
    <w:rsid w:val="10D73F5D"/>
    <w:rsid w:val="112E6273"/>
    <w:rsid w:val="113018BF"/>
    <w:rsid w:val="113849FC"/>
    <w:rsid w:val="118107EC"/>
    <w:rsid w:val="11B61DC5"/>
    <w:rsid w:val="11DA4336"/>
    <w:rsid w:val="11DD6519"/>
    <w:rsid w:val="12940358"/>
    <w:rsid w:val="12A644BF"/>
    <w:rsid w:val="12D15108"/>
    <w:rsid w:val="12EF0C20"/>
    <w:rsid w:val="13966E30"/>
    <w:rsid w:val="13AB5E9A"/>
    <w:rsid w:val="14052967"/>
    <w:rsid w:val="140B289C"/>
    <w:rsid w:val="147A2226"/>
    <w:rsid w:val="14B00D4D"/>
    <w:rsid w:val="14BC3B96"/>
    <w:rsid w:val="14D013EF"/>
    <w:rsid w:val="15A5287C"/>
    <w:rsid w:val="15BC3411"/>
    <w:rsid w:val="15DA0D61"/>
    <w:rsid w:val="15DD0268"/>
    <w:rsid w:val="15EE5FD1"/>
    <w:rsid w:val="16007AB2"/>
    <w:rsid w:val="16046913"/>
    <w:rsid w:val="168E3310"/>
    <w:rsid w:val="16BB723D"/>
    <w:rsid w:val="16D26743"/>
    <w:rsid w:val="16FA2753"/>
    <w:rsid w:val="17155BDD"/>
    <w:rsid w:val="175E473E"/>
    <w:rsid w:val="17836BED"/>
    <w:rsid w:val="179761F4"/>
    <w:rsid w:val="17B44FF8"/>
    <w:rsid w:val="18015F3F"/>
    <w:rsid w:val="1844012A"/>
    <w:rsid w:val="184C57E9"/>
    <w:rsid w:val="185145F5"/>
    <w:rsid w:val="185276F3"/>
    <w:rsid w:val="18700F1F"/>
    <w:rsid w:val="18A24E51"/>
    <w:rsid w:val="18BC23B6"/>
    <w:rsid w:val="18BD1C8B"/>
    <w:rsid w:val="18C170E8"/>
    <w:rsid w:val="18CA00F8"/>
    <w:rsid w:val="19425F25"/>
    <w:rsid w:val="194859F8"/>
    <w:rsid w:val="196F306B"/>
    <w:rsid w:val="19D060DE"/>
    <w:rsid w:val="19EA45E5"/>
    <w:rsid w:val="1A3A618A"/>
    <w:rsid w:val="1A4025CB"/>
    <w:rsid w:val="1A562397"/>
    <w:rsid w:val="1A98475D"/>
    <w:rsid w:val="1A9D6217"/>
    <w:rsid w:val="1AB3614F"/>
    <w:rsid w:val="1ABA0B77"/>
    <w:rsid w:val="1AE96D67"/>
    <w:rsid w:val="1AED4AA9"/>
    <w:rsid w:val="1B32070E"/>
    <w:rsid w:val="1B7B0307"/>
    <w:rsid w:val="1B862808"/>
    <w:rsid w:val="1B873C5F"/>
    <w:rsid w:val="1BD00F56"/>
    <w:rsid w:val="1BE76355"/>
    <w:rsid w:val="1BE8440E"/>
    <w:rsid w:val="1C060380"/>
    <w:rsid w:val="1C60574F"/>
    <w:rsid w:val="1CA56EE4"/>
    <w:rsid w:val="1D155CEE"/>
    <w:rsid w:val="1D1A166D"/>
    <w:rsid w:val="1D2A61BE"/>
    <w:rsid w:val="1D41732E"/>
    <w:rsid w:val="1D756FD8"/>
    <w:rsid w:val="1DFD14A7"/>
    <w:rsid w:val="1E311151"/>
    <w:rsid w:val="1E6A6411"/>
    <w:rsid w:val="1E911BEF"/>
    <w:rsid w:val="1E98177E"/>
    <w:rsid w:val="1EE2069D"/>
    <w:rsid w:val="1F7D585A"/>
    <w:rsid w:val="1F813A12"/>
    <w:rsid w:val="1FAD0CAB"/>
    <w:rsid w:val="1FDE70B6"/>
    <w:rsid w:val="1FE3647B"/>
    <w:rsid w:val="1FEF3071"/>
    <w:rsid w:val="204038CD"/>
    <w:rsid w:val="205454D1"/>
    <w:rsid w:val="20810D5F"/>
    <w:rsid w:val="20B0087A"/>
    <w:rsid w:val="20D504B9"/>
    <w:rsid w:val="20D84DE3"/>
    <w:rsid w:val="20E71F9A"/>
    <w:rsid w:val="20F57F95"/>
    <w:rsid w:val="210B2FF7"/>
    <w:rsid w:val="218D3D89"/>
    <w:rsid w:val="21A659B2"/>
    <w:rsid w:val="22192627"/>
    <w:rsid w:val="222334A6"/>
    <w:rsid w:val="22A146F2"/>
    <w:rsid w:val="232C70E9"/>
    <w:rsid w:val="23517B9F"/>
    <w:rsid w:val="235D4796"/>
    <w:rsid w:val="23711FEF"/>
    <w:rsid w:val="23751ADF"/>
    <w:rsid w:val="23B720F8"/>
    <w:rsid w:val="23F01166"/>
    <w:rsid w:val="240371BF"/>
    <w:rsid w:val="240B2444"/>
    <w:rsid w:val="24165941"/>
    <w:rsid w:val="242B650E"/>
    <w:rsid w:val="243D353F"/>
    <w:rsid w:val="24577437"/>
    <w:rsid w:val="24B46637"/>
    <w:rsid w:val="2540611D"/>
    <w:rsid w:val="25711CC6"/>
    <w:rsid w:val="257C3D55"/>
    <w:rsid w:val="25C741E6"/>
    <w:rsid w:val="2613738E"/>
    <w:rsid w:val="261F21D6"/>
    <w:rsid w:val="262670C1"/>
    <w:rsid w:val="262A3AAC"/>
    <w:rsid w:val="263C778F"/>
    <w:rsid w:val="26622587"/>
    <w:rsid w:val="266F6CBA"/>
    <w:rsid w:val="27090EBD"/>
    <w:rsid w:val="27842671"/>
    <w:rsid w:val="27985FE0"/>
    <w:rsid w:val="27AE1633"/>
    <w:rsid w:val="27B01338"/>
    <w:rsid w:val="27C1366F"/>
    <w:rsid w:val="2815563F"/>
    <w:rsid w:val="28341F69"/>
    <w:rsid w:val="285661F3"/>
    <w:rsid w:val="2882699C"/>
    <w:rsid w:val="28EC412E"/>
    <w:rsid w:val="290618DB"/>
    <w:rsid w:val="290D2E15"/>
    <w:rsid w:val="29964C6F"/>
    <w:rsid w:val="29A749BD"/>
    <w:rsid w:val="29A9603F"/>
    <w:rsid w:val="29C410CB"/>
    <w:rsid w:val="29FD04D3"/>
    <w:rsid w:val="2A446AAD"/>
    <w:rsid w:val="2A636B36"/>
    <w:rsid w:val="2A77438F"/>
    <w:rsid w:val="2ABE7A3E"/>
    <w:rsid w:val="2AD96DF8"/>
    <w:rsid w:val="2B083239"/>
    <w:rsid w:val="2B563FA5"/>
    <w:rsid w:val="2B866302"/>
    <w:rsid w:val="2BC25ADE"/>
    <w:rsid w:val="2BD1595B"/>
    <w:rsid w:val="2BE5357A"/>
    <w:rsid w:val="2C422884"/>
    <w:rsid w:val="2C5C1A8E"/>
    <w:rsid w:val="2C844B41"/>
    <w:rsid w:val="2CA234A8"/>
    <w:rsid w:val="2CBF3DCB"/>
    <w:rsid w:val="2CD94E8D"/>
    <w:rsid w:val="2D314CC9"/>
    <w:rsid w:val="2D636E4D"/>
    <w:rsid w:val="2D7050C6"/>
    <w:rsid w:val="2D82064E"/>
    <w:rsid w:val="2DA059AB"/>
    <w:rsid w:val="2DE41D3C"/>
    <w:rsid w:val="2DEE2BBA"/>
    <w:rsid w:val="2E314855"/>
    <w:rsid w:val="2E32221A"/>
    <w:rsid w:val="2E7806D6"/>
    <w:rsid w:val="2E933762"/>
    <w:rsid w:val="2EF7039C"/>
    <w:rsid w:val="2EFA178C"/>
    <w:rsid w:val="2F1F6DA3"/>
    <w:rsid w:val="2F3E191F"/>
    <w:rsid w:val="2F921632"/>
    <w:rsid w:val="2FC35280"/>
    <w:rsid w:val="303D3985"/>
    <w:rsid w:val="305F38FB"/>
    <w:rsid w:val="30696528"/>
    <w:rsid w:val="308E3936"/>
    <w:rsid w:val="30B46D73"/>
    <w:rsid w:val="30CB0F91"/>
    <w:rsid w:val="30CB749B"/>
    <w:rsid w:val="30F46739"/>
    <w:rsid w:val="311346E6"/>
    <w:rsid w:val="313431CA"/>
    <w:rsid w:val="316D029A"/>
    <w:rsid w:val="318873D1"/>
    <w:rsid w:val="319F7F4E"/>
    <w:rsid w:val="31AB6772"/>
    <w:rsid w:val="32004C6A"/>
    <w:rsid w:val="322546D1"/>
    <w:rsid w:val="32931F82"/>
    <w:rsid w:val="32A221C5"/>
    <w:rsid w:val="33525999"/>
    <w:rsid w:val="33751688"/>
    <w:rsid w:val="33910022"/>
    <w:rsid w:val="33AD12D4"/>
    <w:rsid w:val="33B26438"/>
    <w:rsid w:val="33B421B0"/>
    <w:rsid w:val="33C63C91"/>
    <w:rsid w:val="33D463AE"/>
    <w:rsid w:val="33EC62C2"/>
    <w:rsid w:val="3411487C"/>
    <w:rsid w:val="3428494C"/>
    <w:rsid w:val="346516FC"/>
    <w:rsid w:val="349618B6"/>
    <w:rsid w:val="349B3370"/>
    <w:rsid w:val="351F18AB"/>
    <w:rsid w:val="35245113"/>
    <w:rsid w:val="352E18B2"/>
    <w:rsid w:val="3538296D"/>
    <w:rsid w:val="353C06AF"/>
    <w:rsid w:val="354B08F2"/>
    <w:rsid w:val="358D2CB9"/>
    <w:rsid w:val="35973B37"/>
    <w:rsid w:val="35A042B7"/>
    <w:rsid w:val="3667721A"/>
    <w:rsid w:val="36B368DF"/>
    <w:rsid w:val="36BB3856"/>
    <w:rsid w:val="36F1598F"/>
    <w:rsid w:val="372E04CB"/>
    <w:rsid w:val="373D62EC"/>
    <w:rsid w:val="37D746BF"/>
    <w:rsid w:val="383C4522"/>
    <w:rsid w:val="383D272C"/>
    <w:rsid w:val="38883C0B"/>
    <w:rsid w:val="38EC5F48"/>
    <w:rsid w:val="39396CB4"/>
    <w:rsid w:val="397A08A5"/>
    <w:rsid w:val="39900FC9"/>
    <w:rsid w:val="3995213C"/>
    <w:rsid w:val="399D36E6"/>
    <w:rsid w:val="39AE70AB"/>
    <w:rsid w:val="39B852C8"/>
    <w:rsid w:val="3A03179B"/>
    <w:rsid w:val="3A334D25"/>
    <w:rsid w:val="3A394391"/>
    <w:rsid w:val="3A3F1290"/>
    <w:rsid w:val="3A465B2C"/>
    <w:rsid w:val="3A5E4C24"/>
    <w:rsid w:val="3A7909FE"/>
    <w:rsid w:val="3A824DB6"/>
    <w:rsid w:val="3A95616C"/>
    <w:rsid w:val="3AC76CAE"/>
    <w:rsid w:val="3B293484"/>
    <w:rsid w:val="3B2A71FC"/>
    <w:rsid w:val="3B842468"/>
    <w:rsid w:val="3BBD7D90"/>
    <w:rsid w:val="3BF33A92"/>
    <w:rsid w:val="3C0C0783"/>
    <w:rsid w:val="3C243C4B"/>
    <w:rsid w:val="3C6E15B8"/>
    <w:rsid w:val="3CC316B6"/>
    <w:rsid w:val="3CF62F90"/>
    <w:rsid w:val="3CF924CC"/>
    <w:rsid w:val="3D1B504E"/>
    <w:rsid w:val="3D5D11C3"/>
    <w:rsid w:val="3D6E1622"/>
    <w:rsid w:val="3D721C6D"/>
    <w:rsid w:val="3D7A6218"/>
    <w:rsid w:val="3DD82F3F"/>
    <w:rsid w:val="3E0B0C1F"/>
    <w:rsid w:val="3E1D6BA4"/>
    <w:rsid w:val="3E4405D4"/>
    <w:rsid w:val="3E483C21"/>
    <w:rsid w:val="3E736E3C"/>
    <w:rsid w:val="3E9A01F4"/>
    <w:rsid w:val="3F3E5024"/>
    <w:rsid w:val="3F615C35"/>
    <w:rsid w:val="3F854A01"/>
    <w:rsid w:val="3F9F3A96"/>
    <w:rsid w:val="3FA931F6"/>
    <w:rsid w:val="40060FD0"/>
    <w:rsid w:val="40DB2C76"/>
    <w:rsid w:val="40F55BB6"/>
    <w:rsid w:val="412344D1"/>
    <w:rsid w:val="41524DB6"/>
    <w:rsid w:val="416778A6"/>
    <w:rsid w:val="419248B1"/>
    <w:rsid w:val="41A32140"/>
    <w:rsid w:val="41DB2FFE"/>
    <w:rsid w:val="421F738E"/>
    <w:rsid w:val="4252375D"/>
    <w:rsid w:val="42674891"/>
    <w:rsid w:val="429F5DD9"/>
    <w:rsid w:val="42C10446"/>
    <w:rsid w:val="42C7049C"/>
    <w:rsid w:val="43860D47"/>
    <w:rsid w:val="43B835F7"/>
    <w:rsid w:val="43E837B0"/>
    <w:rsid w:val="447F4114"/>
    <w:rsid w:val="44906321"/>
    <w:rsid w:val="44AE49FA"/>
    <w:rsid w:val="44DE52DF"/>
    <w:rsid w:val="44F763A1"/>
    <w:rsid w:val="45216F7A"/>
    <w:rsid w:val="45486BFC"/>
    <w:rsid w:val="45A1630C"/>
    <w:rsid w:val="460348D1"/>
    <w:rsid w:val="467F03FC"/>
    <w:rsid w:val="46E26BDC"/>
    <w:rsid w:val="470F75F1"/>
    <w:rsid w:val="47A04ACD"/>
    <w:rsid w:val="47DE55F6"/>
    <w:rsid w:val="480C0F07"/>
    <w:rsid w:val="480F7B95"/>
    <w:rsid w:val="482374AD"/>
    <w:rsid w:val="483E7E42"/>
    <w:rsid w:val="484A400D"/>
    <w:rsid w:val="484E62E3"/>
    <w:rsid w:val="485D651B"/>
    <w:rsid w:val="48912668"/>
    <w:rsid w:val="48BF60AB"/>
    <w:rsid w:val="48F50E49"/>
    <w:rsid w:val="493059DD"/>
    <w:rsid w:val="493C27E9"/>
    <w:rsid w:val="49583186"/>
    <w:rsid w:val="496F39ED"/>
    <w:rsid w:val="49DB57C3"/>
    <w:rsid w:val="49FC7FB5"/>
    <w:rsid w:val="49FF41D3"/>
    <w:rsid w:val="4A003F9F"/>
    <w:rsid w:val="4A0D3F70"/>
    <w:rsid w:val="4A34774F"/>
    <w:rsid w:val="4A9D4305"/>
    <w:rsid w:val="4AAC19DB"/>
    <w:rsid w:val="4AB511EC"/>
    <w:rsid w:val="4AEF3676"/>
    <w:rsid w:val="4B137364"/>
    <w:rsid w:val="4B1B26BD"/>
    <w:rsid w:val="4B393965"/>
    <w:rsid w:val="4B4E2A92"/>
    <w:rsid w:val="4B6C0ABB"/>
    <w:rsid w:val="4BE068DB"/>
    <w:rsid w:val="4BF6002B"/>
    <w:rsid w:val="4C3477B9"/>
    <w:rsid w:val="4CDB2104"/>
    <w:rsid w:val="4D07089A"/>
    <w:rsid w:val="4D151ABA"/>
    <w:rsid w:val="4DAA2F7A"/>
    <w:rsid w:val="4E231FB4"/>
    <w:rsid w:val="4E612ADD"/>
    <w:rsid w:val="4ECE2238"/>
    <w:rsid w:val="4EDE5EDB"/>
    <w:rsid w:val="4F155DA1"/>
    <w:rsid w:val="4F734876"/>
    <w:rsid w:val="4F9842DC"/>
    <w:rsid w:val="4FA62E9D"/>
    <w:rsid w:val="50245B70"/>
    <w:rsid w:val="502D0EC8"/>
    <w:rsid w:val="5030797F"/>
    <w:rsid w:val="503C55AF"/>
    <w:rsid w:val="508D1967"/>
    <w:rsid w:val="509251CF"/>
    <w:rsid w:val="50AD025B"/>
    <w:rsid w:val="510936E3"/>
    <w:rsid w:val="51143E36"/>
    <w:rsid w:val="5151508A"/>
    <w:rsid w:val="51711289"/>
    <w:rsid w:val="518B6549"/>
    <w:rsid w:val="5196288A"/>
    <w:rsid w:val="519D50A4"/>
    <w:rsid w:val="51C92E73"/>
    <w:rsid w:val="51DB4B86"/>
    <w:rsid w:val="51F86065"/>
    <w:rsid w:val="51FB7686"/>
    <w:rsid w:val="52782066"/>
    <w:rsid w:val="528374C6"/>
    <w:rsid w:val="528F5E6A"/>
    <w:rsid w:val="53046781"/>
    <w:rsid w:val="53A05E55"/>
    <w:rsid w:val="54017AAB"/>
    <w:rsid w:val="540A3450"/>
    <w:rsid w:val="54122C02"/>
    <w:rsid w:val="547A48F8"/>
    <w:rsid w:val="54C51142"/>
    <w:rsid w:val="54D83F05"/>
    <w:rsid w:val="54F75F49"/>
    <w:rsid w:val="55306D65"/>
    <w:rsid w:val="55333C3E"/>
    <w:rsid w:val="555B0286"/>
    <w:rsid w:val="555D5DAC"/>
    <w:rsid w:val="55B46AD5"/>
    <w:rsid w:val="56114DE8"/>
    <w:rsid w:val="561641AD"/>
    <w:rsid w:val="56502B9B"/>
    <w:rsid w:val="56BA0FDC"/>
    <w:rsid w:val="56FE711B"/>
    <w:rsid w:val="574C257C"/>
    <w:rsid w:val="577E025B"/>
    <w:rsid w:val="579B705F"/>
    <w:rsid w:val="57A9177C"/>
    <w:rsid w:val="57F6575D"/>
    <w:rsid w:val="580C1D0B"/>
    <w:rsid w:val="58201313"/>
    <w:rsid w:val="589F0489"/>
    <w:rsid w:val="58A27F7A"/>
    <w:rsid w:val="58B101BD"/>
    <w:rsid w:val="58FA1B64"/>
    <w:rsid w:val="59162E41"/>
    <w:rsid w:val="59B63CDD"/>
    <w:rsid w:val="59C37933"/>
    <w:rsid w:val="5A405C9C"/>
    <w:rsid w:val="5A4E21C7"/>
    <w:rsid w:val="5A5F4374"/>
    <w:rsid w:val="5ACB7C5C"/>
    <w:rsid w:val="5B152C85"/>
    <w:rsid w:val="5B61411C"/>
    <w:rsid w:val="5B672B36"/>
    <w:rsid w:val="5C3929A3"/>
    <w:rsid w:val="5C8400C2"/>
    <w:rsid w:val="5CB92D5A"/>
    <w:rsid w:val="5D14769B"/>
    <w:rsid w:val="5D443CF5"/>
    <w:rsid w:val="5D4F4138"/>
    <w:rsid w:val="5D704AEA"/>
    <w:rsid w:val="5D755C5D"/>
    <w:rsid w:val="5D900CE9"/>
    <w:rsid w:val="5DA62130"/>
    <w:rsid w:val="5DAA21CE"/>
    <w:rsid w:val="5DC170F4"/>
    <w:rsid w:val="5DCD5A99"/>
    <w:rsid w:val="5DFD3BB5"/>
    <w:rsid w:val="5E2356B9"/>
    <w:rsid w:val="5E390074"/>
    <w:rsid w:val="5E5166CA"/>
    <w:rsid w:val="5F29040C"/>
    <w:rsid w:val="5F37766E"/>
    <w:rsid w:val="5FA647F3"/>
    <w:rsid w:val="5FBF1EB5"/>
    <w:rsid w:val="5FD72BFF"/>
    <w:rsid w:val="5FD917CA"/>
    <w:rsid w:val="602D143E"/>
    <w:rsid w:val="602F2A3B"/>
    <w:rsid w:val="603911C4"/>
    <w:rsid w:val="60FB0B6F"/>
    <w:rsid w:val="619C4100"/>
    <w:rsid w:val="6213687B"/>
    <w:rsid w:val="62233ED9"/>
    <w:rsid w:val="626F35C2"/>
    <w:rsid w:val="62BB18C3"/>
    <w:rsid w:val="62D005DC"/>
    <w:rsid w:val="62E0001C"/>
    <w:rsid w:val="62E55633"/>
    <w:rsid w:val="63500CFE"/>
    <w:rsid w:val="63676048"/>
    <w:rsid w:val="639C03E7"/>
    <w:rsid w:val="63F415BA"/>
    <w:rsid w:val="63F95EFF"/>
    <w:rsid w:val="64CA39A1"/>
    <w:rsid w:val="64CE4121"/>
    <w:rsid w:val="64F63B27"/>
    <w:rsid w:val="65136487"/>
    <w:rsid w:val="659312C7"/>
    <w:rsid w:val="65E1189B"/>
    <w:rsid w:val="666941F8"/>
    <w:rsid w:val="66860510"/>
    <w:rsid w:val="66A82BFF"/>
    <w:rsid w:val="66DE4873"/>
    <w:rsid w:val="66E14363"/>
    <w:rsid w:val="6712451C"/>
    <w:rsid w:val="673D5429"/>
    <w:rsid w:val="6759126B"/>
    <w:rsid w:val="6764121C"/>
    <w:rsid w:val="67A96C2F"/>
    <w:rsid w:val="68212C69"/>
    <w:rsid w:val="693E5A9D"/>
    <w:rsid w:val="694158BA"/>
    <w:rsid w:val="69630ADE"/>
    <w:rsid w:val="69C064B2"/>
    <w:rsid w:val="69F6333D"/>
    <w:rsid w:val="6A2B6021"/>
    <w:rsid w:val="6A63196C"/>
    <w:rsid w:val="6AE52674"/>
    <w:rsid w:val="6B064398"/>
    <w:rsid w:val="6BD526E8"/>
    <w:rsid w:val="6BE32FA2"/>
    <w:rsid w:val="6C124735"/>
    <w:rsid w:val="6C1F1BB5"/>
    <w:rsid w:val="6C240F7A"/>
    <w:rsid w:val="6C4A05C8"/>
    <w:rsid w:val="6C507FC1"/>
    <w:rsid w:val="6C5F0204"/>
    <w:rsid w:val="6CDF1345"/>
    <w:rsid w:val="6D1B05CF"/>
    <w:rsid w:val="6D282CEC"/>
    <w:rsid w:val="6D3B1A89"/>
    <w:rsid w:val="6E641B01"/>
    <w:rsid w:val="6E8201DA"/>
    <w:rsid w:val="6E963C85"/>
    <w:rsid w:val="6EF72976"/>
    <w:rsid w:val="6F9603E0"/>
    <w:rsid w:val="70227EC6"/>
    <w:rsid w:val="703419A7"/>
    <w:rsid w:val="70DB59C4"/>
    <w:rsid w:val="70F05313"/>
    <w:rsid w:val="714E0847"/>
    <w:rsid w:val="719E532A"/>
    <w:rsid w:val="71AD344C"/>
    <w:rsid w:val="71BF4EC2"/>
    <w:rsid w:val="71D71580"/>
    <w:rsid w:val="71E867AC"/>
    <w:rsid w:val="724C122A"/>
    <w:rsid w:val="72734D90"/>
    <w:rsid w:val="728A632E"/>
    <w:rsid w:val="72BB15BB"/>
    <w:rsid w:val="73500701"/>
    <w:rsid w:val="735465E8"/>
    <w:rsid w:val="73706606"/>
    <w:rsid w:val="73A429A0"/>
    <w:rsid w:val="73F41B79"/>
    <w:rsid w:val="740022CC"/>
    <w:rsid w:val="7412278C"/>
    <w:rsid w:val="74266FD9"/>
    <w:rsid w:val="742915A0"/>
    <w:rsid w:val="74715218"/>
    <w:rsid w:val="74843EF7"/>
    <w:rsid w:val="74A71E5E"/>
    <w:rsid w:val="74F929A6"/>
    <w:rsid w:val="75153B55"/>
    <w:rsid w:val="756B5E6B"/>
    <w:rsid w:val="75971777"/>
    <w:rsid w:val="75FC7BA5"/>
    <w:rsid w:val="764010A6"/>
    <w:rsid w:val="76984A3E"/>
    <w:rsid w:val="76D00202"/>
    <w:rsid w:val="76D83408"/>
    <w:rsid w:val="76E25CB9"/>
    <w:rsid w:val="77232FAB"/>
    <w:rsid w:val="77440722"/>
    <w:rsid w:val="774C229D"/>
    <w:rsid w:val="77784870"/>
    <w:rsid w:val="77CD6969"/>
    <w:rsid w:val="77D0645A"/>
    <w:rsid w:val="77F02658"/>
    <w:rsid w:val="782F4F2E"/>
    <w:rsid w:val="78397B5B"/>
    <w:rsid w:val="78436C2C"/>
    <w:rsid w:val="78782D79"/>
    <w:rsid w:val="789254BD"/>
    <w:rsid w:val="78C01126"/>
    <w:rsid w:val="78DA6D60"/>
    <w:rsid w:val="78F543CA"/>
    <w:rsid w:val="78FB2499"/>
    <w:rsid w:val="79144124"/>
    <w:rsid w:val="797030CC"/>
    <w:rsid w:val="79B41CEF"/>
    <w:rsid w:val="79BA4CCB"/>
    <w:rsid w:val="79E7B28D"/>
    <w:rsid w:val="79FB5607"/>
    <w:rsid w:val="7A440A39"/>
    <w:rsid w:val="7A7763C2"/>
    <w:rsid w:val="7B0568FD"/>
    <w:rsid w:val="7B3F7B7E"/>
    <w:rsid w:val="7B51165F"/>
    <w:rsid w:val="7B8F65E6"/>
    <w:rsid w:val="7BA00DA1"/>
    <w:rsid w:val="7BCE0F02"/>
    <w:rsid w:val="7BDC650C"/>
    <w:rsid w:val="7BF974C4"/>
    <w:rsid w:val="7C2F7BF3"/>
    <w:rsid w:val="7C30396B"/>
    <w:rsid w:val="7C3E66E2"/>
    <w:rsid w:val="7C484810"/>
    <w:rsid w:val="7C63164A"/>
    <w:rsid w:val="7C644564"/>
    <w:rsid w:val="7C80044E"/>
    <w:rsid w:val="7CB225D2"/>
    <w:rsid w:val="7CEB12B6"/>
    <w:rsid w:val="7D07647A"/>
    <w:rsid w:val="7D1868D9"/>
    <w:rsid w:val="7D747887"/>
    <w:rsid w:val="7DAC5273"/>
    <w:rsid w:val="7DFF35F5"/>
    <w:rsid w:val="7E2D63B4"/>
    <w:rsid w:val="7E574F1B"/>
    <w:rsid w:val="7E582D05"/>
    <w:rsid w:val="7E5C27F5"/>
    <w:rsid w:val="7EA85A3A"/>
    <w:rsid w:val="7EFB3DBC"/>
    <w:rsid w:val="7F0E4BB1"/>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99"/>
    <w:rPr>
      <w:rFonts w:ascii="宋体" w:hAnsi="Courier New" w:eastAsia="仿宋" w:cs="Times New Roman"/>
      <w:kern w:val="0"/>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Times New Roman"/>
      <w:color w:val="000000"/>
      <w:kern w:val="0"/>
      <w:sz w:val="28"/>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2886.92&quot;,&quot;2577.76&quot;],[&quot;2024&quot;,&quot;3040.07&quot;,&quot;3007.21&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39.2405063291139,&quot;ratio&quot;:&quot;&quot;,&quot;rotate&quot;:0,&quot;width&quot;:540.506329113924},&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id&quot;:&quot;&quot;}"/>
    <wpswe:property key="isUseCommonErrorPage" value="false"/>
    <wpswe:property key="loadingImage" value="res:/icons/DsWebShapeDefaultPage.svg"/>
  </wpswe:properties>
  <wpswe:watchingCache>
    <wpswe:linkPath>C:/Users/ASUS/AppData/Local/Temp/wps.KPXwes/Workbook1.xlsx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一、一般公共预算财政拨款收入&quot;,&quot;86.26&quot;],[&quot;二、其他收入&quot;,&quot;13.74&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8.4615384615385,&quot;ratio&quot;:&quot;&quot;,&quot;rotate&quot;:0,&quot;width&quot;:539.7435897435898},&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id&quot;:&quot;&quot;}"/>
    <wpswe:property key="isUseCommonErrorPage" value="false"/>
    <wpswe:property key="loadingImage" value="res:/icons/DsWebShapeDefaultPage.svg"/>
  </wpswe:properties>
  <wpswe:watchingCache>
    <wpswe:linkPath>C:/Users/ASUS/AppData/Local/Temp/wps.AUBJth/Workbook2.xlsx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78.05&quot;],[&quot;项目支出&quot;,&quot;21.95&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0,&quot;ratio&quot;:&quot;&quot;,&quot;rotate&quot;:0,&quot;width&quot;:532.91139240506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id&quot;:&quot;226&quot;}"/>
    <wpswe:property key="isUseCommonErrorPage" value="false"/>
    <wpswe:property key="loadingImage" value="res:/icons/WebChartLoading_wps.svg"/>
  </wpswe:properties>
  <wpswe:watchingCache>
    <wpswe:linkPath>C:/Users/ASUS/AppData/Local/Temp/wps.KhrTDw/Workbook3.xlsx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2577.76&quot;,&quot;2577.76&quot;],[&quot;2024&quot;,&quot;2622.37&quot;,&quot;2622.37&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7.46835443037975,&quot;ratio&quot;:&quot;&quot;,&quot;rotate&quot;:0,&quot;width&quot;:573.4177215189874},&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id&quot;:&quot;&quot;}"/>
    <wpswe:property key="isUseCommonErrorPage" value="false"/>
    <wpswe:property key="loadingImage" value="res:/icons/DsWebShapeDefaultPage.svg"/>
  </wpswe:properties>
  <wpswe:watchingCache>
    <wpswe:linkPath>C:/Users/ASUS/AppData/Local/Temp/wps.AmNnav/Workbook4.xlsx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2577.76&quot;],[&quot;2024&quot;,&quot;2622.37&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6582278481015,&quot;ratio&quot;:&quot;&quot;,&quot;rotate&quot;:0,&quot;width&quot;:567.0886075949367},&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id&quot;:&quot;45&quot;}"/>
    <wpswe:property key="isUseCommonErrorPage" value="false"/>
    <wpswe:property key="loadingImage" value="res:/icons/DsWebShapeDefaultPage.svg"/>
  </wpswe:properties>
  <wpswe:watchingCache>
    <wpswe:linkPath>C:/Users/ASUS/AppData/Local/Temp/wps.eTmAZJ/Workbook5.xlsx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xmlns:webet="https://web.wps.cn/et/2018/main" webet:type="Normal" type="0">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99.86&quot;],[&quot;社会保障和就业支出&quot;,&quot;0.02&quot;],[&quot;卫生健康支出&quot;,&quot;0.11&quot;],[&quot;住房保障支出&quot;,&quot;0.01&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34177215189874,&quot;ratio&quot;:&quot;&quot;,&quot;rotate&quot;:0,&quot;width&quot;:646.8354430379746},&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id&quot;:&quot;&quot;}"/>
    <wpswe:property key="isUseCommonErrorPage" value="false"/>
    <wpswe:property key="loadingImage" value="res:/icons/DsWebShapeDefaultPage.svg"/>
  </wpswe:properties>
  <wpswe:watchingCache>
    <wpswe:linkPath>C:/Users/ASUS/AppData/Local/Temp/wps.pVDajy/Workbook6.xlsx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4284</Words>
  <Characters>4680</Characters>
  <Lines>61</Lines>
  <Paragraphs>17</Paragraphs>
  <TotalTime>3</TotalTime>
  <ScaleCrop>false</ScaleCrop>
  <LinksUpToDate>false</LinksUpToDate>
  <CharactersWithSpaces>4742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WPS_1623114475</cp:lastModifiedBy>
  <cp:lastPrinted>2023-09-11T02:05:00Z</cp:lastPrinted>
  <dcterms:modified xsi:type="dcterms:W3CDTF">2025-10-14T08:43:38Z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BC32EFA1CE624710A67CC363752E2377_13</vt:lpwstr>
  </property>
  <property fmtid="{D5CDD505-2E9C-101B-9397-08002B2CF9AE}" pid="4" name="KSOTemplateDocerSaveRecord">
    <vt:lpwstr>eyJoZGlkIjoiNTg0MzMyNGJiMDEzODc5ODNlMGVjODViOWRkZjg1MDgiLCJ1c2VySWQiOiIxMjE4MTY3NDE2In0=</vt:lpwstr>
  </property>
</Properties>
</file>