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Override PartName="/word/webExtensions/webExtension2.xml" ContentType="application/vnd.wps-officedocument.webExtension+xml"/>
  <Override PartName="/word/webExtensions/webExtension3.xml" ContentType="application/vnd.wps-officedocument.webExtension+xml"/>
  <Override PartName="/word/webExtensions/webExtension4.xml" ContentType="application/vnd.wps-officedocument.webExtension+xml"/>
  <Override PartName="/word/webExtensions/webExtension5.xml" ContentType="application/vnd.wps-officedocument.webExtension+xml"/>
  <Override PartName="/word/webExtensions/webExtension6.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8F143">
      <w:pPr>
        <w:spacing w:line="600" w:lineRule="exact"/>
        <w:jc w:val="left"/>
        <w:outlineLvl w:val="9"/>
        <w:rPr>
          <w:rFonts w:ascii="方正小标宋简体" w:hAnsi="宋体" w:eastAsia="方正小标宋简体"/>
          <w:b/>
          <w:bCs/>
          <w:color w:val="auto"/>
          <w:sz w:val="21"/>
          <w:szCs w:val="21"/>
          <w:highlight w:val="none"/>
        </w:rPr>
      </w:pPr>
      <w:bookmarkStart w:id="0" w:name="_Toc15306267"/>
    </w:p>
    <w:p w14:paraId="3F33EC8A">
      <w:pPr>
        <w:spacing w:line="600" w:lineRule="exact"/>
        <w:jc w:val="center"/>
        <w:outlineLvl w:val="9"/>
        <w:rPr>
          <w:rFonts w:ascii="方正小标宋简体" w:hAnsi="宋体" w:eastAsia="方正小标宋简体"/>
          <w:color w:val="auto"/>
          <w:sz w:val="72"/>
          <w:szCs w:val="72"/>
          <w:highlight w:val="none"/>
        </w:rPr>
      </w:pPr>
    </w:p>
    <w:p w14:paraId="1BB40B8D">
      <w:pPr>
        <w:widowControl/>
        <w:suppressAutoHyphens/>
        <w:bidi w:val="0"/>
        <w:jc w:val="center"/>
        <w:rPr>
          <w:rFonts w:hint="eastAsia" w:ascii="方正小标宋简体" w:hAnsi="宋体" w:eastAsia="方正小标宋简体" w:cs="Times New Roman"/>
          <w:b/>
          <w:bCs/>
          <w:color w:val="auto"/>
          <w:w w:val="90"/>
          <w:kern w:val="2"/>
          <w:sz w:val="44"/>
          <w:szCs w:val="44"/>
          <w:highlight w:val="none"/>
          <w:lang w:val="en-US" w:eastAsia="zh-CN" w:bidi="ar-SA"/>
        </w:rPr>
      </w:pPr>
    </w:p>
    <w:p w14:paraId="7C979AA1">
      <w:pPr>
        <w:widowControl/>
        <w:suppressAutoHyphens/>
        <w:bidi w:val="0"/>
        <w:jc w:val="center"/>
        <w:rPr>
          <w:rFonts w:hint="eastAsia" w:ascii="宋体" w:hAnsi="宋体" w:eastAsia="宋体" w:cs="宋体"/>
          <w:b/>
          <w:bCs/>
          <w:color w:val="auto"/>
          <w:w w:val="90"/>
          <w:kern w:val="2"/>
          <w:sz w:val="52"/>
          <w:szCs w:val="52"/>
          <w:highlight w:val="none"/>
          <w:lang w:val="en-US" w:eastAsia="zh-CN" w:bidi="ar-SA"/>
        </w:rPr>
      </w:pPr>
      <w:bookmarkStart w:id="1" w:name="_Toc15378441"/>
      <w:bookmarkStart w:id="2" w:name="_Toc15377193"/>
      <w:bookmarkStart w:id="3" w:name="_Toc15377425"/>
      <w:bookmarkStart w:id="4" w:name="_Toc15396475"/>
      <w:bookmarkStart w:id="5" w:name="_Toc15396597"/>
      <w:bookmarkStart w:id="6" w:name="_Toc24884"/>
      <w:r>
        <w:rPr>
          <w:rFonts w:hint="eastAsia" w:ascii="宋体" w:hAnsi="宋体" w:eastAsia="宋体" w:cs="宋体"/>
          <w:b/>
          <w:bCs/>
          <w:color w:val="auto"/>
          <w:w w:val="90"/>
          <w:kern w:val="2"/>
          <w:sz w:val="52"/>
          <w:szCs w:val="52"/>
          <w:highlight w:val="none"/>
          <w:lang w:val="en-US" w:eastAsia="zh-CN" w:bidi="ar-SA"/>
        </w:rPr>
        <w:t>2024年度</w:t>
      </w:r>
      <w:bookmarkEnd w:id="1"/>
      <w:bookmarkEnd w:id="2"/>
      <w:bookmarkEnd w:id="3"/>
      <w:bookmarkEnd w:id="4"/>
      <w:bookmarkEnd w:id="5"/>
      <w:bookmarkEnd w:id="6"/>
    </w:p>
    <w:bookmarkEnd w:id="0"/>
    <w:p w14:paraId="1206104B">
      <w:pPr>
        <w:widowControl/>
        <w:suppressAutoHyphens/>
        <w:bidi w:val="0"/>
        <w:jc w:val="center"/>
        <w:rPr>
          <w:rFonts w:hint="eastAsia" w:ascii="宋体" w:hAnsi="宋体" w:eastAsia="宋体" w:cs="宋体"/>
          <w:b/>
          <w:bCs/>
          <w:color w:val="auto"/>
          <w:w w:val="90"/>
          <w:kern w:val="2"/>
          <w:sz w:val="52"/>
          <w:szCs w:val="52"/>
          <w:highlight w:val="none"/>
          <w:lang w:val="en-US" w:eastAsia="zh-CN" w:bidi="ar-SA"/>
        </w:rPr>
      </w:pPr>
      <w:bookmarkStart w:id="7" w:name="_Toc14803"/>
      <w:r>
        <w:rPr>
          <w:rFonts w:hint="eastAsia" w:ascii="宋体" w:hAnsi="宋体" w:eastAsia="宋体" w:cs="宋体"/>
          <w:b/>
          <w:bCs/>
          <w:color w:val="auto"/>
          <w:w w:val="90"/>
          <w:kern w:val="2"/>
          <w:sz w:val="52"/>
          <w:szCs w:val="52"/>
          <w:highlight w:val="none"/>
          <w:lang w:val="en-US" w:eastAsia="zh-CN" w:bidi="ar-SA"/>
        </w:rPr>
        <w:t>广元市利州区</w:t>
      </w:r>
      <w:bookmarkEnd w:id="7"/>
      <w:bookmarkStart w:id="8" w:name="_Toc19089860"/>
      <w:r>
        <w:rPr>
          <w:rFonts w:hint="eastAsia" w:ascii="宋体" w:hAnsi="宋体" w:cs="宋体"/>
          <w:b/>
          <w:bCs/>
          <w:color w:val="auto"/>
          <w:w w:val="90"/>
          <w:kern w:val="2"/>
          <w:sz w:val="52"/>
          <w:szCs w:val="52"/>
          <w:highlight w:val="none"/>
          <w:lang w:val="en-US" w:eastAsia="zh-CN" w:bidi="ar-SA"/>
        </w:rPr>
        <w:t>栖凤小学</w:t>
      </w:r>
    </w:p>
    <w:p w14:paraId="270F3666">
      <w:pPr>
        <w:widowControl/>
        <w:suppressAutoHyphens/>
        <w:bidi w:val="0"/>
        <w:jc w:val="center"/>
        <w:rPr>
          <w:rFonts w:hint="eastAsia" w:ascii="宋体" w:hAnsi="宋体" w:eastAsia="宋体" w:cs="宋体"/>
          <w:b/>
          <w:bCs/>
          <w:color w:val="auto"/>
          <w:w w:val="90"/>
          <w:kern w:val="2"/>
          <w:sz w:val="52"/>
          <w:szCs w:val="52"/>
          <w:highlight w:val="none"/>
          <w:lang w:val="en-US" w:eastAsia="zh-CN" w:bidi="ar-SA"/>
        </w:rPr>
      </w:pPr>
      <w:r>
        <w:rPr>
          <w:rFonts w:hint="eastAsia" w:ascii="宋体" w:hAnsi="宋体" w:eastAsia="宋体" w:cs="宋体"/>
          <w:b/>
          <w:bCs/>
          <w:color w:val="auto"/>
          <w:w w:val="90"/>
          <w:kern w:val="2"/>
          <w:sz w:val="52"/>
          <w:szCs w:val="52"/>
          <w:highlight w:val="none"/>
          <w:lang w:val="en-US" w:eastAsia="zh-CN" w:bidi="ar-SA"/>
        </w:rPr>
        <w:t>部门决算</w:t>
      </w:r>
      <w:bookmarkEnd w:id="8"/>
    </w:p>
    <w:p w14:paraId="48DB4EB3">
      <w:pPr>
        <w:keepNext w:val="0"/>
        <w:keepLines w:val="0"/>
        <w:pageBreakBefore w:val="0"/>
        <w:widowControl/>
        <w:kinsoku/>
        <w:wordWrap/>
        <w:overflowPunct/>
        <w:topLinePunct w:val="0"/>
        <w:autoSpaceDE/>
        <w:autoSpaceDN/>
        <w:bidi w:val="0"/>
        <w:jc w:val="center"/>
        <w:textAlignment w:val="auto"/>
        <w:outlineLvl w:val="9"/>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w:t>
      </w:r>
      <w:r>
        <w:rPr>
          <w:rFonts w:hint="eastAsia" w:ascii="黑体" w:hAnsi="黑体" w:eastAsia="黑体"/>
          <w:color w:val="auto"/>
          <w:sz w:val="48"/>
          <w:szCs w:val="48"/>
          <w:highlight w:val="none"/>
          <w:lang w:val="en-US" w:eastAsia="zh-CN"/>
        </w:rPr>
        <w:t xml:space="preserve">  </w:t>
      </w:r>
      <w:r>
        <w:rPr>
          <w:rFonts w:hint="eastAsia" w:ascii="黑体" w:hAnsi="黑体" w:eastAsia="黑体"/>
          <w:color w:val="auto"/>
          <w:sz w:val="48"/>
          <w:szCs w:val="48"/>
          <w:highlight w:val="none"/>
        </w:rPr>
        <w:t>录</w:t>
      </w:r>
    </w:p>
    <w:p w14:paraId="4B1DA42B">
      <w:pPr>
        <w:widowControl/>
        <w:jc w:val="center"/>
        <w:rPr>
          <w:rFonts w:ascii="黑体" w:hAnsi="黑体" w:eastAsia="黑体" w:cstheme="minorBidi"/>
          <w:color w:val="auto"/>
          <w:sz w:val="28"/>
          <w:szCs w:val="28"/>
          <w:highlight w:val="none"/>
        </w:rPr>
      </w:pPr>
    </w:p>
    <w:p w14:paraId="09A38D63">
      <w:pPr>
        <w:pStyle w:val="11"/>
        <w:rPr>
          <w:rFonts w:hint="eastAsia"/>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10月16</w:t>
      </w:r>
      <w:r>
        <w:rPr>
          <w:rFonts w:hint="eastAsia"/>
          <w:color w:val="auto"/>
          <w:highlight w:val="none"/>
        </w:rPr>
        <w:t>日</w:t>
      </w:r>
      <w:bookmarkStart w:id="111" w:name="_GoBack"/>
      <w:bookmarkEnd w:id="111"/>
    </w:p>
    <w:p w14:paraId="200E1D51">
      <w:pPr>
        <w:pStyle w:val="11"/>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TOC \o "1-3" \h \u </w:instrText>
      </w:r>
      <w:r>
        <w:rPr>
          <w:rFonts w:hint="eastAsia" w:ascii="仿宋" w:hAnsi="仿宋" w:eastAsia="仿宋" w:cs="仿宋"/>
          <w:color w:val="auto"/>
          <w:sz w:val="24"/>
          <w:szCs w:val="24"/>
        </w:rPr>
        <w:fldChar w:fldCharType="separate"/>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_Toc23797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 xml:space="preserve">第一部分 </w:t>
      </w:r>
      <w:r>
        <w:rPr>
          <w:rFonts w:hint="eastAsia" w:asciiTheme="majorEastAsia" w:hAnsiTheme="majorEastAsia" w:eastAsiaTheme="majorEastAsia" w:cstheme="majorEastAsia"/>
          <w:color w:val="auto"/>
          <w:sz w:val="24"/>
          <w:szCs w:val="24"/>
          <w:highlight w:val="none"/>
          <w:lang w:eastAsia="zh-CN"/>
        </w:rPr>
        <w:t>单位</w:t>
      </w:r>
      <w:r>
        <w:rPr>
          <w:rFonts w:hint="eastAsia" w:asciiTheme="majorEastAsia" w:hAnsiTheme="majorEastAsia" w:eastAsiaTheme="majorEastAsia" w:cstheme="majorEastAsia"/>
          <w:bCs w:val="0"/>
          <w:color w:val="auto"/>
          <w:sz w:val="24"/>
          <w:szCs w:val="24"/>
          <w:highlight w:val="none"/>
        </w:rPr>
        <w:t>概况</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_Toc23797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44BF4A1C">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_Toc19840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lang w:eastAsia="zh-CN"/>
        </w:rPr>
        <w:t>一、</w:t>
      </w:r>
      <w:r>
        <w:rPr>
          <w:rFonts w:hint="eastAsia" w:asciiTheme="majorEastAsia" w:hAnsiTheme="majorEastAsia" w:eastAsiaTheme="majorEastAsia" w:cstheme="majorEastAsia"/>
          <w:bCs w:val="0"/>
          <w:color w:val="auto"/>
          <w:sz w:val="24"/>
          <w:szCs w:val="24"/>
          <w:highlight w:val="none"/>
          <w:lang w:eastAsia="zh-CN"/>
        </w:rPr>
        <w:t>主要职责</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_Toc19840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3</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2D4BEFA2">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_Toc23676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lang w:val="en-US" w:eastAsia="zh-CN"/>
        </w:rPr>
        <w:t>二、机构设置</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fldChar w:fldCharType="end"/>
      </w:r>
    </w:p>
    <w:p w14:paraId="25754B07">
      <w:pPr>
        <w:pStyle w:val="11"/>
        <w:tabs>
          <w:tab w:val="right" w:leader="dot" w:pos="8306"/>
          <w:tab w:val="clear" w:pos="8296"/>
        </w:tabs>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_Toc27549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color w:val="auto"/>
          <w:sz w:val="24"/>
          <w:szCs w:val="24"/>
          <w:highlight w:val="none"/>
        </w:rPr>
        <w:t xml:space="preserve">第二部分 </w:t>
      </w:r>
      <w:r>
        <w:rPr>
          <w:rFonts w:hint="eastAsia" w:asciiTheme="majorEastAsia" w:hAnsiTheme="majorEastAsia" w:eastAsiaTheme="majorEastAsia" w:cstheme="majorEastAsia"/>
          <w:bCs/>
          <w:color w:val="auto"/>
          <w:sz w:val="24"/>
          <w:szCs w:val="24"/>
          <w:highlight w:val="none"/>
          <w:lang w:val="en-US" w:eastAsia="zh-CN"/>
        </w:rPr>
        <w:t>2024年度</w:t>
      </w:r>
      <w:r>
        <w:rPr>
          <w:rFonts w:hint="eastAsia" w:asciiTheme="majorEastAsia" w:hAnsiTheme="majorEastAsia" w:eastAsiaTheme="majorEastAsia" w:cstheme="majorEastAsia"/>
          <w:bCs/>
          <w:color w:val="auto"/>
          <w:sz w:val="24"/>
          <w:szCs w:val="24"/>
          <w:highlight w:val="none"/>
          <w:lang w:eastAsia="zh-CN"/>
        </w:rPr>
        <w:t>单位</w:t>
      </w:r>
      <w:r>
        <w:rPr>
          <w:rFonts w:hint="eastAsia" w:asciiTheme="majorEastAsia" w:hAnsiTheme="majorEastAsia" w:eastAsiaTheme="majorEastAsia" w:cstheme="majorEastAsia"/>
          <w:bCs/>
          <w:color w:val="auto"/>
          <w:sz w:val="24"/>
          <w:szCs w:val="24"/>
          <w:highlight w:val="none"/>
        </w:rPr>
        <w:t>决算情况说明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fldChar w:fldCharType="end"/>
      </w:r>
    </w:p>
    <w:p w14:paraId="167DE8CA">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_Toc12334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一、</w:t>
      </w:r>
      <w:r>
        <w:rPr>
          <w:rFonts w:hint="eastAsia" w:asciiTheme="majorEastAsia" w:hAnsiTheme="majorEastAsia" w:eastAsiaTheme="majorEastAsia" w:cstheme="majorEastAsia"/>
          <w:color w:val="auto"/>
          <w:sz w:val="24"/>
          <w:szCs w:val="24"/>
          <w:highlight w:val="none"/>
        </w:rPr>
        <w:t>收入支出决算总体情况说明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fldChar w:fldCharType="end"/>
      </w:r>
    </w:p>
    <w:p w14:paraId="029F6C62">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_Toc23054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二、</w:t>
      </w:r>
      <w:r>
        <w:rPr>
          <w:rFonts w:hint="eastAsia" w:asciiTheme="majorEastAsia" w:hAnsiTheme="majorEastAsia" w:eastAsiaTheme="majorEastAsia" w:cstheme="majorEastAsia"/>
          <w:color w:val="auto"/>
          <w:sz w:val="24"/>
          <w:szCs w:val="24"/>
          <w:highlight w:val="none"/>
        </w:rPr>
        <w:t>收入决算情况说明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_Toc23054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5</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1E1E4350">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_Toc22882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三、</w:t>
      </w:r>
      <w:r>
        <w:rPr>
          <w:rFonts w:hint="eastAsia" w:asciiTheme="majorEastAsia" w:hAnsiTheme="majorEastAsia" w:eastAsiaTheme="majorEastAsia" w:cstheme="majorEastAsia"/>
          <w:color w:val="auto"/>
          <w:sz w:val="24"/>
          <w:szCs w:val="24"/>
          <w:highlight w:val="none"/>
        </w:rPr>
        <w:t>支出决算情况说明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6</w:t>
      </w:r>
      <w:r>
        <w:rPr>
          <w:rFonts w:hint="eastAsia" w:asciiTheme="majorEastAsia" w:hAnsiTheme="majorEastAsia" w:eastAsiaTheme="majorEastAsia" w:cstheme="majorEastAsia"/>
          <w:color w:val="auto"/>
          <w:sz w:val="24"/>
          <w:szCs w:val="24"/>
        </w:rPr>
        <w:fldChar w:fldCharType="end"/>
      </w:r>
    </w:p>
    <w:p w14:paraId="2EFB364B">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_Toc12802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四、财政拨款收入支出决算总体情况说明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7</w:t>
      </w:r>
      <w:r>
        <w:rPr>
          <w:rFonts w:hint="eastAsia" w:asciiTheme="majorEastAsia" w:hAnsiTheme="majorEastAsia" w:eastAsiaTheme="majorEastAsia" w:cstheme="majorEastAsia"/>
          <w:color w:val="auto"/>
          <w:sz w:val="24"/>
          <w:szCs w:val="24"/>
        </w:rPr>
        <w:fldChar w:fldCharType="end"/>
      </w:r>
    </w:p>
    <w:p w14:paraId="35168850">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_Toc8035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五、一般公共预算财政拨款支出决算情况说明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8</w:t>
      </w:r>
      <w:r>
        <w:rPr>
          <w:rFonts w:hint="eastAsia" w:asciiTheme="majorEastAsia" w:hAnsiTheme="majorEastAsia" w:eastAsiaTheme="majorEastAsia" w:cstheme="majorEastAsia"/>
          <w:color w:val="auto"/>
          <w:sz w:val="24"/>
          <w:szCs w:val="24"/>
        </w:rPr>
        <w:fldChar w:fldCharType="end"/>
      </w:r>
    </w:p>
    <w:p w14:paraId="085C1019">
      <w:pPr>
        <w:pStyle w:val="12"/>
        <w:tabs>
          <w:tab w:val="right" w:leader="dot" w:pos="8306"/>
          <w:tab w:val="clear" w:pos="8296"/>
        </w:tabs>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_Toc25864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六、一般公共预算财政拨款基本支出决算情况说明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lang w:val="en-US" w:eastAsia="zh-CN"/>
        </w:rPr>
        <w:t>0</w:t>
      </w:r>
    </w:p>
    <w:p w14:paraId="1A544995">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_Toc5906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七、财政拨款“三公”经费支出决算情况说明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_Toc5906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10</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6D31BD30">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_Toc12944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八、政府性基金预算支出决算情况说明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_Toc12944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0A50F4A7">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_Toc22402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九、</w:t>
      </w:r>
      <w:r>
        <w:rPr>
          <w:rFonts w:hint="eastAsia" w:asciiTheme="majorEastAsia" w:hAnsiTheme="majorEastAsia" w:eastAsiaTheme="majorEastAsia" w:cstheme="majorEastAsia"/>
          <w:color w:val="auto"/>
          <w:sz w:val="24"/>
          <w:szCs w:val="24"/>
          <w:highlight w:val="none"/>
        </w:rPr>
        <w:t>国有资本经营预算支出决算情况说明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_Toc22402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5A41D14F">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_Toc22823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十、</w:t>
      </w:r>
      <w:r>
        <w:rPr>
          <w:rFonts w:hint="eastAsia" w:asciiTheme="majorEastAsia" w:hAnsiTheme="majorEastAsia" w:eastAsiaTheme="majorEastAsia" w:cstheme="majorEastAsia"/>
          <w:color w:val="auto"/>
          <w:sz w:val="24"/>
          <w:szCs w:val="24"/>
          <w:highlight w:val="none"/>
        </w:rPr>
        <w:t>其他重要事项的情况说明</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_Toc22823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3FF8FB55">
      <w:pPr>
        <w:pStyle w:val="11"/>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_Toc23296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 xml:space="preserve">第三部分 </w:t>
      </w:r>
      <w:r>
        <w:rPr>
          <w:rFonts w:hint="eastAsia" w:asciiTheme="majorEastAsia" w:hAnsiTheme="majorEastAsia" w:eastAsiaTheme="majorEastAsia" w:cstheme="majorEastAsia"/>
          <w:color w:val="auto"/>
          <w:sz w:val="24"/>
          <w:szCs w:val="24"/>
          <w:highlight w:val="none"/>
        </w:rPr>
        <w:t>名词解释</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_Toc23296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13</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54F33C3F">
      <w:pPr>
        <w:pStyle w:val="11"/>
        <w:tabs>
          <w:tab w:val="right" w:leader="dot" w:pos="8306"/>
          <w:tab w:val="clear" w:pos="8296"/>
        </w:tabs>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_Toc12015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第四部分 附件</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lang w:val="en-US" w:eastAsia="zh-CN"/>
        </w:rPr>
        <w:t>6</w:t>
      </w:r>
    </w:p>
    <w:p w14:paraId="6BBEAE64">
      <w:pPr>
        <w:pStyle w:val="11"/>
        <w:tabs>
          <w:tab w:val="right" w:leader="dot" w:pos="8306"/>
          <w:tab w:val="clear" w:pos="8296"/>
        </w:tabs>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_Toc1435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第五部分 附表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lang w:val="en-US" w:eastAsia="zh-CN"/>
        </w:rPr>
        <w:t>7</w:t>
      </w:r>
    </w:p>
    <w:p w14:paraId="5D3EDFF0">
      <w:pPr>
        <w:pStyle w:val="12"/>
        <w:tabs>
          <w:tab w:val="right" w:leader="dot" w:pos="8306"/>
          <w:tab w:val="clear" w:pos="8296"/>
        </w:tabs>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_Toc27221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一、收</w:t>
      </w:r>
      <w:r>
        <w:rPr>
          <w:rFonts w:hint="eastAsia" w:asciiTheme="majorEastAsia" w:hAnsiTheme="majorEastAsia" w:eastAsiaTheme="majorEastAsia" w:cstheme="majorEastAsia"/>
          <w:bCs w:val="0"/>
          <w:color w:val="auto"/>
          <w:sz w:val="24"/>
          <w:szCs w:val="24"/>
          <w:highlight w:val="none"/>
        </w:rPr>
        <w:t>入支出决算总表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lang w:val="en-US" w:eastAsia="zh-CN"/>
        </w:rPr>
        <w:t>7</w:t>
      </w:r>
    </w:p>
    <w:p w14:paraId="3E558C0B">
      <w:pPr>
        <w:pStyle w:val="12"/>
        <w:tabs>
          <w:tab w:val="right" w:leader="dot" w:pos="8306"/>
          <w:tab w:val="clear" w:pos="8296"/>
        </w:tabs>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_Toc31659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highlight w:val="none"/>
        </w:rPr>
        <w:t>二、收</w:t>
      </w:r>
      <w:r>
        <w:rPr>
          <w:rFonts w:hint="eastAsia" w:asciiTheme="majorEastAsia" w:hAnsiTheme="majorEastAsia" w:eastAsiaTheme="majorEastAsia" w:cstheme="majorEastAsia"/>
          <w:bCs w:val="0"/>
          <w:color w:val="auto"/>
          <w:sz w:val="24"/>
          <w:szCs w:val="24"/>
          <w:highlight w:val="none"/>
        </w:rPr>
        <w:t>入决算表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lang w:val="en-US" w:eastAsia="zh-CN"/>
        </w:rPr>
        <w:t>7</w:t>
      </w:r>
    </w:p>
    <w:p w14:paraId="6F20477F">
      <w:pPr>
        <w:pStyle w:val="12"/>
        <w:tabs>
          <w:tab w:val="right" w:leader="dot" w:pos="8306"/>
          <w:tab w:val="clear" w:pos="8296"/>
        </w:tabs>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_Toc32523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三、</w:t>
      </w:r>
      <w:r>
        <w:rPr>
          <w:rFonts w:hint="eastAsia" w:asciiTheme="majorEastAsia" w:hAnsiTheme="majorEastAsia" w:eastAsiaTheme="majorEastAsia" w:cstheme="majorEastAsia"/>
          <w:color w:val="auto"/>
          <w:sz w:val="24"/>
          <w:szCs w:val="24"/>
          <w:highlight w:val="none"/>
        </w:rPr>
        <w:t>支</w:t>
      </w:r>
      <w:r>
        <w:rPr>
          <w:rFonts w:hint="eastAsia" w:asciiTheme="majorEastAsia" w:hAnsiTheme="majorEastAsia" w:eastAsiaTheme="majorEastAsia" w:cstheme="majorEastAsia"/>
          <w:bCs w:val="0"/>
          <w:color w:val="auto"/>
          <w:sz w:val="24"/>
          <w:szCs w:val="24"/>
          <w:highlight w:val="none"/>
        </w:rPr>
        <w:t>出决算表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lang w:val="en-US" w:eastAsia="zh-CN"/>
        </w:rPr>
        <w:t>7</w:t>
      </w:r>
    </w:p>
    <w:p w14:paraId="6008CA2B">
      <w:pPr>
        <w:pStyle w:val="12"/>
        <w:tabs>
          <w:tab w:val="right" w:leader="dot" w:pos="8306"/>
          <w:tab w:val="clear" w:pos="8296"/>
        </w:tabs>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_Toc11510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四、</w:t>
      </w:r>
      <w:r>
        <w:rPr>
          <w:rFonts w:hint="eastAsia" w:asciiTheme="majorEastAsia" w:hAnsiTheme="majorEastAsia" w:eastAsiaTheme="majorEastAsia" w:cstheme="majorEastAsia"/>
          <w:color w:val="auto"/>
          <w:sz w:val="24"/>
          <w:szCs w:val="24"/>
          <w:highlight w:val="none"/>
        </w:rPr>
        <w:t>财</w:t>
      </w:r>
      <w:r>
        <w:rPr>
          <w:rFonts w:hint="eastAsia" w:asciiTheme="majorEastAsia" w:hAnsiTheme="majorEastAsia" w:eastAsiaTheme="majorEastAsia" w:cstheme="majorEastAsia"/>
          <w:bCs w:val="0"/>
          <w:color w:val="auto"/>
          <w:sz w:val="24"/>
          <w:szCs w:val="24"/>
          <w:highlight w:val="none"/>
        </w:rPr>
        <w:t>政拨款收入支出决算总表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lang w:val="en-US" w:eastAsia="zh-CN"/>
        </w:rPr>
        <w:t>7</w:t>
      </w:r>
    </w:p>
    <w:p w14:paraId="25D194A0">
      <w:pPr>
        <w:pStyle w:val="12"/>
        <w:tabs>
          <w:tab w:val="right" w:leader="dot" w:pos="8306"/>
          <w:tab w:val="clear" w:pos="8296"/>
        </w:tabs>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_Toc8325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五、</w:t>
      </w:r>
      <w:r>
        <w:rPr>
          <w:rFonts w:hint="eastAsia" w:asciiTheme="majorEastAsia" w:hAnsiTheme="majorEastAsia" w:eastAsiaTheme="majorEastAsia" w:cstheme="majorEastAsia"/>
          <w:color w:val="auto"/>
          <w:sz w:val="24"/>
          <w:szCs w:val="24"/>
          <w:highlight w:val="none"/>
        </w:rPr>
        <w:t>财</w:t>
      </w:r>
      <w:r>
        <w:rPr>
          <w:rFonts w:hint="eastAsia" w:asciiTheme="majorEastAsia" w:hAnsiTheme="majorEastAsia" w:eastAsiaTheme="majorEastAsia" w:cstheme="majorEastAsia"/>
          <w:bCs w:val="0"/>
          <w:color w:val="auto"/>
          <w:sz w:val="24"/>
          <w:szCs w:val="24"/>
          <w:highlight w:val="none"/>
        </w:rPr>
        <w:t>政拨款支出决算明细表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lang w:val="en-US" w:eastAsia="zh-CN"/>
        </w:rPr>
        <w:t>7</w:t>
      </w:r>
    </w:p>
    <w:p w14:paraId="0A1C7CFD">
      <w:pPr>
        <w:pStyle w:val="12"/>
        <w:tabs>
          <w:tab w:val="right" w:leader="dot" w:pos="8306"/>
          <w:tab w:val="clear" w:pos="8296"/>
        </w:tabs>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_Toc7574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六、</w:t>
      </w:r>
      <w:r>
        <w:rPr>
          <w:rFonts w:hint="eastAsia" w:asciiTheme="majorEastAsia" w:hAnsiTheme="majorEastAsia" w:eastAsiaTheme="majorEastAsia" w:cstheme="majorEastAsia"/>
          <w:color w:val="auto"/>
          <w:sz w:val="24"/>
          <w:szCs w:val="24"/>
          <w:highlight w:val="none"/>
        </w:rPr>
        <w:t>一</w:t>
      </w:r>
      <w:r>
        <w:rPr>
          <w:rFonts w:hint="eastAsia" w:asciiTheme="majorEastAsia" w:hAnsiTheme="majorEastAsia" w:eastAsiaTheme="majorEastAsia" w:cstheme="majorEastAsia"/>
          <w:bCs w:val="0"/>
          <w:color w:val="auto"/>
          <w:sz w:val="24"/>
          <w:szCs w:val="24"/>
          <w:highlight w:val="none"/>
        </w:rPr>
        <w:t>般公共预算财政拨款支出决算表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lang w:val="en-US" w:eastAsia="zh-CN"/>
        </w:rPr>
        <w:t>7</w:t>
      </w:r>
    </w:p>
    <w:p w14:paraId="1E1D4901">
      <w:pPr>
        <w:pStyle w:val="12"/>
        <w:tabs>
          <w:tab w:val="right" w:leader="dot" w:pos="8306"/>
          <w:tab w:val="clear" w:pos="8296"/>
        </w:tabs>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_Toc28693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七、</w:t>
      </w:r>
      <w:r>
        <w:rPr>
          <w:rFonts w:hint="eastAsia" w:asciiTheme="majorEastAsia" w:hAnsiTheme="majorEastAsia" w:eastAsiaTheme="majorEastAsia" w:cstheme="majorEastAsia"/>
          <w:color w:val="auto"/>
          <w:sz w:val="24"/>
          <w:szCs w:val="24"/>
          <w:highlight w:val="none"/>
        </w:rPr>
        <w:t>一</w:t>
      </w:r>
      <w:r>
        <w:rPr>
          <w:rFonts w:hint="eastAsia" w:asciiTheme="majorEastAsia" w:hAnsiTheme="majorEastAsia" w:eastAsiaTheme="majorEastAsia" w:cstheme="majorEastAsia"/>
          <w:bCs w:val="0"/>
          <w:color w:val="auto"/>
          <w:sz w:val="24"/>
          <w:szCs w:val="24"/>
          <w:highlight w:val="none"/>
        </w:rPr>
        <w:t>般公共预算财政拨款支出决算明细表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lang w:val="en-US" w:eastAsia="zh-CN"/>
        </w:rPr>
        <w:t>7</w:t>
      </w:r>
    </w:p>
    <w:p w14:paraId="67EE14F3">
      <w:pPr>
        <w:pStyle w:val="12"/>
        <w:tabs>
          <w:tab w:val="right" w:leader="dot" w:pos="8306"/>
          <w:tab w:val="clear" w:pos="8296"/>
        </w:tabs>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_Toc26803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八、</w:t>
      </w:r>
      <w:r>
        <w:rPr>
          <w:rFonts w:hint="eastAsia" w:asciiTheme="majorEastAsia" w:hAnsiTheme="majorEastAsia" w:eastAsiaTheme="majorEastAsia" w:cstheme="majorEastAsia"/>
          <w:color w:val="auto"/>
          <w:sz w:val="24"/>
          <w:szCs w:val="24"/>
          <w:highlight w:val="none"/>
        </w:rPr>
        <w:t>一</w:t>
      </w:r>
      <w:r>
        <w:rPr>
          <w:rFonts w:hint="eastAsia" w:asciiTheme="majorEastAsia" w:hAnsiTheme="majorEastAsia" w:eastAsiaTheme="majorEastAsia" w:cstheme="majorEastAsia"/>
          <w:bCs w:val="0"/>
          <w:color w:val="auto"/>
          <w:sz w:val="24"/>
          <w:szCs w:val="24"/>
          <w:highlight w:val="none"/>
        </w:rPr>
        <w:t>般公共预算财政拨款基本支出决算表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lang w:val="en-US" w:eastAsia="zh-CN"/>
        </w:rPr>
        <w:t>7</w:t>
      </w:r>
    </w:p>
    <w:p w14:paraId="5E55F10F">
      <w:pPr>
        <w:pStyle w:val="12"/>
        <w:tabs>
          <w:tab w:val="right" w:leader="dot" w:pos="8306"/>
          <w:tab w:val="clear" w:pos="8296"/>
        </w:tabs>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_Toc1784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九、</w:t>
      </w:r>
      <w:r>
        <w:rPr>
          <w:rFonts w:hint="eastAsia" w:asciiTheme="majorEastAsia" w:hAnsiTheme="majorEastAsia" w:eastAsiaTheme="majorEastAsia" w:cstheme="majorEastAsia"/>
          <w:color w:val="auto"/>
          <w:sz w:val="24"/>
          <w:szCs w:val="24"/>
          <w:highlight w:val="none"/>
        </w:rPr>
        <w:t>一</w:t>
      </w:r>
      <w:r>
        <w:rPr>
          <w:rFonts w:hint="eastAsia" w:asciiTheme="majorEastAsia" w:hAnsiTheme="majorEastAsia" w:eastAsiaTheme="majorEastAsia" w:cstheme="majorEastAsia"/>
          <w:bCs w:val="0"/>
          <w:color w:val="auto"/>
          <w:sz w:val="24"/>
          <w:szCs w:val="24"/>
          <w:highlight w:val="none"/>
        </w:rPr>
        <w:t>般公共预算财政拨款项目支出决算表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lang w:val="en-US" w:eastAsia="zh-CN"/>
        </w:rPr>
        <w:t>1</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lang w:val="en-US" w:eastAsia="zh-CN"/>
        </w:rPr>
        <w:t>7</w:t>
      </w:r>
    </w:p>
    <w:p w14:paraId="611EA18E">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_Toc19072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十、</w:t>
      </w:r>
      <w:r>
        <w:rPr>
          <w:rFonts w:hint="eastAsia" w:asciiTheme="majorEastAsia" w:hAnsiTheme="majorEastAsia" w:eastAsiaTheme="majorEastAsia" w:cstheme="majorEastAsia"/>
          <w:color w:val="auto"/>
          <w:sz w:val="24"/>
          <w:szCs w:val="24"/>
          <w:highlight w:val="none"/>
        </w:rPr>
        <w:t>政</w:t>
      </w:r>
      <w:r>
        <w:rPr>
          <w:rFonts w:hint="eastAsia" w:asciiTheme="majorEastAsia" w:hAnsiTheme="majorEastAsia" w:eastAsiaTheme="majorEastAsia" w:cstheme="majorEastAsia"/>
          <w:bCs w:val="0"/>
          <w:color w:val="auto"/>
          <w:sz w:val="24"/>
          <w:szCs w:val="24"/>
          <w:highlight w:val="none"/>
        </w:rPr>
        <w:t>府性基金预算财政拨款收入支出决算表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_Toc19072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w:t>
      </w:r>
      <w:r>
        <w:rPr>
          <w:rFonts w:hint="eastAsia" w:asciiTheme="majorEastAsia" w:hAnsiTheme="majorEastAsia" w:eastAsiaTheme="majorEastAsia" w:cstheme="majorEastAsia"/>
          <w:color w:val="auto"/>
          <w:sz w:val="24"/>
          <w:szCs w:val="24"/>
          <w:lang w:val="en-US" w:eastAsia="zh-CN"/>
        </w:rPr>
        <w:t>7</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786C9723">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_Toc16597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十一、</w:t>
      </w:r>
      <w:r>
        <w:rPr>
          <w:rFonts w:hint="eastAsia" w:asciiTheme="majorEastAsia" w:hAnsiTheme="majorEastAsia" w:eastAsiaTheme="majorEastAsia" w:cstheme="majorEastAsia"/>
          <w:color w:val="auto"/>
          <w:sz w:val="24"/>
          <w:szCs w:val="24"/>
          <w:highlight w:val="none"/>
        </w:rPr>
        <w:t>国</w:t>
      </w:r>
      <w:r>
        <w:rPr>
          <w:rFonts w:hint="eastAsia" w:asciiTheme="majorEastAsia" w:hAnsiTheme="majorEastAsia" w:eastAsiaTheme="majorEastAsia" w:cstheme="majorEastAsia"/>
          <w:bCs w:val="0"/>
          <w:color w:val="auto"/>
          <w:sz w:val="24"/>
          <w:szCs w:val="24"/>
          <w:highlight w:val="none"/>
        </w:rPr>
        <w:t>有资本经营预算</w:t>
      </w:r>
      <w:r>
        <w:rPr>
          <w:rFonts w:hint="eastAsia" w:asciiTheme="majorEastAsia" w:hAnsiTheme="majorEastAsia" w:eastAsiaTheme="majorEastAsia" w:cstheme="majorEastAsia"/>
          <w:bCs w:val="0"/>
          <w:color w:val="auto"/>
          <w:sz w:val="24"/>
          <w:szCs w:val="24"/>
          <w:highlight w:val="none"/>
          <w:lang w:eastAsia="zh-CN"/>
        </w:rPr>
        <w:t>财政拨款收入</w:t>
      </w:r>
      <w:r>
        <w:rPr>
          <w:rFonts w:hint="eastAsia" w:asciiTheme="majorEastAsia" w:hAnsiTheme="majorEastAsia" w:eastAsiaTheme="majorEastAsia" w:cstheme="majorEastAsia"/>
          <w:bCs w:val="0"/>
          <w:color w:val="auto"/>
          <w:sz w:val="24"/>
          <w:szCs w:val="24"/>
          <w:highlight w:val="none"/>
        </w:rPr>
        <w:t>支出决算表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_Toc16597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w:t>
      </w:r>
      <w:r>
        <w:rPr>
          <w:rFonts w:hint="eastAsia" w:asciiTheme="majorEastAsia" w:hAnsiTheme="majorEastAsia" w:eastAsiaTheme="majorEastAsia" w:cstheme="majorEastAsia"/>
          <w:color w:val="auto"/>
          <w:sz w:val="24"/>
          <w:szCs w:val="24"/>
          <w:lang w:val="en-US" w:eastAsia="zh-CN"/>
        </w:rPr>
        <w:t>7</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1AF7DB56">
      <w:pPr>
        <w:pStyle w:val="12"/>
        <w:tabs>
          <w:tab w:val="right" w:leader="dot" w:pos="8306"/>
          <w:tab w:val="clear" w:pos="8296"/>
        </w:tabs>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_Toc1852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十二、</w:t>
      </w:r>
      <w:r>
        <w:rPr>
          <w:rFonts w:hint="eastAsia" w:asciiTheme="majorEastAsia" w:hAnsiTheme="majorEastAsia" w:eastAsiaTheme="majorEastAsia" w:cstheme="majorEastAsia"/>
          <w:bCs w:val="0"/>
          <w:color w:val="auto"/>
          <w:sz w:val="24"/>
          <w:szCs w:val="24"/>
          <w:highlight w:val="none"/>
          <w:lang w:eastAsia="zh-CN"/>
        </w:rPr>
        <w:t>国有资本经营预算财政拨款支出决算表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_Toc1852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w:t>
      </w:r>
      <w:r>
        <w:rPr>
          <w:rFonts w:hint="eastAsia" w:asciiTheme="majorEastAsia" w:hAnsiTheme="majorEastAsia" w:eastAsiaTheme="majorEastAsia" w:cstheme="majorEastAsia"/>
          <w:color w:val="auto"/>
          <w:sz w:val="24"/>
          <w:szCs w:val="24"/>
          <w:lang w:val="en-US" w:eastAsia="zh-CN"/>
        </w:rPr>
        <w:t>7</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4A90E933">
      <w:pPr>
        <w:pStyle w:val="12"/>
        <w:tabs>
          <w:tab w:val="right" w:leader="dot" w:pos="8306"/>
          <w:tab w:val="clear" w:pos="8296"/>
        </w:tabs>
        <w:rPr>
          <w:rFonts w:hint="eastAsia" w:ascii="仿宋" w:hAnsi="仿宋" w:eastAsia="仿宋" w:cs="仿宋"/>
          <w:color w:val="auto"/>
          <w:sz w:val="24"/>
          <w:szCs w:val="24"/>
        </w:rPr>
      </w:pP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HYPERLINK \l _Toc13118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bCs w:val="0"/>
          <w:color w:val="auto"/>
          <w:sz w:val="24"/>
          <w:szCs w:val="24"/>
          <w:highlight w:val="none"/>
        </w:rPr>
        <w:t>十三、</w:t>
      </w:r>
      <w:r>
        <w:rPr>
          <w:rFonts w:hint="eastAsia" w:asciiTheme="majorEastAsia" w:hAnsiTheme="majorEastAsia" w:eastAsiaTheme="majorEastAsia" w:cstheme="majorEastAsia"/>
          <w:bCs w:val="0"/>
          <w:color w:val="auto"/>
          <w:sz w:val="24"/>
          <w:szCs w:val="24"/>
          <w:highlight w:val="none"/>
          <w:lang w:eastAsia="zh-CN"/>
        </w:rPr>
        <w:t>财政拨款“三公”经费支出决算表</w:t>
      </w:r>
      <w:r>
        <w:rPr>
          <w:rFonts w:hint="eastAsia" w:asciiTheme="majorEastAsia" w:hAnsiTheme="majorEastAsia" w:eastAsiaTheme="majorEastAsia" w:cstheme="majorEastAsia"/>
          <w:color w:val="auto"/>
          <w:sz w:val="24"/>
          <w:szCs w:val="24"/>
        </w:rPr>
        <w:tab/>
      </w:r>
      <w:r>
        <w:rPr>
          <w:rFonts w:hint="eastAsia" w:asciiTheme="majorEastAsia" w:hAnsiTheme="majorEastAsia" w:eastAsiaTheme="majorEastAsia" w:cstheme="majorEastAsia"/>
          <w:color w:val="auto"/>
          <w:sz w:val="24"/>
          <w:szCs w:val="24"/>
        </w:rPr>
        <w:fldChar w:fldCharType="begin"/>
      </w:r>
      <w:r>
        <w:rPr>
          <w:rFonts w:hint="eastAsia" w:asciiTheme="majorEastAsia" w:hAnsiTheme="majorEastAsia" w:eastAsiaTheme="majorEastAsia" w:cstheme="majorEastAsia"/>
          <w:color w:val="auto"/>
          <w:sz w:val="24"/>
          <w:szCs w:val="24"/>
        </w:rPr>
        <w:instrText xml:space="preserve"> PAGEREF _Toc13118 \h </w:instrText>
      </w:r>
      <w:r>
        <w:rPr>
          <w:rFonts w:hint="eastAsia" w:asciiTheme="majorEastAsia" w:hAnsiTheme="majorEastAsia" w:eastAsiaTheme="majorEastAsia" w:cstheme="majorEastAsia"/>
          <w:color w:val="auto"/>
          <w:sz w:val="24"/>
          <w:szCs w:val="24"/>
        </w:rPr>
        <w:fldChar w:fldCharType="separate"/>
      </w:r>
      <w:r>
        <w:rPr>
          <w:rFonts w:hint="eastAsia" w:asciiTheme="majorEastAsia" w:hAnsiTheme="majorEastAsia" w:eastAsiaTheme="majorEastAsia" w:cstheme="majorEastAsia"/>
          <w:color w:val="auto"/>
          <w:sz w:val="24"/>
          <w:szCs w:val="24"/>
        </w:rPr>
        <w:t>1</w:t>
      </w:r>
      <w:r>
        <w:rPr>
          <w:rFonts w:hint="eastAsia" w:asciiTheme="majorEastAsia" w:hAnsiTheme="majorEastAsia" w:eastAsiaTheme="majorEastAsia" w:cstheme="majorEastAsia"/>
          <w:color w:val="auto"/>
          <w:sz w:val="24"/>
          <w:szCs w:val="24"/>
          <w:lang w:val="en-US" w:eastAsia="zh-CN"/>
        </w:rPr>
        <w:t>7</w:t>
      </w:r>
      <w:r>
        <w:rPr>
          <w:rFonts w:hint="eastAsia" w:asciiTheme="majorEastAsia" w:hAnsiTheme="majorEastAsia" w:eastAsiaTheme="majorEastAsia" w:cstheme="majorEastAsia"/>
          <w:color w:val="auto"/>
          <w:sz w:val="24"/>
          <w:szCs w:val="24"/>
        </w:rPr>
        <w:fldChar w:fldCharType="end"/>
      </w:r>
      <w:r>
        <w:rPr>
          <w:rFonts w:hint="eastAsia" w:asciiTheme="majorEastAsia" w:hAnsiTheme="majorEastAsia" w:eastAsiaTheme="majorEastAsia" w:cstheme="majorEastAsia"/>
          <w:color w:val="auto"/>
          <w:sz w:val="24"/>
          <w:szCs w:val="24"/>
        </w:rPr>
        <w:fldChar w:fldCharType="end"/>
      </w:r>
    </w:p>
    <w:p w14:paraId="64BBEBAE">
      <w:pPr>
        <w:rPr>
          <w:rFonts w:hint="eastAsia" w:ascii="黑体" w:hAnsi="黑体" w:eastAsia="黑体"/>
          <w:b w:val="0"/>
          <w:color w:val="auto"/>
          <w:highlight w:val="none"/>
        </w:rPr>
      </w:pPr>
      <w:r>
        <w:rPr>
          <w:rFonts w:hint="eastAsia" w:ascii="仿宋" w:hAnsi="仿宋" w:eastAsia="仿宋" w:cs="仿宋"/>
          <w:color w:val="auto"/>
          <w:sz w:val="24"/>
          <w:szCs w:val="24"/>
        </w:rPr>
        <w:fldChar w:fldCharType="end"/>
      </w:r>
      <w:bookmarkStart w:id="9" w:name="_Toc15396599"/>
      <w:bookmarkStart w:id="10" w:name="_Toc12066"/>
      <w:bookmarkStart w:id="11" w:name="_Toc15377196"/>
    </w:p>
    <w:p w14:paraId="3D2F7455">
      <w:pPr>
        <w:pStyle w:val="3"/>
        <w:keepNext/>
        <w:keepLines/>
        <w:pageBreakBefore w:val="0"/>
        <w:widowControl w:val="0"/>
        <w:kinsoku/>
        <w:wordWrap/>
        <w:overflowPunct/>
        <w:topLinePunct w:val="0"/>
        <w:autoSpaceDE/>
        <w:autoSpaceDN/>
        <w:bidi w:val="0"/>
        <w:adjustRightInd/>
        <w:snapToGrid/>
        <w:spacing w:line="579" w:lineRule="auto"/>
        <w:ind w:left="105" w:leftChars="50"/>
        <w:jc w:val="center"/>
        <w:textAlignment w:val="auto"/>
        <w:rPr>
          <w:rStyle w:val="26"/>
          <w:rFonts w:ascii="黑体" w:hAnsi="黑体" w:eastAsia="黑体"/>
          <w:b/>
          <w:bCs w:val="0"/>
          <w:color w:val="auto"/>
          <w:highlight w:val="none"/>
        </w:rPr>
      </w:pPr>
      <w:bookmarkStart w:id="12" w:name="_Toc23797"/>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9"/>
      <w:bookmarkEnd w:id="10"/>
      <w:bookmarkEnd w:id="11"/>
      <w:bookmarkEnd w:id="12"/>
    </w:p>
    <w:p w14:paraId="0D081770">
      <w:pPr>
        <w:widowControl/>
        <w:jc w:val="left"/>
        <w:rPr>
          <w:rFonts w:ascii="黑体" w:eastAsia="黑体"/>
          <w:color w:val="auto"/>
          <w:sz w:val="32"/>
          <w:szCs w:val="32"/>
          <w:highlight w:val="none"/>
        </w:rPr>
      </w:pPr>
    </w:p>
    <w:p w14:paraId="713C7CAA">
      <w:pPr>
        <w:pStyle w:val="4"/>
        <w:keepNext/>
        <w:keepLines/>
        <w:pageBreakBefore w:val="0"/>
        <w:widowControl w:val="0"/>
        <w:numPr>
          <w:ilvl w:val="0"/>
          <w:numId w:val="1"/>
        </w:numPr>
        <w:kinsoku/>
        <w:wordWrap/>
        <w:overflowPunct/>
        <w:topLinePunct w:val="0"/>
        <w:autoSpaceDE/>
        <w:autoSpaceDN/>
        <w:bidi w:val="0"/>
        <w:adjustRightInd/>
        <w:snapToGrid/>
        <w:spacing w:line="416" w:lineRule="auto"/>
        <w:ind w:left="0" w:leftChars="0" w:firstLine="0" w:firstLineChars="0"/>
        <w:textAlignment w:val="auto"/>
        <w:outlineLvl w:val="1"/>
        <w:rPr>
          <w:rStyle w:val="27"/>
          <w:rFonts w:hint="eastAsia" w:ascii="黑体" w:hAnsi="黑体" w:eastAsia="黑体"/>
          <w:b w:val="0"/>
          <w:bCs w:val="0"/>
          <w:color w:val="auto"/>
          <w:highlight w:val="none"/>
          <w:lang w:eastAsia="zh-CN"/>
        </w:rPr>
      </w:pPr>
      <w:bookmarkStart w:id="13" w:name="_Toc19840"/>
      <w:bookmarkStart w:id="14" w:name="_Toc15377197"/>
      <w:bookmarkStart w:id="15" w:name="_Toc15396600"/>
      <w:r>
        <w:rPr>
          <w:rStyle w:val="27"/>
          <w:rFonts w:hint="eastAsia" w:ascii="黑体" w:hAnsi="黑体" w:eastAsia="黑体"/>
          <w:b w:val="0"/>
          <w:bCs w:val="0"/>
          <w:color w:val="auto"/>
          <w:highlight w:val="none"/>
          <w:lang w:eastAsia="zh-CN"/>
        </w:rPr>
        <w:t>主要职责</w:t>
      </w:r>
      <w:bookmarkEnd w:id="13"/>
    </w:p>
    <w:p w14:paraId="6D4CAA22">
      <w:pPr>
        <w:pStyle w:val="2"/>
        <w:ind w:firstLine="960" w:firstLineChars="300"/>
        <w:rPr>
          <w:rFonts w:hint="eastAsia" w:ascii="仿宋_GB2312" w:hAnsi="Times New Roman" w:eastAsia="仿宋_GB2312" w:cs="Times New Roman"/>
          <w:kern w:val="2"/>
          <w:sz w:val="32"/>
          <w:szCs w:val="32"/>
          <w:highlight w:val="none"/>
          <w:lang w:val="en-US" w:eastAsia="zh-CN" w:bidi="ar-SA"/>
        </w:rPr>
      </w:pPr>
      <w:bookmarkStart w:id="16" w:name="_Toc23676"/>
      <w:r>
        <w:rPr>
          <w:rFonts w:hint="eastAsia" w:ascii="仿宋_GB2312" w:hAnsi="Times New Roman" w:eastAsia="仿宋_GB2312" w:cs="Times New Roman"/>
          <w:kern w:val="2"/>
          <w:sz w:val="32"/>
          <w:szCs w:val="32"/>
          <w:highlight w:val="none"/>
          <w:lang w:val="en-US" w:eastAsia="zh-CN" w:bidi="ar-SA"/>
        </w:rPr>
        <w:t>1.贯彻执行党和国家关于义教育改革和发展的各项方针、政策，拟订全校教育事业发展规划、有关教育的规范性文件，实施教育教学体制改革。</w:t>
      </w:r>
    </w:p>
    <w:p w14:paraId="3B893D8F">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2.负责推进义务教育均衡发展和促进教育公平，负责义务教育的宏观指导与协调；学校全面实施素质教育；全面实施学校办学标准、教学基本要求、教学基本条件。</w:t>
      </w:r>
    </w:p>
    <w:p w14:paraId="2120550D">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3.促进基础教育发展，教育学生成长为德学兼备、思想端正的学生，多元启智，让学生获得扎实的基础知识，培养学习能力，为孩子的终身幸福奠基。</w:t>
      </w:r>
    </w:p>
    <w:p w14:paraId="54F785A2">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4.建立校本活动课程、校本综合实践课程，以生为本，尊重个性，减负增效，构建阳光快乐的校园生态，丰富育人内涵，全面践行为学生和谐发展，终身幸福奠基。</w:t>
      </w:r>
    </w:p>
    <w:p w14:paraId="4A5E66D3">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5.根据学校规模设置学校管理机构，建立健全各项规章制度和岗位责任制。抓好教师队伍建设，使每位教师热心于教育事业。</w:t>
      </w:r>
    </w:p>
    <w:p w14:paraId="205D938E">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 xml:space="preserve">6.落实学校依法治校、安全、综合治理、档案、保密工作。 </w:t>
      </w:r>
    </w:p>
    <w:p w14:paraId="7947BB0A">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7.落实学校后勤保障、信息化建设以及教学仪器设备和图书资料装备工作；管理教育信息统计、分析和发布；参与有关的教育学会、协会工作。</w:t>
      </w:r>
    </w:p>
    <w:p w14:paraId="11CDAF16">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8.落实学校体育、卫生与艺术教育工作。</w:t>
      </w:r>
    </w:p>
    <w:p w14:paraId="229911CB">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9.负责学校教育经费的统筹管理，筹措学校经费、学校拨款、学校基建投资办法和方案；宣传贯彻执行国家和省市有关学生资助工作方针和政策，统筹管理学校贫困家庭学生资助工作。</w:t>
      </w:r>
    </w:p>
    <w:p w14:paraId="06ECD110">
      <w:pPr>
        <w:pStyle w:val="2"/>
        <w:ind w:firstLine="960" w:firstLineChars="300"/>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10.贯彻执行国家语言文字工作的方针、政策，编制语言文字工作中长期规划；组织执行语言文字的规范和标准的监督检查；指导和组织推广普通话、推行规范汉字；开展普通话培训和测试工作。</w:t>
      </w:r>
    </w:p>
    <w:p w14:paraId="134FE7FF">
      <w:pPr>
        <w:pStyle w:val="4"/>
        <w:keepNext/>
        <w:keepLines/>
        <w:pageBreakBefore w:val="0"/>
        <w:widowControl w:val="0"/>
        <w:numPr>
          <w:ilvl w:val="0"/>
          <w:numId w:val="0"/>
        </w:numPr>
        <w:kinsoku/>
        <w:wordWrap/>
        <w:overflowPunct/>
        <w:topLinePunct w:val="0"/>
        <w:autoSpaceDE/>
        <w:autoSpaceDN/>
        <w:bidi w:val="0"/>
        <w:adjustRightInd/>
        <w:snapToGrid/>
        <w:spacing w:line="416" w:lineRule="auto"/>
        <w:textAlignment w:val="auto"/>
        <w:outlineLvl w:val="1"/>
        <w:rPr>
          <w:rFonts w:hint="eastAsia" w:ascii="黑体" w:hAnsi="黑体" w:eastAsia="黑体"/>
          <w:b w:val="0"/>
          <w:color w:val="auto"/>
          <w:highlight w:val="none"/>
          <w:lang w:val="en-US" w:eastAsia="zh-CN"/>
        </w:rPr>
      </w:pPr>
      <w:r>
        <w:rPr>
          <w:rFonts w:hint="eastAsia" w:ascii="黑体" w:hAnsi="黑体" w:eastAsia="黑体"/>
          <w:b w:val="0"/>
          <w:color w:val="auto"/>
          <w:highlight w:val="none"/>
          <w:lang w:val="en-US" w:eastAsia="zh-CN"/>
        </w:rPr>
        <w:t>二、机构设置</w:t>
      </w:r>
      <w:bookmarkEnd w:id="16"/>
    </w:p>
    <w:bookmarkEnd w:id="14"/>
    <w:bookmarkEnd w:id="15"/>
    <w:p w14:paraId="7BE948A4">
      <w:pPr>
        <w:pStyle w:val="2"/>
        <w:ind w:firstLine="960" w:firstLineChars="300"/>
        <w:rPr>
          <w:rFonts w:hint="eastAsia" w:ascii="仿宋_GB2312" w:hAnsi="Times New Roman" w:eastAsia="仿宋_GB2312" w:cs="Times New Roman"/>
          <w:kern w:val="2"/>
          <w:sz w:val="32"/>
          <w:szCs w:val="32"/>
          <w:highlight w:val="none"/>
          <w:lang w:val="en-US" w:eastAsia="zh-CN" w:bidi="ar-SA"/>
        </w:rPr>
      </w:pPr>
      <w:bookmarkStart w:id="17" w:name="_Toc27549"/>
      <w:r>
        <w:rPr>
          <w:rFonts w:hint="eastAsia" w:cs="Times New Roman"/>
          <w:kern w:val="2"/>
          <w:sz w:val="32"/>
          <w:szCs w:val="32"/>
          <w:highlight w:val="none"/>
          <w:lang w:val="en-US" w:eastAsia="zh-CN" w:bidi="ar-SA"/>
        </w:rPr>
        <w:t>1.</w:t>
      </w:r>
      <w:r>
        <w:rPr>
          <w:rFonts w:hint="eastAsia" w:ascii="仿宋_GB2312" w:hAnsi="Times New Roman" w:eastAsia="仿宋_GB2312" w:cs="Times New Roman"/>
          <w:kern w:val="2"/>
          <w:sz w:val="32"/>
          <w:szCs w:val="32"/>
          <w:highlight w:val="none"/>
          <w:lang w:val="en-US" w:eastAsia="zh-CN" w:bidi="ar-SA"/>
        </w:rPr>
        <w:t>广元市利州区</w:t>
      </w:r>
      <w:r>
        <w:rPr>
          <w:rFonts w:hint="eastAsia" w:cs="Times New Roman"/>
          <w:kern w:val="2"/>
          <w:sz w:val="32"/>
          <w:szCs w:val="32"/>
          <w:highlight w:val="none"/>
          <w:lang w:val="en-US" w:eastAsia="zh-CN" w:bidi="ar-SA"/>
        </w:rPr>
        <w:t>栖凤小学</w:t>
      </w:r>
      <w:r>
        <w:rPr>
          <w:rFonts w:hint="eastAsia" w:ascii="仿宋_GB2312" w:hAnsi="Times New Roman" w:eastAsia="仿宋_GB2312" w:cs="Times New Roman"/>
          <w:kern w:val="2"/>
          <w:sz w:val="32"/>
          <w:szCs w:val="32"/>
          <w:highlight w:val="none"/>
          <w:lang w:val="en-US" w:eastAsia="zh-CN" w:bidi="ar-SA"/>
        </w:rPr>
        <w:t>教育局下属单位，内设职能部门9个：办公室、教务处、德育处、总务处、安全办、教科室、计装室、财务室、医务室。</w:t>
      </w:r>
    </w:p>
    <w:p w14:paraId="1C597876">
      <w:pPr>
        <w:snapToGrid w:val="0"/>
        <w:spacing w:line="520" w:lineRule="exact"/>
        <w:ind w:firstLine="640" w:firstLineChars="200"/>
        <w:rPr>
          <w:rFonts w:ascii="仿宋_GB2312" w:hAnsi="Calibri" w:eastAsia="仿宋_GB2312" w:cs="仿宋"/>
          <w:kern w:val="0"/>
          <w:sz w:val="32"/>
          <w:szCs w:val="32"/>
          <w:highlight w:val="none"/>
        </w:rPr>
      </w:pPr>
      <w:r>
        <w:rPr>
          <w:rFonts w:hint="eastAsia" w:ascii="仿宋_GB2312" w:hAnsi="Calibri" w:eastAsia="仿宋_GB2312" w:cs="仿宋"/>
          <w:kern w:val="0"/>
          <w:sz w:val="32"/>
          <w:szCs w:val="32"/>
          <w:highlight w:val="none"/>
        </w:rPr>
        <w:t>2、广元市</w:t>
      </w:r>
      <w:r>
        <w:rPr>
          <w:rFonts w:hint="eastAsia" w:ascii="仿宋_GB2312" w:hAnsi="Calibri" w:eastAsia="仿宋_GB2312" w:cs="仿宋"/>
          <w:kern w:val="0"/>
          <w:sz w:val="32"/>
          <w:szCs w:val="32"/>
          <w:highlight w:val="none"/>
          <w:lang w:eastAsia="zh-CN"/>
        </w:rPr>
        <w:t>利州区栖凤小学</w:t>
      </w:r>
      <w:r>
        <w:rPr>
          <w:rFonts w:hint="eastAsia" w:ascii="仿宋_GB2312" w:hAnsi="Calibri" w:eastAsia="仿宋_GB2312" w:cs="仿宋"/>
          <w:kern w:val="0"/>
          <w:sz w:val="32"/>
          <w:szCs w:val="32"/>
          <w:highlight w:val="none"/>
        </w:rPr>
        <w:t>是区编制委员会命名的独立法人机构，为经费独立核算单位。</w:t>
      </w:r>
    </w:p>
    <w:p w14:paraId="4776196C">
      <w:pPr>
        <w:widowControl/>
        <w:jc w:val="left"/>
        <w:rPr>
          <w:rStyle w:val="26"/>
          <w:rFonts w:ascii="黑体" w:hAnsi="黑体"/>
          <w:highlight w:val="none"/>
        </w:rPr>
      </w:pPr>
    </w:p>
    <w:p w14:paraId="73165519">
      <w:pPr>
        <w:pStyle w:val="3"/>
        <w:keepNext/>
        <w:keepLines/>
        <w:pageBreakBefore w:val="0"/>
        <w:widowControl w:val="0"/>
        <w:kinsoku/>
        <w:wordWrap/>
        <w:overflowPunct/>
        <w:topLinePunct w:val="0"/>
        <w:autoSpaceDE/>
        <w:autoSpaceDN/>
        <w:bidi w:val="0"/>
        <w:adjustRightInd/>
        <w:snapToGrid/>
        <w:spacing w:line="579" w:lineRule="auto"/>
        <w:ind w:right="442"/>
        <w:jc w:val="center"/>
        <w:textAlignment w:val="auto"/>
        <w:rPr>
          <w:rFonts w:ascii="仿宋_GB2312" w:hAnsi="Times New Roman" w:eastAsia="仿宋_GB2312" w:cs="Times New Roman"/>
          <w:color w:val="auto"/>
          <w:kern w:val="0"/>
          <w:sz w:val="30"/>
          <w:szCs w:val="24"/>
          <w:lang w:val="en-US" w:eastAsia="zh-CN" w:bidi="ar-SA"/>
        </w:rPr>
      </w:pPr>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17"/>
    </w:p>
    <w:p w14:paraId="13314B05">
      <w:pPr>
        <w:pStyle w:val="2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27"/>
          <w:rFonts w:ascii="黑体" w:hAnsi="黑体" w:eastAsia="黑体"/>
          <w:b w:val="0"/>
          <w:color w:val="auto"/>
          <w:highlight w:val="none"/>
        </w:rPr>
      </w:pPr>
      <w:bookmarkStart w:id="18" w:name="_Toc15396603"/>
      <w:bookmarkStart w:id="19" w:name="_Toc15377205"/>
      <w:bookmarkStart w:id="20" w:name="_Toc1233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18"/>
      <w:bookmarkEnd w:id="19"/>
      <w:bookmarkEnd w:id="20"/>
    </w:p>
    <w:p w14:paraId="08BC2EE4">
      <w:pPr>
        <w:suppressAutoHyphens/>
        <w:bidi w:val="0"/>
        <w:spacing w:line="600" w:lineRule="exact"/>
        <w:ind w:firstLine="640" w:firstLineChars="200"/>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均为949.13</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23年度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sz w:val="32"/>
          <w:szCs w:val="32"/>
        </w:rPr>
        <w:t>953.39</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，收、支总计</w:t>
      </w:r>
      <w:r>
        <w:rPr>
          <w:rFonts w:hint="eastAsia" w:ascii="仿宋_GB2312" w:hAnsi="仿宋_GB2312" w:eastAsia="仿宋_GB2312" w:cs="仿宋_GB2312"/>
          <w:color w:val="auto"/>
          <w:sz w:val="32"/>
          <w:szCs w:val="32"/>
          <w:highlight w:val="none"/>
          <w:lang w:val="en-US" w:eastAsia="zh-CN"/>
        </w:rPr>
        <w:t>均减少4.26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减少0.45</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在职教师人员变动工资、保险支付减少。</w:t>
      </w:r>
    </w:p>
    <w:p w14:paraId="105AAB7A">
      <w:pPr>
        <w:suppressAutoHyphens/>
        <w:bidi w:val="0"/>
        <w:spacing w:line="600" w:lineRule="exact"/>
        <w:ind w:firstLine="640" w:firstLineChars="200"/>
        <w:rPr>
          <w:rFonts w:hint="eastAsia" w:ascii="仿宋_GB2312" w:hAnsi="仿宋_GB2312" w:eastAsia="仿宋_GB2312" w:cs="仿宋_GB2312"/>
          <w:color w:val="auto"/>
          <w:sz w:val="32"/>
          <w:szCs w:val="32"/>
          <w:highlight w:val="none"/>
          <w:lang w:val="en-US" w:eastAsia="zh-CN"/>
        </w:rPr>
      </w:pPr>
    </w:p>
    <w:p w14:paraId="4D16028C">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（图1：收、支决算总计变动情况图）（柱状图）</w:t>
      </w:r>
    </w:p>
    <w:p w14:paraId="60F59A70">
      <w:pPr>
        <w:pStyle w:val="2"/>
        <w:rPr>
          <w:color w:val="auto"/>
        </w:rPr>
      </w:pPr>
      <w:r>
        <w:rPr>
          <w:rFonts w:hint="eastAsia" w:eastAsiaTheme="minorEastAsia"/>
          <w:color w:val="auto"/>
          <w:lang w:eastAsia="zh-CN"/>
        </w:rPr>
        <w:drawing>
          <wp:inline distT="0" distB="0" distL="114300" distR="114300">
            <wp:extent cx="5143500" cy="3229610"/>
            <wp:effectExtent l="0" t="0" r="0" b="889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8"/>
                    <a:stretch>
                      <a:fillRect/>
                    </a:stretch>
                  </pic:blipFill>
                  <pic:spPr>
                    <a:xfrm>
                      <a:off x="0" y="0"/>
                      <a:ext cx="5143500" cy="3229610"/>
                    </a:xfrm>
                    <a:prstGeom prst="rect">
                      <a:avLst/>
                    </a:prstGeom>
                    <a:extLst>
                      <wpswe:webExtensionRef xmlns:wpswe="http://www.wps.cn/officeDocument/2018/webExtension" r:id="rId7"/>
                    </a:extLst>
                  </pic:spPr>
                </pic:pic>
              </a:graphicData>
            </a:graphic>
          </wp:inline>
        </w:drawing>
      </w:r>
    </w:p>
    <w:p w14:paraId="6AAD86D1">
      <w:pPr>
        <w:spacing w:line="600" w:lineRule="exact"/>
        <w:ind w:firstLine="640" w:firstLineChars="200"/>
        <w:jc w:val="left"/>
        <w:rPr>
          <w:rFonts w:ascii="仿宋_GB2312" w:eastAsia="仿宋_GB2312"/>
          <w:color w:val="auto"/>
          <w:sz w:val="32"/>
          <w:szCs w:val="32"/>
          <w:highlight w:val="none"/>
        </w:rPr>
      </w:pPr>
    </w:p>
    <w:p w14:paraId="03707570">
      <w:pPr>
        <w:pStyle w:val="2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27"/>
          <w:rFonts w:ascii="黑体" w:hAnsi="黑体" w:eastAsia="黑体"/>
          <w:b w:val="0"/>
          <w:color w:val="auto"/>
          <w:highlight w:val="none"/>
        </w:rPr>
      </w:pPr>
      <w:bookmarkStart w:id="21" w:name="_Toc23054"/>
      <w:bookmarkStart w:id="22" w:name="_Toc15396604"/>
      <w:bookmarkStart w:id="23" w:name="_Toc1537720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1"/>
      <w:bookmarkEnd w:id="22"/>
      <w:bookmarkEnd w:id="23"/>
    </w:p>
    <w:p w14:paraId="560DF2AC">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bookmarkStart w:id="24" w:name="_Toc19814"/>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本年收入合计</w:t>
      </w:r>
      <w:r>
        <w:rPr>
          <w:rFonts w:hint="eastAsia" w:ascii="仿宋_GB2312" w:hAnsi="仿宋_GB2312" w:eastAsia="仿宋_GB2312" w:cs="仿宋_GB2312"/>
          <w:color w:val="auto"/>
          <w:sz w:val="32"/>
          <w:szCs w:val="32"/>
          <w:highlight w:val="none"/>
          <w:lang w:val="en-US" w:eastAsia="zh-CN"/>
        </w:rPr>
        <w:t>949.13</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840.98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88.61</w:t>
      </w:r>
      <w:r>
        <w:rPr>
          <w:rFonts w:hint="eastAsia" w:ascii="仿宋_GB2312" w:hAnsi="仿宋_GB2312" w:eastAsia="仿宋_GB2312" w:cs="仿宋_GB2312"/>
          <w:color w:val="auto"/>
          <w:sz w:val="32"/>
          <w:szCs w:val="32"/>
          <w:highlight w:val="none"/>
        </w:rPr>
        <w:t>%；其他收</w:t>
      </w:r>
      <w:r>
        <w:rPr>
          <w:rFonts w:hint="eastAsia" w:ascii="仿宋_GB2312" w:hAnsi="仿宋_GB2312" w:eastAsia="仿宋_GB2312" w:cs="仿宋_GB2312"/>
          <w:color w:val="auto"/>
          <w:sz w:val="32"/>
          <w:szCs w:val="32"/>
          <w:highlight w:val="none"/>
          <w:lang w:val="en-US" w:eastAsia="zh-CN"/>
        </w:rPr>
        <w:t>入108.15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11.39</w:t>
      </w:r>
      <w:r>
        <w:rPr>
          <w:rFonts w:hint="eastAsia" w:ascii="仿宋_GB2312" w:hAnsi="仿宋_GB2312" w:eastAsia="仿宋_GB2312" w:cs="仿宋_GB2312"/>
          <w:color w:val="auto"/>
          <w:sz w:val="32"/>
          <w:szCs w:val="32"/>
          <w:highlight w:val="none"/>
        </w:rPr>
        <w:t>%。</w:t>
      </w:r>
      <w:bookmarkEnd w:id="24"/>
    </w:p>
    <w:p w14:paraId="3DA19626">
      <w:pPr>
        <w:suppressAutoHyphens/>
        <w:bidi w:val="0"/>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（图2：收入决算结构图）（饼状图）</w:t>
      </w:r>
    </w:p>
    <w:p w14:paraId="38A83639">
      <w:pPr>
        <w:pStyle w:val="2"/>
        <w:rPr>
          <w:rFonts w:hint="eastAsia" w:ascii="仿宋" w:hAnsi="仿宋" w:eastAsia="仿宋"/>
          <w:color w:val="auto"/>
          <w:sz w:val="32"/>
          <w:szCs w:val="32"/>
          <w:highlight w:val="none"/>
        </w:rPr>
      </w:pPr>
    </w:p>
    <w:p w14:paraId="29861619">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4127500"/>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stretch>
                      <a:fillRect/>
                    </a:stretch>
                  </pic:blipFill>
                  <pic:spPr>
                    <a:xfrm>
                      <a:off x="0" y="0"/>
                      <a:ext cx="5080000" cy="4127500"/>
                    </a:xfrm>
                    <a:prstGeom prst="rect">
                      <a:avLst/>
                    </a:prstGeom>
                    <a:extLst>
                      <wpswe:webExtensionRef xmlns:wpswe="http://www.wps.cn/officeDocument/2018/webExtension" r:id="rId9"/>
                    </a:extLst>
                  </pic:spPr>
                </pic:pic>
              </a:graphicData>
            </a:graphic>
          </wp:inline>
        </w:drawing>
      </w:r>
    </w:p>
    <w:p w14:paraId="71730B68">
      <w:pPr>
        <w:pStyle w:val="25"/>
        <w:keepNext w:val="0"/>
        <w:keepLines w:val="0"/>
        <w:pageBreakBefore w:val="0"/>
        <w:widowControl w:val="0"/>
        <w:numPr>
          <w:ilvl w:val="0"/>
          <w:numId w:val="2"/>
        </w:numPr>
        <w:kinsoku/>
        <w:wordWrap/>
        <w:overflowPunct/>
        <w:topLinePunct w:val="0"/>
        <w:autoSpaceDE/>
        <w:autoSpaceDN/>
        <w:bidi w:val="0"/>
        <w:adjustRightInd/>
        <w:snapToGrid/>
        <w:spacing w:line="600" w:lineRule="exact"/>
        <w:ind w:left="1361" w:firstLineChars="0"/>
        <w:textAlignment w:val="auto"/>
        <w:outlineLvl w:val="1"/>
        <w:rPr>
          <w:rStyle w:val="27"/>
          <w:rFonts w:ascii="黑体" w:hAnsi="黑体" w:eastAsia="黑体"/>
          <w:b w:val="0"/>
          <w:color w:val="auto"/>
          <w:highlight w:val="none"/>
        </w:rPr>
      </w:pPr>
      <w:bookmarkStart w:id="25" w:name="_Toc15396605"/>
      <w:bookmarkStart w:id="26" w:name="_Toc22882"/>
      <w:bookmarkStart w:id="27" w:name="_Toc15377207"/>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5"/>
      <w:bookmarkEnd w:id="26"/>
      <w:bookmarkEnd w:id="27"/>
    </w:p>
    <w:p w14:paraId="25C12B84">
      <w:pPr>
        <w:suppressAutoHyphens/>
        <w:bidi w:val="0"/>
        <w:spacing w:line="600" w:lineRule="exact"/>
        <w:ind w:firstLine="640" w:firstLineChars="200"/>
        <w:outlineLvl w:val="1"/>
        <w:rPr>
          <w:rFonts w:hint="eastAsia" w:ascii="仿宋_GB2312" w:hAnsi="仿宋_GB2312" w:eastAsia="仿宋_GB2312" w:cs="仿宋_GB2312"/>
          <w:color w:val="auto"/>
          <w:sz w:val="32"/>
          <w:szCs w:val="32"/>
          <w:highlight w:val="none"/>
          <w:lang w:eastAsia="zh-CN"/>
        </w:rPr>
      </w:pPr>
      <w:bookmarkStart w:id="28" w:name="_Toc6290"/>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本年支出合计</w:t>
      </w:r>
      <w:r>
        <w:rPr>
          <w:rFonts w:hint="eastAsia" w:ascii="仿宋_GB2312" w:hAnsi="仿宋_GB2312" w:eastAsia="仿宋_GB2312" w:cs="仿宋_GB2312"/>
          <w:color w:val="auto"/>
          <w:sz w:val="32"/>
          <w:szCs w:val="32"/>
          <w:highlight w:val="none"/>
          <w:lang w:val="en-US" w:eastAsia="zh-CN"/>
        </w:rPr>
        <w:t>949.13</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742.37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78.22</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201.07</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21.18</w:t>
      </w:r>
      <w:r>
        <w:rPr>
          <w:rFonts w:hint="eastAsia" w:ascii="仿宋_GB2312" w:hAnsi="仿宋_GB2312" w:eastAsia="仿宋_GB2312" w:cs="仿宋_GB2312"/>
          <w:color w:val="auto"/>
          <w:sz w:val="32"/>
          <w:szCs w:val="32"/>
          <w:highlight w:val="none"/>
        </w:rPr>
        <w:t>%</w:t>
      </w:r>
      <w:bookmarkEnd w:id="28"/>
      <w:r>
        <w:rPr>
          <w:rFonts w:hint="eastAsia" w:ascii="仿宋_GB2312" w:hAnsi="仿宋_GB2312" w:eastAsia="仿宋_GB2312" w:cs="仿宋_GB2312"/>
          <w:color w:val="auto"/>
          <w:sz w:val="32"/>
          <w:szCs w:val="32"/>
          <w:highlight w:val="none"/>
          <w:lang w:eastAsia="zh-CN"/>
        </w:rPr>
        <w:t>； 年末结转和结余</w:t>
      </w:r>
      <w:r>
        <w:rPr>
          <w:rFonts w:hint="eastAsia" w:ascii="仿宋_GB2312" w:hAnsi="仿宋_GB2312" w:eastAsia="仿宋_GB2312" w:cs="仿宋_GB2312"/>
          <w:color w:val="auto"/>
          <w:sz w:val="32"/>
          <w:szCs w:val="32"/>
          <w:highlight w:val="none"/>
          <w:lang w:val="en-US" w:eastAsia="zh-CN"/>
        </w:rPr>
        <w:t>5.69万元，占0.6%</w:t>
      </w:r>
      <w:r>
        <w:rPr>
          <w:rFonts w:hint="eastAsia" w:ascii="仿宋_GB2312" w:hAnsi="仿宋_GB2312" w:eastAsia="仿宋_GB2312" w:cs="仿宋_GB2312"/>
          <w:color w:val="auto"/>
          <w:sz w:val="32"/>
          <w:szCs w:val="32"/>
          <w:highlight w:val="none"/>
          <w:lang w:eastAsia="zh-CN"/>
        </w:rPr>
        <w:t>。</w:t>
      </w:r>
    </w:p>
    <w:p w14:paraId="073EB27C">
      <w:pPr>
        <w:suppressAutoHyphens/>
        <w:bidi w:val="0"/>
        <w:spacing w:line="600" w:lineRule="exact"/>
        <w:ind w:firstLine="640" w:firstLineChars="200"/>
        <w:outlineLvl w:val="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（图3：支出决算结构图）（饼状图）</w:t>
      </w:r>
    </w:p>
    <w:p w14:paraId="1B03C600">
      <w:pPr>
        <w:pStyle w:val="2"/>
        <w:rPr>
          <w:rFonts w:hint="eastAsia"/>
          <w:color w:val="auto"/>
        </w:rPr>
      </w:pPr>
    </w:p>
    <w:p w14:paraId="4DBE7C7B">
      <w:pPr>
        <w:pStyle w:val="2"/>
        <w:rPr>
          <w:rFonts w:hint="eastAsia" w:eastAsia="仿宋"/>
          <w:color w:val="auto"/>
          <w:lang w:eastAsia="zh-CN"/>
        </w:rPr>
      </w:pPr>
      <w:r>
        <w:rPr>
          <w:rFonts w:hint="eastAsia" w:eastAsia="仿宋"/>
          <w:color w:val="auto"/>
          <w:lang w:eastAsia="zh-CN"/>
        </w:rPr>
        <w:drawing>
          <wp:inline distT="0" distB="0" distL="114300" distR="114300">
            <wp:extent cx="5076825" cy="2857500"/>
            <wp:effectExtent l="0" t="0" r="3175" b="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a:stretch>
                      <a:fillRect/>
                    </a:stretch>
                  </pic:blipFill>
                  <pic:spPr>
                    <a:xfrm>
                      <a:off x="0" y="0"/>
                      <a:ext cx="5076825" cy="2857500"/>
                    </a:xfrm>
                    <a:prstGeom prst="rect">
                      <a:avLst/>
                    </a:prstGeom>
                    <a:extLst>
                      <wpswe:webExtensionRef xmlns:wpswe="http://www.wps.cn/officeDocument/2018/webExtension" r:id="rId11"/>
                    </a:extLst>
                  </pic:spPr>
                </pic:pic>
              </a:graphicData>
            </a:graphic>
          </wp:inline>
        </w:drawing>
      </w:r>
    </w:p>
    <w:p w14:paraId="572FF9D8">
      <w:pPr>
        <w:spacing w:line="600" w:lineRule="exact"/>
        <w:ind w:firstLine="640" w:firstLineChars="200"/>
        <w:rPr>
          <w:rFonts w:ascii="仿宋_GB2312" w:eastAsia="仿宋_GB2312"/>
          <w:color w:val="auto"/>
          <w:sz w:val="32"/>
          <w:szCs w:val="32"/>
          <w:highlight w:val="none"/>
        </w:rPr>
      </w:pPr>
    </w:p>
    <w:p w14:paraId="041FAA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Style w:val="27"/>
          <w:rFonts w:ascii="黑体" w:hAnsi="黑体" w:eastAsia="黑体"/>
          <w:b w:val="0"/>
          <w:color w:val="auto"/>
          <w:highlight w:val="none"/>
        </w:rPr>
      </w:pPr>
      <w:bookmarkStart w:id="29" w:name="_Toc15377208"/>
      <w:bookmarkStart w:id="30" w:name="_Toc12802"/>
      <w:bookmarkStart w:id="31" w:name="_Toc15396606"/>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9"/>
      <w:bookmarkEnd w:id="30"/>
      <w:bookmarkEnd w:id="31"/>
    </w:p>
    <w:p w14:paraId="72153446">
      <w:pPr>
        <w:suppressAutoHyphens/>
        <w:bidi w:val="0"/>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lang w:eastAsia="zh-CN"/>
        </w:rPr>
        <w:t>财政拨款收、</w:t>
      </w:r>
      <w:r>
        <w:rPr>
          <w:rFonts w:hint="eastAsia" w:ascii="仿宋_GB2312" w:hAnsi="仿宋_GB2312" w:eastAsia="仿宋_GB2312" w:cs="仿宋_GB2312"/>
          <w:color w:val="auto"/>
          <w:sz w:val="32"/>
          <w:szCs w:val="32"/>
          <w:highlight w:val="none"/>
          <w:lang w:val="en-US" w:eastAsia="zh-CN"/>
        </w:rPr>
        <w:t>支</w:t>
      </w:r>
      <w:r>
        <w:rPr>
          <w:rFonts w:hint="eastAsia" w:ascii="仿宋_GB2312" w:hAnsi="仿宋_GB2312" w:eastAsia="仿宋_GB2312" w:cs="仿宋_GB2312"/>
          <w:color w:val="auto"/>
          <w:sz w:val="32"/>
          <w:szCs w:val="32"/>
          <w:highlight w:val="none"/>
          <w:lang w:eastAsia="zh-CN"/>
        </w:rPr>
        <w:t>总计</w:t>
      </w:r>
      <w:r>
        <w:rPr>
          <w:rFonts w:hint="eastAsia" w:ascii="仿宋_GB2312" w:hAnsi="仿宋_GB2312" w:eastAsia="仿宋_GB2312" w:cs="仿宋_GB2312"/>
          <w:color w:val="auto"/>
          <w:sz w:val="32"/>
          <w:szCs w:val="32"/>
          <w:highlight w:val="none"/>
          <w:lang w:val="en-US" w:eastAsia="zh-CN"/>
        </w:rPr>
        <w:t>均为840.98</w:t>
      </w:r>
      <w:r>
        <w:rPr>
          <w:rFonts w:hint="eastAsia" w:ascii="仿宋_GB2312" w:hAnsi="仿宋_GB2312" w:eastAsia="仿宋_GB2312" w:cs="仿宋_GB2312"/>
          <w:color w:val="auto"/>
          <w:sz w:val="32"/>
          <w:szCs w:val="32"/>
          <w:highlight w:val="none"/>
          <w:lang w:eastAsia="zh-CN"/>
        </w:rPr>
        <w:t>万元。与20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度</w:t>
      </w:r>
      <w:r>
        <w:rPr>
          <w:rFonts w:hint="eastAsia" w:ascii="仿宋_GB2312" w:hAnsi="仿宋_GB2312" w:eastAsia="仿宋_GB2312" w:cs="仿宋_GB2312"/>
          <w:color w:val="auto"/>
          <w:sz w:val="32"/>
          <w:szCs w:val="32"/>
          <w:highlight w:val="none"/>
          <w:lang w:eastAsia="zh-CN"/>
        </w:rPr>
        <w:t>相比（</w:t>
      </w:r>
      <w:r>
        <w:rPr>
          <w:rFonts w:hint="eastAsia" w:ascii="仿宋_GB2312" w:hAnsi="仿宋_GB2312" w:eastAsia="仿宋_GB2312" w:cs="仿宋_GB2312"/>
          <w:color w:val="auto"/>
          <w:sz w:val="32"/>
          <w:szCs w:val="32"/>
          <w:highlight w:val="none"/>
          <w:lang w:val="en-US" w:eastAsia="zh-CN"/>
        </w:rPr>
        <w:t>860.91万元</w:t>
      </w:r>
      <w:r>
        <w:rPr>
          <w:rFonts w:hint="eastAsia" w:ascii="仿宋_GB2312" w:hAnsi="仿宋_GB2312" w:eastAsia="仿宋_GB2312" w:cs="仿宋_GB2312"/>
          <w:color w:val="auto"/>
          <w:sz w:val="32"/>
          <w:szCs w:val="32"/>
          <w:highlight w:val="none"/>
          <w:lang w:eastAsia="zh-CN"/>
        </w:rPr>
        <w:t>），财政拨款收、</w:t>
      </w:r>
      <w:r>
        <w:rPr>
          <w:rFonts w:hint="eastAsia" w:ascii="仿宋_GB2312" w:hAnsi="仿宋_GB2312" w:eastAsia="仿宋_GB2312" w:cs="仿宋_GB2312"/>
          <w:color w:val="auto"/>
          <w:sz w:val="32"/>
          <w:szCs w:val="32"/>
          <w:highlight w:val="none"/>
          <w:lang w:val="en-US" w:eastAsia="zh-CN"/>
        </w:rPr>
        <w:t>支</w:t>
      </w:r>
      <w:r>
        <w:rPr>
          <w:rFonts w:hint="eastAsia" w:ascii="仿宋_GB2312" w:hAnsi="仿宋_GB2312" w:eastAsia="仿宋_GB2312" w:cs="仿宋_GB2312"/>
          <w:color w:val="auto"/>
          <w:sz w:val="32"/>
          <w:szCs w:val="32"/>
          <w:highlight w:val="none"/>
          <w:lang w:eastAsia="zh-CN"/>
        </w:rPr>
        <w:t>总计</w:t>
      </w:r>
      <w:r>
        <w:rPr>
          <w:rFonts w:hint="eastAsia" w:ascii="仿宋_GB2312" w:hAnsi="仿宋_GB2312" w:eastAsia="仿宋_GB2312" w:cs="仿宋_GB2312"/>
          <w:color w:val="auto"/>
          <w:sz w:val="32"/>
          <w:szCs w:val="32"/>
          <w:highlight w:val="none"/>
          <w:lang w:val="en-US" w:eastAsia="zh-CN"/>
        </w:rPr>
        <w:t>各减少19.93</w:t>
      </w:r>
      <w:r>
        <w:rPr>
          <w:rFonts w:hint="eastAsia" w:ascii="仿宋_GB2312" w:hAnsi="仿宋_GB2312" w:eastAsia="仿宋_GB2312" w:cs="仿宋_GB2312"/>
          <w:color w:val="auto"/>
          <w:sz w:val="32"/>
          <w:szCs w:val="32"/>
          <w:highlight w:val="none"/>
          <w:lang w:eastAsia="zh-CN"/>
        </w:rPr>
        <w:t>万元，</w:t>
      </w:r>
      <w:r>
        <w:rPr>
          <w:rFonts w:hint="eastAsia" w:ascii="仿宋_GB2312" w:hAnsi="仿宋_GB2312" w:eastAsia="仿宋_GB2312" w:cs="仿宋_GB2312"/>
          <w:color w:val="auto"/>
          <w:sz w:val="32"/>
          <w:szCs w:val="32"/>
          <w:highlight w:val="none"/>
          <w:lang w:val="en-US" w:eastAsia="zh-CN"/>
        </w:rPr>
        <w:t>减少2.31</w:t>
      </w:r>
      <w:r>
        <w:rPr>
          <w:rFonts w:hint="eastAsia" w:ascii="仿宋_GB2312" w:hAnsi="仿宋_GB2312" w:eastAsia="仿宋_GB2312" w:cs="仿宋_GB2312"/>
          <w:color w:val="auto"/>
          <w:sz w:val="32"/>
          <w:szCs w:val="32"/>
          <w:highlight w:val="none"/>
          <w:lang w:eastAsia="zh-CN"/>
        </w:rPr>
        <w:t>%。主要变动原因：</w:t>
      </w:r>
      <w:r>
        <w:rPr>
          <w:rFonts w:hint="eastAsia" w:ascii="仿宋_GB2312" w:hAnsi="仿宋_GB2312" w:eastAsia="仿宋_GB2312" w:cs="仿宋_GB2312"/>
          <w:color w:val="auto"/>
          <w:sz w:val="32"/>
          <w:szCs w:val="32"/>
          <w:highlight w:val="none"/>
          <w:lang w:val="en-US" w:eastAsia="zh-CN"/>
        </w:rPr>
        <w:t>在职教师人员变动工资、保险支付减少。</w:t>
      </w:r>
    </w:p>
    <w:p w14:paraId="48AF69E1">
      <w:pPr>
        <w:suppressAutoHyphens/>
        <w:bidi w:val="0"/>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（图4：财政拨款收、支决算总计变动情况）（柱状图）</w:t>
      </w:r>
    </w:p>
    <w:p w14:paraId="5F193235">
      <w:pPr>
        <w:pStyle w:val="2"/>
        <w:rPr>
          <w:rFonts w:hint="eastAsia" w:ascii="仿宋" w:hAnsi="仿宋" w:eastAsia="仿宋"/>
          <w:b/>
          <w:color w:val="auto"/>
          <w:sz w:val="32"/>
          <w:szCs w:val="32"/>
          <w:highlight w:val="none"/>
          <w:lang w:eastAsia="zh-CN"/>
        </w:rPr>
      </w:pPr>
      <w:r>
        <w:rPr>
          <w:rFonts w:hint="eastAsia" w:eastAsiaTheme="minorEastAsia"/>
          <w:color w:val="auto"/>
          <w:lang w:eastAsia="zh-CN"/>
        </w:rPr>
        <w:drawing>
          <wp:inline distT="0" distB="0" distL="114300" distR="114300">
            <wp:extent cx="5461000" cy="283845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4"/>
                    <a:stretch>
                      <a:fillRect/>
                    </a:stretch>
                  </pic:blipFill>
                  <pic:spPr>
                    <a:xfrm>
                      <a:off x="0" y="0"/>
                      <a:ext cx="5461000" cy="2838450"/>
                    </a:xfrm>
                    <a:prstGeom prst="rect">
                      <a:avLst/>
                    </a:prstGeom>
                    <a:extLst>
                      <wpswe:webExtensionRef xmlns:wpswe="http://www.wps.cn/officeDocument/2018/webExtension" r:id="rId13"/>
                    </a:extLst>
                  </pic:spPr>
                </pic:pic>
              </a:graphicData>
            </a:graphic>
          </wp:inline>
        </w:drawing>
      </w:r>
    </w:p>
    <w:p w14:paraId="030502C8">
      <w:pPr>
        <w:spacing w:line="600" w:lineRule="exact"/>
        <w:outlineLvl w:val="9"/>
        <w:rPr>
          <w:rFonts w:hint="eastAsia" w:ascii="黑体" w:hAnsi="黑体" w:eastAsia="黑体"/>
          <w:color w:val="auto"/>
          <w:sz w:val="32"/>
          <w:szCs w:val="32"/>
          <w:highlight w:val="none"/>
        </w:rPr>
      </w:pPr>
      <w:bookmarkStart w:id="32" w:name="_Toc15396607"/>
      <w:bookmarkStart w:id="33" w:name="_Toc15377209"/>
    </w:p>
    <w:p w14:paraId="0B752883">
      <w:pPr>
        <w:keepNext w:val="0"/>
        <w:keepLines w:val="0"/>
        <w:pageBreakBefore w:val="0"/>
        <w:widowControl w:val="0"/>
        <w:kinsoku/>
        <w:wordWrap/>
        <w:overflowPunct/>
        <w:topLinePunct w:val="0"/>
        <w:autoSpaceDE/>
        <w:autoSpaceDN/>
        <w:bidi w:val="0"/>
        <w:adjustRightInd/>
        <w:snapToGrid/>
        <w:spacing w:line="600" w:lineRule="exact"/>
        <w:textAlignment w:val="auto"/>
        <w:outlineLvl w:val="1"/>
        <w:rPr>
          <w:rStyle w:val="27"/>
          <w:rFonts w:ascii="黑体" w:hAnsi="黑体" w:eastAsia="黑体"/>
          <w:b w:val="0"/>
          <w:color w:val="auto"/>
          <w:highlight w:val="none"/>
        </w:rPr>
      </w:pPr>
      <w:bookmarkStart w:id="34" w:name="_Toc8035"/>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32"/>
      <w:bookmarkEnd w:id="33"/>
      <w:bookmarkEnd w:id="34"/>
    </w:p>
    <w:p w14:paraId="74537CB9">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35" w:name="_Toc15377210"/>
      <w:bookmarkStart w:id="36" w:name="_Toc11808"/>
      <w:r>
        <w:rPr>
          <w:rFonts w:hint="eastAsia" w:ascii="仿宋_GB2312" w:hAnsi="仿宋_GB2312" w:eastAsia="仿宋_GB2312" w:cs="仿宋_GB2312"/>
          <w:b/>
          <w:color w:val="auto"/>
          <w:sz w:val="32"/>
          <w:szCs w:val="32"/>
          <w:highlight w:val="none"/>
        </w:rPr>
        <w:t>（一）一般公共预算财政拨款支出决算总体情况</w:t>
      </w:r>
      <w:bookmarkEnd w:id="35"/>
      <w:bookmarkEnd w:id="36"/>
    </w:p>
    <w:p w14:paraId="4728A452">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840.98</w:t>
      </w:r>
      <w:r>
        <w:rPr>
          <w:rFonts w:hint="eastAsia" w:ascii="仿宋_GB2312" w:hAnsi="仿宋_GB2312" w:eastAsia="仿宋_GB2312" w:cs="仿宋_GB2312"/>
          <w:color w:val="auto"/>
          <w:sz w:val="32"/>
          <w:szCs w:val="32"/>
          <w:highlight w:val="none"/>
        </w:rPr>
        <w:t>元，占本年支出合计的</w:t>
      </w:r>
      <w:r>
        <w:rPr>
          <w:rFonts w:hint="eastAsia" w:ascii="仿宋_GB2312" w:hAnsi="仿宋_GB2312" w:eastAsia="仿宋_GB2312" w:cs="仿宋_GB2312"/>
          <w:color w:val="auto"/>
          <w:sz w:val="32"/>
          <w:szCs w:val="32"/>
          <w:highlight w:val="none"/>
          <w:lang w:val="en-US" w:eastAsia="zh-CN"/>
        </w:rPr>
        <w:t>88.61</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23年度</w:t>
      </w:r>
      <w:r>
        <w:rPr>
          <w:rFonts w:hint="eastAsia" w:ascii="仿宋_GB2312" w:hAnsi="仿宋_GB2312" w:eastAsia="仿宋_GB2312" w:cs="仿宋_GB2312"/>
          <w:color w:val="auto"/>
          <w:sz w:val="32"/>
          <w:szCs w:val="32"/>
          <w:highlight w:val="none"/>
        </w:rPr>
        <w:t>相比</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sz w:val="32"/>
          <w:szCs w:val="32"/>
        </w:rPr>
        <w:t>860.91</w:t>
      </w:r>
      <w:r>
        <w:rPr>
          <w:rFonts w:hint="eastAsia" w:ascii="仿宋_GB2312" w:hAnsi="仿宋_GB2312" w:eastAsia="仿宋_GB2312" w:cs="仿宋_GB2312"/>
          <w:color w:val="auto"/>
          <w:sz w:val="32"/>
          <w:szCs w:val="32"/>
          <w:highlight w:val="none"/>
          <w:lang w:val="en-US" w:eastAsia="zh-CN"/>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lang w:val="en-US" w:eastAsia="zh-CN"/>
        </w:rPr>
        <w:t>减少19.93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减少2.31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主要变动原因：是在职教师人员变动工资、保险支付减少。</w:t>
      </w:r>
    </w:p>
    <w:p w14:paraId="6DFEA6D1">
      <w:pPr>
        <w:suppressAutoHyphens/>
        <w:bidi w:val="0"/>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（图5：一般公共预算财政拨款支出决算变动情况）（柱状图）</w:t>
      </w:r>
    </w:p>
    <w:p w14:paraId="3FE963A2">
      <w:pPr>
        <w:pStyle w:val="2"/>
        <w:rPr>
          <w:rFonts w:ascii="仿宋" w:hAnsi="仿宋" w:eastAsia="仿宋"/>
          <w:color w:val="auto"/>
          <w:sz w:val="32"/>
          <w:szCs w:val="32"/>
          <w:highlight w:val="none"/>
        </w:rPr>
      </w:pPr>
      <w:r>
        <w:rPr>
          <w:rFonts w:hint="eastAsia" w:eastAsiaTheme="minorEastAsia"/>
          <w:color w:val="auto"/>
          <w:lang w:eastAsia="zh-CN"/>
        </w:rPr>
        <w:drawing>
          <wp:inline distT="0" distB="0" distL="114300" distR="114300">
            <wp:extent cx="5397500" cy="2867660"/>
            <wp:effectExtent l="0" t="0" r="0" b="254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6"/>
                    <a:stretch>
                      <a:fillRect/>
                    </a:stretch>
                  </pic:blipFill>
                  <pic:spPr>
                    <a:xfrm>
                      <a:off x="0" y="0"/>
                      <a:ext cx="5397500" cy="2867660"/>
                    </a:xfrm>
                    <a:prstGeom prst="rect">
                      <a:avLst/>
                    </a:prstGeom>
                    <a:extLst>
                      <wpswe:webExtensionRef xmlns:wpswe="http://www.wps.cn/officeDocument/2018/webExtension" r:id="rId15"/>
                    </a:extLst>
                  </pic:spPr>
                </pic:pic>
              </a:graphicData>
            </a:graphic>
          </wp:inline>
        </w:drawing>
      </w:r>
    </w:p>
    <w:p w14:paraId="1D444E39">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37" w:name="_Toc15377211"/>
      <w:bookmarkStart w:id="38" w:name="_Toc12667"/>
      <w:r>
        <w:rPr>
          <w:rFonts w:hint="eastAsia" w:ascii="仿宋_GB2312" w:hAnsi="仿宋_GB2312" w:eastAsia="仿宋_GB2312" w:cs="仿宋_GB2312"/>
          <w:b/>
          <w:color w:val="auto"/>
          <w:sz w:val="32"/>
          <w:szCs w:val="32"/>
          <w:highlight w:val="none"/>
        </w:rPr>
        <w:t>（二）一般公共预算财政拨款支出决算结构情况</w:t>
      </w:r>
      <w:bookmarkEnd w:id="37"/>
      <w:bookmarkEnd w:id="38"/>
    </w:p>
    <w:p w14:paraId="35801B02">
      <w:pPr>
        <w:suppressAutoHyphens/>
        <w:bidi w:val="0"/>
        <w:spacing w:line="600" w:lineRule="exact"/>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eastAsia="仿宋_GB2312" w:cs="仿宋_GB2312"/>
          <w:color w:val="auto"/>
          <w:sz w:val="32"/>
          <w:szCs w:val="32"/>
          <w:highlight w:val="none"/>
          <w:lang w:val="en-US" w:eastAsia="zh-CN"/>
        </w:rPr>
        <w:t>840.98</w:t>
      </w:r>
      <w:r>
        <w:rPr>
          <w:rFonts w:hint="eastAsia" w:ascii="仿宋_GB2312" w:hAnsi="仿宋_GB2312" w:eastAsia="仿宋_GB2312" w:cs="仿宋_GB2312"/>
          <w:color w:val="auto"/>
          <w:sz w:val="32"/>
          <w:szCs w:val="32"/>
          <w:highlight w:val="none"/>
        </w:rPr>
        <w:t>万元，主要用于以下方面:教育支出</w:t>
      </w:r>
      <w:r>
        <w:rPr>
          <w:rFonts w:hint="eastAsia" w:ascii="仿宋_GB2312" w:hAnsi="仿宋_GB2312" w:eastAsia="仿宋_GB2312" w:cs="仿宋_GB2312"/>
          <w:color w:val="auto"/>
          <w:sz w:val="32"/>
          <w:szCs w:val="32"/>
          <w:highlight w:val="none"/>
          <w:lang w:val="en-US" w:eastAsia="zh-CN"/>
        </w:rPr>
        <w:t>824.3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98.02</w:t>
      </w:r>
      <w:r>
        <w:rPr>
          <w:rFonts w:hint="eastAsia" w:ascii="仿宋_GB2312" w:hAnsi="仿宋_GB2312" w:eastAsia="仿宋_GB2312" w:cs="仿宋_GB2312"/>
          <w:color w:val="auto"/>
          <w:sz w:val="32"/>
          <w:szCs w:val="32"/>
          <w:highlight w:val="none"/>
        </w:rPr>
        <w:t>%；社会保障和就业支出</w:t>
      </w:r>
      <w:r>
        <w:rPr>
          <w:rFonts w:hint="eastAsia" w:ascii="仿宋_GB2312" w:hAnsi="仿宋_GB2312" w:eastAsia="仿宋_GB2312" w:cs="仿宋_GB2312"/>
          <w:color w:val="auto"/>
          <w:sz w:val="32"/>
          <w:szCs w:val="32"/>
          <w:highlight w:val="none"/>
          <w:lang w:val="en-US" w:eastAsia="zh-CN"/>
        </w:rPr>
        <w:t>6.83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0.81</w:t>
      </w:r>
      <w:r>
        <w:rPr>
          <w:rFonts w:hint="eastAsia" w:ascii="仿宋_GB2312" w:hAnsi="仿宋_GB2312" w:eastAsia="仿宋_GB2312" w:cs="仿宋_GB2312"/>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4.92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0.58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住房保障支出4.93万元，占0.59%。</w:t>
      </w:r>
    </w:p>
    <w:p w14:paraId="4C9E6F1A">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（图6：一般公共预算财政拨款支出决算结构）（饼状图）</w:t>
      </w:r>
    </w:p>
    <w:p w14:paraId="2ABAFCA0">
      <w:pPr>
        <w:pStyle w:val="2"/>
        <w:rPr>
          <w:rFonts w:ascii="仿宋" w:hAnsi="仿宋" w:eastAsia="仿宋"/>
          <w:color w:val="auto"/>
          <w:sz w:val="32"/>
          <w:szCs w:val="32"/>
          <w:highlight w:val="none"/>
        </w:rPr>
      </w:pPr>
      <w:r>
        <w:rPr>
          <w:rFonts w:hint="eastAsia" w:eastAsiaTheme="minorEastAsia"/>
          <w:color w:val="auto"/>
          <w:lang w:eastAsia="zh-CN"/>
        </w:rPr>
        <w:drawing>
          <wp:inline distT="0" distB="0" distL="114300" distR="114300">
            <wp:extent cx="6158865" cy="2731135"/>
            <wp:effectExtent l="9525" t="9525" r="19050" b="17780"/>
            <wp:docPr id="9" name="图片 9"/>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8"/>
                    <a:stretch>
                      <a:fillRect/>
                    </a:stretch>
                  </pic:blipFill>
                  <pic:spPr>
                    <a:xfrm>
                      <a:off x="0" y="0"/>
                      <a:ext cx="6158865" cy="2731135"/>
                    </a:xfrm>
                    <a:prstGeom prst="rect">
                      <a:avLst/>
                    </a:prstGeom>
                    <a:ln>
                      <a:solidFill>
                        <a:scrgbClr r="100000" g="100000" b="100000"/>
                      </a:solidFill>
                    </a:ln>
                    <a:extLst>
                      <wpswe:webExtensionRef xmlns:wpswe="http://www.wps.cn/officeDocument/2018/webExtension" r:id="rId17"/>
                    </a:extLst>
                  </pic:spPr>
                </pic:pic>
              </a:graphicData>
            </a:graphic>
          </wp:inline>
        </w:drawing>
      </w:r>
    </w:p>
    <w:p w14:paraId="01554D13">
      <w:pPr>
        <w:suppressAutoHyphens/>
        <w:bidi w:val="0"/>
        <w:spacing w:line="600" w:lineRule="exact"/>
        <w:ind w:firstLine="643" w:firstLineChars="200"/>
        <w:outlineLvl w:val="2"/>
        <w:rPr>
          <w:rFonts w:hint="eastAsia" w:ascii="仿宋_GB2312" w:hAnsi="仿宋_GB2312" w:eastAsia="仿宋_GB2312" w:cs="仿宋_GB2312"/>
          <w:b/>
          <w:color w:val="auto"/>
          <w:sz w:val="32"/>
          <w:szCs w:val="32"/>
          <w:highlight w:val="none"/>
        </w:rPr>
      </w:pPr>
      <w:bookmarkStart w:id="39" w:name="_Toc15377212"/>
      <w:bookmarkStart w:id="40" w:name="_Toc15397"/>
      <w:r>
        <w:rPr>
          <w:rFonts w:hint="eastAsia" w:ascii="仿宋_GB2312" w:hAnsi="仿宋_GB2312" w:eastAsia="仿宋_GB2312" w:cs="仿宋_GB2312"/>
          <w:b/>
          <w:color w:val="auto"/>
          <w:sz w:val="32"/>
          <w:szCs w:val="32"/>
          <w:highlight w:val="none"/>
        </w:rPr>
        <w:t>（三）一般公共预算财政拨款支出决算具体情况</w:t>
      </w:r>
      <w:bookmarkEnd w:id="39"/>
      <w:bookmarkEnd w:id="40"/>
    </w:p>
    <w:p w14:paraId="1DD7BFA1">
      <w:pPr>
        <w:spacing w:line="600" w:lineRule="exact"/>
        <w:ind w:firstLine="643" w:firstLineChars="200"/>
        <w:outlineLvl w:val="1"/>
        <w:rPr>
          <w:rFonts w:hint="eastAsia" w:ascii="仿宋_GB2312" w:hAnsi="仿宋_GB2312" w:eastAsia="仿宋_GB2312" w:cs="仿宋_GB2312"/>
          <w:b/>
          <w:color w:val="auto"/>
          <w:sz w:val="32"/>
          <w:szCs w:val="32"/>
          <w:highlight w:val="none"/>
        </w:rPr>
      </w:pPr>
      <w:bookmarkStart w:id="41" w:name="_Toc15377444"/>
      <w:bookmarkStart w:id="42" w:name="_Toc13226"/>
      <w:bookmarkStart w:id="43" w:name="_Toc15378460"/>
      <w:bookmarkStart w:id="44" w:name="_Toc15377213"/>
      <w:r>
        <w:rPr>
          <w:rFonts w:hint="eastAsia" w:ascii="仿宋_GB2312" w:hAnsi="仿宋_GB2312" w:eastAsia="仿宋_GB2312" w:cs="仿宋_GB2312"/>
          <w:b/>
          <w:color w:val="auto"/>
          <w:sz w:val="32"/>
          <w:szCs w:val="32"/>
          <w:highlight w:val="none"/>
          <w:lang w:eastAsia="zh-CN"/>
        </w:rPr>
        <w:t>20</w:t>
      </w:r>
      <w:r>
        <w:rPr>
          <w:rFonts w:hint="eastAsia" w:ascii="仿宋_GB2312" w:hAnsi="仿宋_GB2312" w:eastAsia="仿宋_GB2312" w:cs="仿宋_GB2312"/>
          <w:b/>
          <w:color w:val="auto"/>
          <w:sz w:val="32"/>
          <w:szCs w:val="32"/>
          <w:highlight w:val="none"/>
          <w:lang w:val="en-US" w:eastAsia="zh-CN"/>
        </w:rPr>
        <w:t>24年度</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eastAsia="仿宋_GB2312" w:cs="仿宋_GB2312"/>
          <w:b/>
          <w:color w:val="auto"/>
          <w:sz w:val="32"/>
          <w:szCs w:val="32"/>
          <w:highlight w:val="none"/>
          <w:lang w:val="en-US" w:eastAsia="zh-CN"/>
        </w:rPr>
        <w:t>840.98万元</w:t>
      </w:r>
      <w:r>
        <w:rPr>
          <w:rFonts w:hint="eastAsia" w:ascii="仿宋_GB2312" w:hAnsi="仿宋_GB2312" w:eastAsia="仿宋_GB2312" w:cs="仿宋_GB2312"/>
          <w:b/>
          <w:color w:val="auto"/>
          <w:sz w:val="32"/>
          <w:szCs w:val="32"/>
          <w:highlight w:val="none"/>
        </w:rPr>
        <w:t>，完成预算</w:t>
      </w:r>
      <w:r>
        <w:rPr>
          <w:rFonts w:hint="eastAsia" w:ascii="仿宋_GB2312" w:hAnsi="仿宋_GB2312" w:eastAsia="仿宋_GB2312" w:cs="仿宋_GB2312"/>
          <w:b/>
          <w:color w:val="auto"/>
          <w:sz w:val="32"/>
          <w:szCs w:val="32"/>
          <w:highlight w:val="none"/>
          <w:lang w:val="en-US" w:eastAsia="zh-CN"/>
        </w:rPr>
        <w:t>100</w:t>
      </w:r>
      <w:r>
        <w:rPr>
          <w:rFonts w:hint="eastAsia" w:ascii="仿宋_GB2312" w:hAnsi="仿宋_GB2312" w:eastAsia="仿宋_GB2312" w:cs="仿宋_GB2312"/>
          <w:b/>
          <w:color w:val="auto"/>
          <w:sz w:val="32"/>
          <w:szCs w:val="32"/>
          <w:highlight w:val="none"/>
        </w:rPr>
        <w:t>%。其中：</w:t>
      </w:r>
      <w:bookmarkEnd w:id="41"/>
      <w:bookmarkEnd w:id="42"/>
      <w:bookmarkEnd w:id="43"/>
      <w:bookmarkEnd w:id="44"/>
    </w:p>
    <w:p w14:paraId="16B63239">
      <w:pPr>
        <w:spacing w:line="600" w:lineRule="exact"/>
        <w:ind w:firstLine="643" w:firstLineChars="200"/>
        <w:rPr>
          <w:rStyle w:val="16"/>
          <w:rFonts w:hint="eastAsia" w:ascii="仿宋_GB2312" w:hAnsi="仿宋_GB2312" w:eastAsia="仿宋_GB2312" w:cs="仿宋_GB2312"/>
          <w:b w:val="0"/>
          <w:bCs/>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1</w:t>
      </w:r>
      <w:r>
        <w:rPr>
          <w:rStyle w:val="16"/>
          <w:rFonts w:hint="eastAsia" w:ascii="仿宋_GB2312" w:hAnsi="仿宋_GB2312" w:eastAsia="仿宋_GB2312" w:cs="仿宋_GB2312"/>
          <w:bCs/>
          <w:color w:val="auto"/>
          <w:sz w:val="32"/>
          <w:szCs w:val="32"/>
          <w:highlight w:val="none"/>
        </w:rPr>
        <w:t>.教育（类）</w:t>
      </w:r>
      <w:r>
        <w:rPr>
          <w:rStyle w:val="16"/>
          <w:rFonts w:hint="eastAsia" w:ascii="仿宋_GB2312" w:hAnsi="仿宋_GB2312" w:eastAsia="仿宋_GB2312" w:cs="仿宋_GB2312"/>
          <w:bCs/>
          <w:color w:val="auto"/>
          <w:sz w:val="32"/>
          <w:szCs w:val="32"/>
          <w:highlight w:val="none"/>
          <w:lang w:val="en-US" w:eastAsia="zh-CN"/>
        </w:rPr>
        <w:t>普通教育</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学前教育</w:t>
      </w:r>
      <w:r>
        <w:rPr>
          <w:rStyle w:val="16"/>
          <w:rFonts w:hint="eastAsia" w:ascii="仿宋_GB2312" w:hAnsi="仿宋_GB2312" w:eastAsia="仿宋_GB2312" w:cs="仿宋_GB2312"/>
          <w:bCs/>
          <w:color w:val="auto"/>
          <w:sz w:val="32"/>
          <w:szCs w:val="32"/>
          <w:highlight w:val="none"/>
        </w:rPr>
        <w:t xml:space="preserve">（项）: </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94.31</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p>
    <w:p w14:paraId="38939731">
      <w:pPr>
        <w:spacing w:line="600" w:lineRule="exact"/>
        <w:ind w:firstLine="643" w:firstLineChars="200"/>
        <w:rPr>
          <w:rStyle w:val="16"/>
          <w:rFonts w:hint="eastAsia" w:ascii="仿宋_GB2312" w:hAnsi="仿宋_GB2312" w:eastAsia="仿宋_GB2312" w:cs="仿宋_GB2312"/>
          <w:b w:val="0"/>
          <w:bCs/>
          <w:color w:val="auto"/>
          <w:sz w:val="32"/>
          <w:szCs w:val="32"/>
          <w:highlight w:val="none"/>
        </w:rPr>
      </w:pPr>
      <w:r>
        <w:rPr>
          <w:rStyle w:val="16"/>
          <w:rFonts w:hint="eastAsia" w:ascii="仿宋_GB2312" w:hAnsi="仿宋_GB2312" w:eastAsia="仿宋_GB2312" w:cs="仿宋_GB2312"/>
          <w:bCs/>
          <w:color w:val="auto"/>
          <w:sz w:val="32"/>
          <w:szCs w:val="32"/>
          <w:highlight w:val="none"/>
          <w:lang w:val="en-US" w:eastAsia="zh-CN"/>
        </w:rPr>
        <w:t>2</w:t>
      </w:r>
      <w:r>
        <w:rPr>
          <w:rStyle w:val="16"/>
          <w:rFonts w:hint="eastAsia" w:ascii="仿宋_GB2312" w:hAnsi="仿宋_GB2312" w:eastAsia="仿宋_GB2312" w:cs="仿宋_GB2312"/>
          <w:bCs/>
          <w:color w:val="auto"/>
          <w:sz w:val="32"/>
          <w:szCs w:val="32"/>
          <w:highlight w:val="none"/>
        </w:rPr>
        <w:t>.教育（类）</w:t>
      </w:r>
      <w:r>
        <w:rPr>
          <w:rStyle w:val="16"/>
          <w:rFonts w:hint="eastAsia" w:ascii="仿宋_GB2312" w:hAnsi="仿宋_GB2312" w:eastAsia="仿宋_GB2312" w:cs="仿宋_GB2312"/>
          <w:bCs/>
          <w:color w:val="auto"/>
          <w:sz w:val="32"/>
          <w:szCs w:val="32"/>
          <w:highlight w:val="none"/>
          <w:lang w:val="en-US" w:eastAsia="zh-CN"/>
        </w:rPr>
        <w:t>普通教育</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小学教育</w:t>
      </w:r>
      <w:r>
        <w:rPr>
          <w:rStyle w:val="16"/>
          <w:rFonts w:hint="eastAsia" w:ascii="仿宋_GB2312" w:hAnsi="仿宋_GB2312" w:eastAsia="仿宋_GB2312" w:cs="仿宋_GB2312"/>
          <w:bCs/>
          <w:color w:val="auto"/>
          <w:sz w:val="32"/>
          <w:szCs w:val="32"/>
          <w:highlight w:val="none"/>
        </w:rPr>
        <w:t>（项）:</w:t>
      </w:r>
      <w:r>
        <w:rPr>
          <w:rStyle w:val="16"/>
          <w:rFonts w:ascii="仿宋" w:hAnsi="仿宋" w:eastAsia="仿宋"/>
          <w:b w:val="0"/>
          <w:bCs/>
          <w:color w:val="auto"/>
          <w:sz w:val="32"/>
          <w:szCs w:val="32"/>
          <w:highlight w:val="none"/>
        </w:rPr>
        <w:t xml:space="preserve"> </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729.99</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p>
    <w:p w14:paraId="6AC0054C">
      <w:pPr>
        <w:suppressAutoHyphens/>
        <w:bidi w:val="0"/>
        <w:spacing w:line="600" w:lineRule="exact"/>
        <w:ind w:firstLine="643" w:firstLineChars="200"/>
        <w:rPr>
          <w:rStyle w:val="16"/>
          <w:rFonts w:hint="eastAsia" w:ascii="仿宋_GB2312" w:hAnsi="仿宋_GB2312" w:eastAsia="仿宋_GB2312" w:cs="仿宋_GB2312"/>
          <w:b w:val="0"/>
          <w:bCs/>
          <w:color w:val="auto"/>
          <w:kern w:val="2"/>
          <w:sz w:val="32"/>
          <w:szCs w:val="32"/>
          <w:highlight w:val="none"/>
          <w:lang w:val="en-US" w:eastAsia="zh-CN" w:bidi="ar-SA"/>
        </w:rPr>
      </w:pPr>
      <w:r>
        <w:rPr>
          <w:rStyle w:val="16"/>
          <w:rFonts w:hint="eastAsia" w:ascii="仿宋_GB2312" w:hAnsi="仿宋_GB2312" w:eastAsia="仿宋_GB2312" w:cs="仿宋_GB2312"/>
          <w:bCs/>
          <w:color w:val="auto"/>
          <w:kern w:val="2"/>
          <w:sz w:val="32"/>
          <w:szCs w:val="32"/>
          <w:highlight w:val="none"/>
          <w:lang w:val="en-US" w:eastAsia="zh-CN" w:bidi="ar-SA"/>
        </w:rPr>
        <w:t>3.社会保障和就业（类）行政事业单位养老（款）机关事业单位基本养老保险缴费（项）:</w:t>
      </w:r>
      <w:r>
        <w:rPr>
          <w:rStyle w:val="16"/>
          <w:rFonts w:ascii="仿宋" w:hAnsi="仿宋" w:eastAsia="仿宋"/>
          <w:b w:val="0"/>
          <w:bCs/>
          <w:color w:val="auto"/>
          <w:sz w:val="32"/>
          <w:szCs w:val="32"/>
          <w:highlight w:val="none"/>
        </w:rPr>
        <w:t xml:space="preserve"> </w:t>
      </w:r>
      <w:r>
        <w:rPr>
          <w:rStyle w:val="16"/>
          <w:rFonts w:hint="eastAsia" w:ascii="仿宋_GB2312" w:hAnsi="仿宋_GB2312" w:eastAsia="仿宋_GB2312" w:cs="仿宋_GB2312"/>
          <w:b w:val="0"/>
          <w:bCs/>
          <w:color w:val="auto"/>
          <w:kern w:val="2"/>
          <w:sz w:val="32"/>
          <w:szCs w:val="32"/>
          <w:highlight w:val="none"/>
          <w:lang w:val="en-US" w:eastAsia="zh-CN" w:bidi="ar-SA"/>
        </w:rPr>
        <w:t>支出决算为6.58万元，</w:t>
      </w:r>
      <w:r>
        <w:rPr>
          <w:rStyle w:val="16"/>
          <w:rFonts w:hint="eastAsia" w:ascii="仿宋_GB2312" w:hAnsi="仿宋_GB2312" w:eastAsia="仿宋_GB2312" w:cs="仿宋_GB2312"/>
          <w:b w:val="0"/>
          <w:bCs/>
          <w:color w:val="auto"/>
          <w:sz w:val="32"/>
          <w:szCs w:val="32"/>
          <w:highlight w:val="none"/>
          <w:lang w:val="en-US" w:eastAsia="zh-CN"/>
        </w:rPr>
        <w:t>完成预算100%。</w:t>
      </w:r>
    </w:p>
    <w:p w14:paraId="1186F85B">
      <w:pPr>
        <w:pStyle w:val="2"/>
        <w:ind w:firstLine="643" w:firstLineChars="200"/>
        <w:rPr>
          <w:rStyle w:val="16"/>
          <w:rFonts w:hint="eastAsia" w:ascii="仿宋_GB2312" w:hAnsi="仿宋_GB2312" w:eastAsia="仿宋_GB2312" w:cs="仿宋_GB2312"/>
          <w:b w:val="0"/>
          <w:bCs/>
          <w:color w:val="auto"/>
          <w:kern w:val="2"/>
          <w:sz w:val="32"/>
          <w:szCs w:val="32"/>
          <w:highlight w:val="none"/>
          <w:lang w:val="en-US" w:eastAsia="zh-CN" w:bidi="ar-SA"/>
        </w:rPr>
      </w:pPr>
      <w:r>
        <w:rPr>
          <w:rStyle w:val="16"/>
          <w:rFonts w:hint="eastAsia" w:hAnsi="仿宋_GB2312" w:cs="仿宋_GB2312"/>
          <w:bCs/>
          <w:color w:val="auto"/>
          <w:kern w:val="2"/>
          <w:sz w:val="32"/>
          <w:szCs w:val="32"/>
          <w:highlight w:val="none"/>
          <w:lang w:val="en-US" w:eastAsia="zh-CN" w:bidi="ar-SA"/>
        </w:rPr>
        <w:t>4</w:t>
      </w:r>
      <w:r>
        <w:rPr>
          <w:rStyle w:val="16"/>
          <w:rFonts w:hint="eastAsia" w:ascii="仿宋_GB2312" w:hAnsi="仿宋_GB2312" w:eastAsia="仿宋_GB2312" w:cs="仿宋_GB2312"/>
          <w:bCs/>
          <w:color w:val="auto"/>
          <w:kern w:val="2"/>
          <w:sz w:val="32"/>
          <w:szCs w:val="32"/>
          <w:highlight w:val="none"/>
          <w:lang w:val="en-US" w:eastAsia="zh-CN" w:bidi="ar-SA"/>
        </w:rPr>
        <w:t xml:space="preserve">.社会保障和就业（类）其他社会保障和就业（款）其他社会保障和就业（项）: </w:t>
      </w:r>
      <w:r>
        <w:rPr>
          <w:rStyle w:val="16"/>
          <w:rFonts w:hint="eastAsia" w:ascii="仿宋_GB2312" w:hAnsi="仿宋_GB2312" w:eastAsia="仿宋_GB2312" w:cs="仿宋_GB2312"/>
          <w:b w:val="0"/>
          <w:bCs/>
          <w:color w:val="auto"/>
          <w:kern w:val="2"/>
          <w:sz w:val="32"/>
          <w:szCs w:val="32"/>
          <w:highlight w:val="none"/>
          <w:lang w:val="en-US" w:eastAsia="zh-CN" w:bidi="ar-SA"/>
        </w:rPr>
        <w:t>支出决算为</w:t>
      </w:r>
      <w:r>
        <w:rPr>
          <w:rStyle w:val="16"/>
          <w:rFonts w:hint="eastAsia" w:hAnsi="仿宋_GB2312" w:cs="仿宋_GB2312"/>
          <w:b w:val="0"/>
          <w:bCs/>
          <w:color w:val="auto"/>
          <w:kern w:val="2"/>
          <w:sz w:val="32"/>
          <w:szCs w:val="32"/>
          <w:highlight w:val="none"/>
          <w:lang w:val="en-US" w:eastAsia="zh-CN" w:bidi="ar-SA"/>
        </w:rPr>
        <w:t>0.25</w:t>
      </w:r>
      <w:r>
        <w:rPr>
          <w:rStyle w:val="16"/>
          <w:rFonts w:hint="eastAsia" w:ascii="仿宋_GB2312" w:hAnsi="仿宋_GB2312" w:eastAsia="仿宋_GB2312" w:cs="仿宋_GB2312"/>
          <w:b w:val="0"/>
          <w:bCs/>
          <w:color w:val="auto"/>
          <w:kern w:val="2"/>
          <w:sz w:val="32"/>
          <w:szCs w:val="32"/>
          <w:highlight w:val="none"/>
          <w:lang w:val="en-US" w:eastAsia="zh-CN" w:bidi="ar-SA"/>
        </w:rPr>
        <w:t>万元，完成预算100%。</w:t>
      </w:r>
    </w:p>
    <w:p w14:paraId="74D480A1">
      <w:pPr>
        <w:suppressAutoHyphens/>
        <w:bidi w:val="0"/>
        <w:spacing w:line="600" w:lineRule="exact"/>
        <w:ind w:firstLine="643" w:firstLineChars="200"/>
        <w:rPr>
          <w:rStyle w:val="16"/>
          <w:rFonts w:hint="eastAsia" w:ascii="仿宋_GB2312" w:hAnsi="仿宋_GB2312" w:eastAsia="仿宋_GB2312" w:cs="仿宋_GB2312"/>
          <w:b w:val="0"/>
          <w:bCs/>
          <w:color w:val="auto"/>
          <w:sz w:val="32"/>
          <w:szCs w:val="32"/>
          <w:highlight w:val="none"/>
          <w:lang w:val="en-US" w:eastAsia="zh-CN"/>
        </w:rPr>
      </w:pPr>
      <w:bookmarkStart w:id="45" w:name="_Toc10747"/>
      <w:r>
        <w:rPr>
          <w:rStyle w:val="16"/>
          <w:rFonts w:hint="eastAsia" w:ascii="仿宋_GB2312" w:hAnsi="仿宋_GB2312" w:eastAsia="仿宋_GB2312" w:cs="仿宋_GB2312"/>
          <w:bCs/>
          <w:color w:val="auto"/>
          <w:sz w:val="32"/>
          <w:szCs w:val="32"/>
          <w:highlight w:val="none"/>
          <w:lang w:val="en-US" w:eastAsia="zh-CN"/>
        </w:rPr>
        <w:t>5</w:t>
      </w:r>
      <w:r>
        <w:rPr>
          <w:rStyle w:val="16"/>
          <w:rFonts w:hint="eastAsia" w:ascii="仿宋_GB2312" w:hAnsi="仿宋_GB2312" w:eastAsia="仿宋_GB2312" w:cs="仿宋_GB2312"/>
          <w:bCs/>
          <w:color w:val="auto"/>
          <w:sz w:val="32"/>
          <w:szCs w:val="32"/>
          <w:highlight w:val="none"/>
        </w:rPr>
        <w:t>.卫生健康（类）</w:t>
      </w:r>
      <w:r>
        <w:rPr>
          <w:rStyle w:val="16"/>
          <w:rFonts w:hint="eastAsia" w:ascii="仿宋_GB2312" w:hAnsi="仿宋_GB2312" w:eastAsia="仿宋_GB2312" w:cs="仿宋_GB2312"/>
          <w:bCs/>
          <w:color w:val="auto"/>
          <w:sz w:val="32"/>
          <w:szCs w:val="32"/>
          <w:highlight w:val="none"/>
          <w:lang w:val="en-US" w:eastAsia="zh-CN"/>
        </w:rPr>
        <w:t>行政事业单位医疗</w:t>
      </w:r>
      <w:r>
        <w:rPr>
          <w:rStyle w:val="16"/>
          <w:rFonts w:hint="eastAsia" w:ascii="仿宋_GB2312" w:hAnsi="仿宋_GB2312" w:eastAsia="仿宋_GB2312" w:cs="仿宋_GB2312"/>
          <w:bCs/>
          <w:color w:val="auto"/>
          <w:sz w:val="32"/>
          <w:szCs w:val="32"/>
          <w:highlight w:val="none"/>
        </w:rPr>
        <w:t>（款）</w:t>
      </w:r>
      <w:r>
        <w:rPr>
          <w:rStyle w:val="16"/>
          <w:rFonts w:hint="eastAsia" w:ascii="仿宋_GB2312" w:hAnsi="仿宋_GB2312" w:eastAsia="仿宋_GB2312" w:cs="仿宋_GB2312"/>
          <w:bCs/>
          <w:color w:val="auto"/>
          <w:sz w:val="32"/>
          <w:szCs w:val="32"/>
          <w:highlight w:val="none"/>
          <w:lang w:val="en-US" w:eastAsia="zh-CN"/>
        </w:rPr>
        <w:t>事业单位医疗</w:t>
      </w:r>
      <w:r>
        <w:rPr>
          <w:rStyle w:val="16"/>
          <w:rFonts w:hint="eastAsia" w:ascii="仿宋_GB2312" w:hAnsi="仿宋_GB2312" w:eastAsia="仿宋_GB2312" w:cs="仿宋_GB2312"/>
          <w:bCs/>
          <w:color w:val="auto"/>
          <w:sz w:val="32"/>
          <w:szCs w:val="32"/>
          <w:highlight w:val="none"/>
        </w:rPr>
        <w:t>（项）:</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4.92</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100.00</w:t>
      </w:r>
      <w:r>
        <w:rPr>
          <w:rStyle w:val="16"/>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lang w:val="en-US" w:eastAsia="zh-CN"/>
        </w:rPr>
        <w:t>。</w:t>
      </w:r>
      <w:bookmarkEnd w:id="45"/>
    </w:p>
    <w:p w14:paraId="3EBCB00B">
      <w:pPr>
        <w:suppressAutoHyphens/>
        <w:bidi w:val="0"/>
        <w:spacing w:line="600" w:lineRule="exact"/>
        <w:ind w:firstLine="643" w:firstLineChars="200"/>
        <w:rPr>
          <w:rStyle w:val="16"/>
          <w:rFonts w:hint="eastAsia" w:ascii="仿宋_GB2312" w:hAnsi="仿宋_GB2312" w:eastAsia="仿宋_GB2312" w:cs="仿宋_GB2312"/>
          <w:b w:val="0"/>
          <w:bCs/>
          <w:color w:val="auto"/>
          <w:sz w:val="32"/>
          <w:szCs w:val="32"/>
          <w:highlight w:val="none"/>
          <w:lang w:val="en-US" w:eastAsia="zh-CN"/>
        </w:rPr>
      </w:pPr>
      <w:r>
        <w:rPr>
          <w:rStyle w:val="16"/>
          <w:rFonts w:hint="eastAsia" w:ascii="仿宋_GB2312" w:hAnsi="仿宋_GB2312" w:eastAsia="仿宋_GB2312" w:cs="仿宋_GB2312"/>
          <w:bCs/>
          <w:color w:val="auto"/>
          <w:kern w:val="2"/>
          <w:sz w:val="32"/>
          <w:szCs w:val="32"/>
          <w:highlight w:val="none"/>
          <w:lang w:val="en-US" w:eastAsia="zh-CN" w:bidi="ar-SA"/>
        </w:rPr>
        <w:t>6.住房保障（类）住房改革（款）住房公积金（项）：</w:t>
      </w:r>
      <w:r>
        <w:rPr>
          <w:rStyle w:val="16"/>
          <w:rFonts w:hint="eastAsia" w:ascii="仿宋_GB2312" w:hAnsi="仿宋_GB2312" w:eastAsia="仿宋_GB2312" w:cs="仿宋_GB2312"/>
          <w:b w:val="0"/>
          <w:bCs/>
          <w:color w:val="auto"/>
          <w:sz w:val="32"/>
          <w:szCs w:val="32"/>
          <w:highlight w:val="none"/>
          <w:lang w:val="en-US" w:eastAsia="zh-CN"/>
        </w:rPr>
        <w:t>支出决算为4.93万元，完成预算100.00%。</w:t>
      </w:r>
      <w:bookmarkStart w:id="46" w:name="_Toc15396608"/>
      <w:bookmarkStart w:id="47" w:name="_Toc15377214"/>
    </w:p>
    <w:p w14:paraId="76D12E1A">
      <w:pPr>
        <w:keepNext w:val="0"/>
        <w:keepLines w:val="0"/>
        <w:pageBreakBefore w:val="0"/>
        <w:widowControl w:val="0"/>
        <w:tabs>
          <w:tab w:val="right" w:pos="8306"/>
        </w:tabs>
        <w:kinsoku/>
        <w:wordWrap/>
        <w:overflowPunct/>
        <w:topLinePunct w:val="0"/>
        <w:autoSpaceDE/>
        <w:autoSpaceDN/>
        <w:bidi w:val="0"/>
        <w:adjustRightInd/>
        <w:snapToGrid/>
        <w:spacing w:line="600" w:lineRule="exact"/>
        <w:textAlignment w:val="auto"/>
        <w:outlineLvl w:val="1"/>
        <w:rPr>
          <w:rStyle w:val="27"/>
          <w:color w:val="auto"/>
          <w:highlight w:val="none"/>
        </w:rPr>
      </w:pPr>
      <w:bookmarkStart w:id="48" w:name="_Toc2586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46"/>
      <w:bookmarkEnd w:id="47"/>
      <w:bookmarkEnd w:id="48"/>
      <w:r>
        <w:rPr>
          <w:rStyle w:val="27"/>
          <w:rFonts w:ascii="黑体" w:hAnsi="黑体" w:eastAsia="黑体"/>
          <w:b w:val="0"/>
          <w:color w:val="auto"/>
          <w:highlight w:val="none"/>
        </w:rPr>
        <w:tab/>
      </w:r>
    </w:p>
    <w:p w14:paraId="09B98F75">
      <w:pPr>
        <w:suppressAutoHyphens/>
        <w:bidi w:val="0"/>
        <w:spacing w:line="600" w:lineRule="exact"/>
        <w:ind w:firstLine="645"/>
        <w:rPr>
          <w:rFonts w:hint="eastAsia" w:ascii="仿宋_GB2312" w:hAnsi="仿宋_GB2312" w:eastAsia="仿宋_GB2312" w:cs="仿宋_GB2312"/>
          <w:color w:val="auto"/>
          <w:sz w:val="32"/>
          <w:szCs w:val="32"/>
          <w:highlight w:val="none"/>
        </w:rPr>
      </w:pPr>
      <w:r>
        <w:rPr>
          <w:rFonts w:ascii="仿宋" w:hAnsi="仿宋" w:eastAsia="仿宋"/>
          <w:color w:val="auto"/>
          <w:sz w:val="32"/>
          <w:szCs w:val="32"/>
          <w:highlight w:val="none"/>
        </w:rPr>
        <w:t>2</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一般公共预算财政拨款基本支出</w:t>
      </w:r>
      <w:r>
        <w:rPr>
          <w:rFonts w:hint="eastAsia" w:ascii="仿宋_GB2312" w:hAnsi="仿宋_GB2312" w:eastAsia="仿宋_GB2312" w:cs="仿宋_GB2312"/>
          <w:color w:val="auto"/>
          <w:sz w:val="32"/>
          <w:szCs w:val="32"/>
          <w:highlight w:val="none"/>
          <w:lang w:val="en-US" w:eastAsia="zh-CN"/>
        </w:rPr>
        <w:t>741.86</w:t>
      </w:r>
      <w:r>
        <w:rPr>
          <w:rFonts w:hint="eastAsia" w:ascii="仿宋_GB2312" w:hAnsi="仿宋_GB2312" w:eastAsia="仿宋_GB2312" w:cs="仿宋_GB2312"/>
          <w:color w:val="auto"/>
          <w:sz w:val="32"/>
          <w:szCs w:val="32"/>
          <w:highlight w:val="none"/>
        </w:rPr>
        <w:t>万元，其中：</w:t>
      </w:r>
    </w:p>
    <w:p w14:paraId="7356A1F2">
      <w:pPr>
        <w:suppressAutoHyphens/>
        <w:bidi w:val="0"/>
        <w:spacing w:line="600" w:lineRule="exact"/>
        <w:ind w:firstLine="64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659.62</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万元，主要包括：基本工资、津贴补贴、奖金、绩效工资、机关事业单位基本养老保险缴费、职业年金缴费、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_GB2312" w:hAnsi="仿宋_GB2312" w:eastAsia="仿宋_GB2312" w:cs="仿宋_GB2312"/>
          <w:color w:val="auto"/>
          <w:sz w:val="32"/>
          <w:szCs w:val="32"/>
          <w:highlight w:val="none"/>
        </w:rPr>
        <w:t>其他社会保障缴费、</w:t>
      </w:r>
      <w:r>
        <w:rPr>
          <w:rFonts w:hint="eastAsia" w:ascii="仿宋_GB2312" w:hAnsi="仿宋_GB2312" w:eastAsia="仿宋_GB2312" w:cs="仿宋_GB2312"/>
          <w:color w:val="auto"/>
          <w:sz w:val="32"/>
          <w:szCs w:val="32"/>
          <w:highlight w:val="none"/>
          <w:lang w:val="en-US" w:eastAsia="zh-CN"/>
        </w:rPr>
        <w:t>住房公积金、对个人和家庭的补助，</w:t>
      </w:r>
      <w:r>
        <w:rPr>
          <w:rFonts w:hint="eastAsia" w:ascii="仿宋_GB2312" w:hAnsi="仿宋_GB2312" w:eastAsia="仿宋_GB2312" w:cs="仿宋_GB2312"/>
          <w:color w:val="auto"/>
          <w:sz w:val="32"/>
          <w:szCs w:val="32"/>
          <w:highlight w:val="none"/>
        </w:rPr>
        <w:t>抚恤金、生活补助</w:t>
      </w:r>
      <w:r>
        <w:rPr>
          <w:rFonts w:hint="eastAsia" w:ascii="仿宋_GB2312" w:hAnsi="仿宋_GB2312" w:eastAsia="仿宋_GB2312" w:cs="仿宋_GB2312"/>
          <w:color w:val="auto"/>
          <w:sz w:val="32"/>
          <w:szCs w:val="32"/>
          <w:highlight w:val="none"/>
          <w:lang w:eastAsia="zh-CN"/>
        </w:rPr>
        <w:t>。</w:t>
      </w:r>
    </w:p>
    <w:p w14:paraId="050DD4D4">
      <w:pPr>
        <w:suppressAutoHyphens/>
        <w:bidi w:val="0"/>
        <w:spacing w:line="600" w:lineRule="exact"/>
        <w:ind w:firstLine="645"/>
        <w:rPr>
          <w:rFonts w:hint="eastAsia" w:ascii="黑体" w:eastAsia="黑体"/>
          <w:color w:val="auto"/>
          <w:sz w:val="32"/>
          <w:szCs w:val="32"/>
          <w:highlight w:val="none"/>
        </w:rPr>
      </w:pPr>
      <w:r>
        <w:rPr>
          <w:rFonts w:hint="eastAsia" w:ascii="仿宋_GB2312" w:hAnsi="仿宋_GB2312" w:eastAsia="仿宋_GB2312" w:cs="仿宋_GB2312"/>
          <w:color w:val="auto"/>
          <w:sz w:val="32"/>
          <w:szCs w:val="32"/>
          <w:highlight w:val="none"/>
        </w:rPr>
        <w:t>公用经费</w:t>
      </w:r>
      <w:r>
        <w:rPr>
          <w:rFonts w:hint="eastAsia" w:ascii="仿宋_GB2312" w:hAnsi="仿宋_GB2312" w:eastAsia="仿宋_GB2312" w:cs="仿宋_GB2312"/>
          <w:color w:val="auto"/>
          <w:sz w:val="32"/>
          <w:szCs w:val="32"/>
          <w:highlight w:val="none"/>
          <w:lang w:val="en-US" w:eastAsia="zh-CN"/>
        </w:rPr>
        <w:t>82.24</w:t>
      </w:r>
      <w:r>
        <w:rPr>
          <w:rFonts w:hint="eastAsia" w:ascii="仿宋_GB2312" w:hAnsi="仿宋_GB2312" w:eastAsia="仿宋_GB2312" w:cs="仿宋_GB2312"/>
          <w:color w:val="auto"/>
          <w:sz w:val="32"/>
          <w:szCs w:val="32"/>
          <w:highlight w:val="none"/>
        </w:rPr>
        <w:t>万元，主要包括：办公费、水费、电费、邮电费、差旅费、维修（护）费、劳务费、工会经费、福利费</w:t>
      </w:r>
      <w:r>
        <w:rPr>
          <w:rFonts w:hint="eastAsia" w:ascii="仿宋_GB2312" w:hAnsi="仿宋_GB2312" w:eastAsia="仿宋_GB2312" w:cs="仿宋_GB2312"/>
          <w:color w:val="auto"/>
          <w:sz w:val="32"/>
          <w:szCs w:val="32"/>
          <w:highlight w:val="none"/>
          <w:lang w:eastAsia="zh-CN"/>
        </w:rPr>
        <w:t>。</w:t>
      </w:r>
      <w:bookmarkStart w:id="49" w:name="_Toc15377215"/>
      <w:bookmarkStart w:id="50" w:name="_Toc15396609"/>
    </w:p>
    <w:p w14:paraId="5FAED692">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27"/>
          <w:rFonts w:ascii="黑体" w:hAnsi="黑体" w:eastAsia="黑体"/>
          <w:b w:val="0"/>
          <w:color w:val="auto"/>
          <w:highlight w:val="none"/>
        </w:rPr>
      </w:pPr>
      <w:bookmarkStart w:id="51" w:name="_Toc5906"/>
      <w:r>
        <w:rPr>
          <w:rFonts w:hint="eastAsia" w:ascii="黑体" w:eastAsia="黑体"/>
          <w:color w:val="auto"/>
          <w:sz w:val="32"/>
          <w:szCs w:val="32"/>
          <w:highlight w:val="none"/>
        </w:rPr>
        <w:t>七、</w:t>
      </w:r>
      <w:r>
        <w:rPr>
          <w:rStyle w:val="27"/>
          <w:rFonts w:hint="eastAsia" w:ascii="黑体" w:hAnsi="黑体" w:eastAsia="黑体"/>
          <w:b w:val="0"/>
          <w:color w:val="auto"/>
          <w:highlight w:val="none"/>
        </w:rPr>
        <w:t>财政拨款</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三公”经费支出决算情况说明</w:t>
      </w:r>
      <w:bookmarkEnd w:id="49"/>
      <w:bookmarkEnd w:id="50"/>
      <w:bookmarkEnd w:id="51"/>
    </w:p>
    <w:p w14:paraId="0D7DFE47">
      <w:pPr>
        <w:suppressAutoHyphens/>
        <w:bidi w:val="0"/>
        <w:spacing w:line="600" w:lineRule="exact"/>
        <w:ind w:firstLine="640"/>
        <w:outlineLvl w:val="2"/>
        <w:rPr>
          <w:rFonts w:hint="eastAsia" w:ascii="仿宋_GB2312" w:hAnsi="仿宋_GB2312" w:eastAsia="仿宋_GB2312" w:cs="仿宋_GB2312"/>
          <w:b/>
          <w:color w:val="auto"/>
          <w:sz w:val="32"/>
          <w:szCs w:val="32"/>
          <w:highlight w:val="none"/>
        </w:rPr>
      </w:pPr>
      <w:bookmarkStart w:id="52" w:name="_Toc15377216"/>
      <w:bookmarkStart w:id="53" w:name="_Toc16719"/>
      <w:r>
        <w:rPr>
          <w:rFonts w:hint="eastAsia" w:ascii="仿宋_GB2312" w:hAnsi="仿宋_GB2312" w:eastAsia="仿宋_GB2312" w:cs="仿宋_GB2312"/>
          <w:b/>
          <w:color w:val="auto"/>
          <w:sz w:val="32"/>
          <w:szCs w:val="32"/>
          <w:highlight w:val="none"/>
        </w:rPr>
        <w:t>（一）“三公”经费财政拨款支出决算总体情况说明</w:t>
      </w:r>
      <w:bookmarkEnd w:id="52"/>
      <w:bookmarkEnd w:id="53"/>
    </w:p>
    <w:p w14:paraId="01FF1B92">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“三公”经费财政拨款支出决算为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较上年增加</w:t>
      </w:r>
      <w:r>
        <w:rPr>
          <w:rFonts w:hint="eastAsia" w:ascii="仿宋_GB2312" w:hAnsi="仿宋_GB2312" w:eastAsia="仿宋_GB2312" w:cs="仿宋_GB2312"/>
          <w:color w:val="auto"/>
          <w:sz w:val="32"/>
          <w:szCs w:val="32"/>
          <w:highlight w:val="none"/>
          <w:lang w:val="en-US" w:eastAsia="zh-CN"/>
        </w:rPr>
        <w:t>/减少0万元，增长/下降0%</w:t>
      </w:r>
      <w:r>
        <w:rPr>
          <w:rFonts w:hint="eastAsia" w:ascii="仿宋_GB2312" w:hAnsi="仿宋_GB2312" w:eastAsia="仿宋_GB2312" w:cs="仿宋_GB2312"/>
          <w:color w:val="auto"/>
          <w:sz w:val="32"/>
          <w:szCs w:val="32"/>
          <w:highlight w:val="none"/>
        </w:rPr>
        <w:t>。</w:t>
      </w:r>
    </w:p>
    <w:p w14:paraId="616545BA">
      <w:pPr>
        <w:suppressAutoHyphens/>
        <w:bidi w:val="0"/>
        <w:spacing w:line="600" w:lineRule="exact"/>
        <w:ind w:firstLine="640"/>
        <w:outlineLvl w:val="2"/>
        <w:rPr>
          <w:rFonts w:hint="eastAsia" w:ascii="仿宋_GB2312" w:hAnsi="仿宋_GB2312" w:eastAsia="仿宋_GB2312" w:cs="仿宋_GB2312"/>
          <w:b/>
          <w:color w:val="auto"/>
          <w:sz w:val="32"/>
          <w:szCs w:val="32"/>
          <w:highlight w:val="none"/>
        </w:rPr>
      </w:pPr>
      <w:bookmarkStart w:id="54" w:name="_Toc951"/>
      <w:bookmarkStart w:id="55" w:name="_Toc15377217"/>
      <w:r>
        <w:rPr>
          <w:rFonts w:hint="eastAsia" w:ascii="仿宋_GB2312" w:hAnsi="仿宋_GB2312" w:eastAsia="仿宋_GB2312" w:cs="仿宋_GB2312"/>
          <w:b/>
          <w:color w:val="auto"/>
          <w:sz w:val="32"/>
          <w:szCs w:val="32"/>
          <w:highlight w:val="none"/>
        </w:rPr>
        <w:t>（二）“三公”经费财政拨款支出决算具体情况说明</w:t>
      </w:r>
      <w:bookmarkEnd w:id="54"/>
      <w:bookmarkEnd w:id="55"/>
    </w:p>
    <w:p w14:paraId="50693502">
      <w:pPr>
        <w:suppressAutoHyphens/>
        <w:bidi w:val="0"/>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24年度</w:t>
      </w:r>
      <w:r>
        <w:rPr>
          <w:rFonts w:hint="eastAsia" w:ascii="仿宋_GB2312" w:hAnsi="仿宋_GB2312" w:eastAsia="仿宋_GB2312" w:cs="仿宋_GB2312"/>
          <w:color w:val="auto"/>
          <w:sz w:val="32"/>
          <w:szCs w:val="32"/>
          <w:highlight w:val="none"/>
        </w:rPr>
        <w:t>“三公”经费财政拨款支出决算中，因公出国（境）费支出决算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%。具体情况如下：</w:t>
      </w:r>
    </w:p>
    <w:p w14:paraId="61E590B6">
      <w:pPr>
        <w:numPr>
          <w:ilvl w:val="0"/>
          <w:numId w:val="0"/>
        </w:numPr>
        <w:spacing w:line="60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1.</w:t>
      </w:r>
      <w:r>
        <w:rPr>
          <w:rFonts w:hint="eastAsia" w:ascii="仿宋_GB2312" w:hAnsi="仿宋_GB2312" w:eastAsia="仿宋_GB2312" w:cs="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w:t>
      </w:r>
      <w:r>
        <w:rPr>
          <w:rFonts w:hint="eastAsia" w:ascii="仿宋_GB2312" w:hAnsi="仿宋_GB2312" w:eastAsia="仿宋_GB2312" w:cs="仿宋_GB2312"/>
          <w:color w:val="auto"/>
          <w:sz w:val="32"/>
          <w:szCs w:val="32"/>
          <w:highlight w:val="none"/>
        </w:rPr>
        <w:t>因公出国（境）支出决算</w:t>
      </w:r>
      <w:r>
        <w:rPr>
          <w:rFonts w:hint="eastAsia" w:ascii="仿宋_GB2312" w:hAnsi="仿宋_GB2312" w:eastAsia="仿宋_GB2312" w:cs="仿宋_GB2312"/>
          <w:color w:val="auto"/>
          <w:sz w:val="32"/>
          <w:szCs w:val="32"/>
          <w:highlight w:val="none"/>
          <w:lang w:val="en-US" w:eastAsia="zh-CN"/>
        </w:rPr>
        <w:t>较2023年无变化。</w:t>
      </w:r>
    </w:p>
    <w:p w14:paraId="1297C216">
      <w:pPr>
        <w:numPr>
          <w:ilvl w:val="0"/>
          <w:numId w:val="0"/>
        </w:num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年初未安排预算。公务用车购置及运行维护费</w:t>
      </w:r>
      <w:r>
        <w:rPr>
          <w:rFonts w:hint="eastAsia" w:ascii="仿宋_GB2312" w:hAnsi="仿宋_GB2312" w:eastAsia="仿宋_GB2312" w:cs="仿宋_GB2312"/>
          <w:color w:val="auto"/>
          <w:sz w:val="32"/>
          <w:szCs w:val="32"/>
          <w:highlight w:val="none"/>
        </w:rPr>
        <w:t>支出决算</w:t>
      </w:r>
      <w:r>
        <w:rPr>
          <w:rFonts w:hint="eastAsia" w:ascii="仿宋_GB2312" w:hAnsi="仿宋_GB2312" w:eastAsia="仿宋_GB2312" w:cs="仿宋_GB2312"/>
          <w:color w:val="auto"/>
          <w:sz w:val="32"/>
          <w:szCs w:val="32"/>
          <w:highlight w:val="none"/>
          <w:lang w:val="en-US" w:eastAsia="zh-CN"/>
        </w:rPr>
        <w:t>较2023年无变化。</w:t>
      </w:r>
    </w:p>
    <w:p w14:paraId="5D1151B1">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其中：公务用车购置支出</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万元。全年按规定更新购置公务用车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辆，其中：轿车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辆、金额</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万元，越野车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辆、金额</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万元，载客汽车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辆、金额</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万元。截至20</w:t>
      </w:r>
      <w:r>
        <w:rPr>
          <w:rFonts w:hint="eastAsia" w:ascii="仿宋_GB2312" w:hAnsi="仿宋_GB2312" w:eastAsia="仿宋_GB2312" w:cs="仿宋_GB2312"/>
          <w:b/>
          <w:color w:val="auto"/>
          <w:sz w:val="32"/>
          <w:szCs w:val="32"/>
          <w:highlight w:val="none"/>
          <w:lang w:val="en-US" w:eastAsia="zh-CN"/>
        </w:rPr>
        <w:t>23</w:t>
      </w:r>
      <w:r>
        <w:rPr>
          <w:rFonts w:hint="eastAsia" w:ascii="仿宋_GB2312" w:hAnsi="仿宋_GB2312" w:eastAsia="仿宋_GB2312" w:cs="仿宋_GB2312"/>
          <w:b/>
          <w:color w:val="auto"/>
          <w:sz w:val="32"/>
          <w:szCs w:val="32"/>
          <w:highlight w:val="none"/>
        </w:rPr>
        <w:t>年12月底，单位共有公务用车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辆，其中：轿车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辆、越野车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辆、载客汽车</w:t>
      </w:r>
      <w:r>
        <w:rPr>
          <w:rFonts w:hint="eastAsia" w:ascii="仿宋_GB2312" w:hAnsi="仿宋_GB2312" w:eastAsia="仿宋_GB2312" w:cs="仿宋_GB2312"/>
          <w:b/>
          <w:color w:val="auto"/>
          <w:sz w:val="32"/>
          <w:szCs w:val="32"/>
          <w:highlight w:val="none"/>
          <w:lang w:val="en-US" w:eastAsia="zh-CN"/>
        </w:rPr>
        <w:t>0</w:t>
      </w:r>
      <w:r>
        <w:rPr>
          <w:rFonts w:hint="eastAsia" w:ascii="仿宋_GB2312" w:hAnsi="仿宋_GB2312" w:eastAsia="仿宋_GB2312" w:cs="仿宋_GB2312"/>
          <w:b/>
          <w:color w:val="auto"/>
          <w:sz w:val="32"/>
          <w:szCs w:val="32"/>
          <w:highlight w:val="none"/>
        </w:rPr>
        <w:t>辆。</w:t>
      </w:r>
    </w:p>
    <w:p w14:paraId="54C28772">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6AFBD212">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eastAsia="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较2023年无变化。</w:t>
      </w:r>
      <w:r>
        <w:rPr>
          <w:rFonts w:hint="eastAsia" w:ascii="仿宋_GB2312" w:hAnsi="仿宋_GB2312" w:eastAsia="仿宋_GB2312" w:cs="仿宋_GB2312"/>
          <w:color w:val="auto"/>
          <w:sz w:val="32"/>
          <w:szCs w:val="32"/>
          <w:highlight w:val="none"/>
        </w:rPr>
        <w:t>其中：</w:t>
      </w:r>
    </w:p>
    <w:p w14:paraId="644768EF">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万元。国内公务接待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2EE42533">
      <w:pPr>
        <w:spacing w:line="60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外事接待</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次（不包括陪同人员）</w:t>
      </w:r>
      <w:r>
        <w:rPr>
          <w:rFonts w:hint="eastAsia" w:ascii="仿宋_GB2312" w:hAnsi="仿宋_GB2312" w:eastAsia="仿宋_GB2312" w:cs="仿宋_GB2312"/>
          <w:color w:val="auto"/>
          <w:sz w:val="32"/>
          <w:szCs w:val="32"/>
          <w:highlight w:val="none"/>
        </w:rPr>
        <w:t>，共计支出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bookmarkStart w:id="56" w:name="_Toc15377218"/>
      <w:bookmarkStart w:id="57" w:name="_Toc15396610"/>
    </w:p>
    <w:p w14:paraId="0B469941">
      <w:pPr>
        <w:keepNext w:val="0"/>
        <w:keepLines w:val="0"/>
        <w:pageBreakBefore w:val="0"/>
        <w:widowControl w:val="0"/>
        <w:kinsoku/>
        <w:wordWrap/>
        <w:overflowPunct/>
        <w:topLinePunct w:val="0"/>
        <w:autoSpaceDE/>
        <w:autoSpaceDN/>
        <w:bidi w:val="0"/>
        <w:adjustRightInd/>
        <w:snapToGrid/>
        <w:spacing w:line="600" w:lineRule="exact"/>
        <w:ind w:firstLine="641"/>
        <w:textAlignment w:val="auto"/>
        <w:outlineLvl w:val="1"/>
        <w:rPr>
          <w:rStyle w:val="27"/>
          <w:rFonts w:ascii="黑体" w:hAnsi="黑体" w:eastAsia="黑体"/>
          <w:color w:val="auto"/>
          <w:highlight w:val="none"/>
        </w:rPr>
      </w:pPr>
      <w:bookmarkStart w:id="58" w:name="_Toc12944"/>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56"/>
      <w:bookmarkEnd w:id="57"/>
      <w:bookmarkEnd w:id="58"/>
    </w:p>
    <w:p w14:paraId="0A03CD91">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年政府性基金预算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14:paraId="52D90798">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1"/>
        <w:textAlignment w:val="auto"/>
        <w:outlineLvl w:val="1"/>
        <w:rPr>
          <w:rStyle w:val="27"/>
          <w:rFonts w:ascii="黑体" w:hAnsi="黑体" w:eastAsia="黑体"/>
          <w:b w:val="0"/>
          <w:color w:val="auto"/>
          <w:highlight w:val="none"/>
        </w:rPr>
      </w:pPr>
      <w:bookmarkStart w:id="59" w:name="_Toc15377219"/>
      <w:bookmarkStart w:id="60" w:name="_Toc15396611"/>
      <w:bookmarkStart w:id="61" w:name="_Toc22402"/>
      <w:r>
        <w:rPr>
          <w:rStyle w:val="27"/>
          <w:rFonts w:hint="eastAsia" w:ascii="黑体" w:hAnsi="黑体" w:eastAsia="黑体"/>
          <w:b w:val="0"/>
          <w:color w:val="auto"/>
          <w:highlight w:val="none"/>
        </w:rPr>
        <w:t>国有资本经营预算支出决算情况说明</w:t>
      </w:r>
      <w:bookmarkEnd w:id="59"/>
      <w:bookmarkEnd w:id="60"/>
      <w:bookmarkEnd w:id="61"/>
    </w:p>
    <w:p w14:paraId="2F389A7B">
      <w:pPr>
        <w:spacing w:line="600" w:lineRule="exact"/>
        <w:ind w:firstLine="64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lang w:eastAsia="zh-CN"/>
        </w:rPr>
        <w:t>年国有资本经营预算财政拨款支出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万元。</w:t>
      </w:r>
    </w:p>
    <w:p w14:paraId="52CBADCA">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1"/>
        <w:textAlignment w:val="auto"/>
        <w:outlineLvl w:val="1"/>
        <w:rPr>
          <w:rStyle w:val="27"/>
          <w:rFonts w:hint="eastAsia" w:ascii="黑体" w:hAnsi="黑体" w:eastAsia="黑体"/>
          <w:b w:val="0"/>
          <w:color w:val="auto"/>
          <w:highlight w:val="none"/>
        </w:rPr>
      </w:pPr>
      <w:bookmarkStart w:id="62" w:name="_Toc15396612"/>
      <w:bookmarkStart w:id="63" w:name="_Toc15377221"/>
      <w:bookmarkStart w:id="64" w:name="_Toc22823"/>
      <w:r>
        <w:rPr>
          <w:rStyle w:val="27"/>
          <w:rFonts w:hint="eastAsia" w:ascii="黑体" w:hAnsi="黑体" w:eastAsia="黑体"/>
          <w:b w:val="0"/>
          <w:color w:val="auto"/>
          <w:highlight w:val="none"/>
        </w:rPr>
        <w:t>其他重要事项的情况说明</w:t>
      </w:r>
      <w:bookmarkEnd w:id="62"/>
      <w:bookmarkEnd w:id="63"/>
      <w:bookmarkEnd w:id="64"/>
    </w:p>
    <w:p w14:paraId="1D08A6E0">
      <w:pPr>
        <w:spacing w:line="600" w:lineRule="exact"/>
        <w:ind w:firstLine="643" w:firstLineChars="200"/>
        <w:outlineLvl w:val="2"/>
        <w:rPr>
          <w:rFonts w:ascii="仿宋" w:hAnsi="仿宋" w:eastAsia="仿宋"/>
          <w:color w:val="auto"/>
          <w:sz w:val="32"/>
          <w:szCs w:val="32"/>
          <w:highlight w:val="none"/>
        </w:rPr>
      </w:pPr>
      <w:bookmarkStart w:id="65" w:name="_Toc15377222"/>
      <w:bookmarkStart w:id="66" w:name="_Toc13305"/>
      <w:r>
        <w:rPr>
          <w:rFonts w:hint="eastAsia" w:ascii="仿宋" w:hAnsi="仿宋" w:eastAsia="仿宋"/>
          <w:b/>
          <w:color w:val="auto"/>
          <w:sz w:val="32"/>
          <w:szCs w:val="32"/>
          <w:highlight w:val="none"/>
        </w:rPr>
        <w:t>（一）机关运行经费支出情况</w:t>
      </w:r>
      <w:bookmarkEnd w:id="65"/>
      <w:bookmarkEnd w:id="66"/>
    </w:p>
    <w:p w14:paraId="3948932D">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24年度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万元，与</w:t>
      </w:r>
      <w:r>
        <w:rPr>
          <w:rFonts w:hint="eastAsia" w:ascii="仿宋_GB2312" w:eastAsia="仿宋_GB2312"/>
          <w:color w:val="auto"/>
          <w:sz w:val="32"/>
          <w:szCs w:val="32"/>
          <w:highlight w:val="none"/>
          <w:lang w:val="en-US" w:eastAsia="zh-CN"/>
        </w:rPr>
        <w:t>2023年度</w:t>
      </w:r>
      <w:r>
        <w:rPr>
          <w:rFonts w:hint="eastAsia" w:ascii="仿宋_GB2312" w:eastAsia="仿宋_GB2312"/>
          <w:color w:val="auto"/>
          <w:sz w:val="32"/>
          <w:szCs w:val="32"/>
          <w:highlight w:val="none"/>
        </w:rPr>
        <w:t>决算数持平。</w:t>
      </w:r>
    </w:p>
    <w:p w14:paraId="6039C470">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7" w:name="_Toc12466"/>
      <w:bookmarkStart w:id="68" w:name="_Toc15377223"/>
      <w:r>
        <w:rPr>
          <w:rFonts w:hint="eastAsia" w:ascii="仿宋" w:hAnsi="仿宋" w:eastAsia="仿宋"/>
          <w:b/>
          <w:color w:val="auto"/>
          <w:sz w:val="32"/>
          <w:szCs w:val="32"/>
          <w:highlight w:val="none"/>
        </w:rPr>
        <w:t>（二）政府采购支出情况</w:t>
      </w:r>
      <w:bookmarkEnd w:id="67"/>
      <w:bookmarkEnd w:id="68"/>
    </w:p>
    <w:p w14:paraId="7681C4F3">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24年度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7F8712B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69" w:name="_Toc15377224"/>
      <w:bookmarkStart w:id="70" w:name="_Toc19881"/>
      <w:r>
        <w:rPr>
          <w:rFonts w:hint="eastAsia" w:ascii="仿宋" w:hAnsi="仿宋" w:eastAsia="仿宋"/>
          <w:b/>
          <w:color w:val="auto"/>
          <w:sz w:val="32"/>
          <w:szCs w:val="32"/>
          <w:highlight w:val="none"/>
        </w:rPr>
        <w:t>（三）国有资产占有使用情况</w:t>
      </w:r>
      <w:bookmarkEnd w:id="69"/>
      <w:bookmarkEnd w:id="70"/>
    </w:p>
    <w:p w14:paraId="5494DC87">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本单位</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004A44E9">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bookmarkStart w:id="71" w:name="_Toc19788"/>
      <w:r>
        <w:rPr>
          <w:rFonts w:hint="eastAsia" w:ascii="仿宋" w:hAnsi="仿宋" w:eastAsia="仿宋"/>
          <w:b/>
          <w:color w:val="auto"/>
          <w:sz w:val="32"/>
          <w:szCs w:val="32"/>
          <w:highlight w:val="none"/>
        </w:rPr>
        <w:t>（四）预算绩效管理情况</w:t>
      </w:r>
      <w:bookmarkEnd w:id="71"/>
    </w:p>
    <w:p w14:paraId="0C49A973">
      <w:pPr>
        <w:pStyle w:val="2"/>
        <w:ind w:firstLine="640" w:firstLineChars="200"/>
        <w:rPr>
          <w:color w:val="auto"/>
          <w:highlight w:val="yellow"/>
        </w:rPr>
      </w:pPr>
      <w:r>
        <w:rPr>
          <w:rFonts w:hint="eastAsia" w:ascii="仿宋_GB2312" w:hAnsi="仿宋_GB2312" w:eastAsia="仿宋_GB2312" w:cs="仿宋_GB2312"/>
          <w:color w:val="auto"/>
          <w:sz w:val="32"/>
          <w:szCs w:val="32"/>
          <w:highlight w:val="none"/>
        </w:rPr>
        <w:t>根据预算绩效管理要求，本单位在2023年度预算编制阶段，组织家庭经济困难学生生活补助等5个项目开展了预算事前绩效评估，对23个项目编制了绩效目标，预算执行过程中，选取23个项目开展绩效监控，年终执行完毕后，对23个项目开展了绩效自评，202</w:t>
      </w:r>
      <w:r>
        <w:rPr>
          <w:rFonts w:hint="eastAsia"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年特定目标类部门预算项目绩效目标自评表见附件（第四部分）。</w:t>
      </w:r>
    </w:p>
    <w:p w14:paraId="000B0CC4">
      <w:pPr>
        <w:widowControl/>
        <w:jc w:val="left"/>
        <w:rPr>
          <w:rFonts w:ascii="仿宋_GB2312" w:eastAsia="仿宋_GB2312"/>
          <w:b/>
          <w:color w:val="auto"/>
          <w:sz w:val="32"/>
          <w:szCs w:val="32"/>
          <w:highlight w:val="yellow"/>
        </w:rPr>
      </w:pPr>
      <w:r>
        <w:rPr>
          <w:rFonts w:ascii="仿宋_GB2312" w:eastAsia="仿宋_GB2312"/>
          <w:b/>
          <w:color w:val="auto"/>
          <w:sz w:val="32"/>
          <w:szCs w:val="32"/>
          <w:highlight w:val="yellow"/>
        </w:rPr>
        <w:br w:type="page"/>
      </w:r>
    </w:p>
    <w:p w14:paraId="2838DA40">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60" w:firstLineChars="150"/>
        <w:jc w:val="center"/>
        <w:textAlignment w:val="auto"/>
        <w:outlineLvl w:val="0"/>
        <w:rPr>
          <w:rStyle w:val="26"/>
          <w:rFonts w:ascii="黑体" w:hAnsi="黑体" w:eastAsia="黑体"/>
          <w:b w:val="0"/>
          <w:color w:val="auto"/>
          <w:highlight w:val="none"/>
        </w:rPr>
      </w:pPr>
      <w:bookmarkStart w:id="72" w:name="_Toc15377225"/>
      <w:bookmarkStart w:id="73" w:name="_Toc6197"/>
      <w:bookmarkStart w:id="74" w:name="_Toc15396613"/>
      <w:bookmarkStart w:id="75" w:name="_Toc23296"/>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72"/>
      <w:bookmarkEnd w:id="73"/>
      <w:bookmarkEnd w:id="74"/>
      <w:bookmarkEnd w:id="75"/>
    </w:p>
    <w:p w14:paraId="59DB753F">
      <w:pPr>
        <w:spacing w:line="600" w:lineRule="exact"/>
        <w:jc w:val="left"/>
        <w:rPr>
          <w:rFonts w:ascii="宋体"/>
          <w:b/>
          <w:color w:val="auto"/>
          <w:sz w:val="44"/>
          <w:szCs w:val="44"/>
          <w:highlight w:val="none"/>
        </w:rPr>
      </w:pPr>
    </w:p>
    <w:p w14:paraId="179C00FD">
      <w:pPr>
        <w:pStyle w:val="24"/>
        <w:snapToGrid w:val="0"/>
        <w:spacing w:line="520" w:lineRule="exact"/>
        <w:ind w:firstLine="640" w:firstLineChars="200"/>
        <w:outlineLvl w:val="1"/>
        <w:rPr>
          <w:rFonts w:ascii="仿宋_GB2312" w:eastAsia="仿宋_GB2312"/>
          <w:color w:val="auto"/>
          <w:sz w:val="32"/>
          <w:szCs w:val="32"/>
        </w:rPr>
      </w:pPr>
      <w:bookmarkStart w:id="76" w:name="_Toc7036"/>
      <w:bookmarkStart w:id="77" w:name="_Toc15377226"/>
      <w:r>
        <w:rPr>
          <w:rFonts w:hint="eastAsia" w:ascii="仿宋_GB2312" w:eastAsia="仿宋_GB2312"/>
          <w:color w:val="auto"/>
          <w:sz w:val="32"/>
          <w:szCs w:val="32"/>
        </w:rPr>
        <w:t>1.财政拨款收入：指单位从同级财政部门取得的财政预算资金。</w:t>
      </w:r>
      <w:bookmarkEnd w:id="76"/>
    </w:p>
    <w:p w14:paraId="6189DC6B">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2.事业收入：指事业单位开展专业业务活动及辅助活动取得的收入。</w:t>
      </w:r>
    </w:p>
    <w:p w14:paraId="68B43F7F">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3.经营收入：指事业单位在专业业务活动及其辅助活动之外开展非独立核算经营活动取得的收入。。</w:t>
      </w:r>
    </w:p>
    <w:p w14:paraId="5824AE0D">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4.其他收入：指单位取得的除上述收入以外的各项收入。主要是学前教育保育教育费收入、银行存款利息收入等。 </w:t>
      </w:r>
    </w:p>
    <w:p w14:paraId="550EDEF7">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01588976">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6.年初结转和结余：指以前年度尚未完成、结转到本年按有关规定继续使用的资金。 </w:t>
      </w:r>
    </w:p>
    <w:p w14:paraId="5BE23998">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7.结余分配：指事业单位按照事业单位会计制度的规定从非财政补助结余中分配的事业基金和职工福利基金等。</w:t>
      </w:r>
    </w:p>
    <w:p w14:paraId="53D2FB75">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8.年末结转和结余：指单位按有关规定结转到下年或以后年度继续使用的资金。</w:t>
      </w:r>
    </w:p>
    <w:p w14:paraId="57C164F5">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9.教育支出（类）教育管理事务（款）行政运行（项）:反映教育行政单位（包括实行公务员管理的事业单位）的基本支出</w:t>
      </w:r>
    </w:p>
    <w:p w14:paraId="588A50FB">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 教育支出（类）教育管理事务（款）一般行政管理事务（项）:反映行政单位（包括实行公务员管理的事业单位）未单独设置项级科目的其它项目支出。</w:t>
      </w:r>
    </w:p>
    <w:p w14:paraId="4FAB3B20">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 教育支出（类）教育管理事务（款）其它教育管理事务支出（项）:反映除上述项目以外其它用户教育管理事务方面的支出。</w:t>
      </w:r>
    </w:p>
    <w:p w14:paraId="76601EB0">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 教育支出（类）普通教育（款）学前教育（项）:反映各部门举办的学前教育支出。</w:t>
      </w:r>
    </w:p>
    <w:p w14:paraId="2B728F82">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13. 教育支出（类）普通教育（款）小学教育（项）:反映各部门举办的小学教育支出。政府各部门对社会中介组织等举办的小学的资助，如各类捐赠、补贴等，也在本科目中反映。</w:t>
      </w:r>
    </w:p>
    <w:p w14:paraId="4574E68A">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 教育支出（类）教育附加费安排的支出（款）农村中小学校舍建设（项）:反映教育附加费安排用于农村中小学校舍新建、改建、修缮和维护的支出。</w:t>
      </w:r>
    </w:p>
    <w:p w14:paraId="3084B4E0">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 教育支出（类）教育附加费安排的支出（款）城市中小学校舍建设（项）: 反映教育附加费安排用于城市中小学校舍新建、改建、修缮和维护的支出。</w:t>
      </w:r>
    </w:p>
    <w:p w14:paraId="6A6D6E52">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 教育支出（类）教育附加费安排的支出（款）其它教育附加费安排的支出（项）: 指除上述项目以外的教育附加费支出。</w:t>
      </w:r>
    </w:p>
    <w:p w14:paraId="0F471002">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 社会保障和就业支出（类）行政事业单位离退休（款）机关事业单位基本养老保险缴费支出（项）: 指机关事业单位实施养老保险制度由单位缴纳的基本养老保险费支出。</w:t>
      </w:r>
    </w:p>
    <w:p w14:paraId="34F4D49C">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 社会保障和就业支出（类）行政事业单位离退休（款）机关事业单位职业年金缴费支出（项）: 指机关事业单位实施养老保险制度由单位实际缴纳的职业年金支出。</w:t>
      </w:r>
    </w:p>
    <w:p w14:paraId="1C9896B1">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 社会保障和就业支出（类）抚恤（款）死亡抚恤（项）: 指按规定用于烈士和牺牲、病故人员家属的一次性和定期抚恤金以及丧葬补助费。</w:t>
      </w:r>
    </w:p>
    <w:p w14:paraId="780221ED">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 住房保障支出（类）住房改革支出（款）住房公积金（项）: 指行政事业单位按人力资源和社会保障部、财政部规定的基本工资和津贴补贴以及规定比例为职工缴纳的住房公积金。</w:t>
      </w:r>
    </w:p>
    <w:p w14:paraId="73C634E4">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21</w:t>
      </w:r>
      <w:r>
        <w:rPr>
          <w:rFonts w:hint="eastAsia" w:ascii="仿宋_GB2312" w:eastAsia="仿宋_GB2312"/>
          <w:color w:val="auto"/>
          <w:sz w:val="32"/>
          <w:szCs w:val="32"/>
        </w:rPr>
        <w:t>. 其他支出（类）其他支出（款）其他支出（项）: 指上述项目以外其他不能划分到具体功能科目中的支出项目。</w:t>
      </w:r>
    </w:p>
    <w:p w14:paraId="2BB69DBF">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.基本支出：指为保障机构正常运转、完成日常工作任务而发生的人员支出和公用支出。</w:t>
      </w:r>
    </w:p>
    <w:p w14:paraId="5DC06CB7">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23</w:t>
      </w:r>
      <w:r>
        <w:rPr>
          <w:rFonts w:hint="eastAsia" w:ascii="仿宋_GB2312" w:eastAsia="仿宋_GB2312"/>
          <w:color w:val="auto"/>
          <w:sz w:val="32"/>
          <w:szCs w:val="32"/>
        </w:rPr>
        <w:t xml:space="preserve">.项目支出：指在基本支出之外为完成特定行政任务和事业发展目标所发生的支出。 </w:t>
      </w:r>
    </w:p>
    <w:p w14:paraId="5E77A231">
      <w:pPr>
        <w:pStyle w:val="24"/>
        <w:snapToGrid w:val="0"/>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24</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78C1E3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Style w:val="26"/>
          <w:rFonts w:hint="eastAsia" w:ascii="黑体" w:hAnsi="黑体" w:eastAsia="黑体"/>
          <w:b w:val="0"/>
          <w:color w:val="auto"/>
          <w:highlight w:val="none"/>
        </w:rPr>
      </w:pPr>
      <w:r>
        <w:rPr>
          <w:rFonts w:ascii="宋体"/>
          <w:b/>
          <w:color w:val="auto"/>
          <w:sz w:val="44"/>
          <w:szCs w:val="44"/>
          <w:highlight w:val="none"/>
        </w:rPr>
        <w:br w:type="page"/>
      </w:r>
      <w:bookmarkStart w:id="78" w:name="_Toc12015"/>
      <w:bookmarkStart w:id="79" w:name="_Toc24485"/>
      <w:bookmarkStart w:id="80"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78"/>
      <w:bookmarkEnd w:id="79"/>
      <w:bookmarkEnd w:id="80"/>
    </w:p>
    <w:p w14:paraId="32C5571C">
      <w:pPr>
        <w:pStyle w:val="2"/>
        <w:rPr>
          <w:rFonts w:hint="eastAsia"/>
          <w:color w:val="auto"/>
        </w:rPr>
      </w:pPr>
    </w:p>
    <w:p w14:paraId="64371AB7">
      <w:pPr>
        <w:spacing w:line="600" w:lineRule="exact"/>
        <w:ind w:firstLine="640" w:firstLineChars="200"/>
        <w:jc w:val="left"/>
        <w:outlineLvl w:val="1"/>
        <w:rPr>
          <w:rFonts w:hint="eastAsia" w:ascii="宋体" w:hAnsi="宋体" w:eastAsia="宋体" w:cs="宋体"/>
          <w:color w:val="auto"/>
          <w:kern w:val="0"/>
          <w:sz w:val="32"/>
          <w:szCs w:val="32"/>
          <w:highlight w:val="none"/>
          <w:lang w:val="en-US" w:eastAsia="zh-CN" w:bidi="ar-SA"/>
        </w:rPr>
      </w:pPr>
      <w:bookmarkStart w:id="81" w:name="_Toc212"/>
      <w:r>
        <w:rPr>
          <w:rFonts w:hint="eastAsia" w:ascii="宋体" w:hAnsi="宋体" w:eastAsia="宋体" w:cs="宋体"/>
          <w:color w:val="auto"/>
          <w:kern w:val="0"/>
          <w:sz w:val="32"/>
          <w:szCs w:val="32"/>
          <w:highlight w:val="none"/>
          <w:lang w:val="en-US" w:eastAsia="zh-CN" w:bidi="ar-SA"/>
        </w:rPr>
        <w:t>附件：广元市利州区</w:t>
      </w:r>
      <w:r>
        <w:rPr>
          <w:rFonts w:hint="eastAsia" w:ascii="宋体" w:hAnsi="宋体" w:cs="宋体"/>
          <w:color w:val="auto"/>
          <w:kern w:val="0"/>
          <w:sz w:val="32"/>
          <w:szCs w:val="32"/>
          <w:highlight w:val="none"/>
          <w:lang w:val="en-US" w:eastAsia="zh-CN" w:bidi="ar-SA"/>
        </w:rPr>
        <w:t>栖凤小学</w:t>
      </w:r>
      <w:r>
        <w:rPr>
          <w:rFonts w:hint="eastAsia" w:ascii="宋体" w:hAnsi="宋体" w:eastAsia="宋体" w:cs="宋体"/>
          <w:color w:val="auto"/>
          <w:kern w:val="0"/>
          <w:sz w:val="32"/>
          <w:szCs w:val="32"/>
          <w:highlight w:val="none"/>
          <w:lang w:val="en-US" w:eastAsia="zh-CN" w:bidi="ar-SA"/>
        </w:rPr>
        <w:t>2024年度部门预算项目支出绩效自评表</w:t>
      </w:r>
      <w:bookmarkEnd w:id="81"/>
    </w:p>
    <w:p w14:paraId="32E4D3CF">
      <w:pPr>
        <w:spacing w:line="600" w:lineRule="exact"/>
        <w:jc w:val="left"/>
        <w:outlineLvl w:val="9"/>
        <w:rPr>
          <w:rFonts w:hint="eastAsia" w:ascii="仿宋_GB2312" w:hAnsi="Calibri" w:eastAsia="仿宋_GB2312" w:cs="仿宋"/>
          <w:color w:val="auto"/>
          <w:kern w:val="0"/>
          <w:sz w:val="32"/>
          <w:szCs w:val="32"/>
          <w:highlight w:val="none"/>
          <w:lang w:val="en-US" w:eastAsia="zh-CN" w:bidi="ar-SA"/>
        </w:rPr>
      </w:pPr>
    </w:p>
    <w:p w14:paraId="7DC6AA8A">
      <w:pPr>
        <w:pStyle w:val="2"/>
        <w:rPr>
          <w:rFonts w:hint="eastAsia"/>
          <w:color w:val="auto"/>
        </w:rPr>
      </w:pPr>
    </w:p>
    <w:p w14:paraId="424B7844">
      <w:pPr>
        <w:pStyle w:val="2"/>
        <w:rPr>
          <w:rFonts w:hint="eastAsia"/>
          <w:color w:val="auto"/>
        </w:rPr>
      </w:pPr>
    </w:p>
    <w:p w14:paraId="00B93C41">
      <w:pPr>
        <w:pStyle w:val="2"/>
        <w:rPr>
          <w:rFonts w:hint="eastAsia"/>
          <w:color w:val="auto"/>
        </w:rPr>
      </w:pPr>
    </w:p>
    <w:p w14:paraId="0DEA6106">
      <w:pPr>
        <w:pStyle w:val="2"/>
        <w:rPr>
          <w:rFonts w:hint="eastAsia"/>
          <w:color w:val="auto"/>
        </w:rPr>
      </w:pPr>
    </w:p>
    <w:p w14:paraId="59A13669">
      <w:pPr>
        <w:pStyle w:val="2"/>
        <w:rPr>
          <w:rFonts w:hint="eastAsia"/>
          <w:color w:val="auto"/>
        </w:rPr>
      </w:pPr>
    </w:p>
    <w:p w14:paraId="03CD4A4D">
      <w:pPr>
        <w:pStyle w:val="2"/>
        <w:rPr>
          <w:rFonts w:hint="eastAsia"/>
          <w:color w:val="auto"/>
        </w:rPr>
      </w:pPr>
    </w:p>
    <w:p w14:paraId="094FEE75">
      <w:pPr>
        <w:pStyle w:val="2"/>
        <w:rPr>
          <w:rFonts w:hint="eastAsia"/>
          <w:color w:val="auto"/>
        </w:rPr>
      </w:pPr>
    </w:p>
    <w:p w14:paraId="0CA342F5">
      <w:pPr>
        <w:pStyle w:val="2"/>
        <w:rPr>
          <w:rFonts w:hint="eastAsia"/>
          <w:color w:val="auto"/>
        </w:rPr>
      </w:pPr>
    </w:p>
    <w:p w14:paraId="76F3F7A6">
      <w:pPr>
        <w:pStyle w:val="2"/>
        <w:rPr>
          <w:rFonts w:hint="eastAsia"/>
          <w:color w:val="auto"/>
        </w:rPr>
      </w:pPr>
    </w:p>
    <w:p w14:paraId="183A9A98">
      <w:pPr>
        <w:pStyle w:val="2"/>
        <w:rPr>
          <w:rFonts w:hint="eastAsia"/>
          <w:color w:val="auto"/>
        </w:rPr>
      </w:pPr>
    </w:p>
    <w:p w14:paraId="3A858E5F">
      <w:pPr>
        <w:pStyle w:val="2"/>
        <w:rPr>
          <w:rFonts w:hint="eastAsia"/>
          <w:color w:val="auto"/>
        </w:rPr>
      </w:pPr>
    </w:p>
    <w:p w14:paraId="32478B00">
      <w:pPr>
        <w:pStyle w:val="2"/>
        <w:rPr>
          <w:rFonts w:hint="eastAsia"/>
          <w:color w:val="auto"/>
        </w:rPr>
      </w:pPr>
    </w:p>
    <w:p w14:paraId="3AA157FD">
      <w:pPr>
        <w:pStyle w:val="2"/>
        <w:rPr>
          <w:rFonts w:hint="eastAsia"/>
          <w:color w:val="auto"/>
        </w:rPr>
      </w:pPr>
    </w:p>
    <w:p w14:paraId="2BACF05A">
      <w:pPr>
        <w:pStyle w:val="2"/>
        <w:rPr>
          <w:rFonts w:hint="eastAsia"/>
          <w:color w:val="auto"/>
        </w:rPr>
      </w:pPr>
    </w:p>
    <w:p w14:paraId="4F6E1C09">
      <w:pPr>
        <w:pStyle w:val="2"/>
        <w:rPr>
          <w:rFonts w:hint="eastAsia"/>
          <w:color w:val="auto"/>
        </w:rPr>
      </w:pPr>
    </w:p>
    <w:p w14:paraId="113B6C05">
      <w:pPr>
        <w:pStyle w:val="2"/>
        <w:rPr>
          <w:rFonts w:hint="eastAsia"/>
          <w:color w:val="auto"/>
        </w:rPr>
      </w:pPr>
    </w:p>
    <w:p w14:paraId="2D6B694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b w:val="0"/>
          <w:color w:val="auto"/>
          <w:highlight w:val="none"/>
        </w:rPr>
      </w:pPr>
      <w:bookmarkStart w:id="82" w:name="_Toc17230"/>
      <w:bookmarkStart w:id="83" w:name="_Toc15396618"/>
      <w:bookmarkStart w:id="84" w:name="_Toc1435"/>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77"/>
      <w:bookmarkEnd w:id="82"/>
      <w:bookmarkEnd w:id="83"/>
      <w:bookmarkEnd w:id="84"/>
      <w:bookmarkStart w:id="85" w:name="_Toc15396619"/>
    </w:p>
    <w:p w14:paraId="73118F6C">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86" w:name="_Toc27221"/>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85"/>
      <w:bookmarkEnd w:id="86"/>
    </w:p>
    <w:p w14:paraId="2828551E">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87" w:name="_Toc31659"/>
      <w:bookmarkStart w:id="88"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87"/>
      <w:bookmarkEnd w:id="88"/>
    </w:p>
    <w:p w14:paraId="1522194C">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89" w:name="_Toc32523"/>
      <w:bookmarkStart w:id="90"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89"/>
      <w:bookmarkEnd w:id="90"/>
    </w:p>
    <w:p w14:paraId="688A3DCD">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b w:val="0"/>
          <w:color w:val="auto"/>
          <w:highlight w:val="none"/>
        </w:rPr>
      </w:pPr>
      <w:bookmarkStart w:id="91" w:name="_Toc11510"/>
      <w:bookmarkStart w:id="92"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91"/>
      <w:bookmarkEnd w:id="92"/>
    </w:p>
    <w:p w14:paraId="48BB7A9A">
      <w:pPr>
        <w:pStyle w:val="4"/>
        <w:keepNext/>
        <w:keepLines/>
        <w:pageBreakBefore w:val="0"/>
        <w:widowControl w:val="0"/>
        <w:kinsoku/>
        <w:wordWrap/>
        <w:overflowPunct/>
        <w:topLinePunct w:val="0"/>
        <w:autoSpaceDE/>
        <w:autoSpaceDN/>
        <w:bidi w:val="0"/>
        <w:adjustRightInd/>
        <w:snapToGrid/>
        <w:spacing w:line="416" w:lineRule="auto"/>
        <w:textAlignment w:val="auto"/>
        <w:rPr>
          <w:rStyle w:val="27"/>
          <w:rFonts w:ascii="仿宋" w:hAnsi="仿宋" w:eastAsia="仿宋"/>
          <w:b w:val="0"/>
          <w:bCs w:val="0"/>
          <w:color w:val="auto"/>
          <w:highlight w:val="none"/>
        </w:rPr>
      </w:pPr>
      <w:bookmarkStart w:id="93" w:name="_Toc8325"/>
      <w:bookmarkStart w:id="94"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93"/>
      <w:bookmarkEnd w:id="94"/>
      <w:bookmarkStart w:id="95" w:name="_Toc15396624"/>
    </w:p>
    <w:p w14:paraId="0D937A3E">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6" w:name="_Toc7574"/>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95"/>
      <w:bookmarkEnd w:id="96"/>
    </w:p>
    <w:p w14:paraId="623D1DED">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7" w:name="_Toc15396625"/>
      <w:bookmarkStart w:id="98" w:name="_Toc28693"/>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97"/>
      <w:bookmarkEnd w:id="98"/>
    </w:p>
    <w:p w14:paraId="370B2E72">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99" w:name="_Toc26803"/>
      <w:bookmarkStart w:id="100"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99"/>
      <w:bookmarkEnd w:id="100"/>
    </w:p>
    <w:p w14:paraId="509A3F8D">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1" w:name="_Toc1784"/>
      <w:bookmarkStart w:id="102"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101"/>
      <w:bookmarkEnd w:id="102"/>
    </w:p>
    <w:p w14:paraId="76F9790F">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3" w:name="_Toc15396628"/>
      <w:bookmarkStart w:id="104" w:name="_Toc19072"/>
      <w:r>
        <w:rPr>
          <w:rStyle w:val="27"/>
          <w:rFonts w:hint="eastAsia" w:ascii="仿宋" w:hAnsi="仿宋" w:eastAsia="仿宋"/>
          <w:b w:val="0"/>
          <w:bCs w:val="0"/>
          <w:color w:val="auto"/>
          <w:highlight w:val="none"/>
        </w:rPr>
        <w:t>十、</w:t>
      </w:r>
      <w:bookmarkEnd w:id="103"/>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104"/>
    </w:p>
    <w:p w14:paraId="35B518FA">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5" w:name="_Toc15396629"/>
      <w:bookmarkStart w:id="106" w:name="_Toc16597"/>
      <w:r>
        <w:rPr>
          <w:rStyle w:val="27"/>
          <w:rFonts w:hint="eastAsia" w:ascii="仿宋" w:hAnsi="仿宋" w:eastAsia="仿宋"/>
          <w:b w:val="0"/>
          <w:bCs w:val="0"/>
          <w:color w:val="auto"/>
          <w:highlight w:val="none"/>
        </w:rPr>
        <w:t>十一、</w:t>
      </w:r>
      <w:bookmarkEnd w:id="105"/>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106"/>
    </w:p>
    <w:p w14:paraId="1650CFA4">
      <w:pPr>
        <w:pStyle w:val="4"/>
        <w:keepNext/>
        <w:keepLines/>
        <w:pageBreakBefore w:val="0"/>
        <w:widowControl w:val="0"/>
        <w:kinsoku/>
        <w:wordWrap/>
        <w:overflowPunct/>
        <w:topLinePunct w:val="0"/>
        <w:autoSpaceDE/>
        <w:autoSpaceDN/>
        <w:bidi w:val="0"/>
        <w:adjustRightInd/>
        <w:snapToGrid/>
        <w:spacing w:line="416" w:lineRule="auto"/>
        <w:textAlignment w:val="auto"/>
        <w:rPr>
          <w:rFonts w:ascii="仿宋" w:hAnsi="仿宋" w:eastAsia="仿宋"/>
          <w:color w:val="auto"/>
          <w:highlight w:val="none"/>
        </w:rPr>
      </w:pPr>
      <w:bookmarkStart w:id="107" w:name="_Toc15396630"/>
      <w:bookmarkStart w:id="108" w:name="_Toc1852"/>
      <w:r>
        <w:rPr>
          <w:rStyle w:val="27"/>
          <w:rFonts w:hint="eastAsia" w:ascii="仿宋" w:hAnsi="仿宋" w:eastAsia="仿宋"/>
          <w:b w:val="0"/>
          <w:bCs w:val="0"/>
          <w:color w:val="auto"/>
          <w:highlight w:val="none"/>
        </w:rPr>
        <w:t>十二、</w:t>
      </w:r>
      <w:bookmarkEnd w:id="107"/>
      <w:r>
        <w:rPr>
          <w:rStyle w:val="27"/>
          <w:rFonts w:hint="eastAsia" w:ascii="仿宋" w:hAnsi="仿宋" w:eastAsia="仿宋"/>
          <w:b w:val="0"/>
          <w:bCs w:val="0"/>
          <w:color w:val="auto"/>
          <w:highlight w:val="none"/>
          <w:lang w:eastAsia="zh-CN"/>
        </w:rPr>
        <w:t>国有资本经营预算财政拨款支出决算表</w:t>
      </w:r>
      <w:bookmarkEnd w:id="108"/>
    </w:p>
    <w:p w14:paraId="49F0B8D6">
      <w:pPr>
        <w:pStyle w:val="4"/>
        <w:keepNext/>
        <w:keepLines/>
        <w:pageBreakBefore w:val="0"/>
        <w:widowControl w:val="0"/>
        <w:kinsoku/>
        <w:wordWrap/>
        <w:overflowPunct/>
        <w:topLinePunct w:val="0"/>
        <w:autoSpaceDE/>
        <w:autoSpaceDN/>
        <w:bidi w:val="0"/>
        <w:adjustRightInd/>
        <w:snapToGrid/>
        <w:spacing w:line="416" w:lineRule="auto"/>
        <w:textAlignment w:val="auto"/>
        <w:rPr>
          <w:rFonts w:hint="eastAsia" w:eastAsia="仿宋"/>
          <w:color w:val="auto"/>
          <w:highlight w:val="none"/>
          <w:lang w:eastAsia="zh-CN"/>
        </w:rPr>
      </w:pPr>
      <w:bookmarkStart w:id="109" w:name="_Toc15396631"/>
      <w:bookmarkStart w:id="110" w:name="_Toc13118"/>
      <w:r>
        <w:rPr>
          <w:rStyle w:val="27"/>
          <w:rFonts w:hint="eastAsia" w:ascii="仿宋" w:hAnsi="仿宋" w:eastAsia="仿宋"/>
          <w:b w:val="0"/>
          <w:bCs w:val="0"/>
          <w:color w:val="auto"/>
          <w:highlight w:val="none"/>
        </w:rPr>
        <w:t>十三、</w:t>
      </w:r>
      <w:bookmarkEnd w:id="109"/>
      <w:r>
        <w:rPr>
          <w:rStyle w:val="27"/>
          <w:rFonts w:hint="eastAsia" w:ascii="仿宋" w:hAnsi="仿宋" w:eastAsia="仿宋"/>
          <w:b w:val="0"/>
          <w:bCs w:val="0"/>
          <w:color w:val="auto"/>
          <w:highlight w:val="none"/>
          <w:lang w:eastAsia="zh-CN"/>
        </w:rPr>
        <w:t>财政拨款“三公”经费支出决算表</w:t>
      </w:r>
      <w:bookmarkEnd w:id="110"/>
    </w:p>
    <w:sectPr>
      <w:footerReference r:id="rId5" w:type="first"/>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B0E2FB-915C-4226-BA80-CAF5BBEF5D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64222BA-8D6C-4BBB-8EBD-6F9DDD0A25B5}"/>
  </w:font>
  <w:font w:name="Cambria">
    <w:panose1 w:val="02040503050406030204"/>
    <w:charset w:val="00"/>
    <w:family w:val="roman"/>
    <w:pitch w:val="default"/>
    <w:sig w:usb0="E00002FF" w:usb1="400004FF" w:usb2="00000000" w:usb3="00000000" w:csb0="2000019F" w:csb1="00000000"/>
    <w:embedRegular r:id="rId3" w:fontKey="{9AFAE58B-C124-45D1-AC86-6499417E4014}"/>
  </w:font>
  <w:font w:name="仿宋_GB2312">
    <w:altName w:val="仿宋"/>
    <w:panose1 w:val="02010609030101010101"/>
    <w:charset w:val="86"/>
    <w:family w:val="modern"/>
    <w:pitch w:val="default"/>
    <w:sig w:usb0="00000000" w:usb1="00000000" w:usb2="00000000" w:usb3="00000000" w:csb0="00040000" w:csb1="00000000"/>
    <w:embedRegular r:id="rId4" w:fontKey="{BF62D26F-28E6-41DE-A9E6-A6B5092EF14E}"/>
  </w:font>
  <w:font w:name="仿宋">
    <w:panose1 w:val="02010609060101010101"/>
    <w:charset w:val="86"/>
    <w:family w:val="modern"/>
    <w:pitch w:val="default"/>
    <w:sig w:usb0="800002BF" w:usb1="38CF7CFA" w:usb2="00000016" w:usb3="00000000" w:csb0="00040001" w:csb1="00000000"/>
    <w:embedRegular r:id="rId5" w:fontKey="{70968C34-FFA9-4C70-96D8-88F127C1875B}"/>
  </w:font>
  <w:font w:name="??">
    <w:altName w:val="Times New Roman"/>
    <w:panose1 w:val="00000000000000000000"/>
    <w:charset w:val="00"/>
    <w:family w:val="roman"/>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embedRegular r:id="rId6" w:fontKey="{61A73228-4D5D-46E0-8132-F77E223177E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9D581">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14:paraId="56EE9FB8">
                              <w:pPr>
                                <w:pStyle w:val="9"/>
                                <w:jc w:val="center"/>
                              </w:pPr>
                              <w:r>
                                <w:fldChar w:fldCharType="begin"/>
                              </w:r>
                              <w:r>
                                <w:instrText xml:space="preserve">PAGE   \* MERGEFORMAT</w:instrText>
                              </w:r>
                              <w:r>
                                <w:fldChar w:fldCharType="separate"/>
                              </w:r>
                              <w:r>
                                <w:rPr>
                                  <w:lang w:val="zh-CN"/>
                                </w:rPr>
                                <w:t>8</w:t>
                              </w:r>
                              <w:r>
                                <w:fldChar w:fldCharType="end"/>
                              </w:r>
                            </w:p>
                          </w:sdtContent>
                        </w:sdt>
                        <w:p w14:paraId="6E7F8559">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14:paraId="56EE9FB8">
                        <w:pPr>
                          <w:pStyle w:val="9"/>
                          <w:jc w:val="center"/>
                        </w:pPr>
                        <w:r>
                          <w:fldChar w:fldCharType="begin"/>
                        </w:r>
                        <w:r>
                          <w:instrText xml:space="preserve">PAGE   \* MERGEFORMAT</w:instrText>
                        </w:r>
                        <w:r>
                          <w:fldChar w:fldCharType="separate"/>
                        </w:r>
                        <w:r>
                          <w:rPr>
                            <w:lang w:val="zh-CN"/>
                          </w:rPr>
                          <w:t>8</w:t>
                        </w:r>
                        <w:r>
                          <w:fldChar w:fldCharType="end"/>
                        </w:r>
                      </w:p>
                    </w:sdtContent>
                  </w:sdt>
                  <w:p w14:paraId="6E7F8559">
                    <w:pPr>
                      <w:pStyle w:val="2"/>
                    </w:pPr>
                  </w:p>
                </w:txbxContent>
              </v:textbox>
            </v:shape>
          </w:pict>
        </mc:Fallback>
      </mc:AlternateContent>
    </w:r>
  </w:p>
  <w:p w14:paraId="1C33F59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4511">
    <w:pPr>
      <w:pStyle w:val="9"/>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3FC0E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D3FC0E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8A84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02A952F4"/>
    <w:multiLevelType w:val="singleLevel"/>
    <w:tmpl w:val="02A952F4"/>
    <w:lvl w:ilvl="0" w:tentative="0">
      <w:start w:val="1"/>
      <w:numFmt w:val="chineseCounting"/>
      <w:suff w:val="nothing"/>
      <w:lvlText w:val="%1、"/>
      <w:lvlJc w:val="left"/>
      <w:pPr>
        <w:ind w:left="0" w:firstLine="420"/>
      </w:pPr>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2MmQ0ZWRjYTNiMjZlMmQxMWNkZWViNDU0NDQyM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1FF9"/>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76EA7"/>
    <w:rsid w:val="014F219D"/>
    <w:rsid w:val="019B1886"/>
    <w:rsid w:val="020C008E"/>
    <w:rsid w:val="02823918"/>
    <w:rsid w:val="028642E4"/>
    <w:rsid w:val="02E96DB2"/>
    <w:rsid w:val="033755DF"/>
    <w:rsid w:val="03A67A1B"/>
    <w:rsid w:val="040A4AA1"/>
    <w:rsid w:val="04257D07"/>
    <w:rsid w:val="042C2C6A"/>
    <w:rsid w:val="042E69E2"/>
    <w:rsid w:val="053A62B5"/>
    <w:rsid w:val="05561C4D"/>
    <w:rsid w:val="05D4264D"/>
    <w:rsid w:val="06163BD1"/>
    <w:rsid w:val="067578E9"/>
    <w:rsid w:val="06CC440E"/>
    <w:rsid w:val="07BA233A"/>
    <w:rsid w:val="07DE071F"/>
    <w:rsid w:val="07E51AAD"/>
    <w:rsid w:val="07F41CF0"/>
    <w:rsid w:val="088539E3"/>
    <w:rsid w:val="09371E95"/>
    <w:rsid w:val="098470A4"/>
    <w:rsid w:val="09A3577C"/>
    <w:rsid w:val="0A2032A3"/>
    <w:rsid w:val="0A2E7B50"/>
    <w:rsid w:val="0B460AB5"/>
    <w:rsid w:val="0B8415DD"/>
    <w:rsid w:val="0B8A37D8"/>
    <w:rsid w:val="0BE1258C"/>
    <w:rsid w:val="0C027923"/>
    <w:rsid w:val="0C046E3A"/>
    <w:rsid w:val="0D39099C"/>
    <w:rsid w:val="0D554FDF"/>
    <w:rsid w:val="0D9C2C0E"/>
    <w:rsid w:val="0DA11FD2"/>
    <w:rsid w:val="0E611762"/>
    <w:rsid w:val="0EB421D9"/>
    <w:rsid w:val="0ED939EE"/>
    <w:rsid w:val="0EE749C6"/>
    <w:rsid w:val="0F6C6610"/>
    <w:rsid w:val="0FD06B9F"/>
    <w:rsid w:val="0FF00FEF"/>
    <w:rsid w:val="106D0892"/>
    <w:rsid w:val="107439CE"/>
    <w:rsid w:val="109156AE"/>
    <w:rsid w:val="10B62239"/>
    <w:rsid w:val="10C055FF"/>
    <w:rsid w:val="10D73F5D"/>
    <w:rsid w:val="112E6273"/>
    <w:rsid w:val="113849FC"/>
    <w:rsid w:val="118107EC"/>
    <w:rsid w:val="11B61DC5"/>
    <w:rsid w:val="11DA4336"/>
    <w:rsid w:val="11DD6519"/>
    <w:rsid w:val="12940358"/>
    <w:rsid w:val="13370CE3"/>
    <w:rsid w:val="13AB5E9A"/>
    <w:rsid w:val="147A2226"/>
    <w:rsid w:val="14BC3B96"/>
    <w:rsid w:val="15A5287C"/>
    <w:rsid w:val="15BC3411"/>
    <w:rsid w:val="15DA0D61"/>
    <w:rsid w:val="15EE5FD1"/>
    <w:rsid w:val="16BB723D"/>
    <w:rsid w:val="16D26743"/>
    <w:rsid w:val="16FA2753"/>
    <w:rsid w:val="17155BDD"/>
    <w:rsid w:val="179761F4"/>
    <w:rsid w:val="17B44FF8"/>
    <w:rsid w:val="18015F3F"/>
    <w:rsid w:val="1844012A"/>
    <w:rsid w:val="18700F1F"/>
    <w:rsid w:val="18A24E51"/>
    <w:rsid w:val="19425F25"/>
    <w:rsid w:val="196F306B"/>
    <w:rsid w:val="19706CFD"/>
    <w:rsid w:val="19EA45E5"/>
    <w:rsid w:val="1A562397"/>
    <w:rsid w:val="1A98475D"/>
    <w:rsid w:val="1A9D6217"/>
    <w:rsid w:val="1ABA0B77"/>
    <w:rsid w:val="1B862808"/>
    <w:rsid w:val="1B873C5F"/>
    <w:rsid w:val="1BD00F56"/>
    <w:rsid w:val="1BE8440E"/>
    <w:rsid w:val="1C060380"/>
    <w:rsid w:val="1C5446B4"/>
    <w:rsid w:val="1CA56EE4"/>
    <w:rsid w:val="1D155CEE"/>
    <w:rsid w:val="1D1A166D"/>
    <w:rsid w:val="1D2A61BE"/>
    <w:rsid w:val="1D41732E"/>
    <w:rsid w:val="1DFD14A7"/>
    <w:rsid w:val="1E311151"/>
    <w:rsid w:val="1E6A6411"/>
    <w:rsid w:val="1E911BEF"/>
    <w:rsid w:val="1F7D585A"/>
    <w:rsid w:val="1F813A12"/>
    <w:rsid w:val="1FDE70B6"/>
    <w:rsid w:val="1FEF3071"/>
    <w:rsid w:val="200323A0"/>
    <w:rsid w:val="20810D5F"/>
    <w:rsid w:val="20B0087A"/>
    <w:rsid w:val="20D504B9"/>
    <w:rsid w:val="20D84DE3"/>
    <w:rsid w:val="20E71F9A"/>
    <w:rsid w:val="20F57F95"/>
    <w:rsid w:val="210B2FF7"/>
    <w:rsid w:val="22143929"/>
    <w:rsid w:val="22192627"/>
    <w:rsid w:val="222334A6"/>
    <w:rsid w:val="232C70E9"/>
    <w:rsid w:val="23517B9F"/>
    <w:rsid w:val="235D4796"/>
    <w:rsid w:val="23751ADF"/>
    <w:rsid w:val="23C05F80"/>
    <w:rsid w:val="240371BF"/>
    <w:rsid w:val="242B650E"/>
    <w:rsid w:val="243D353F"/>
    <w:rsid w:val="24577437"/>
    <w:rsid w:val="24B46637"/>
    <w:rsid w:val="2540611D"/>
    <w:rsid w:val="25711CC6"/>
    <w:rsid w:val="257C3D55"/>
    <w:rsid w:val="25C741E6"/>
    <w:rsid w:val="2613738E"/>
    <w:rsid w:val="263C778F"/>
    <w:rsid w:val="26622587"/>
    <w:rsid w:val="266F6CBA"/>
    <w:rsid w:val="27090EBD"/>
    <w:rsid w:val="27842671"/>
    <w:rsid w:val="27C1366F"/>
    <w:rsid w:val="2815563F"/>
    <w:rsid w:val="2882699C"/>
    <w:rsid w:val="28EC412E"/>
    <w:rsid w:val="29964C6F"/>
    <w:rsid w:val="29A9603F"/>
    <w:rsid w:val="29FD04D3"/>
    <w:rsid w:val="2A636B36"/>
    <w:rsid w:val="2A77438F"/>
    <w:rsid w:val="2ABE7A3E"/>
    <w:rsid w:val="2AD96DF8"/>
    <w:rsid w:val="2BC25ADE"/>
    <w:rsid w:val="2BD1595B"/>
    <w:rsid w:val="2C422884"/>
    <w:rsid w:val="2CA234A8"/>
    <w:rsid w:val="2E314855"/>
    <w:rsid w:val="2E32221A"/>
    <w:rsid w:val="2E933762"/>
    <w:rsid w:val="2EFA178C"/>
    <w:rsid w:val="2F3E191F"/>
    <w:rsid w:val="2F921632"/>
    <w:rsid w:val="2FC35280"/>
    <w:rsid w:val="305F38FB"/>
    <w:rsid w:val="30B46D73"/>
    <w:rsid w:val="30CB749B"/>
    <w:rsid w:val="30F46739"/>
    <w:rsid w:val="316D029A"/>
    <w:rsid w:val="319F7F4E"/>
    <w:rsid w:val="31AB6772"/>
    <w:rsid w:val="32004C6A"/>
    <w:rsid w:val="322546D1"/>
    <w:rsid w:val="32481D06"/>
    <w:rsid w:val="32931F82"/>
    <w:rsid w:val="32A221C5"/>
    <w:rsid w:val="33525999"/>
    <w:rsid w:val="33B26438"/>
    <w:rsid w:val="33C63C91"/>
    <w:rsid w:val="33EC62C2"/>
    <w:rsid w:val="3428494C"/>
    <w:rsid w:val="346516FC"/>
    <w:rsid w:val="349B3370"/>
    <w:rsid w:val="351F18AB"/>
    <w:rsid w:val="35245113"/>
    <w:rsid w:val="352E18B2"/>
    <w:rsid w:val="3538296D"/>
    <w:rsid w:val="353C06AF"/>
    <w:rsid w:val="3667721A"/>
    <w:rsid w:val="36BB3856"/>
    <w:rsid w:val="36F1598F"/>
    <w:rsid w:val="372E04CB"/>
    <w:rsid w:val="373D62EC"/>
    <w:rsid w:val="37D746BF"/>
    <w:rsid w:val="383D272C"/>
    <w:rsid w:val="38EC5F48"/>
    <w:rsid w:val="397A08A5"/>
    <w:rsid w:val="3995213C"/>
    <w:rsid w:val="39AE70AB"/>
    <w:rsid w:val="3A334D25"/>
    <w:rsid w:val="3A824DB6"/>
    <w:rsid w:val="3A95616C"/>
    <w:rsid w:val="3B293484"/>
    <w:rsid w:val="3B2A71FC"/>
    <w:rsid w:val="3BF33A92"/>
    <w:rsid w:val="3C0C0783"/>
    <w:rsid w:val="3CF924CC"/>
    <w:rsid w:val="3D1B504E"/>
    <w:rsid w:val="3D6E1622"/>
    <w:rsid w:val="3D721C6D"/>
    <w:rsid w:val="3D7A6218"/>
    <w:rsid w:val="3DD82F3F"/>
    <w:rsid w:val="3E0B0C1F"/>
    <w:rsid w:val="3E483C21"/>
    <w:rsid w:val="3E736E3C"/>
    <w:rsid w:val="3E9A01F4"/>
    <w:rsid w:val="3F3E5024"/>
    <w:rsid w:val="3F615C35"/>
    <w:rsid w:val="3F9F3A96"/>
    <w:rsid w:val="3FA931F6"/>
    <w:rsid w:val="41524DB6"/>
    <w:rsid w:val="419248B1"/>
    <w:rsid w:val="41A32140"/>
    <w:rsid w:val="42170BF8"/>
    <w:rsid w:val="43860D47"/>
    <w:rsid w:val="43B835F7"/>
    <w:rsid w:val="43E837B0"/>
    <w:rsid w:val="44AE49FA"/>
    <w:rsid w:val="44DE52DF"/>
    <w:rsid w:val="44F763A1"/>
    <w:rsid w:val="45216F7A"/>
    <w:rsid w:val="45486BFC"/>
    <w:rsid w:val="45A1630C"/>
    <w:rsid w:val="46E26BDC"/>
    <w:rsid w:val="47A04ACD"/>
    <w:rsid w:val="480C0F07"/>
    <w:rsid w:val="480F7B95"/>
    <w:rsid w:val="483E7E42"/>
    <w:rsid w:val="48912668"/>
    <w:rsid w:val="48BF60AB"/>
    <w:rsid w:val="48F50E49"/>
    <w:rsid w:val="493059DD"/>
    <w:rsid w:val="493C27E9"/>
    <w:rsid w:val="496F39ED"/>
    <w:rsid w:val="49DB57C3"/>
    <w:rsid w:val="49FF41D3"/>
    <w:rsid w:val="4A9D4305"/>
    <w:rsid w:val="4AAC19DB"/>
    <w:rsid w:val="4AB511EC"/>
    <w:rsid w:val="4AEF3676"/>
    <w:rsid w:val="4B137364"/>
    <w:rsid w:val="4B393965"/>
    <w:rsid w:val="4B6C0ABB"/>
    <w:rsid w:val="4BE068DB"/>
    <w:rsid w:val="4BF6002B"/>
    <w:rsid w:val="4C3477B9"/>
    <w:rsid w:val="4D07089A"/>
    <w:rsid w:val="4D151ABA"/>
    <w:rsid w:val="4D490034"/>
    <w:rsid w:val="4E231FB4"/>
    <w:rsid w:val="4E612ADD"/>
    <w:rsid w:val="4ECE2238"/>
    <w:rsid w:val="4F155DA1"/>
    <w:rsid w:val="4FA62E9D"/>
    <w:rsid w:val="5030797F"/>
    <w:rsid w:val="503C55AF"/>
    <w:rsid w:val="50AD025B"/>
    <w:rsid w:val="50F61095"/>
    <w:rsid w:val="51143E36"/>
    <w:rsid w:val="5151508A"/>
    <w:rsid w:val="51711289"/>
    <w:rsid w:val="5196288A"/>
    <w:rsid w:val="51DB4B86"/>
    <w:rsid w:val="51F86065"/>
    <w:rsid w:val="51FB7686"/>
    <w:rsid w:val="52782066"/>
    <w:rsid w:val="53046781"/>
    <w:rsid w:val="54017AAB"/>
    <w:rsid w:val="540A3450"/>
    <w:rsid w:val="54122C02"/>
    <w:rsid w:val="547A48F8"/>
    <w:rsid w:val="54D83F05"/>
    <w:rsid w:val="54F75F49"/>
    <w:rsid w:val="55306D65"/>
    <w:rsid w:val="55333C3E"/>
    <w:rsid w:val="555D5DAC"/>
    <w:rsid w:val="56114DE8"/>
    <w:rsid w:val="56502B9B"/>
    <w:rsid w:val="56FE711B"/>
    <w:rsid w:val="576C13E9"/>
    <w:rsid w:val="577E025B"/>
    <w:rsid w:val="579B705F"/>
    <w:rsid w:val="580C1D0B"/>
    <w:rsid w:val="589F0489"/>
    <w:rsid w:val="58A27F7A"/>
    <w:rsid w:val="58B101BD"/>
    <w:rsid w:val="58FA1B64"/>
    <w:rsid w:val="59162E41"/>
    <w:rsid w:val="5A405C9C"/>
    <w:rsid w:val="5A4E21C7"/>
    <w:rsid w:val="5A5F4374"/>
    <w:rsid w:val="5ACB7C5C"/>
    <w:rsid w:val="5B61411C"/>
    <w:rsid w:val="5B672B36"/>
    <w:rsid w:val="5C8400C2"/>
    <w:rsid w:val="5CB92D5A"/>
    <w:rsid w:val="5D443CF5"/>
    <w:rsid w:val="5D4F4138"/>
    <w:rsid w:val="5D704AEA"/>
    <w:rsid w:val="5D900CE9"/>
    <w:rsid w:val="5DAA21CE"/>
    <w:rsid w:val="5DC170F4"/>
    <w:rsid w:val="5DFD3BB5"/>
    <w:rsid w:val="5E390074"/>
    <w:rsid w:val="5E5166CA"/>
    <w:rsid w:val="5FBF1EB5"/>
    <w:rsid w:val="5FD72BFF"/>
    <w:rsid w:val="602D143E"/>
    <w:rsid w:val="602F2A3B"/>
    <w:rsid w:val="60FB0B6F"/>
    <w:rsid w:val="619C4100"/>
    <w:rsid w:val="61E355E4"/>
    <w:rsid w:val="6213687B"/>
    <w:rsid w:val="626F35C2"/>
    <w:rsid w:val="62BB18C3"/>
    <w:rsid w:val="62D005DC"/>
    <w:rsid w:val="62E0001C"/>
    <w:rsid w:val="63500CFE"/>
    <w:rsid w:val="63F415BA"/>
    <w:rsid w:val="63F95EFF"/>
    <w:rsid w:val="64CA39A1"/>
    <w:rsid w:val="64F63B27"/>
    <w:rsid w:val="65E1189B"/>
    <w:rsid w:val="666941F8"/>
    <w:rsid w:val="66860510"/>
    <w:rsid w:val="66A82BFF"/>
    <w:rsid w:val="6712451C"/>
    <w:rsid w:val="673D5429"/>
    <w:rsid w:val="6759126B"/>
    <w:rsid w:val="68212C69"/>
    <w:rsid w:val="69630ADE"/>
    <w:rsid w:val="69F6333D"/>
    <w:rsid w:val="6A63196C"/>
    <w:rsid w:val="6BD526E8"/>
    <w:rsid w:val="6C124735"/>
    <w:rsid w:val="6C240F7A"/>
    <w:rsid w:val="6C4A05C8"/>
    <w:rsid w:val="6C507FC1"/>
    <w:rsid w:val="6D282CEC"/>
    <w:rsid w:val="6D3B1A89"/>
    <w:rsid w:val="6E8201DA"/>
    <w:rsid w:val="6EF72976"/>
    <w:rsid w:val="703419A7"/>
    <w:rsid w:val="70DB59C4"/>
    <w:rsid w:val="70F05313"/>
    <w:rsid w:val="719E532A"/>
    <w:rsid w:val="71AD344C"/>
    <w:rsid w:val="71BF4EC2"/>
    <w:rsid w:val="71D71580"/>
    <w:rsid w:val="71E867AC"/>
    <w:rsid w:val="724C122A"/>
    <w:rsid w:val="72734D90"/>
    <w:rsid w:val="728A632E"/>
    <w:rsid w:val="72BB15BB"/>
    <w:rsid w:val="73500701"/>
    <w:rsid w:val="735465E8"/>
    <w:rsid w:val="73706606"/>
    <w:rsid w:val="73A429A0"/>
    <w:rsid w:val="740022CC"/>
    <w:rsid w:val="7412278C"/>
    <w:rsid w:val="74266FD9"/>
    <w:rsid w:val="74292412"/>
    <w:rsid w:val="74A71E5E"/>
    <w:rsid w:val="74F929A6"/>
    <w:rsid w:val="756B5E6B"/>
    <w:rsid w:val="75FC7BA5"/>
    <w:rsid w:val="764010A6"/>
    <w:rsid w:val="76984A3E"/>
    <w:rsid w:val="77232FAB"/>
    <w:rsid w:val="774C229D"/>
    <w:rsid w:val="77CD6969"/>
    <w:rsid w:val="77D0645A"/>
    <w:rsid w:val="782F4F2E"/>
    <w:rsid w:val="78397B5B"/>
    <w:rsid w:val="78436C2C"/>
    <w:rsid w:val="78782D79"/>
    <w:rsid w:val="78C01126"/>
    <w:rsid w:val="78DA6D60"/>
    <w:rsid w:val="78F543CA"/>
    <w:rsid w:val="78FB2499"/>
    <w:rsid w:val="797F2105"/>
    <w:rsid w:val="79BA4CCB"/>
    <w:rsid w:val="79E7B28D"/>
    <w:rsid w:val="79FB5607"/>
    <w:rsid w:val="7A7763C2"/>
    <w:rsid w:val="7BF974C4"/>
    <w:rsid w:val="7C2F7BF3"/>
    <w:rsid w:val="7C30396B"/>
    <w:rsid w:val="7C80044E"/>
    <w:rsid w:val="7CB225D2"/>
    <w:rsid w:val="7CEB12B6"/>
    <w:rsid w:val="7D07647A"/>
    <w:rsid w:val="7D747887"/>
    <w:rsid w:val="7DFF35F5"/>
    <w:rsid w:val="7E327BA3"/>
    <w:rsid w:val="7E574F1B"/>
    <w:rsid w:val="7E582D05"/>
    <w:rsid w:val="7EA85A3A"/>
    <w:rsid w:val="7EFB3DBC"/>
    <w:rsid w:val="7F0E4BB1"/>
    <w:rsid w:val="7F3E014D"/>
    <w:rsid w:val="7F954211"/>
    <w:rsid w:val="7F9F20EE"/>
    <w:rsid w:val="7FAA4988"/>
    <w:rsid w:val="7FCE7723"/>
    <w:rsid w:val="7FD50AB1"/>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next w:val="1"/>
    <w:qFormat/>
    <w:uiPriority w:val="99"/>
    <w:rPr>
      <w:rFonts w:ascii="宋体" w:hAnsi="Courier New" w:eastAsia="仿宋" w:cs="Times New Roman"/>
      <w:kern w:val="0"/>
      <w:sz w:val="32"/>
      <w:szCs w:val="21"/>
    </w:r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四号正文"/>
    <w:basedOn w:val="1"/>
    <w:qFormat/>
    <w:uiPriority w:val="0"/>
    <w:pPr>
      <w:spacing w:line="360" w:lineRule="auto"/>
    </w:pPr>
    <w:rPr>
      <w:rFonts w:ascii="??" w:hAnsi="??" w:eastAsia="Times New Roman"/>
      <w:color w:val="000000"/>
      <w:kern w:val="0"/>
      <w:sz w:val="28"/>
      <w:szCs w:val="21"/>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 w:type="paragraph" w:customStyle="1" w:styleId="35">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www.wps.cn/officeDocument/2018/webExtension" Target="webExtensions/webExtension2.xml"/><Relationship Id="rId8" Type="http://schemas.openxmlformats.org/officeDocument/2006/relationships/image" Target="media/image1.png"/><Relationship Id="rId7" Type="http://www.wps.cn/officeDocument/2018/webExtension" Target="webExtensions/webExtension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png"/><Relationship Id="rId17" Type="http://www.wps.cn/officeDocument/2018/webExtension" Target="webExtensions/webExtension6.xml"/><Relationship Id="rId16" Type="http://schemas.openxmlformats.org/officeDocument/2006/relationships/image" Target="media/image5.png"/><Relationship Id="rId15" Type="http://www.wps.cn/officeDocument/2018/webExtension" Target="webExtensions/webExtension5.xml"/><Relationship Id="rId14" Type="http://schemas.openxmlformats.org/officeDocument/2006/relationships/image" Target="media/image4.png"/><Relationship Id="rId13" Type="http://www.wps.cn/officeDocument/2018/webExtension" Target="webExtensions/webExtension4.xml"/><Relationship Id="rId12" Type="http://schemas.openxmlformats.org/officeDocument/2006/relationships/image" Target="media/image3.png"/><Relationship Id="rId11" Type="http://www.wps.cn/officeDocument/2018/webExtension" Target="webExtensions/webExtension3.xml"/><Relationship Id="rId10" Type="http://schemas.openxmlformats.org/officeDocument/2006/relationships/image" Target="media/image2.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1.xlsx"/></Relationships>
</file>

<file path=word/webExtensions/_rels/webExtension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package" Target="../embeddings/Workbook2.xlsx"/></Relationships>
</file>

<file path=word/webExtensions/_rels/webExtension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package" Target="../embeddings/Workbook3.xlsx"/></Relationships>
</file>

<file path=word/webExtensions/_rels/webExtension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package" Target="../embeddings/Workbook4.xlsx"/></Relationships>
</file>

<file path=word/webExtensions/_rels/webExtension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package" Target="../embeddings/Workbook5.xlsx"/></Relationships>
</file>

<file path=word/webExtensions/_rels/webExtension6.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package" Target="../embeddings/Workbook6.xlsx"/></Relationships>
</file>

<file path=word/webExtensions/webExtension1.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4751221290197424&quot;,&quot;chart_type&quot;:&quot;柱状图&quot;,&quot;classifty_type&quot;:[&quot;比较类&quot;],&quot;dataSrc&quot;:{&quot;data&quot;:[[[&quot;年度&quot;,&quot;收入&quot;,&quot;支出&quot;],[&quot;2023&quot;,&quot;953.39&quot;,&quot;953.39&quot;],[&quot;2024&quot;,&quot;949.13&quot;,&quot;949.13&quot;]]],&quot;dataType&quot;:&quot;cross-table&quot;,&quot;download&quot;:false,&quot;srcType&quot;:&quot;local&quot;,&quot;url&quot;:&quot;&quot;},&quot;function_type&quot;:[&quot;柱形图&quot;],&quot;gif&quot;:&quot;https://image.dycharts.com/3612096174443311105.gif?imageView2/2/w/500/quality/90&quot;,&quot;isFree&quot;:&quot;0&quot;,&quot;label&quot;:&quot;&lt;e-barmultiple-chart&gt;&quot;,&quot;position&quot;:{&quot;left&quot;:0,&quot;top&quot;:0},&quot;price&quot;:0,&quot;projectId&quot;:&quot;164751145132966661&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3e3e3ff&quot;,&quot;gridLineWidth&quot;:&quot;1&quot;,&quot;lineStyle&quot;:&quot;line&quot;,&quot;show&quot;:&quot;x&quot;},&quot;x&quot;:{&quot;axisColor&quot;:&quot;#bfbfbf&quot;,&quot;axisLineWidth&quot;:&quot;1&quot;,&quot;axisShow&quot;:true,&quot;labelAngle&quot;:&quot;0&quot;,&quot;labelDirection&quot;:&quot;横排&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1],&quot;type&quot;:&quot;multiple&quot;},&quot;display&quot;:{&quot;bar4CornerRadius&quot;:[0,0,0,0],&quot;barWidthPercent&quot;:&quot;0.7&quot;,&quot;barborderColor&quot;:&quot;#ffffffff&quot;,&quot;barborderWidth&quot;:2,&quot;fillOpacity&quot;:1},&quot;font&quot;:{&quot;color&quot;:&quot;#545454&quot;,&quot;fontFamily&quot;:&quot;阿里巴巴普惠体 常规&quot;,&quot;fontSize&quot;:&quot;14&quot;},&quot;label&quot;:{&quot;display&quot;:false,&quot;positionChoice&quot;:&quot;上面&quot;,&quot;positionOptions&quot;:[&quot;上面&quot;,&quot;内部居下&quot;],&quot;suffix&quot;:&quot;&quot;,&quot;textLabel&quot;:{&quot;color&quot;:&quot;#545454&quot;,&quot;fontFamily&quot;:&quot;阿里巴巴普惠体 常规&quot;,&quot;fontSize&quot;:&quot;14&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allowType&quot;:[&quot;number&quot;],&quot;configurable&quot;:true,&quot;function&quot;:&quot;vCol&quot;,&quot;index&quot;:2,&quot;isLegend&quot;:false,&quot;name&quot;:&quot;数值列&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339,&quot;ratio&quot;:&quot;&quot;,&quot;rotate&quot;:0,&quot;width&quot;:540},&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28&quot;,&quot;lineHeight&quot;:&quot;10&quot;,&quot;show&quot;:false,&quot;text&quot;:&quot;2010-2016年一线城市房价情况&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true,&quot;text&quot;:&quot; &quot;,&quot;xPosition&quot;:&quot;left&quot;,&quot;yPosition&quot;:&quot;top&quot;},&quot;watermarkDisplay&quot;:{&quot;imgHeight&quot;:&quot;80&quot;,&quot;imgUrl&quot;:&quot;https://ss1.dycharts.com/newchartWatermark.png&quot;,&quot;imgWidth&quot;:&quot;80&quot;,&quot;show&quot;:false}},&quot;templateId&quot;:&quot;3612096174443311105-3&quot;,&quot;templateSwitch&quot;:&quot;cross&quot;,&quot;theme&quot;:{&quot;_id&quot;:18,&quot;axis&quot;:{&quot;color&quot;:&quot;#a1a1a1 &quot;},&quot;backgroundColor&quot;:&quot;#FFFFFF&quot;,&quot;colors&quot;:[&quot;#7d97bfff&quot;,&quot;#FFA500ff&quot;,&quot;#556280ff&quot;,&quot;#7d97bfff&quot;,&quot;#FFA500ff&quot;,&quot;#556280ff&quot;,&quot;#7d97bfff&quot;,&quot;#FFA500ff&quot;,&quot;#556280ff&quot;,&quot;#7d97bfff&quot;,&quot;#FFA500ff&quot;,&quot;#556280ff&quot;,&quot;#7d97bfff&quot;,&quot;#FFA500ff&quot;],&quot;fonts&quot;:{&quot;accessoryColor&quot;:&quot;#878787&quot;,&quot;color&quot;:&quot;#545454&quot;,&quot;fontFamily&quot;:&quot;阿里巴巴普惠体 常规&quot;,&quot;fontSize&quot;:&quot;14&quot;},&quot;grid&quot;:{&quot;color&quot;:&quot;#cccccc&quot;},&quot;id&quot;:&quot;17&quot;,&quot;name&quot;:&quot;默认主题&quot;,&quot;price&quot;:&quot;0.0&quot;,&quot;shapeColor&quot;:1,&quot;themeId&quot;:&quot;18&quot;,&quot;thumb&quot;:&quot;https://ss1.dydata.io/v2/themes/17.png&quot;,&quot;titleFont&quot;:{&quot;color&quot;:&quot;#4c4c4c&quot;,&quot;fontFamily&quot;:&quot;阿里巴巴普惠体 常规&quot;,&quot;fontSize&quot;:&quot;36&quot;}},&quot;thumb&quot;:&quot;//web.docer.wpscdn.cn/docer/ds-page/images/3612096174443311105-3.png&quot;,&quot;title&quot;:&quot;分组柱状图&quot;,&quot;type&quot;:&quot;chart&quot;},&quot;dschart_id&quot;:&quot;3612096174443311105-3&quot;,&quot;flag&quot;:&quot;1003&quot;,&quot;page&quot;:&quot;editor&quot;}"/>
    <wpswe:property key="isUseCommonErrorPage" value="false"/>
    <wpswe:property key="loadingImage" value="res:/icons/DsWebShapeDefaultPage.svg"/>
  </wpswe:properties>
  <wpswe:watchingCache>
    <wpswe:linkPath>C:/Users/Administrator/AppData/Local/Temp/wps.uOqkPC/Workbook1.xlsx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https://clientweb.docer.wps.cn/ds/1.0.0/webShapeView?id=&amp;dschart_id=3612096174443311105-3&amp;from=taskbar_default&amp;productEntry=toolbar&amp;sceneEntry=tosobc_column&amp;flag=1003</wpswe:url>
  <wpswe:constantSnapshot>false</wpswe:constantSnapshot>
</wpswe:webExtension>
</file>

<file path=word/webExtensions/webExtension2.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1243067126556290&quot;,&quot;chart_type&quot;:&quot;饼图&quot;,&quot;classifty_type&quot;:[&quot;占比类&quot;],&quot;dataSrc&quot;:{&quot;data&quot;:[[[&quot;项目&quot;,&quot;占比（%）&quot;,&quot;&quot;],[&quot;一、一般公共预算财政拨款收入&quot;,&quot;88.61&quot;,&quot;&quot;],[&quot;二、其他收入&quot;,&quot;11.39&quot;,&quot;949.13&quot;]]],&quot;dataType&quot;:&quot;object-table&quot;,&quot;download&quot;:false,&quot;srcType&quot;:&quot;local&quot;,&quot;url&quot;:&quot;&quot;},&quot;function_type&quot;:[&quot;饼图&quot;],&quot;gif&quot;:&quot;//web.docer.wpscdn.cn/docer/ds-page/images/5544734748594536493.gif?imageView2/2/w/500/quality/90&quot;,&quot;isFree&quot;:&quot;1&quot;,&quot;label&quot;:&quot;&lt;d-corner-pie-chart&gt;&quot;,&quot;projectId&quot;:&quot;5544734748594536493&quot;,&quot;props&quot;:{&quot;animation&quot;:{&quot;duration&quot;:&quot;1.5&quot;,&quot;easeStyle&quot;:&quot;&quot;,&quot;endPause&quot;:&quot;1&quot;,&quot;moveOptions&quot;:[&quot;轮子&quot;,&quot;百叶窗&quot;,&quot;折扇&quot;,&quot;径向展开&quot;],&quot;moveStyle&quot;:&quot;轮子&quot;,&quot;startDelay&quot;:&quot;0&quot;,&quot;transition&quot;:true},&quot;axis&quot;:&quot;&quot;,&quot;backgroundColor&quot;:&quot;&quot;,&quot;colors&quot;:{&quot;colorControlers&quot;:[&quot;multiple&quot;,&quot;linear&quot;],&quot;list&quot;:[0,1],&quot;type&quot;:&quot;multiple&quot;},&quot;display&quot;:{&quot;borderColor&quot;:&quot;#FFFFFF&quot;,&quot;borderWidth&quot;:&quot;1&quot;,&quot;cornerRadius&quot;:&quot;10&quot;,&quot;fillOpacity&quot;:&quot;1&quot;,&quot;gapPercentage&quot;:&quot;0&quot;,&quot;innerRadiusRatio&quot;:&quot;0&quot;},&quot;label&quot;:{&quot;contentChoice&quot;:[&quot;名称&quot;],&quot;contentOption&quot;:[&quot;名称&quot;,&quot;百分比&quot;,&quot;数值&quot;],&quot;display&quot;:true,&quot;positionChoice&quot;:&quot;内部周向&quot;,&quot;positionOptions&quot;:[&quot;内部周向&quot;,&quot;内部水平&quot;,&quot;外部&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433,&quot;ratio&quot;:&quot;&quot;,&quot;rotate&quot;:0,&quot;width&quot;:533},&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中国网红受教育水平&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quot;,&quot;xPosition&quot;:&quot;left&quot;,&quot;yPosition&quot;:&quot;top&quot;},&quot;watermarkDisplay&quot;:{&quot;imgHeight&quot;:&quot;80&quot;,&quot;imgUrl&quot;:&quot;https://ss1.dydata.io/newchartWatermark.png&quot;,&quot;imgWidth&quot;:&quot;80&quot;,&quot;show&quot;:false}},&quot;templateId&quot;:&quot;5544734748594536493&quot;,&quot;templateSwitch&quot;:&quot;key-value&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TX1uSMvdp16D12h5XrG9jv.CE6FB975.jpg?imageView2/2/w/500/quality/90&quot;,&quot;title&quot;:&quot;基础饼图（圆角）&quot;,&quot;type&quot;:&quot;chart&quot;},&quot;dschart_id&quot;:&quot;5544734748594536493&quot;,&quot;flag&quot;:&quot;1003&quot;,&quot;page&quot;:&quot;editor&quot;}"/>
    <wpswe:property key="isUseCommonErrorPage" value="false"/>
    <wpswe:property key="loadingImage" value="res:/icons/DsWebShapeDefaultPage.svg"/>
  </wpswe:properties>
  <wpswe:watchingCache>
    <wpswe:linkPath>C:/Users/Administrator/AppData/Local/Temp/wps.YKmIke/Workbook2.xlsx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https://clientweb.docer.wps.cn/ds/1.0.0/webShapeView?id=&amp;dschart_id=5544734748594536493&amp;from=taskbar_default&amp;productEntry=toolbar&amp;sceneEntry=tosobc_pie&amp;flag=1003</wpswe:url>
  <wpswe:constantSnapshot>false</wpswe:constantSnapshot>
</wpswe:webExtension>
</file>

<file path=word/webExtensions/webExtension3.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1243067126556290&quot;,&quot;chart_type&quot;:&quot;饼图&quot;,&quot;classifty_type&quot;:[&quot;占比类&quot;],&quot;dataSrc&quot;:{&quot;data&quot;:[[[&quot;支出&quot;,&quot;占比（%）&quot;],[&quot;基本支出&quot;,&quot;78.22&quot;],[&quot;项目支出&quot;,&quot;21.78&quot;],[&quot;年末结转和结余&quot;,&quot;0.6&quot;]]],&quot;dataType&quot;:&quot;object-table&quot;,&quot;download&quot;:false,&quot;srcType&quot;:&quot;local&quot;,&quot;url&quot;:&quot;&quot;},&quot;function_type&quot;:[&quot;饼图&quot;],&quot;gif&quot;:&quot;//web.docer.wpscdn.cn/docer/ds-page/images/5544734748594536493.gif?imageView2/2/w/500/quality/90&quot;,&quot;isFree&quot;:&quot;1&quot;,&quot;label&quot;:&quot;&lt;d-corner-pie-chart&gt;&quot;,&quot;projectId&quot;:&quot;5544734748594536493&quot;,&quot;props&quot;:{&quot;animation&quot;:{&quot;duration&quot;:&quot;1.5&quot;,&quot;easeStyle&quot;:&quot;&quot;,&quot;endPause&quot;:&quot;1&quot;,&quot;moveOptions&quot;:[&quot;轮子&quot;,&quot;百叶窗&quot;,&quot;折扇&quot;,&quot;径向展开&quot;],&quot;moveStyle&quot;:&quot;轮子&quot;,&quot;startDelay&quot;:&quot;0&quot;,&quot;transition&quot;:true},&quot;axis&quot;:&quot;&quot;,&quot;backgroundColor&quot;:&quot;&quot;,&quot;colors&quot;:{&quot;colorControlers&quot;:[&quot;multiple&quot;,&quot;linear&quot;],&quot;list&quot;:[0,1,2],&quot;type&quot;:&quot;multiple&quot;},&quot;display&quot;:{&quot;borderColor&quot;:&quot;#FFFFFF&quot;,&quot;borderWidth&quot;:&quot;1&quot;,&quot;cornerRadius&quot;:&quot;10&quot;,&quot;fillOpacity&quot;:&quot;1&quot;,&quot;gapPercentage&quot;:&quot;0&quot;,&quot;innerRadiusRatio&quot;:&quot;0&quot;},&quot;label&quot;:{&quot;contentChoice&quot;:[&quot;名称&quot;],&quot;contentOption&quot;:[&quot;名称&quot;,&quot;百分比&quot;,&quot;数值&quot;],&quot;display&quot;:true,&quot;positionChoice&quot;:&quot;内部周向&quot;,&quot;positionOptions&quot;:[&quot;内部周向&quot;,&quot;内部水平&quot;,&quot;外部&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300,&quot;ratio&quot;:&quot;&quot;,&quot;rotate&quot;:0,&quot;width&quot;:533},&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中国网红受教育水平&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quot;,&quot;xPosition&quot;:&quot;left&quot;,&quot;yPosition&quot;:&quot;top&quot;},&quot;watermarkDisplay&quot;:{&quot;imgHeight&quot;:&quot;80&quot;,&quot;imgUrl&quot;:&quot;https://ss1.dydata.io/newchartWatermark.png&quot;,&quot;imgWidth&quot;:&quot;80&quot;,&quot;show&quot;:false}},&quot;templateId&quot;:&quot;5544734748594536493&quot;,&quot;templateSwitch&quot;:&quot;key-value&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TX1uSMvdp16D12h5XrG9jv.CE6FB975.jpg?imageView2/2/w/500/quality/90&quot;,&quot;title&quot;:&quot;基础饼图（圆角）&quot;,&quot;type&quot;:&quot;chart&quot;},&quot;dschart_id&quot;:&quot;5544734748594536493&quot;,&quot;id&quot;:&quot;226&quot;}"/>
    <wpswe:property key="isUseCommonErrorPage" value="false"/>
    <wpswe:property key="loadingImage" value="res:/icons/WebChartLoading_wps.svg"/>
  </wpswe:properties>
  <wpswe:watchingCache>
    <wpswe:linkPath>C:/Users/Administrator/AppData/Local/Temp/wps.fsLAHQ/Workbook3.xlsx</wpswe:linkPath>
  </wpswe:watchingCache>
  <wpswe:snapshot xmlns:r="http://schemas.openxmlformats.org/officeDocument/2006/relationships" r:embed="rId2"/>
  <wpswe:externalData xmlns:r="http://schemas.openxmlformats.org/officeDocument/2006/relationships" r:id="rId1"/>
  <wpswe:url>https://clientweb.docer.wps.cn//docer-ds/web-shape-1.0.0/?id=226&amp;dschart_id=5544734748594536493-1&amp;from=writer&amp;productEntry=insert&amp;sceneEntry=rec-90</wpswe:url>
  <wpswe:constantSnapshot>false</wpswe:constantSnapshot>
</wpswe:webExtension>
</file>

<file path=word/webExtensions/webExtension4.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4751221290197424&quot;,&quot;chart_type&quot;:&quot;柱状图&quot;,&quot;classifty_type&quot;:[&quot;比较类&quot;],&quot;dataSrc&quot;:{&quot;data&quot;:[[[&quot;年度&quot;,&quot;收入&quot;,&quot;支出&quot;],[&quot;2023&quot;,&quot;860.91&quot;,&quot;860.91&quot;],[&quot;2024&quot;,&quot;840.98&quot;,&quot;840.98&quot;]]],&quot;dataType&quot;:&quot;cross-table&quot;,&quot;download&quot;:false,&quot;srcType&quot;:&quot;local&quot;,&quot;url&quot;:&quot;&quot;},&quot;function_type&quot;:[&quot;柱形图&quot;],&quot;gif&quot;:&quot;https://image.dycharts.com/3612096174443311105.gif?imageView2/2/w/500/quality/90&quot;,&quot;isFree&quot;:&quot;0&quot;,&quot;label&quot;:&quot;&lt;e-barmultiple-chart&gt;&quot;,&quot;position&quot;:{&quot;left&quot;:0,&quot;top&quot;:0},&quot;price&quot;:0,&quot;projectId&quot;:&quot;164751145132966661&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3e3e3ff&quot;,&quot;gridLineWidth&quot;:&quot;1&quot;,&quot;lineStyle&quot;:&quot;line&quot;,&quot;show&quot;:&quot;x&quot;},&quot;x&quot;:{&quot;axisColor&quot;:&quot;#bfbfbf&quot;,&quot;axisLineWidth&quot;:&quot;1&quot;,&quot;axisShow&quot;:true,&quot;labelAngle&quot;:&quot;0&quot;,&quot;labelDirection&quot;:&quot;横排&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1],&quot;type&quot;:&quot;multiple&quot;},&quot;display&quot;:{&quot;bar4CornerRadius&quot;:[0,0,0,0],&quot;barWidthPercent&quot;:&quot;0.7&quot;,&quot;barborderColor&quot;:&quot;#ffffffff&quot;,&quot;barborderWidth&quot;:2,&quot;fillOpacity&quot;:1},&quot;font&quot;:{&quot;color&quot;:&quot;#545454&quot;,&quot;fontFamily&quot;:&quot;阿里巴巴普惠体 常规&quot;,&quot;fontSize&quot;:&quot;14&quot;},&quot;label&quot;:{&quot;display&quot;:false,&quot;positionChoice&quot;:&quot;上面&quot;,&quot;positionOptions&quot;:[&quot;上面&quot;,&quot;内部居下&quot;],&quot;suffix&quot;:&quot;&quot;,&quot;textLabel&quot;:{&quot;color&quot;:&quot;#545454&quot;,&quot;fontFamily&quot;:&quot;阿里巴巴普惠体 常规&quot;,&quot;fontSize&quot;:&quot;14&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allowType&quot;:[&quot;number&quot;],&quot;configurable&quot;:true,&quot;function&quot;:&quot;vCol&quot;,&quot;index&quot;:2,&quot;isLegend&quot;:false,&quot;name&quot;:&quot;数值列&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298.75,&quot;ratio&quot;:&quot;&quot;,&quot;rotate&quot;:0,&quot;width&quot;:573.75},&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28&quot;,&quot;lineHeight&quot;:&quot;10&quot;,&quot;show&quot;:false,&quot;text&quot;:&quot;2010-2016年一线城市房价情况&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true,&quot;text&quot;:&quot; &quot;,&quot;xPosition&quot;:&quot;left&quot;,&quot;yPosition&quot;:&quot;top&quot;},&quot;watermarkDisplay&quot;:{&quot;imgHeight&quot;:&quot;80&quot;,&quot;imgUrl&quot;:&quot;https://ss1.dycharts.com/newchartWatermark.png&quot;,&quot;imgWidth&quot;:&quot;80&quot;,&quot;show&quot;:false}},&quot;templateId&quot;:&quot;3612096174443311105-3&quot;,&quot;templateSwitch&quot;:&quot;cross&quot;,&quot;theme&quot;:{&quot;_id&quot;:18,&quot;axis&quot;:{&quot;color&quot;:&quot;#a1a1a1 &quot;},&quot;backgroundColor&quot;:&quot;#FFFFFF&quot;,&quot;colors&quot;:[&quot;#7d97bfff&quot;,&quot;#FFA500ff&quot;,&quot;#556280ff&quot;,&quot;#7d97bfff&quot;,&quot;#FFA500ff&quot;,&quot;#556280ff&quot;,&quot;#7d97bfff&quot;,&quot;#FFA500ff&quot;,&quot;#556280ff&quot;,&quot;#7d97bfff&quot;,&quot;#FFA500ff&quot;,&quot;#556280ff&quot;,&quot;#7d97bfff&quot;,&quot;#FFA500ff&quot;],&quot;fonts&quot;:{&quot;accessoryColor&quot;:&quot;#878787&quot;,&quot;color&quot;:&quot;#545454&quot;,&quot;fontFamily&quot;:&quot;阿里巴巴普惠体 常规&quot;,&quot;fontSize&quot;:&quot;14&quot;},&quot;grid&quot;:{&quot;color&quot;:&quot;#cccccc&quot;},&quot;id&quot;:&quot;17&quot;,&quot;name&quot;:&quot;默认主题&quot;,&quot;price&quot;:&quot;0.0&quot;,&quot;shapeColor&quot;:1,&quot;themeId&quot;:&quot;18&quot;,&quot;thumb&quot;:&quot;https://ss1.dydata.io/v2/themes/17.png&quot;,&quot;titleFont&quot;:{&quot;color&quot;:&quot;#4c4c4c&quot;,&quot;fontFamily&quot;:&quot;阿里巴巴普惠体 常规&quot;,&quot;fontSize&quot;:&quot;36&quot;}},&quot;thumb&quot;:&quot;//web.docer.wpscdn.cn/docer/ds-page/images/3612096174443311105-3.png&quot;,&quot;title&quot;:&quot;分组柱状图&quot;,&quot;type&quot;:&quot;chart&quot;},&quot;dschart_id&quot;:&quot;3612096174443311105-3&quot;,&quot;flag&quot;:&quot;1003&quot;,&quot;page&quot;:&quot;editor&quot;}"/>
    <wpswe:property key="isUseCommonErrorPage" value="false"/>
    <wpswe:property key="loadingImage" value="res:/icons/DsWebShapeDefaultPage.svg"/>
  </wpswe:properties>
  <wpswe:watchingCache>
    <wpswe:linkPath>C:/Users/Administrator/AppData/Local/Temp/wps.BHmvZX/Workbook4.xlsx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https://clientweb.docer.wps.cn/ds/1.0.0/webShapeView?id=&amp;dschart_id=3612096174443311105-3&amp;from=taskbar_default&amp;productEntry=toolbar&amp;sceneEntry=tosobc_column&amp;flag=1003</wpswe:url>
  <wpswe:constantSnapshot>false</wpswe:constantSnapshot>
</wpswe:webExtension>
</file>

<file path=word/webExtensions/webExtension5.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时间&quot;,&quot;金额（万元）&quot;],[&quot;2023&quot;,&quot;860.91&quot;],[&quot;2024&quot;,&quot;840.98&quot;]]],&quot;dataType&quot;:&quot;obejct-table&quot;,&quot;download&quot;:false,&quot;srcType&quot;:&quot;local&quot;,&quot;url&quot;:&quot;&quot;},&quot;function_type&quot;:[&quot;柱形图&quot;],&quot;gif&quot;:&quot;//web.docer.wpscdn.cn/docer/ds-page/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color&quot;:&quot;#a1a1a1&quot;,&quot;grid&quot;:{&quot;color&quot;:&quot;#ccc&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quot;type&quot;:&quot;multiple&quot;},&quot;display&quot;:{&quot;bar4CornerRadius&quot;:[0,0,0,0],&quot;barWidthPercent&quot;:&quot;0.5&quot;,&quot;barborderColor&quot;:&quot;&quot;,&quot;barborderWidth&quot;:&quot;0&quot;,&quot;fillOpacity&quot;:&quot;1&quot;},&quot;font&quot;:{&quot;color&quot;:&quot;#545454&quot;,&quot;fontFamily&quot;:&quot;黑体&quot;,&quot;fontSize&quot;:&quot;14&quot;},&quot;label&quot;:{&quot;display&quot;:fals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301.25,&quot;ratio&quot;:&quot;&quot;,&quot;rotate&quot;:0,&quot;width&quot;:567.5},&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2018年全国各地区销售额情况&quot;,&quot;totalHeight&quot;:&quot;39&quot;,&quot;xPosition&quot;:&quot;left&quot;,&quot;yPosition&quot;:&quot;top&quot;},&quot;tooltip&quot;:true,&quot;unitDisplay&quot;:{&quot;bottomLineHeight&quot;:&quot;15&quot;,&quot;color&quot;:&quot;#878787&quot;,&quot;fontFamily&quot;:&quot;黑体&quot;,&quot;fontSize&quot;:&quot;14&quot;,&quot;show&quot;:false,&quot;text&quot;:&quot;单位：万元&quot;,&quot;xPosition&quot;:&quot;left&quot;,&quot;yPosition&quot;:&quot;top&quot;},&quot;watermarkDisplay&quot;:{&quot;imgHeight&quot;:&quot;80&quot;,&quot;imgUrl&quot;:&quot;https://ss1.dydata.io/newchartWatermark.png&quot;,&quot;imgWidth&quot;:&quot;80&quot;,&quot;show&quot;:false}},&quot;templateId&quot;:&quot;444734748594536323&quot;,&quot;templateSwitch&quot;:&quot;cross&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S9mQy7TtDPRefubPR9f5hY.CBEB17BE.jpg?imageView2/2/w/500/quality/90&quot;,&quot;title&quot;:&quot;基础柱状图&quot;,&quot;type&quot;:&quot;chart&quot;},&quot;dschart_id&quot;:&quot;444734748594536323&quot;,&quot;flag&quot;:&quot;1003&quot;,&quot;page&quot;:&quot;editor&quot;}"/>
    <wpswe:property key="isUseCommonErrorPage" value="false"/>
    <wpswe:property key="loadingImage" value="res:/icons/DsWebShapeDefaultPage.svg"/>
  </wpswe:properties>
  <wpswe:watchingCache>
    <wpswe:linkPath>C:/Users/Administrator/AppData/Local/Temp/wps.hYaHnH/Workbook5.xlsx</wpswe:linkPath>
  </wpswe:watchingCache>
  <wpswe:snapshot xmlns:r="http://schemas.openxmlformats.org/officeDocument/2006/relationships" r:embed="rId2"/>
  <wpswe:externalData xmlns:r="http://schemas.openxmlformats.org/officeDocument/2006/relationships" r:id="rId1"/>
  <wpswe:url>https://clientweb.docer.wps.cn/ds/1.0.0/webShapeView?id=45&amp;dschart_id=154772011302084304&amp;from=resource&amp;productEntry=docers&amp;sceneEntry=docrec&amp;flag=1003</wpswe:url>
  <wpswe:constantSnapshot>false</wpswe:constantSnapshot>
</wpswe:webExtension>
</file>

<file path=word/webExtensions/webExtension6.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4699681860417958&quot;,&quot;chart_type&quot;:&quot;饼图&quot;,&quot;classifty_type&quot;:[&quot;占比类&quot;],&quot;dataSrc&quot;:{&quot;data&quot;:[[[&quot;项目&quot;,&quot;占比（%）&quot;],[&quot;教育支出&quot;,&quot;98.02&quot;],[&quot;社会保障和就业支出&quot;,&quot;0.81&quot;],[&quot;卫生健康支出&quot;,&quot;0.58&quot;],[&quot;住房保障支出&quot;,&quot;0.59&quot;]]],&quot;dataType&quot;:&quot;obejct-table&quot;,&quot;download&quot;:false,&quot;srcType&quot;:&quot;local&quot;,&quot;url&quot;:&quot;&quot;},&quot;function_type&quot;:[&quot;饼图&quot;],&quot;gif&quot;:&quot;https://image.dycharts.com/444746070325460997.gif?imageView2/2/w/500/quality/90&quot;,&quot;isFree&quot;:&quot;0&quot;,&quot;label&quot;:&quot;&lt;e-piebasic-chart&gt;&quot;,&quot;position&quot;:{&quot;left&quot;:0,&quot;top&quot;:0},&quot;price&quot;:0,&quot;projectId&quot;:&quot;164758893425733001&quot;,&quot;props&quot;:{&quot;animation&quot;:{&quot;duration&quot;:&quot;1.5&quot;,&quot;easeStyle&quot;:&quot;&quot;,&quot;endPause&quot;:&quot;1&quot;,&quot;moveOptions&quot;:[&quot;轮子&quot;,&quot;百叶窗&quot;,&quot;折扇&quot;,&quot;径向展开&quot;],&quot;moveStyle&quot;:&quot;轮子&quot;,&quot;startDelay&quot;:&quot;0&quot;,&quot;transition&quot;:true},&quot;backgroundColor&quot;:&quot;#FFFFFF&quot;,&quot;colors&quot;:{&quot;colorControlers&quot;:[&quot;multiple&quot;,&quot;linear&quot;],&quot;list&quot;:[0,1,2,3],&quot;type&quot;:&quot;multiple&quot;},&quot;display&quot;:{&quot;borderColor&quot;:&quot;#222222ff&quot;,&quot;borderWidth&quot;:1.5,&quot;cornerRadius&quot;:0,&quot;fillOpacity&quot;:&quot;1&quot;,&quot;gapPercentage&quot;:&quot;0&quot;,&quot;innerRadiusRatio&quot;:&quot;0&quot;},&quot;label&quot;:{&quot;contentChoice&quot;:[&quot;名称&quot;,&quot;百分比&quot;],&quot;contentOption&quot;:[&quot;名称&quot;,&quot;百分比&quot;,&quot;数值&quot;],&quot;display&quot;:true,&quot;positionChoice&quot;:&quot;外部&quot;,&quot;positionOptions&quot;:[&quot;内部周向&quot;,&quot;内部水平&quot;,&quot;外部&quot;],&quot;suffix&quot;:&quot;&quot;,&quot;textLabel&quot;:{&quot;color&quot;:&quot;#545454&quot;,&quot;fontFamily&quot;:&quot;OPPOSans-M&quot;,&quot;fontSize&quot;:&quot;15&quot;}},&quot;legend&quot;:{&quot;color&quot;:[&quot;#545454&quot;],&quot;fontFamily&quot;:&quot;阿里巴巴普惠体 常规&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287.5,&quot;ratio&quot;:&quot;&quot;,&quot;rotate&quot;:0,&quot;width&quot;:647.5},&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30&quot;,&quot;lineHeight&quot;:&quot;10&quot;,&quot;show&quot;:false,&quot;text&quot;:&quot;中国网红受教育水平&quot;,&quot;totalHeight&quot;:&quot;39&quot;,&quot;xPosition&quot;:&quot;center&quot;,&quot;yPosition&quot;:&quot;top&quot;},&quot;tooltip&quot;:true,&quot;unitDisplay&quot;:{&quot;bottomLineHeight&quot;:&quot;15&quot;,&quot;color&quot;:&quot;#878787&quot;,&quot;fontFamily&quot;:&quot;阿里巴巴普惠体 常规&quot;,&quot;fontSize&quot;:&quot;14&quot;,&quot;show&quot;:false,&quot;text&quot;:&quot; &quot;,&quot;xPosition&quot;:&quot;left&quot;,&quot;yPosition&quot;:&quot;top&quot;},&quot;watermarkDisplay&quot;:{&quot;imgHeight&quot;:&quot;80&quot;,&quot;imgUrl&quot;:&quot;https://ss1.dycharts.com/newchartWatermark.png&quot;,&quot;imgWidth&quot;:&quot;80&quot;,&quot;show&quot;:false}},&quot;templateId&quot;:&quot;444746070325460997-3&quot;,&quot;templateSwitch&quot;:&quot;key-value&quot;,&quot;theme&quot;:{&quot;_id&quot;:18,&quot;axis&quot;:{&quot;color&quot;:&quot;#a1a1a1&quot;},&quot;backgroundColor&quot;:&quot;#FFFFFF&quot;,&quot;card_color&quot;:&quot;#FAFAFA&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阿里巴巴普惠体 常规&quot;,&quot;fontSize&quot;:&quot;14&quot;},&quot;grid&quot;:{&quot;color&quot;:&quot;#ccc&quot;},&quot;name&quot;:&quot;默认主题&quot;,&quot;price&quot;:&quot;0.0&quot;,&quot;shapeColor&quot;:1,&quot;themeId&quot;:&quot;18&quot;,&quot;thumb&quot;:&quot;https://ss1.dydata.io/v2/themes/18.png&quot;,&quot;titleFont&quot;:{&quot;color&quot;:&quot;#4c4c4c&quot;,&quot;fontFamily&quot;:&quot;阿里巴巴普惠体 常规&quot;,&quot;fontSize&quot;:&quot;36&quot;},&quot;typeDycharts&quot;:{}},&quot;thumb&quot;:&quot;//web.docer.wpscdn.cn/docer/ds-page/images/444746070325460997-3.png&quot;,&quot;title&quot;:&quot;基础饼图&quot;,&quot;type&quot;:&quot;chart&quot;},&quot;dschart_id&quot;:&quot;444746070325460997-3&quot;,&quot;flag&quot;:&quot;1003&quot;,&quot;page&quot;:&quot;editor&quot;}"/>
    <wpswe:property key="isUseCommonErrorPage" value="false"/>
    <wpswe:property key="loadingImage" value="res:/icons/DsWebShapeDefaultPage.svg"/>
  </wpswe:properties>
  <wpswe:watchingCache>
    <wpswe:linkPath>C:/Users/Administrator/AppData/Local/Temp/wps.PNBOuB/Workbook6.xlsx</wpswe:linkPath>
  </wpswe:watchingCache>
  <wpswe:snapshot xmlns:r="http://schemas.openxmlformats.org/officeDocument/2006/relationships" r:embed="rId2"/>
  <wpswe:externalData xmlns:r="http://schemas.openxmlformats.org/officeDocument/2006/relationships" r:id="rId1"/>
  <wpswe:url>https://clientweb.docer.wps.cn/ds/1.0.0/webShapeView?id=&amp;dschart_id=444746070325460997-3&amp;from=taskbar_default&amp;productEntry=toolbar&amp;sceneEntry=tosobc_pie&amp;flag=1003</wpswe:url>
  <wpswe:constantSnapshot>false</wpswe:constantSnapshot>
</wps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5548</Words>
  <Characters>5961</Characters>
  <Lines>61</Lines>
  <Paragraphs>17</Paragraphs>
  <TotalTime>33</TotalTime>
  <ScaleCrop>false</ScaleCrop>
  <LinksUpToDate>false</LinksUpToDate>
  <CharactersWithSpaces>6042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2023-09-11T02:05:00Z</cp:lastPrinted>
  <dcterms:modified xsi:type="dcterms:W3CDTF">2025-10-16T07:05:52Z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BC32EFA1CE624710A67CC363752E2377_13</vt:lpwstr>
  </property>
  <property fmtid="{D5CDD505-2E9C-101B-9397-08002B2CF9AE}" pid="4" name="KSOTemplateDocerSaveRecord">
    <vt:lpwstr>eyJoZGlkIjoiZWM0NGU5OTNkZmVkNzQwYjBmM2FmMWI3MDg4ZmVhNTEiLCJ1c2VySWQiOiI5MjI1MzUyMzQifQ==</vt:lpwstr>
  </property>
</Properties>
</file>