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F23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0C96D0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2024年“慈善一日捐”资金</w:t>
      </w:r>
      <w:r>
        <w:rPr>
          <w:rFonts w:hint="eastAsia" w:ascii="方正小标宋简体" w:hAnsi="方正小标宋简体" w:eastAsia="方正小标宋简体" w:cs="方正小标宋简体"/>
          <w:sz w:val="44"/>
          <w:szCs w:val="44"/>
          <w:lang w:eastAsia="zh-CN"/>
        </w:rPr>
        <w:t>使用</w:t>
      </w:r>
      <w:r>
        <w:rPr>
          <w:rFonts w:hint="eastAsia" w:ascii="方正小标宋简体" w:hAnsi="方正小标宋简体" w:eastAsia="方正小标宋简体" w:cs="方正小标宋简体"/>
          <w:sz w:val="44"/>
          <w:szCs w:val="44"/>
          <w:lang w:val="en-US" w:eastAsia="zh-CN"/>
        </w:rPr>
        <w:t>明细</w:t>
      </w:r>
    </w:p>
    <w:p w14:paraId="797130B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截至2024年12月31日，2024年度“慈善一日捐”资金已支出62.71万元，统筹安排用于扶老助残、扶弱济困、助学助医、救助事故灾难等公益慈善事业。现将2024年资金使用明细公示如下。</w:t>
      </w:r>
    </w:p>
    <w:p w14:paraId="0AE767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988"/>
        <w:gridCol w:w="2033"/>
        <w:gridCol w:w="6140"/>
      </w:tblGrid>
      <w:tr w14:paraId="5A9A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 w:type="dxa"/>
            <w:vAlign w:val="center"/>
          </w:tcPr>
          <w:p w14:paraId="218978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序号</w:t>
            </w:r>
          </w:p>
        </w:tc>
        <w:tc>
          <w:tcPr>
            <w:tcW w:w="4988" w:type="dxa"/>
            <w:vAlign w:val="center"/>
          </w:tcPr>
          <w:p w14:paraId="718A22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支出名称</w:t>
            </w:r>
          </w:p>
        </w:tc>
        <w:tc>
          <w:tcPr>
            <w:tcW w:w="2033" w:type="dxa"/>
            <w:vAlign w:val="center"/>
          </w:tcPr>
          <w:p w14:paraId="753EDB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投入资金</w:t>
            </w:r>
          </w:p>
          <w:p w14:paraId="78E75E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（万元）</w:t>
            </w:r>
          </w:p>
        </w:tc>
        <w:tc>
          <w:tcPr>
            <w:tcW w:w="6140" w:type="dxa"/>
            <w:vAlign w:val="center"/>
          </w:tcPr>
          <w:p w14:paraId="1969D4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备注（截至2024年12月31日）</w:t>
            </w:r>
          </w:p>
        </w:tc>
      </w:tr>
      <w:tr w14:paraId="24AF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864" w:type="dxa"/>
            <w:vAlign w:val="center"/>
          </w:tcPr>
          <w:p w14:paraId="5C644B2F">
            <w:pPr>
              <w:tabs>
                <w:tab w:val="left" w:pos="1960"/>
                <w:tab w:val="left" w:pos="7600"/>
              </w:tabs>
              <w:adjustRightInd w:val="0"/>
              <w:snapToGrid w:val="0"/>
              <w:spacing w:after="120" w:afterLines="50" w:line="240" w:lineRule="auto"/>
              <w:jc w:val="center"/>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1</w:t>
            </w:r>
          </w:p>
        </w:tc>
        <w:tc>
          <w:tcPr>
            <w:tcW w:w="4988" w:type="dxa"/>
            <w:vAlign w:val="center"/>
          </w:tcPr>
          <w:p w14:paraId="32F41A82">
            <w:pPr>
              <w:tabs>
                <w:tab w:val="left" w:pos="1960"/>
                <w:tab w:val="left" w:pos="7600"/>
              </w:tabs>
              <w:adjustRightInd w:val="0"/>
              <w:snapToGrid w:val="0"/>
              <w:spacing w:after="120" w:afterLines="50" w:line="240" w:lineRule="auto"/>
              <w:jc w:val="both"/>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2024年“逐梦计划”慈善助学项目</w:t>
            </w:r>
          </w:p>
        </w:tc>
        <w:tc>
          <w:tcPr>
            <w:tcW w:w="2033" w:type="dxa"/>
            <w:vAlign w:val="center"/>
          </w:tcPr>
          <w:p w14:paraId="0FA582B3">
            <w:pPr>
              <w:tabs>
                <w:tab w:val="left" w:pos="1960"/>
                <w:tab w:val="left" w:pos="7600"/>
              </w:tabs>
              <w:adjustRightInd w:val="0"/>
              <w:snapToGrid w:val="0"/>
              <w:spacing w:after="120" w:afterLines="50" w:line="240" w:lineRule="auto"/>
              <w:jc w:val="center"/>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44</w:t>
            </w:r>
          </w:p>
        </w:tc>
        <w:tc>
          <w:tcPr>
            <w:tcW w:w="6140" w:type="dxa"/>
            <w:vAlign w:val="center"/>
          </w:tcPr>
          <w:p w14:paraId="7F503C8C">
            <w:pPr>
              <w:tabs>
                <w:tab w:val="left" w:pos="1960"/>
                <w:tab w:val="left" w:pos="7600"/>
              </w:tabs>
              <w:adjustRightInd w:val="0"/>
              <w:snapToGrid w:val="0"/>
              <w:spacing w:after="120" w:afterLines="50" w:line="240" w:lineRule="auto"/>
              <w:jc w:val="both"/>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资助全区2024年新入学家庭经济困难高中生50名，资助金额15万元；家庭经济困难大学生58名，资助金额29万元。</w:t>
            </w:r>
          </w:p>
        </w:tc>
      </w:tr>
      <w:tr w14:paraId="3B0C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864" w:type="dxa"/>
            <w:vAlign w:val="center"/>
          </w:tcPr>
          <w:p w14:paraId="3EAA70AD">
            <w:pPr>
              <w:tabs>
                <w:tab w:val="left" w:pos="1960"/>
                <w:tab w:val="left" w:pos="7600"/>
              </w:tabs>
              <w:adjustRightInd w:val="0"/>
              <w:snapToGrid w:val="0"/>
              <w:spacing w:after="120" w:afterLines="50" w:line="240" w:lineRule="auto"/>
              <w:jc w:val="center"/>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2</w:t>
            </w:r>
          </w:p>
        </w:tc>
        <w:tc>
          <w:tcPr>
            <w:tcW w:w="4988" w:type="dxa"/>
            <w:vAlign w:val="center"/>
          </w:tcPr>
          <w:p w14:paraId="2E15B416">
            <w:pPr>
              <w:tabs>
                <w:tab w:val="left" w:pos="1960"/>
                <w:tab w:val="left" w:pos="7600"/>
              </w:tabs>
              <w:adjustRightInd w:val="0"/>
              <w:snapToGrid w:val="0"/>
              <w:spacing w:after="120" w:afterLines="50" w:line="240" w:lineRule="auto"/>
              <w:jc w:val="both"/>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广元市利州区“爱·圆梦”家庭经济困难大学生资助项目</w:t>
            </w:r>
          </w:p>
        </w:tc>
        <w:tc>
          <w:tcPr>
            <w:tcW w:w="2033" w:type="dxa"/>
            <w:vAlign w:val="center"/>
          </w:tcPr>
          <w:p w14:paraId="74941C5A">
            <w:pPr>
              <w:tabs>
                <w:tab w:val="left" w:pos="1960"/>
                <w:tab w:val="left" w:pos="7600"/>
              </w:tabs>
              <w:adjustRightInd w:val="0"/>
              <w:snapToGrid w:val="0"/>
              <w:spacing w:after="120" w:afterLines="50" w:line="240" w:lineRule="auto"/>
              <w:jc w:val="center"/>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4</w:t>
            </w:r>
          </w:p>
        </w:tc>
        <w:tc>
          <w:tcPr>
            <w:tcW w:w="6140" w:type="dxa"/>
            <w:vAlign w:val="center"/>
          </w:tcPr>
          <w:p w14:paraId="564A59B7">
            <w:pPr>
              <w:tabs>
                <w:tab w:val="left" w:pos="1960"/>
                <w:tab w:val="left" w:pos="7600"/>
              </w:tabs>
              <w:adjustRightInd w:val="0"/>
              <w:snapToGrid w:val="0"/>
              <w:spacing w:after="120" w:afterLines="50" w:line="240" w:lineRule="auto"/>
              <w:jc w:val="both"/>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转入广元市教育基金会，为利州区家庭经济困难大学生提供资助，共计4万元。</w:t>
            </w:r>
          </w:p>
        </w:tc>
      </w:tr>
      <w:tr w14:paraId="521C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864" w:type="dxa"/>
            <w:vAlign w:val="center"/>
          </w:tcPr>
          <w:p w14:paraId="2D83CD16">
            <w:pPr>
              <w:tabs>
                <w:tab w:val="left" w:pos="1960"/>
                <w:tab w:val="left" w:pos="7600"/>
              </w:tabs>
              <w:adjustRightInd w:val="0"/>
              <w:snapToGrid w:val="0"/>
              <w:spacing w:after="120" w:afterLines="50" w:line="240" w:lineRule="auto"/>
              <w:jc w:val="center"/>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3</w:t>
            </w:r>
          </w:p>
        </w:tc>
        <w:tc>
          <w:tcPr>
            <w:tcW w:w="4988" w:type="dxa"/>
            <w:vAlign w:val="center"/>
          </w:tcPr>
          <w:p w14:paraId="3E97D629">
            <w:pPr>
              <w:tabs>
                <w:tab w:val="left" w:pos="1960"/>
                <w:tab w:val="left" w:pos="7600"/>
              </w:tabs>
              <w:adjustRightInd w:val="0"/>
              <w:snapToGrid w:val="0"/>
              <w:spacing w:after="120" w:afterLines="50" w:line="240" w:lineRule="auto"/>
              <w:jc w:val="both"/>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2024年“明眸”关爱慈善项目</w:t>
            </w:r>
          </w:p>
        </w:tc>
        <w:tc>
          <w:tcPr>
            <w:tcW w:w="2033" w:type="dxa"/>
            <w:vAlign w:val="center"/>
          </w:tcPr>
          <w:p w14:paraId="79AD82B4">
            <w:pPr>
              <w:tabs>
                <w:tab w:val="left" w:pos="1960"/>
                <w:tab w:val="left" w:pos="7600"/>
              </w:tabs>
              <w:adjustRightInd w:val="0"/>
              <w:snapToGrid w:val="0"/>
              <w:spacing w:after="120" w:afterLines="50" w:line="240" w:lineRule="auto"/>
              <w:jc w:val="center"/>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1.6</w:t>
            </w:r>
          </w:p>
        </w:tc>
        <w:tc>
          <w:tcPr>
            <w:tcW w:w="6140" w:type="dxa"/>
            <w:vAlign w:val="center"/>
          </w:tcPr>
          <w:p w14:paraId="1708FF91">
            <w:pPr>
              <w:tabs>
                <w:tab w:val="left" w:pos="1960"/>
                <w:tab w:val="left" w:pos="7600"/>
              </w:tabs>
              <w:adjustRightInd w:val="0"/>
              <w:snapToGrid w:val="0"/>
              <w:spacing w:after="120" w:afterLines="50" w:line="240" w:lineRule="auto"/>
              <w:jc w:val="both"/>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资助家庭困难23名未成年人配镜，资助金额1.4071万元；资助家庭困难1名未成年人眼疾住院，资助金额0.2万元。</w:t>
            </w:r>
          </w:p>
        </w:tc>
      </w:tr>
      <w:tr w14:paraId="1225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864" w:type="dxa"/>
            <w:vAlign w:val="center"/>
          </w:tcPr>
          <w:p w14:paraId="0627556C">
            <w:pPr>
              <w:tabs>
                <w:tab w:val="left" w:pos="1960"/>
                <w:tab w:val="left" w:pos="7600"/>
              </w:tabs>
              <w:adjustRightInd w:val="0"/>
              <w:snapToGrid w:val="0"/>
              <w:spacing w:after="120" w:afterLines="50" w:line="240" w:lineRule="auto"/>
              <w:jc w:val="center"/>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4</w:t>
            </w:r>
          </w:p>
        </w:tc>
        <w:tc>
          <w:tcPr>
            <w:tcW w:w="4988" w:type="dxa"/>
            <w:vAlign w:val="center"/>
          </w:tcPr>
          <w:p w14:paraId="4A65C16B">
            <w:pPr>
              <w:tabs>
                <w:tab w:val="left" w:pos="1960"/>
                <w:tab w:val="left" w:pos="7600"/>
              </w:tabs>
              <w:adjustRightInd w:val="0"/>
              <w:snapToGrid w:val="0"/>
              <w:spacing w:after="120" w:afterLines="50" w:line="240" w:lineRule="auto"/>
              <w:jc w:val="both"/>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“牵手未来 关爱成长”未成年人心理健康家庭教育指导慈善项目</w:t>
            </w:r>
          </w:p>
        </w:tc>
        <w:tc>
          <w:tcPr>
            <w:tcW w:w="2033" w:type="dxa"/>
            <w:vAlign w:val="center"/>
          </w:tcPr>
          <w:p w14:paraId="391943E4">
            <w:pPr>
              <w:tabs>
                <w:tab w:val="left" w:pos="1960"/>
                <w:tab w:val="left" w:pos="7600"/>
              </w:tabs>
              <w:adjustRightInd w:val="0"/>
              <w:snapToGrid w:val="0"/>
              <w:spacing w:after="120" w:afterLines="50" w:line="240" w:lineRule="auto"/>
              <w:jc w:val="center"/>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6.2</w:t>
            </w:r>
          </w:p>
        </w:tc>
        <w:tc>
          <w:tcPr>
            <w:tcW w:w="6140" w:type="dxa"/>
            <w:vAlign w:val="center"/>
          </w:tcPr>
          <w:p w14:paraId="016C29F0">
            <w:pPr>
              <w:tabs>
                <w:tab w:val="left" w:pos="1960"/>
                <w:tab w:val="left" w:pos="7600"/>
              </w:tabs>
              <w:adjustRightInd w:val="0"/>
              <w:snapToGrid w:val="0"/>
              <w:spacing w:after="120" w:afterLines="50" w:line="240" w:lineRule="auto"/>
              <w:jc w:val="both"/>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与广元市精神卫生中心签订项目合同书，2024年在全区开展未成年人心理健康知识讲座18场，服务1434人次，提供“一对一”心理咨询服</w:t>
            </w:r>
            <w:bookmarkStart w:id="0" w:name="_GoBack"/>
            <w:bookmarkEnd w:id="0"/>
            <w:r>
              <w:rPr>
                <w:rFonts w:hint="eastAsia" w:ascii="仿宋_GB2312" w:hAnsi="宋体" w:eastAsia="仿宋_GB2312"/>
                <w:color w:val="000000"/>
                <w:sz w:val="28"/>
                <w:szCs w:val="28"/>
                <w:lang w:val="en-US" w:eastAsia="zh-CN"/>
              </w:rPr>
              <w:t>务50人次，支付第一期款项6.2万元。</w:t>
            </w:r>
          </w:p>
        </w:tc>
      </w:tr>
      <w:tr w14:paraId="236E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64" w:type="dxa"/>
            <w:vAlign w:val="center"/>
          </w:tcPr>
          <w:p w14:paraId="28E58350">
            <w:pPr>
              <w:tabs>
                <w:tab w:val="left" w:pos="1960"/>
                <w:tab w:val="left" w:pos="7600"/>
              </w:tabs>
              <w:adjustRightInd w:val="0"/>
              <w:snapToGrid w:val="0"/>
              <w:spacing w:after="120" w:afterLines="50" w:line="240" w:lineRule="auto"/>
              <w:jc w:val="center"/>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5</w:t>
            </w:r>
          </w:p>
        </w:tc>
        <w:tc>
          <w:tcPr>
            <w:tcW w:w="4988" w:type="dxa"/>
            <w:shd w:val="clear" w:color="auto" w:fill="auto"/>
            <w:vAlign w:val="center"/>
          </w:tcPr>
          <w:p w14:paraId="128416D4">
            <w:pPr>
              <w:tabs>
                <w:tab w:val="left" w:pos="1960"/>
                <w:tab w:val="left" w:pos="7600"/>
              </w:tabs>
              <w:adjustRightInd w:val="0"/>
              <w:snapToGrid w:val="0"/>
              <w:spacing w:after="120" w:afterLines="50" w:line="240" w:lineRule="auto"/>
              <w:jc w:val="both"/>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捐赠甘肃省临夏回族自治州积石山保安族东乡族撒拉族自治县抗震救灾物资</w:t>
            </w:r>
          </w:p>
        </w:tc>
        <w:tc>
          <w:tcPr>
            <w:tcW w:w="2033" w:type="dxa"/>
            <w:shd w:val="clear" w:color="auto" w:fill="auto"/>
            <w:vAlign w:val="center"/>
          </w:tcPr>
          <w:p w14:paraId="5A698973">
            <w:pPr>
              <w:tabs>
                <w:tab w:val="left" w:pos="1960"/>
                <w:tab w:val="left" w:pos="7600"/>
              </w:tabs>
              <w:adjustRightInd w:val="0"/>
              <w:snapToGrid w:val="0"/>
              <w:spacing w:after="120" w:afterLines="50" w:line="240" w:lineRule="auto"/>
              <w:jc w:val="center"/>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6.91</w:t>
            </w:r>
          </w:p>
        </w:tc>
        <w:tc>
          <w:tcPr>
            <w:tcW w:w="6140" w:type="dxa"/>
            <w:shd w:val="clear" w:color="auto" w:fill="auto"/>
            <w:vAlign w:val="center"/>
          </w:tcPr>
          <w:p w14:paraId="3D7790EE">
            <w:pPr>
              <w:tabs>
                <w:tab w:val="left" w:pos="1960"/>
                <w:tab w:val="left" w:pos="7600"/>
              </w:tabs>
              <w:adjustRightInd w:val="0"/>
              <w:snapToGrid w:val="0"/>
              <w:spacing w:after="120" w:afterLines="50" w:line="240" w:lineRule="auto"/>
              <w:jc w:val="both"/>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捐赠500床棉被并运输至甘肃省临夏回族自治州积石山保安族东乡族撒拉族自治县，用于抗震救灾，金额6.91万元。</w:t>
            </w:r>
          </w:p>
        </w:tc>
      </w:tr>
    </w:tbl>
    <w:p w14:paraId="70EBFFD5">
      <w:pPr>
        <w:tabs>
          <w:tab w:val="left" w:pos="1960"/>
          <w:tab w:val="left" w:pos="7600"/>
        </w:tabs>
        <w:adjustRightInd w:val="0"/>
        <w:snapToGrid w:val="0"/>
        <w:spacing w:after="120" w:afterLines="50" w:line="240" w:lineRule="auto"/>
        <w:jc w:val="both"/>
        <w:rPr>
          <w:rFonts w:hint="default" w:ascii="仿宋_GB2312" w:hAnsi="宋体" w:eastAsia="仿宋_GB2312"/>
          <w:color w:val="000000"/>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0CC4B8A-6E14-42F8-AB10-8A9FCB5132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7C10983-4A05-4F6E-9B72-56926EF9DBDF}"/>
  </w:font>
  <w:font w:name="仿宋_GB2312">
    <w:panose1 w:val="02010609030101010101"/>
    <w:charset w:val="86"/>
    <w:family w:val="modern"/>
    <w:pitch w:val="default"/>
    <w:sig w:usb0="00000001" w:usb1="080E0000" w:usb2="00000000" w:usb3="00000000" w:csb0="00040000" w:csb1="00000000"/>
    <w:embedRegular r:id="rId3" w:fontKey="{27FC8E55-CEA9-46D2-BF1E-8F03ED75EA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80134"/>
    <w:rsid w:val="034026E5"/>
    <w:rsid w:val="080C0DE8"/>
    <w:rsid w:val="0A870BFA"/>
    <w:rsid w:val="0C811679"/>
    <w:rsid w:val="11494E5B"/>
    <w:rsid w:val="17C3523B"/>
    <w:rsid w:val="199711D8"/>
    <w:rsid w:val="1AA933C8"/>
    <w:rsid w:val="1CC730D8"/>
    <w:rsid w:val="1CC950A2"/>
    <w:rsid w:val="1CFE7131"/>
    <w:rsid w:val="1EE60E4E"/>
    <w:rsid w:val="201605FE"/>
    <w:rsid w:val="208F03B0"/>
    <w:rsid w:val="226338A3"/>
    <w:rsid w:val="241A44CC"/>
    <w:rsid w:val="2846729E"/>
    <w:rsid w:val="2A336250"/>
    <w:rsid w:val="2B633168"/>
    <w:rsid w:val="2BD15D21"/>
    <w:rsid w:val="2CE97072"/>
    <w:rsid w:val="2F357156"/>
    <w:rsid w:val="32FA3DAF"/>
    <w:rsid w:val="3364747B"/>
    <w:rsid w:val="33D3298D"/>
    <w:rsid w:val="34330EAB"/>
    <w:rsid w:val="36CE471C"/>
    <w:rsid w:val="39E5373B"/>
    <w:rsid w:val="3E001207"/>
    <w:rsid w:val="3E9C21BE"/>
    <w:rsid w:val="3EB80134"/>
    <w:rsid w:val="423A5D78"/>
    <w:rsid w:val="424B1F31"/>
    <w:rsid w:val="438C0A54"/>
    <w:rsid w:val="447D214A"/>
    <w:rsid w:val="45020EF2"/>
    <w:rsid w:val="452D591E"/>
    <w:rsid w:val="489439C9"/>
    <w:rsid w:val="4F5551B4"/>
    <w:rsid w:val="51123807"/>
    <w:rsid w:val="54FC7D07"/>
    <w:rsid w:val="556829A3"/>
    <w:rsid w:val="558028DE"/>
    <w:rsid w:val="57197DDF"/>
    <w:rsid w:val="58B06B3A"/>
    <w:rsid w:val="5DF179D9"/>
    <w:rsid w:val="5E304020"/>
    <w:rsid w:val="5E7E3EE1"/>
    <w:rsid w:val="614E6EF1"/>
    <w:rsid w:val="622A34BA"/>
    <w:rsid w:val="65EB2012"/>
    <w:rsid w:val="695D5C87"/>
    <w:rsid w:val="6C384A25"/>
    <w:rsid w:val="6C975BF0"/>
    <w:rsid w:val="7292577B"/>
    <w:rsid w:val="74775120"/>
    <w:rsid w:val="74845A32"/>
    <w:rsid w:val="74DF1945"/>
    <w:rsid w:val="76AC2297"/>
    <w:rsid w:val="7B861AB8"/>
    <w:rsid w:val="7C6D24C9"/>
    <w:rsid w:val="7D9B0519"/>
    <w:rsid w:val="7DA67B57"/>
    <w:rsid w:val="7EA5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05f5d6a3-96fd-4afe-9870-a90ea2d76262</errorID>
      <errorWord>积石山县</errorWord>
      <group>L1_Knowledge</group>
      <groupName>知识性问题</groupName>
      <ability>L2_Location</ability>
      <abilityName>地名检查</abilityName>
      <candidateList>
        <item>积石山保安族东乡族撒拉族自治县</item>
      </candidateList>
      <explain>自治区州县缩写不规范。《地名管理条例》第十八条规定，标识牌、公共平台发布的信息、各类公文证件、学习类公开出版物、地图、法律法规规定等场景范围内必须使用标准地名。</explain>
      <paraID>128416D4</paraID>
      <start>12</start>
      <end>27</end>
      <status>modified</status>
      <modifiedWord>积石山保安族东乡族撒拉族自治县</modifiedWord>
      <trackRevisions>false</trackRevisions>
    </reviewItem>
  </reviewItems>
  <config/>
</contractReview>
</file>

<file path=customXml/itemProps1.xml><?xml version="1.0" encoding="utf-8"?>
<ds:datastoreItem xmlns:ds="http://schemas.openxmlformats.org/officeDocument/2006/customXml" ds:itemID="{c7ef96c4-9155-42f6-8c4e-6f0aa2d57b82}">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498</Words>
  <Characters>565</Characters>
  <Lines>0</Lines>
  <Paragraphs>0</Paragraphs>
  <TotalTime>7</TotalTime>
  <ScaleCrop>false</ScaleCrop>
  <LinksUpToDate>false</LinksUpToDate>
  <CharactersWithSpaces>566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2025-12-15T03:34:00Z</dcterms:created>
  <dc:creator>WPS_1743475321</dc:creator>
  <cp:lastModifiedBy>公文矫正</cp:lastModifiedBy>
  <cp:lastPrinted>2025-12-29T05:38:00Z</cp:lastPrinted>
  <dcterms:modified xsi:type="dcterms:W3CDTF">2025-12-31T02:23:50Z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F98265B9F7A34DE1B1D38B0E7DB3E399_13</vt:lpwstr>
  </property>
  <property fmtid="{D5CDD505-2E9C-101B-9397-08002B2CF9AE}" pid="4" name="KSOTemplateDocerSaveRecord">
    <vt:lpwstr>eyJoZGlkIjoiZjVlMDVkMmIxOTUxZjJiOGU0OGNlODE2MzAwYjc2MjMiLCJ1c2VySWQiOiIxNzQ4NjkwMjgxIn0=</vt:lpwstr>
  </property>
</Properties>
</file>