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中共广元市利州区委巡察办</w:t>
      </w:r>
    </w:p>
    <w:p>
      <w:pPr>
        <w:spacing w:line="576" w:lineRule="exact"/>
        <w:jc w:val="center"/>
        <w:rPr>
          <w:rFonts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2019年部门预算情况说明</w:t>
      </w:r>
    </w:p>
    <w:p>
      <w:pPr>
        <w:spacing w:line="576" w:lineRule="exact"/>
        <w:jc w:val="center"/>
        <w:rPr>
          <w:rFonts w:ascii="方正小标宋简体" w:eastAsia="方正小标宋简体" w:hAnsiTheme="minorEastAsia" w:cstheme="minorEastAsia"/>
          <w:b/>
          <w:sz w:val="44"/>
          <w:szCs w:val="44"/>
        </w:rPr>
      </w:pPr>
    </w:p>
    <w:p>
      <w:pPr>
        <w:ind w:firstLine="643" w:firstLineChars="200"/>
        <w:rPr>
          <w:rFonts w:ascii="黑体" w:hAnsi="黑体" w:eastAsia="黑体" w:cstheme="minorEastAsia"/>
          <w:b/>
          <w:sz w:val="32"/>
          <w:szCs w:val="32"/>
        </w:rPr>
      </w:pPr>
      <w:r>
        <w:rPr>
          <w:rFonts w:hint="eastAsia" w:ascii="黑体" w:hAnsi="黑体" w:eastAsia="黑体" w:cstheme="minorEastAsia"/>
          <w:b/>
          <w:sz w:val="32"/>
          <w:szCs w:val="32"/>
        </w:rPr>
        <w:t>一、</w:t>
      </w:r>
      <w:r>
        <w:rPr>
          <w:rFonts w:hint="eastAsia" w:ascii="黑体" w:hAnsi="黑体" w:eastAsia="黑体" w:cstheme="minorEastAsia"/>
          <w:sz w:val="32"/>
          <w:szCs w:val="32"/>
        </w:rPr>
        <w:t>基本情况</w:t>
      </w:r>
    </w:p>
    <w:p>
      <w:pPr>
        <w:spacing w:line="560" w:lineRule="exact"/>
        <w:ind w:firstLine="640" w:firstLineChars="200"/>
        <w:rPr>
          <w:rFonts w:ascii="方正仿宋简体" w:hAnsi="宋体" w:eastAsia="方正仿宋简体"/>
          <w:color w:val="000000"/>
          <w:sz w:val="32"/>
          <w:szCs w:val="32"/>
        </w:rPr>
      </w:pP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区委巡察办组建于2016年8月，现设有四个巡察组、办公室，行政编制3个，实有在职人员12人。</w:t>
      </w:r>
    </w:p>
    <w:p>
      <w:pPr>
        <w:pStyle w:val="11"/>
        <w:numPr>
          <w:ilvl w:val="0"/>
          <w:numId w:val="1"/>
        </w:numPr>
        <w:ind w:firstLineChars="0"/>
        <w:rPr>
          <w:rFonts w:ascii="黑体" w:hAnsi="黑体" w:eastAsia="黑体" w:cstheme="minorEastAsia"/>
          <w:sz w:val="32"/>
          <w:szCs w:val="32"/>
        </w:rPr>
      </w:pPr>
      <w:r>
        <w:rPr>
          <w:rFonts w:hint="eastAsia" w:ascii="黑体" w:hAnsi="黑体" w:eastAsia="黑体" w:cstheme="minorEastAsia"/>
          <w:sz w:val="32"/>
          <w:szCs w:val="32"/>
        </w:rPr>
        <w:t>主要职能职责</w:t>
      </w:r>
    </w:p>
    <w:p>
      <w:pPr>
        <w:widowControl/>
        <w:ind w:firstLine="640" w:firstLineChars="200"/>
        <w:rPr>
          <w:rFonts w:ascii="方正仿宋简体" w:hAnsi="宋体" w:eastAsia="方正仿宋简体"/>
          <w:color w:val="000000"/>
          <w:sz w:val="32"/>
          <w:szCs w:val="32"/>
        </w:rPr>
      </w:pP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主要承担统筹协调、指导督导、服务保障职能职责，向区委和巡察工作领导小组报告工作情况，传达贯彻区委和巡察工作领导小组的决策和部署；统筹、协调、指导巡察组开展工作；承担政策研究、制度建设等工作；对区委和巡察工作领导小组决定的事项进行督查督办；配合区纪委、区委组织部及有关部门对巡察工作人员进行培训、考核、监督和管理；健全与纪检监察机关、政法机关和组织、审计、财政、信访等部门的联系机制，负责与其沟通衔接；办理区委和巡察工作领导小组以及市委巡察工作领导小组办公室交办的其他事项。</w:t>
      </w:r>
    </w:p>
    <w:p>
      <w:pPr>
        <w:pStyle w:val="11"/>
        <w:numPr>
          <w:ilvl w:val="0"/>
          <w:numId w:val="1"/>
        </w:numPr>
        <w:ind w:firstLineChars="0"/>
        <w:rPr>
          <w:rFonts w:ascii="黑体" w:hAnsi="黑体" w:eastAsia="黑体" w:cstheme="minorEastAsia"/>
          <w:sz w:val="32"/>
          <w:szCs w:val="32"/>
        </w:rPr>
      </w:pPr>
      <w:r>
        <w:rPr>
          <w:rFonts w:hint="eastAsia" w:ascii="黑体" w:hAnsi="黑体" w:eastAsia="黑体" w:cstheme="minorEastAsia"/>
          <w:sz w:val="32"/>
          <w:szCs w:val="32"/>
        </w:rPr>
        <w:t>预算收支情况说明</w:t>
      </w:r>
    </w:p>
    <w:p>
      <w:pPr>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bCs/>
          <w:sz w:val="32"/>
          <w:szCs w:val="32"/>
        </w:rPr>
        <w:t>中共广元市利州区委巡察办</w:t>
      </w:r>
      <w:r>
        <w:rPr>
          <w:rFonts w:hint="eastAsia" w:ascii="方正仿宋简体" w:eastAsia="方正仿宋简体" w:hAnsiTheme="minorEastAsia" w:cstheme="minorEastAsia"/>
          <w:sz w:val="32"/>
          <w:szCs w:val="32"/>
        </w:rPr>
        <w:t>2019年部门预算收入总数204.60万元，较2018年部门预算收入总数226.20万元减少9.55%；2019年部门预算支出总数204.60万元，较2018年部门预算支出总数226.20万元增长减少9.55%。</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bCs/>
          <w:sz w:val="32"/>
          <w:szCs w:val="32"/>
        </w:rPr>
        <w:t>中共广元市利州区委巡察办</w:t>
      </w:r>
      <w:r>
        <w:rPr>
          <w:rFonts w:hint="eastAsia" w:ascii="方正仿宋简体" w:eastAsia="方正仿宋简体" w:hAnsiTheme="minorEastAsia" w:cstheme="minorEastAsia"/>
          <w:sz w:val="32"/>
          <w:szCs w:val="32"/>
        </w:rPr>
        <w:t>2019年部门基本支出预算总数144.60万元，其中：人员支出111.84万元，公用支出32.68万元，对个人和家庭补助支出0.08万元。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bCs/>
          <w:sz w:val="32"/>
          <w:szCs w:val="32"/>
        </w:rPr>
        <w:t>中共广元市利州区委巡察办</w:t>
      </w:r>
      <w:r>
        <w:rPr>
          <w:rFonts w:hint="eastAsia" w:ascii="方正仿宋简体" w:eastAsia="方正仿宋简体" w:hAnsiTheme="minorEastAsia" w:cstheme="minorEastAsia"/>
          <w:sz w:val="32"/>
          <w:szCs w:val="32"/>
        </w:rPr>
        <w:t>2019年部门预算安排专项资金60万元（明细项目见附表）。</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四、财政拨款收支预算情况说明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w:t>
      </w:r>
      <w:r>
        <w:rPr>
          <w:rFonts w:hint="eastAsia" w:ascii="方正仿宋简体" w:eastAsia="方正仿宋简体" w:hAnsiTheme="minorEastAsia" w:cstheme="minorEastAsia"/>
          <w:bCs/>
          <w:sz w:val="32"/>
          <w:szCs w:val="32"/>
        </w:rPr>
        <w:t>中共广元市利州区委巡察办</w:t>
      </w:r>
      <w:r>
        <w:rPr>
          <w:rFonts w:hint="eastAsia" w:ascii="方正仿宋简体" w:eastAsia="方正仿宋简体" w:hAnsiTheme="minorEastAsia" w:cstheme="minorEastAsia"/>
          <w:sz w:val="32"/>
          <w:szCs w:val="32"/>
        </w:rPr>
        <w:t>2019年部门预算财政拨款收入总数204.60万元，较2018年部门预算财政拨款收入总数226.20万元减少9.55%；2019年部门预算财政拨款支出总数204.60万元，较2018年部门预算财政拨款支出总数226.20万元减少9.55%。</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五、一般公共预算当年拨款情况说明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Style w:val="7"/>
          <w:rFonts w:hint="eastAsia" w:ascii="楷体" w:hAnsi="楷体" w:eastAsia="楷体" w:cstheme="minorEastAsia"/>
          <w:b w:val="0"/>
          <w:sz w:val="32"/>
          <w:szCs w:val="32"/>
        </w:rPr>
        <w:t>（一）一般公共预算当年拨款规模变化情况</w:t>
      </w:r>
      <w:r>
        <w:rPr>
          <w:rStyle w:val="7"/>
          <w:rFonts w:hint="eastAsia" w:ascii="楷体" w:hAnsi="楷体" w:eastAsia="楷体" w:cstheme="minorEastAsia"/>
          <w:b w:val="0"/>
          <w:sz w:val="32"/>
          <w:szCs w:val="32"/>
        </w:rPr>
        <w:br w:type="textWrapping"/>
      </w:r>
      <w:r>
        <w:rPr>
          <w:rStyle w:val="7"/>
          <w:rFonts w:hint="eastAsia" w:ascii="方正仿宋简体" w:eastAsia="方正仿宋简体" w:hAnsiTheme="minorEastAsia" w:cstheme="minorEastAsia"/>
          <w:sz w:val="32"/>
          <w:szCs w:val="32"/>
        </w:rPr>
        <w:t xml:space="preserve">     </w:t>
      </w:r>
      <w:r>
        <w:rPr>
          <w:rFonts w:hint="eastAsia" w:ascii="方正仿宋简体" w:eastAsia="方正仿宋简体" w:hAnsiTheme="minorEastAsia" w:cstheme="minorEastAsia"/>
          <w:sz w:val="32"/>
          <w:szCs w:val="32"/>
        </w:rPr>
        <w:t>2019年一般公共预算当年拨款</w:t>
      </w:r>
      <w:r>
        <w:rPr>
          <w:rFonts w:hint="eastAsia" w:ascii="方正仿宋简体" w:eastAsia="方正仿宋简体" w:hAnsiTheme="minorEastAsia" w:cstheme="minorEastAsia"/>
          <w:sz w:val="32"/>
          <w:szCs w:val="32"/>
          <w:lang w:val="en-US" w:eastAsia="zh-CN"/>
        </w:rPr>
        <w:t>154.6</w:t>
      </w:r>
      <w:r>
        <w:rPr>
          <w:rFonts w:hint="eastAsia" w:ascii="方正仿宋简体" w:eastAsia="方正仿宋简体" w:hAnsiTheme="minorEastAsia" w:cstheme="minorEastAsia"/>
          <w:sz w:val="32"/>
          <w:szCs w:val="32"/>
        </w:rPr>
        <w:t>万元，比2018年预算数减少</w:t>
      </w:r>
      <w:r>
        <w:rPr>
          <w:rFonts w:hint="eastAsia" w:ascii="方正仿宋简体" w:eastAsia="方正仿宋简体" w:hAnsiTheme="minorEastAsia" w:cstheme="minorEastAsia"/>
          <w:sz w:val="32"/>
          <w:szCs w:val="32"/>
          <w:lang w:val="en-US" w:eastAsia="zh-CN"/>
        </w:rPr>
        <w:t>1.6034</w:t>
      </w:r>
      <w:bookmarkStart w:id="0" w:name="_GoBack"/>
      <w:bookmarkEnd w:id="0"/>
      <w:r>
        <w:rPr>
          <w:rFonts w:hint="eastAsia" w:ascii="方正仿宋简体" w:eastAsia="方正仿宋简体" w:hAnsiTheme="minorEastAsia" w:cstheme="minorEastAsia"/>
          <w:sz w:val="32"/>
          <w:szCs w:val="32"/>
        </w:rPr>
        <w:t>万元，主要原因是人员调整，人员经费减少。</w:t>
      </w:r>
    </w:p>
    <w:p>
      <w:pPr>
        <w:adjustRightInd w:val="0"/>
        <w:ind w:firstLine="640" w:firstLineChars="200"/>
        <w:rPr>
          <w:rStyle w:val="7"/>
          <w:rFonts w:ascii="楷体" w:hAnsi="楷体" w:eastAsia="楷体" w:cstheme="minorEastAsia"/>
          <w:b w:val="0"/>
          <w:sz w:val="32"/>
          <w:szCs w:val="32"/>
        </w:rPr>
      </w:pPr>
      <w:r>
        <w:rPr>
          <w:rStyle w:val="7"/>
          <w:rFonts w:hint="eastAsia" w:ascii="楷体" w:hAnsi="楷体" w:eastAsia="楷体" w:cstheme="minorEastAsia"/>
          <w:b w:val="0"/>
          <w:sz w:val="32"/>
          <w:szCs w:val="32"/>
        </w:rPr>
        <w:t>（二）一般公共预算当年拨款结构情况</w:t>
      </w:r>
    </w:p>
    <w:p>
      <w:pPr>
        <w:adjustRightInd w:val="0"/>
        <w:ind w:firstLine="640" w:firstLineChars="200"/>
        <w:rPr>
          <w:rStyle w:val="7"/>
          <w:rFonts w:ascii="楷体" w:hAnsi="楷体" w:eastAsia="楷体" w:cstheme="minorEastAsia"/>
          <w:b w:val="0"/>
          <w:sz w:val="32"/>
          <w:szCs w:val="32"/>
        </w:rPr>
      </w:pPr>
      <w:r>
        <w:rPr>
          <w:rFonts w:hint="eastAsia" w:ascii="方正仿宋简体" w:eastAsia="方正仿宋简体" w:hAnsiTheme="minorEastAsia" w:cstheme="minorEastAsia"/>
          <w:sz w:val="32"/>
          <w:szCs w:val="32"/>
        </w:rPr>
        <w:t>一般公共服务支出114.13万元,占78.93%；社会保障和就业支出15.58万元，占10.77%；卫生健康支出5.96万元，占4.12%；住房保障支出8.93万元，占6.18%。</w:t>
      </w:r>
      <w:r>
        <w:rPr>
          <w:rFonts w:hint="eastAsia" w:ascii="方正仿宋简体" w:eastAsia="方正仿宋简体" w:hAnsiTheme="minorEastAsia" w:cstheme="minorEastAsia"/>
          <w:sz w:val="32"/>
          <w:szCs w:val="32"/>
        </w:rPr>
        <w:br w:type="textWrapping"/>
      </w:r>
      <w:r>
        <w:rPr>
          <w:rStyle w:val="7"/>
          <w:rFonts w:hint="eastAsia" w:ascii="方正仿宋简体" w:eastAsia="方正仿宋简体" w:hAnsiTheme="minorEastAsia" w:cstheme="minorEastAsia"/>
          <w:sz w:val="32"/>
          <w:szCs w:val="32"/>
        </w:rPr>
        <w:t>　　</w:t>
      </w:r>
      <w:r>
        <w:rPr>
          <w:rStyle w:val="7"/>
          <w:rFonts w:hint="eastAsia" w:ascii="楷体" w:hAnsi="楷体" w:eastAsia="楷体" w:cstheme="minorEastAsia"/>
          <w:b w:val="0"/>
          <w:sz w:val="32"/>
          <w:szCs w:val="32"/>
        </w:rPr>
        <w:t>（三）一般公共预算当年拨款具体使用情况</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1.一般公共服务（类）</w:t>
      </w:r>
      <w:r>
        <w:rPr>
          <w:rFonts w:hint="eastAsia" w:ascii="方正仿宋简体" w:eastAsia="方正仿宋简体" w:hAnsiTheme="minorEastAsia" w:cstheme="minorEastAsia"/>
          <w:sz w:val="32"/>
          <w:szCs w:val="32"/>
          <w:lang w:eastAsia="zh-CN"/>
        </w:rPr>
        <w:t>纪检监察</w:t>
      </w:r>
      <w:r>
        <w:rPr>
          <w:rFonts w:hint="eastAsia" w:ascii="方正仿宋简体" w:eastAsia="方正仿宋简体" w:hAnsiTheme="minorEastAsia" w:cstheme="minorEastAsia"/>
          <w:sz w:val="32"/>
          <w:szCs w:val="32"/>
        </w:rPr>
        <w:t>事务（款）行政运行（项）2019年预算数为114.13万元，主要用于：</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正常运转的基本支出，包括基本工资、津贴补贴等人员经费以及办公费、印刷费、水电费等日常公用经费,保障部门正常运转。</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2.社会保障和就业（类）行政事业单位离退休（款）机关事业单位基本养老保险缴费支出（项）2019年预算数为15.58万元，主要用于：</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基本养老保险费的支出。　</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3.卫生健康支出（类）行政事业单位医疗（款）行政单位医疗（项）2019年预算数为5.96万元，主要用于：区委巡察办基本医疗保险缴费支出。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4.住房保障（类）住房改革支出（款）住房公积金（项）2019年预算数为8.93万元，主要用于：部门按人力资源和社会保障部、财政部规定的基本工资和津贴补贴以及规定比例为职工缴纳的住房公积金支出。</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六、一般公共预算基本支出情况说明</w:t>
      </w:r>
      <w:r>
        <w:rPr>
          <w:rFonts w:hint="eastAsia" w:ascii="黑体" w:hAnsi="黑体" w:eastAsia="黑体" w:cstheme="minorEastAsia"/>
          <w:sz w:val="32"/>
          <w:szCs w:val="32"/>
        </w:rPr>
        <w:br w:type="textWrapping"/>
      </w:r>
      <w:r>
        <w:rPr>
          <w:rFonts w:hint="eastAsia" w:ascii="方正仿宋简体" w:eastAsia="方正仿宋简体" w:hAnsiTheme="minorEastAsia" w:cstheme="minorEastAsia"/>
          <w:sz w:val="32"/>
          <w:szCs w:val="32"/>
        </w:rPr>
        <w:t xml:space="preserve">　  </w:t>
      </w:r>
      <w:r>
        <w:rPr>
          <w:rFonts w:hint="eastAsia" w:ascii="方正仿宋简体" w:eastAsia="方正仿宋简体" w:hAnsiTheme="minorEastAsia" w:cstheme="minorEastAsia"/>
          <w:bCs/>
          <w:sz w:val="32"/>
          <w:szCs w:val="32"/>
        </w:rPr>
        <w:t>中共广元市利州区委巡察办</w:t>
      </w:r>
      <w:r>
        <w:rPr>
          <w:rFonts w:hint="eastAsia" w:ascii="方正仿宋简体" w:eastAsia="方正仿宋简体" w:hAnsiTheme="minorEastAsia" w:cstheme="minorEastAsia"/>
          <w:sz w:val="32"/>
          <w:szCs w:val="32"/>
        </w:rPr>
        <w:t>2019年一般公共预算基本支出144.60万元，其中：人员经费111.84万元，主要包括：基本工资、津贴补贴、奖金、社会保险缴费等支出。公用经费32.68万元，主要包括：办公费、水费、电费、邮电费、印刷费、差旅费、维修（护）费、物业管理费、劳务费等支出。对个人和家庭补助支出0.08万元，主要是独生子女费。</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七、“三公”经费财政拨款预算安排情况说明</w:t>
      </w:r>
      <w:r>
        <w:rPr>
          <w:rFonts w:hint="eastAsia" w:ascii="黑体" w:hAnsi="黑体" w:eastAsia="黑体" w:cstheme="minorEastAsia"/>
          <w:sz w:val="32"/>
          <w:szCs w:val="32"/>
        </w:rPr>
        <w:br w:type="textWrapping"/>
      </w:r>
      <w:r>
        <w:rPr>
          <w:rFonts w:hint="eastAsia" w:ascii="方正仿宋简体" w:eastAsia="方正仿宋简体" w:hAnsiTheme="minorEastAsia" w:cstheme="minorEastAsia"/>
          <w:sz w:val="32"/>
          <w:szCs w:val="32"/>
        </w:rPr>
        <w:t>　  财政拨款安排“三公”经费预算0.94万元，较2018年部门预算收入3.00万元减少68.67%。其中：2019年安排公务接待费预算0.94万元，安排公车购置及运行维护费0万元。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（一）公务接待费较2018年预算下降68.67%。</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2019年公务接待费计划用于执行接待考察调研、检查指导等公务活动开支的交通费、住宿费、用餐费等。</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（二）公务用车购置及运行维护费为0元。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2019年未安排公务用车购置费。</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八、政府性基金预算支出情况说明</w:t>
      </w:r>
      <w:r>
        <w:rPr>
          <w:rFonts w:hint="eastAsia" w:ascii="黑体" w:hAnsi="黑体" w:eastAsia="黑体"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2019年没有使用政府性基金预算拨款安排的支出。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九、国有资本经营预算支出情况说明</w:t>
      </w:r>
      <w:r>
        <w:rPr>
          <w:rFonts w:hint="eastAsia" w:ascii="黑体" w:hAnsi="黑体" w:eastAsia="黑体"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2019年没有使用国有资本经营预算拨款安排的支出。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十、其他重要事项的情况说明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Style w:val="7"/>
          <w:rFonts w:hint="eastAsia" w:ascii="楷体" w:hAnsi="楷体" w:eastAsia="楷体" w:cstheme="minorEastAsia"/>
          <w:b w:val="0"/>
          <w:sz w:val="32"/>
          <w:szCs w:val="32"/>
        </w:rPr>
        <w:t>（一）机关运行经费</w:t>
      </w:r>
      <w:r>
        <w:rPr>
          <w:rStyle w:val="7"/>
          <w:rFonts w:hint="eastAsia" w:ascii="楷体" w:hAnsi="楷体" w:eastAsia="楷体" w:cstheme="minorEastAsia"/>
          <w:b w:val="0"/>
          <w:sz w:val="32"/>
          <w:szCs w:val="32"/>
        </w:rPr>
        <w:br w:type="textWrapping"/>
      </w:r>
      <w:r>
        <w:rPr>
          <w:rFonts w:hint="eastAsia" w:ascii="方正仿宋简体" w:eastAsia="方正仿宋简体" w:hAnsiTheme="minorEastAsia" w:cstheme="minorEastAsia"/>
          <w:sz w:val="32"/>
          <w:szCs w:val="32"/>
        </w:rPr>
        <w:t>　　2019年，</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机关运行经费财政拨款预算为32.68万元，比2018年预算减少0.20万元，下降0.61%。主要原因是人员减少。</w:t>
      </w:r>
      <w:r>
        <w:rPr>
          <w:rFonts w:hint="eastAsia" w:ascii="方正仿宋简体" w:eastAsia="方正仿宋简体" w:hAnsiTheme="minorEastAsia" w:cstheme="minorEastAsia"/>
          <w:sz w:val="32"/>
          <w:szCs w:val="32"/>
        </w:rPr>
        <w:br w:type="textWrapping"/>
      </w:r>
      <w:r>
        <w:rPr>
          <w:rStyle w:val="7"/>
          <w:rFonts w:hint="eastAsia" w:ascii="方正仿宋简体" w:eastAsia="方正仿宋简体" w:hAnsiTheme="minorEastAsia" w:cstheme="minorEastAsia"/>
          <w:sz w:val="32"/>
          <w:szCs w:val="32"/>
        </w:rPr>
        <w:t>　　</w:t>
      </w:r>
      <w:r>
        <w:rPr>
          <w:rStyle w:val="7"/>
          <w:rFonts w:hint="eastAsia" w:ascii="楷体" w:hAnsi="楷体" w:eastAsia="楷体" w:cstheme="minorEastAsia"/>
          <w:b w:val="0"/>
          <w:sz w:val="32"/>
          <w:szCs w:val="32"/>
        </w:rPr>
        <w:t>（二）政府采购情况</w:t>
      </w:r>
      <w:r>
        <w:rPr>
          <w:rStyle w:val="7"/>
          <w:rFonts w:hint="eastAsia" w:ascii="楷体" w:hAnsi="楷体" w:eastAsia="楷体" w:cstheme="minorEastAsia"/>
          <w:b w:val="0"/>
          <w:sz w:val="32"/>
          <w:szCs w:val="32"/>
        </w:rPr>
        <w:br w:type="textWrapping"/>
      </w:r>
      <w:r>
        <w:rPr>
          <w:rFonts w:hint="eastAsia" w:ascii="方正仿宋简体" w:eastAsia="方正仿宋简体" w:hAnsiTheme="minorEastAsia" w:cstheme="minorEastAsia"/>
          <w:sz w:val="32"/>
          <w:szCs w:val="32"/>
        </w:rPr>
        <w:t>　　2019年，</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安排政府采购预算10万元，主要用于采购巡察机构谈话室建设。</w:t>
      </w:r>
    </w:p>
    <w:p>
      <w:pPr>
        <w:adjustRightInd w:val="0"/>
        <w:ind w:firstLine="640" w:firstLineChars="200"/>
        <w:rPr>
          <w:rFonts w:ascii="方正仿宋简体" w:eastAsia="方正仿宋简体" w:hAnsiTheme="minorEastAsia" w:cstheme="minorEastAsia"/>
          <w:sz w:val="32"/>
          <w:szCs w:val="32"/>
        </w:rPr>
      </w:pPr>
      <w:r>
        <w:rPr>
          <w:rStyle w:val="7"/>
          <w:rFonts w:hint="eastAsia" w:ascii="楷体" w:hAnsi="楷体" w:eastAsia="楷体" w:cstheme="minorEastAsia"/>
          <w:b w:val="0"/>
          <w:sz w:val="32"/>
          <w:szCs w:val="32"/>
        </w:rPr>
        <w:t>（三）国有资产占有使用情况</w:t>
      </w:r>
      <w:r>
        <w:rPr>
          <w:rStyle w:val="7"/>
          <w:rFonts w:hint="eastAsia" w:ascii="楷体" w:hAnsi="楷体" w:eastAsia="楷体" w:cstheme="minorEastAsia"/>
          <w:b w:val="0"/>
          <w:sz w:val="32"/>
          <w:szCs w:val="32"/>
        </w:rPr>
        <w:br w:type="textWrapping"/>
      </w:r>
      <w:r>
        <w:rPr>
          <w:rFonts w:hint="eastAsia" w:ascii="方正仿宋简体" w:eastAsia="方正仿宋简体" w:hAnsiTheme="minorEastAsia" w:cstheme="minorEastAsia"/>
          <w:sz w:val="32"/>
          <w:szCs w:val="32"/>
        </w:rPr>
        <w:t>　　截至2018年底，</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无车辆。无单位价值10万元以上大型设备。</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2019年部门预算未安排购置车辆及单位价值20万元以上大型设备。</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Style w:val="7"/>
          <w:rFonts w:hint="eastAsia" w:ascii="楷体" w:hAnsi="楷体" w:eastAsia="楷体" w:cstheme="minorEastAsia"/>
          <w:b w:val="0"/>
          <w:sz w:val="32"/>
          <w:szCs w:val="32"/>
        </w:rPr>
        <w:t>（四）绩效目标设置情况</w:t>
      </w:r>
      <w:r>
        <w:rPr>
          <w:rStyle w:val="7"/>
          <w:rFonts w:hint="eastAsia" w:ascii="楷体" w:hAnsi="楷体" w:eastAsia="楷体" w:cstheme="minorEastAsia"/>
          <w:b w:val="0"/>
          <w:sz w:val="32"/>
          <w:szCs w:val="32"/>
        </w:rPr>
        <w:br w:type="textWrapping"/>
      </w:r>
      <w:r>
        <w:rPr>
          <w:rFonts w:hint="eastAsia" w:ascii="方正仿宋简体" w:eastAsia="方正仿宋简体" w:hAnsiTheme="minorEastAsia" w:cstheme="minorEastAsia"/>
          <w:sz w:val="32"/>
          <w:szCs w:val="32"/>
        </w:rPr>
        <w:t>　　绩效目标是预算编制的前提和基础，按照“费随事定”的原则，2019年</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十一、名词解释</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（一）一般公共预算拨款收入：指省级财政当年拨付的资金。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（二）一般公共服务（类）财政事务（款）行政运行（项）：指巡察机关用于保障机构正常运行、开展日常工作的基本支出。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（三）社会保障和就业（类）行政事业单位离退休（款）机关事业单位基本养老保险缴费支出（项）：指部门实施养老保险制度由单位缴纳的养老保险费的支出。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（四）卫生健康（类）行政事业单位医疗（款）行政单位医疗（项）：指巡察机关用于缴纳单位基本医疗保险支出。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（五）住房保障（类）住房改革支出（款）住房公积金（项）：指按照《住房公积金管理条例》的规定，由单位及其在职职工缴存的长期住房储金。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（六）基本支出：指为保证机构正常运转，完成日常工作任务而发生的人员支出和公用支出。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（七）项目支出：指在基本支出之外为完成特定行政任务和事业发展目标所发生的支出。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（八）“三公”经费：纳入</w:t>
      </w:r>
      <w:r>
        <w:rPr>
          <w:rFonts w:hint="eastAsia" w:ascii="方正仿宋简体" w:eastAsia="方正仿宋简体" w:hAnsiTheme="minorEastAsia" w:cstheme="minorEastAsia"/>
          <w:bCs/>
          <w:sz w:val="32"/>
          <w:szCs w:val="32"/>
        </w:rPr>
        <w:t>中共广元市利州</w:t>
      </w:r>
      <w:r>
        <w:rPr>
          <w:rFonts w:hint="eastAsia" w:ascii="方正仿宋简体" w:hAnsi="宋体" w:eastAsia="方正仿宋简体"/>
          <w:color w:val="000000"/>
          <w:sz w:val="32"/>
          <w:szCs w:val="32"/>
        </w:rPr>
        <w:t>区委巡察办</w:t>
      </w:r>
      <w:r>
        <w:rPr>
          <w:rFonts w:hint="eastAsia" w:ascii="方正仿宋简体" w:eastAsia="方正仿宋简体" w:hAnsiTheme="minorEastAsia" w:cstheme="minorEastAsia"/>
          <w:sz w:val="32"/>
          <w:szCs w:val="32"/>
        </w:rPr>
        <w:t>预算管理的“三公”经费，是指单位用财政拨款安排的公务接待费。公务接待费反映单位按规定开支的各类公务接待（含外宾接待）支出。</w:t>
      </w:r>
      <w:r>
        <w:rPr>
          <w:rFonts w:hint="eastAsia" w:ascii="方正仿宋简体" w:eastAsia="方正仿宋简体" w:hAnsiTheme="minorEastAsia" w:cstheme="minorEastAsia"/>
          <w:sz w:val="32"/>
          <w:szCs w:val="32"/>
        </w:rPr>
        <w:br w:type="textWrapping"/>
      </w: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hint="eastAsia" w:ascii="方正仿宋简体" w:eastAsia="方正仿宋简体" w:hAnsiTheme="minorEastAsia" w:cstheme="minorEastAsia"/>
          <w:sz w:val="32"/>
          <w:szCs w:val="32"/>
        </w:rPr>
      </w:pPr>
    </w:p>
    <w:p>
      <w:pPr>
        <w:adjustRightInd w:val="0"/>
        <w:ind w:firstLine="640" w:firstLineChars="200"/>
        <w:rPr>
          <w:rFonts w:ascii="方正仿宋简体" w:eastAsia="方正仿宋简体" w:hAnsiTheme="minorEastAsia" w:cstheme="minorEastAsia"/>
          <w:sz w:val="32"/>
          <w:szCs w:val="32"/>
        </w:rPr>
      </w:pPr>
    </w:p>
    <w:p>
      <w:pPr>
        <w:adjustRightInd w:val="0"/>
        <w:ind w:firstLine="640" w:firstLineChars="200"/>
        <w:rPr>
          <w:rFonts w:ascii="黑体" w:hAnsi="黑体" w:eastAsia="黑体" w:cstheme="minorEastAsia"/>
          <w:sz w:val="32"/>
          <w:szCs w:val="32"/>
        </w:rPr>
      </w:pPr>
      <w:r>
        <w:rPr>
          <w:rFonts w:hint="eastAsia" w:ascii="方正仿宋简体" w:eastAsia="方正仿宋简体" w:hAnsiTheme="minorEastAsia" w:cstheme="minorEastAsia"/>
          <w:sz w:val="32"/>
          <w:szCs w:val="32"/>
        </w:rPr>
        <w:t>附表</w:t>
      </w:r>
    </w:p>
    <w:tbl>
      <w:tblPr>
        <w:tblStyle w:val="5"/>
        <w:tblW w:w="8237" w:type="dxa"/>
        <w:tblInd w:w="93" w:type="dxa"/>
        <w:tblLayout w:type="fixed"/>
        <w:tblCellMar>
          <w:top w:w="0" w:type="dxa"/>
          <w:left w:w="108" w:type="dxa"/>
          <w:bottom w:w="0" w:type="dxa"/>
          <w:right w:w="108" w:type="dxa"/>
        </w:tblCellMar>
      </w:tblPr>
      <w:tblGrid>
        <w:gridCol w:w="724"/>
        <w:gridCol w:w="96"/>
        <w:gridCol w:w="412"/>
        <w:gridCol w:w="412"/>
        <w:gridCol w:w="214"/>
        <w:gridCol w:w="3260"/>
        <w:gridCol w:w="3119"/>
      </w:tblGrid>
      <w:tr>
        <w:tblPrEx>
          <w:tblLayout w:type="fixed"/>
          <w:tblCellMar>
            <w:top w:w="0" w:type="dxa"/>
            <w:left w:w="108" w:type="dxa"/>
            <w:bottom w:w="0" w:type="dxa"/>
            <w:right w:w="108" w:type="dxa"/>
          </w:tblCellMar>
        </w:tblPrEx>
        <w:trPr>
          <w:trHeight w:val="360" w:hRule="atLeast"/>
        </w:trPr>
        <w:tc>
          <w:tcPr>
            <w:tcW w:w="820" w:type="dxa"/>
            <w:gridSpan w:val="2"/>
            <w:tcBorders>
              <w:top w:val="nil"/>
              <w:left w:val="nil"/>
              <w:bottom w:val="nil"/>
              <w:right w:val="nil"/>
            </w:tcBorders>
            <w:shd w:val="clear" w:color="auto" w:fill="auto"/>
            <w:noWrap/>
            <w:vAlign w:val="bottom"/>
          </w:tcPr>
          <w:p>
            <w:pPr>
              <w:widowControl/>
              <w:jc w:val="left"/>
              <w:rPr>
                <w:rFonts w:ascii="黑体" w:hAnsi="黑体" w:eastAsia="黑体" w:cstheme="minorEastAsia"/>
                <w:sz w:val="32"/>
                <w:szCs w:val="32"/>
              </w:rPr>
            </w:pPr>
          </w:p>
        </w:tc>
        <w:tc>
          <w:tcPr>
            <w:tcW w:w="7417" w:type="dxa"/>
            <w:gridSpan w:val="5"/>
            <w:tcBorders>
              <w:top w:val="nil"/>
              <w:left w:val="nil"/>
              <w:bottom w:val="nil"/>
              <w:right w:val="nil"/>
            </w:tcBorders>
            <w:shd w:val="clear" w:color="auto" w:fill="auto"/>
            <w:noWrap/>
            <w:vAlign w:val="center"/>
          </w:tcPr>
          <w:p>
            <w:pPr>
              <w:widowControl/>
              <w:jc w:val="center"/>
              <w:rPr>
                <w:rFonts w:ascii="黑体" w:hAnsi="黑体" w:eastAsia="黑体" w:cstheme="minorEastAsia"/>
                <w:sz w:val="32"/>
                <w:szCs w:val="32"/>
              </w:rPr>
            </w:pPr>
            <w:r>
              <w:rPr>
                <w:rFonts w:hint="eastAsia" w:ascii="黑体" w:hAnsi="黑体" w:eastAsia="黑体" w:cstheme="minorEastAsia"/>
                <w:sz w:val="32"/>
                <w:szCs w:val="32"/>
              </w:rPr>
              <w:t>专项支出预算表</w:t>
            </w:r>
          </w:p>
        </w:tc>
      </w:tr>
      <w:tr>
        <w:tblPrEx>
          <w:tblLayout w:type="fixed"/>
          <w:tblCellMar>
            <w:top w:w="0" w:type="dxa"/>
            <w:left w:w="108" w:type="dxa"/>
            <w:bottom w:w="0" w:type="dxa"/>
            <w:right w:w="108" w:type="dxa"/>
          </w:tblCellMar>
        </w:tblPrEx>
        <w:trPr>
          <w:trHeight w:val="360" w:hRule="atLeast"/>
        </w:trPr>
        <w:tc>
          <w:tcPr>
            <w:tcW w:w="820" w:type="dxa"/>
            <w:gridSpan w:val="2"/>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 w:val="22"/>
                <w:szCs w:val="22"/>
              </w:rPr>
            </w:pPr>
          </w:p>
        </w:tc>
        <w:tc>
          <w:tcPr>
            <w:tcW w:w="412"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 w:val="22"/>
                <w:szCs w:val="22"/>
              </w:rPr>
            </w:pPr>
          </w:p>
        </w:tc>
        <w:tc>
          <w:tcPr>
            <w:tcW w:w="412"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 w:val="22"/>
                <w:szCs w:val="22"/>
              </w:rPr>
            </w:pPr>
          </w:p>
        </w:tc>
        <w:tc>
          <w:tcPr>
            <w:tcW w:w="3474" w:type="dxa"/>
            <w:gridSpan w:val="2"/>
            <w:tcBorders>
              <w:top w:val="nil"/>
              <w:left w:val="nil"/>
              <w:bottom w:val="nil"/>
              <w:right w:val="nil"/>
            </w:tcBorders>
            <w:shd w:val="clear" w:color="auto" w:fill="auto"/>
            <w:noWrap/>
            <w:vAlign w:val="center"/>
          </w:tcPr>
          <w:p>
            <w:pPr>
              <w:widowControl/>
              <w:jc w:val="left"/>
              <w:rPr>
                <w:rFonts w:ascii="方正仿宋简体" w:hAnsi="宋体" w:eastAsia="方正仿宋简体" w:cs="宋体"/>
                <w:kern w:val="0"/>
                <w:sz w:val="22"/>
                <w:szCs w:val="22"/>
              </w:rPr>
            </w:pPr>
          </w:p>
        </w:tc>
        <w:tc>
          <w:tcPr>
            <w:tcW w:w="3119" w:type="dxa"/>
            <w:tcBorders>
              <w:top w:val="nil"/>
              <w:left w:val="nil"/>
              <w:bottom w:val="nil"/>
              <w:right w:val="nil"/>
            </w:tcBorders>
            <w:shd w:val="clear" w:color="auto" w:fill="auto"/>
            <w:noWrap/>
            <w:vAlign w:val="center"/>
          </w:tcPr>
          <w:p>
            <w:pPr>
              <w:widowControl/>
              <w:ind w:right="400"/>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单位:元</w:t>
            </w:r>
          </w:p>
        </w:tc>
      </w:tr>
      <w:tr>
        <w:tblPrEx>
          <w:tblLayout w:type="fixed"/>
          <w:tblCellMar>
            <w:top w:w="0" w:type="dxa"/>
            <w:left w:w="108" w:type="dxa"/>
            <w:bottom w:w="0" w:type="dxa"/>
            <w:right w:w="108" w:type="dxa"/>
          </w:tblCellMar>
        </w:tblPrEx>
        <w:trPr>
          <w:trHeight w:val="480" w:hRule="atLeast"/>
        </w:trPr>
        <w:tc>
          <w:tcPr>
            <w:tcW w:w="5118" w:type="dxa"/>
            <w:gridSpan w:val="6"/>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仿宋简体" w:hAnsi="黑体" w:eastAsia="方正仿宋简体" w:cs="宋体"/>
                <w:kern w:val="0"/>
                <w:sz w:val="22"/>
                <w:szCs w:val="22"/>
              </w:rPr>
            </w:pPr>
            <w:r>
              <w:rPr>
                <w:rFonts w:hint="eastAsia" w:ascii="方正仿宋简体" w:hAnsi="黑体" w:eastAsia="方正仿宋简体" w:cs="宋体"/>
                <w:kern w:val="0"/>
                <w:sz w:val="22"/>
                <w:szCs w:val="22"/>
              </w:rPr>
              <w:t>项目</w:t>
            </w:r>
          </w:p>
        </w:tc>
        <w:tc>
          <w:tcPr>
            <w:tcW w:w="311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金额</w:t>
            </w:r>
          </w:p>
        </w:tc>
      </w:tr>
      <w:tr>
        <w:tblPrEx>
          <w:tblLayout w:type="fixed"/>
          <w:tblCellMar>
            <w:top w:w="0" w:type="dxa"/>
            <w:left w:w="108" w:type="dxa"/>
            <w:bottom w:w="0" w:type="dxa"/>
            <w:right w:w="108" w:type="dxa"/>
          </w:tblCellMar>
        </w:tblPrEx>
        <w:trPr>
          <w:trHeight w:val="360" w:hRule="atLeast"/>
        </w:trPr>
        <w:tc>
          <w:tcPr>
            <w:tcW w:w="1858"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科目编码</w:t>
            </w:r>
          </w:p>
        </w:tc>
        <w:tc>
          <w:tcPr>
            <w:tcW w:w="3260"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单位名称(项目名称)</w:t>
            </w:r>
          </w:p>
        </w:tc>
        <w:tc>
          <w:tcPr>
            <w:tcW w:w="3119" w:type="dxa"/>
            <w:vMerge w:val="continue"/>
            <w:tcBorders>
              <w:top w:val="single" w:color="auto" w:sz="4" w:space="0"/>
              <w:left w:val="nil"/>
              <w:bottom w:val="single" w:color="auto" w:sz="4" w:space="0"/>
              <w:right w:val="single" w:color="auto" w:sz="4" w:space="0"/>
            </w:tcBorders>
            <w:vAlign w:val="center"/>
          </w:tcPr>
          <w:p>
            <w:pPr>
              <w:widowControl/>
              <w:jc w:val="left"/>
              <w:rPr>
                <w:rFonts w:ascii="方正仿宋简体" w:hAnsi="宋体" w:eastAsia="方正仿宋简体" w:cs="宋体"/>
                <w:kern w:val="0"/>
                <w:sz w:val="22"/>
                <w:szCs w:val="22"/>
              </w:rPr>
            </w:pPr>
          </w:p>
        </w:tc>
      </w:tr>
      <w:tr>
        <w:tblPrEx>
          <w:tblLayout w:type="fixed"/>
          <w:tblCellMar>
            <w:top w:w="0" w:type="dxa"/>
            <w:left w:w="108" w:type="dxa"/>
            <w:bottom w:w="0" w:type="dxa"/>
            <w:right w:w="108" w:type="dxa"/>
          </w:tblCellMar>
        </w:tblPrEx>
        <w:trPr>
          <w:trHeight w:val="405" w:hRule="atLeast"/>
        </w:trPr>
        <w:tc>
          <w:tcPr>
            <w:tcW w:w="724" w:type="dxa"/>
            <w:tcBorders>
              <w:top w:val="nil"/>
              <w:left w:val="single" w:color="auto" w:sz="4" w:space="0"/>
              <w:bottom w:val="nil"/>
              <w:right w:val="single" w:color="auto" w:sz="4" w:space="0"/>
            </w:tcBorders>
            <w:shd w:val="clear" w:color="auto" w:fill="auto"/>
            <w:noWrap/>
            <w:vAlign w:val="center"/>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类</w:t>
            </w:r>
          </w:p>
        </w:tc>
        <w:tc>
          <w:tcPr>
            <w:tcW w:w="508" w:type="dxa"/>
            <w:gridSpan w:val="2"/>
            <w:tcBorders>
              <w:top w:val="nil"/>
              <w:left w:val="nil"/>
              <w:bottom w:val="nil"/>
              <w:right w:val="single" w:color="auto" w:sz="4" w:space="0"/>
            </w:tcBorders>
            <w:shd w:val="clear" w:color="auto" w:fill="auto"/>
            <w:noWrap/>
            <w:vAlign w:val="center"/>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款</w:t>
            </w:r>
          </w:p>
        </w:tc>
        <w:tc>
          <w:tcPr>
            <w:tcW w:w="626" w:type="dxa"/>
            <w:gridSpan w:val="2"/>
            <w:tcBorders>
              <w:top w:val="nil"/>
              <w:left w:val="nil"/>
              <w:bottom w:val="nil"/>
              <w:right w:val="single" w:color="auto" w:sz="4" w:space="0"/>
            </w:tcBorders>
            <w:shd w:val="clear" w:color="auto" w:fill="auto"/>
            <w:noWrap/>
            <w:vAlign w:val="center"/>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项</w:t>
            </w:r>
          </w:p>
        </w:tc>
        <w:tc>
          <w:tcPr>
            <w:tcW w:w="3260" w:type="dxa"/>
            <w:vMerge w:val="continue"/>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kern w:val="0"/>
                <w:sz w:val="22"/>
                <w:szCs w:val="22"/>
              </w:rPr>
            </w:pPr>
          </w:p>
        </w:tc>
        <w:tc>
          <w:tcPr>
            <w:tcW w:w="3119" w:type="dxa"/>
            <w:vMerge w:val="continue"/>
            <w:tcBorders>
              <w:top w:val="single" w:color="auto" w:sz="4" w:space="0"/>
              <w:left w:val="nil"/>
              <w:bottom w:val="single" w:color="auto" w:sz="4" w:space="0"/>
              <w:right w:val="single" w:color="auto" w:sz="4" w:space="0"/>
            </w:tcBorders>
            <w:vAlign w:val="center"/>
          </w:tcPr>
          <w:p>
            <w:pPr>
              <w:widowControl/>
              <w:jc w:val="left"/>
              <w:rPr>
                <w:rFonts w:ascii="方正仿宋简体" w:hAnsi="宋体" w:eastAsia="方正仿宋简体" w:cs="宋体"/>
                <w:kern w:val="0"/>
                <w:sz w:val="22"/>
                <w:szCs w:val="22"/>
              </w:rPr>
            </w:pPr>
          </w:p>
        </w:tc>
      </w:tr>
      <w:tr>
        <w:tblPrEx>
          <w:tblLayout w:type="fixed"/>
          <w:tblCellMar>
            <w:top w:w="0" w:type="dxa"/>
            <w:left w:w="108" w:type="dxa"/>
            <w:bottom w:w="0" w:type="dxa"/>
            <w:right w:w="108" w:type="dxa"/>
          </w:tblCellMar>
        </w:tblPrEx>
        <w:trPr>
          <w:trHeight w:val="36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w:t>
            </w:r>
          </w:p>
        </w:tc>
        <w:tc>
          <w:tcPr>
            <w:tcW w:w="50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w:t>
            </w:r>
          </w:p>
        </w:tc>
        <w:tc>
          <w:tcPr>
            <w:tcW w:w="62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w:t>
            </w:r>
          </w:p>
        </w:tc>
        <w:tc>
          <w:tcPr>
            <w:tcW w:w="3260" w:type="dxa"/>
            <w:tcBorders>
              <w:top w:val="single" w:color="auto" w:sz="4" w:space="0"/>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合计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600,000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w:t>
            </w:r>
          </w:p>
        </w:tc>
        <w:tc>
          <w:tcPr>
            <w:tcW w:w="5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w:t>
            </w:r>
          </w:p>
        </w:tc>
        <w:tc>
          <w:tcPr>
            <w:tcW w:w="626"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w:t>
            </w:r>
          </w:p>
        </w:tc>
        <w:tc>
          <w:tcPr>
            <w:tcW w:w="3260"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区委巡察办</w:t>
            </w:r>
          </w:p>
        </w:tc>
        <w:tc>
          <w:tcPr>
            <w:tcW w:w="311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600,000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201</w:t>
            </w:r>
          </w:p>
        </w:tc>
        <w:tc>
          <w:tcPr>
            <w:tcW w:w="5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11</w:t>
            </w:r>
          </w:p>
        </w:tc>
        <w:tc>
          <w:tcPr>
            <w:tcW w:w="626"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02</w:t>
            </w:r>
          </w:p>
        </w:tc>
        <w:tc>
          <w:tcPr>
            <w:tcW w:w="3260"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xml:space="preserve">  巡察机构示范点建设</w:t>
            </w:r>
          </w:p>
        </w:tc>
        <w:tc>
          <w:tcPr>
            <w:tcW w:w="311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50,000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201</w:t>
            </w:r>
          </w:p>
        </w:tc>
        <w:tc>
          <w:tcPr>
            <w:tcW w:w="508"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11</w:t>
            </w:r>
          </w:p>
        </w:tc>
        <w:tc>
          <w:tcPr>
            <w:tcW w:w="626"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02</w:t>
            </w:r>
          </w:p>
        </w:tc>
        <w:tc>
          <w:tcPr>
            <w:tcW w:w="3260"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 xml:space="preserve">  巡察专项</w:t>
            </w:r>
          </w:p>
        </w:tc>
        <w:tc>
          <w:tcPr>
            <w:tcW w:w="311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 w:val="22"/>
                <w:szCs w:val="22"/>
              </w:rPr>
            </w:pPr>
            <w:r>
              <w:rPr>
                <w:rFonts w:hint="eastAsia" w:ascii="方正仿宋简体" w:hAnsi="宋体" w:eastAsia="方正仿宋简体" w:cs="宋体"/>
                <w:kern w:val="0"/>
                <w:sz w:val="22"/>
                <w:szCs w:val="22"/>
              </w:rPr>
              <w:t>550,000</w:t>
            </w:r>
          </w:p>
        </w:tc>
      </w:tr>
    </w:tbl>
    <w:p>
      <w:pPr>
        <w:adjustRightInd w:val="0"/>
        <w:ind w:firstLine="640" w:firstLineChars="200"/>
        <w:rPr>
          <w:rFonts w:ascii="方正仿宋简体" w:eastAsia="方正仿宋简体"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2D8B"/>
    <w:multiLevelType w:val="multilevel"/>
    <w:tmpl w:val="0D772D8B"/>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0AD5"/>
    <w:rsid w:val="000234F0"/>
    <w:rsid w:val="00026808"/>
    <w:rsid w:val="00041C09"/>
    <w:rsid w:val="000478EF"/>
    <w:rsid w:val="00115ED2"/>
    <w:rsid w:val="0019321F"/>
    <w:rsid w:val="0019728E"/>
    <w:rsid w:val="001A21E5"/>
    <w:rsid w:val="0022790D"/>
    <w:rsid w:val="0024385F"/>
    <w:rsid w:val="00251EC0"/>
    <w:rsid w:val="0026122B"/>
    <w:rsid w:val="002B4495"/>
    <w:rsid w:val="002D0B37"/>
    <w:rsid w:val="00303B9D"/>
    <w:rsid w:val="003D35D2"/>
    <w:rsid w:val="003F084C"/>
    <w:rsid w:val="00423015"/>
    <w:rsid w:val="0043254A"/>
    <w:rsid w:val="00453CE7"/>
    <w:rsid w:val="00460C81"/>
    <w:rsid w:val="00460D09"/>
    <w:rsid w:val="004B52BB"/>
    <w:rsid w:val="004C01BC"/>
    <w:rsid w:val="004C3BE1"/>
    <w:rsid w:val="004C7D06"/>
    <w:rsid w:val="004F514A"/>
    <w:rsid w:val="00506E2E"/>
    <w:rsid w:val="00543615"/>
    <w:rsid w:val="00584798"/>
    <w:rsid w:val="00692D15"/>
    <w:rsid w:val="006A1E5C"/>
    <w:rsid w:val="006F63BA"/>
    <w:rsid w:val="007D2FDC"/>
    <w:rsid w:val="007D5211"/>
    <w:rsid w:val="007E0D7C"/>
    <w:rsid w:val="00807701"/>
    <w:rsid w:val="008140A4"/>
    <w:rsid w:val="00836EFE"/>
    <w:rsid w:val="008518CC"/>
    <w:rsid w:val="00866915"/>
    <w:rsid w:val="008C274D"/>
    <w:rsid w:val="008C3875"/>
    <w:rsid w:val="009073AE"/>
    <w:rsid w:val="009816C8"/>
    <w:rsid w:val="009F25B1"/>
    <w:rsid w:val="00A36956"/>
    <w:rsid w:val="00A565DC"/>
    <w:rsid w:val="00AA1971"/>
    <w:rsid w:val="00AC19A3"/>
    <w:rsid w:val="00AE05F5"/>
    <w:rsid w:val="00AF1E19"/>
    <w:rsid w:val="00AF364C"/>
    <w:rsid w:val="00B45A1F"/>
    <w:rsid w:val="00B54442"/>
    <w:rsid w:val="00B80C4C"/>
    <w:rsid w:val="00B83FD7"/>
    <w:rsid w:val="00BB6C89"/>
    <w:rsid w:val="00C06BFD"/>
    <w:rsid w:val="00C50FD0"/>
    <w:rsid w:val="00CC7823"/>
    <w:rsid w:val="00CD4B04"/>
    <w:rsid w:val="00D453FB"/>
    <w:rsid w:val="00D86F1D"/>
    <w:rsid w:val="00DA3F23"/>
    <w:rsid w:val="00DB0319"/>
    <w:rsid w:val="00E06756"/>
    <w:rsid w:val="00E14578"/>
    <w:rsid w:val="00E27351"/>
    <w:rsid w:val="00EB6A4D"/>
    <w:rsid w:val="00EE4589"/>
    <w:rsid w:val="00F106D8"/>
    <w:rsid w:val="00F1115F"/>
    <w:rsid w:val="00F12CF7"/>
    <w:rsid w:val="00FD2341"/>
    <w:rsid w:val="00FE67A3"/>
    <w:rsid w:val="00FF728D"/>
    <w:rsid w:val="012E766D"/>
    <w:rsid w:val="044F5BC4"/>
    <w:rsid w:val="099A6EBD"/>
    <w:rsid w:val="0E1168EA"/>
    <w:rsid w:val="160776AB"/>
    <w:rsid w:val="1A4B3E10"/>
    <w:rsid w:val="237F1682"/>
    <w:rsid w:val="24C90A2A"/>
    <w:rsid w:val="2F1B055D"/>
    <w:rsid w:val="43644D8C"/>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439</Words>
  <Characters>2505</Characters>
  <Lines>20</Lines>
  <Paragraphs>5</Paragraphs>
  <TotalTime>157</TotalTime>
  <ScaleCrop>false</ScaleCrop>
  <LinksUpToDate>false</LinksUpToDate>
  <CharactersWithSpaces>2939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2019-07-31T03:18:35Z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