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广元市利州区经济信息化和科学技术局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spacing w:line="6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广元市利州区经济信息化和科学技术局总编制25名，其中行政编制13名,参照公务员管理的事业编制0名，其他事业编制16名。在职人员总数25人，其中：行政人员17 人，参照公务员管理的事业人员0名，其他事业人员11人。离休人员0人，退休人员18人。</w:t>
      </w:r>
    </w:p>
    <w:p>
      <w:pPr>
        <w:spacing w:line="6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广元市利州区经济信息化和科学技术局固定资产总额70.7756万元。</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576" w:lineRule="exact"/>
        <w:rPr>
          <w:rFonts w:asciiTheme="minorEastAsia" w:hAnsiTheme="minorEastAsia" w:eastAsiaTheme="minorEastAsia" w:cstheme="minorEastAsia"/>
          <w:sz w:val="32"/>
          <w:szCs w:val="32"/>
        </w:rPr>
      </w:pPr>
      <w:r>
        <w:rPr>
          <w:rFonts w:hint="eastAsia" w:ascii="仿宋_GB2312" w:hAnsi="仿宋" w:eastAsia="方正仿宋简体"/>
          <w:sz w:val="32"/>
          <w:szCs w:val="32"/>
        </w:rPr>
        <w:t xml:space="preserve">    </w:t>
      </w:r>
      <w:r>
        <w:rPr>
          <w:rFonts w:hint="eastAsia" w:asciiTheme="minorEastAsia" w:hAnsiTheme="minorEastAsia" w:eastAsiaTheme="minorEastAsia" w:cstheme="minorEastAsia"/>
          <w:sz w:val="32"/>
          <w:szCs w:val="32"/>
        </w:rPr>
        <w:t xml:space="preserve"> （一）统筹大中小企业协调配套发展；负责新进规企业培育；拟订全区培育大企业大集团、中小微企业发展的政策措施并组织实施；指导企业建立现代企业制度，加强企业管理；组织推进中小企业创业促进与服务体系建设，规范中小企业服务市场；指导和促进创业投资发展；参与指导名牌产品和驰名商标创建工作；指导企业加强质量管理和标准化工作；拟订工业企业开拓市场的政策措施</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指导企业开展人才培养培训。牵头推进工业产业发展；负责工业运行中涉及财政、金融、税收等方面问题的协调；牵头搭建工业企业信贷资金融资平台，指导企业融资公共服务平台建设，推进中小企业信用担保体系建设，负责中小企业信用担保机构备案工作。推进军民融合产业发展、督导重大项目落实落地。牵头组织实施展会等活动；负责监管重点用能企业节能工作；负责工业淘汰落后产能工作。负责协调企业要素保障等工作。负责全区工业投资及技术改造工作；拟订并组织实施工业企业技术改造中长期投资规划和指南、年度计划和政策；组织重大工业企业技术改造项目申报国家、省有关专项计划并监督实施；转报备案企业技术改造项目；负责工业技术改造项目享受优惠政策的确认；牵头负责工业项目库建设，提出省级工业发展资金使用方向和原则；负责企业技术创新体系建设，拟订企业技术创新政策措施和指南，组织推动产学研协同发展；编制企业技术创新项目计划并组织实施；指导和扶持工业新产品、新技术、新工艺和新设备的研发与推广应用。负责企业技术改造项目节能评估审查；组织申报节能技术改造和其他奖励资金项目，负责组织申报国家、省大中小微企业发展专项；组织实施工业重大节能技术改造项目计划；负责组织开展工业和信息化领域对外经济合作与交流；组织指导企业跨区域和境外开展合作；牵头推进产业转移与产业协作；统筹推进工业领域招商引资工作。负责全区工业园区建设发展的牵头服务等工作。负责机关和直属事业单位的外事工作。</w:t>
      </w:r>
    </w:p>
    <w:p>
      <w:pPr>
        <w:spacing w:line="576" w:lineRule="exact"/>
        <w:ind w:firstLine="480" w:firstLineChars="15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统筹推进信息化工作，拟定信息化发展战略、政策；推进信息资源开放、共享和开发利用；统筹推动大数据、云计算等产业发展；负责软件与信息服务业行业管理；负责信息基础设施建设的统一规划、组织协调和监督管理；指导和促进信息技术在国民经济和社会各领域的推广应用；负责协调维护信息安全和网络与信息安全保障体系建设；指导监督政府部门、重点行业的重要信息系统与基础信息网络的安全保障工作；协调处理网络与信息安全的重大事件；拟定并组织实施信息资源开发利用和信息基础设施建设中长期规划和年度计划，参与制定相关的支持政策；协调推进通信、广播电视和计算机网络融合发展，跟踪推进信息基础设施重大项目建设；协调通信市场涉及社会共利益的重大事宜；配合做好无线电管理工作。</w:t>
      </w:r>
    </w:p>
    <w:p>
      <w:pPr>
        <w:spacing w:line="576"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（三）组织拟订全区科技发展的中长期规划、年度计划、政策措施</w:t>
      </w:r>
      <w:r>
        <w:rPr>
          <w:rFonts w:asciiTheme="minorEastAsia" w:hAnsiTheme="minorEastAsia" w:eastAsiaTheme="minorEastAsia" w:cstheme="minorEastAsia"/>
          <w:sz w:val="32"/>
          <w:szCs w:val="32"/>
        </w:rPr>
        <w:t>并监督实施</w:t>
      </w:r>
      <w:r>
        <w:rPr>
          <w:rFonts w:hint="eastAsia" w:asciiTheme="minorEastAsia" w:hAnsiTheme="minorEastAsia" w:eastAsiaTheme="minorEastAsia" w:cstheme="minorEastAsia"/>
          <w:sz w:val="32"/>
          <w:szCs w:val="32"/>
        </w:rPr>
        <w:t>。组织拟订科学普及和科学传播规划、政策，负责全区科学普及工作。负责科学技术法律、法规的宣传普及和教育培训。组织拟订区级财政科技计划（专项、基金）并监督和实施。指导全区高新技术产业和新兴产业园区、基地的建设，推动企业自主创新能力建设。拟订科技成果评价、科技奖励、科技成果推广、促进技术市场和科技中介组织发展的政策措施。负责国家、省、市科学技术奖的申报工作。指导科技成果推广应用及</w:t>
      </w:r>
      <w:r>
        <w:rPr>
          <w:rFonts w:asciiTheme="minorEastAsia" w:hAnsiTheme="minorEastAsia" w:eastAsiaTheme="minorEastAsia" w:cstheme="minorEastAsia"/>
          <w:sz w:val="32"/>
          <w:szCs w:val="32"/>
        </w:rPr>
        <w:t>典型</w:t>
      </w:r>
      <w:r>
        <w:rPr>
          <w:rFonts w:hint="eastAsia" w:asciiTheme="minorEastAsia" w:hAnsiTheme="minorEastAsia" w:eastAsiaTheme="minorEastAsia" w:cstheme="minorEastAsia"/>
          <w:sz w:val="32"/>
          <w:szCs w:val="32"/>
        </w:rPr>
        <w:t>宣传</w:t>
      </w:r>
      <w:r>
        <w:rPr>
          <w:rFonts w:asciiTheme="minorEastAsia" w:hAnsiTheme="minorEastAsia" w:eastAsiaTheme="minorEastAsia" w:cstheme="minorEastAsia"/>
          <w:sz w:val="32"/>
          <w:szCs w:val="32"/>
        </w:rPr>
        <w:t>工作</w:t>
      </w:r>
      <w:r>
        <w:rPr>
          <w:rFonts w:hint="eastAsia" w:asciiTheme="minorEastAsia" w:hAnsiTheme="minorEastAsia" w:eastAsiaTheme="minorEastAsia" w:cstheme="minorEastAsia"/>
          <w:sz w:val="32"/>
          <w:szCs w:val="32"/>
        </w:rPr>
        <w:t>。承担科研诚信体系建设有关工作。负责农村科技进步、</w:t>
      </w:r>
      <w:r>
        <w:rPr>
          <w:rFonts w:asciiTheme="minorEastAsia" w:hAnsiTheme="minorEastAsia" w:eastAsiaTheme="minorEastAsia" w:cstheme="minorEastAsia"/>
          <w:sz w:val="32"/>
          <w:szCs w:val="32"/>
        </w:rPr>
        <w:t>科技扶贫</w:t>
      </w:r>
      <w:r>
        <w:rPr>
          <w:rFonts w:hint="eastAsia" w:asciiTheme="minorEastAsia" w:hAnsiTheme="minorEastAsia" w:eastAsiaTheme="minorEastAsia" w:cstheme="minorEastAsia"/>
          <w:sz w:val="32"/>
          <w:szCs w:val="32"/>
        </w:rPr>
        <w:t>和县域创新驱动发展工作</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协调推动科技金融创新。拟订创新创业、科技人才队伍建设规划和政策措施，推进科技创新人才队伍建设。拟订全区科技对外交往交流、创新能力开放合作及引进国外智力的规划、政策并组织实施。承担科技交流合作、引进国外智力、外国专家服务等工作。组织开展创新调查、科技统计相关工作。</w:t>
      </w:r>
    </w:p>
    <w:p>
      <w:pPr>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负责电力、成品油的综合调控、紧急调度；负责成品油经营市场监管；负责电力运行调度管理；牵头制定中、长期电力运行调控目标和方案，平衡电力资源；负责电力资源配置和电力市场化交易协调工作，指导协调电力生产调度和并网管理，推进电力需求侧管理；协调处理电力运行中的重大问题；负责电力、成品油、天然气等重要物资的综合调控、紧急调度和交通运输协调；负责全区电力设施保护工作；负责电力、成品油、过境长输油气管线行政执法工作。按权限依法受理、审批石油天然气管道相关备案及管道保护区范围内实施的各类施工作业。</w:t>
      </w:r>
    </w:p>
    <w:p>
      <w:pPr>
        <w:overflowPunct w:val="0"/>
        <w:autoSpaceDE w:val="0"/>
        <w:autoSpaceDN w:val="0"/>
        <w:spacing w:line="540"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（五）组织贯彻落实国家、</w:t>
      </w:r>
      <w:r>
        <w:rPr>
          <w:rFonts w:asciiTheme="minorEastAsia" w:hAnsiTheme="minorEastAsia" w:eastAsiaTheme="minorEastAsia" w:cstheme="minorEastAsia"/>
          <w:sz w:val="32"/>
          <w:szCs w:val="32"/>
        </w:rPr>
        <w:t>省、市</w:t>
      </w:r>
      <w:r>
        <w:rPr>
          <w:rFonts w:hint="eastAsia" w:asciiTheme="minorEastAsia" w:hAnsiTheme="minorEastAsia" w:eastAsiaTheme="minorEastAsia" w:cstheme="minorEastAsia"/>
          <w:sz w:val="32"/>
          <w:szCs w:val="32"/>
        </w:rPr>
        <w:t>食盐专营政策和相关盐业法规规章；依法查处食盐违法违规经营行为；负责组织编制全区盐行业发展规划，制定产业政策；指导和推动盐行业结构调整、技术进步；制定和组织实施食盐供应应急预案，落实食盐储备制度；会同有关部门建立食盐生产、批发企业及其负责人和高管人员信用记录，纳入国家统一的社会信用体系，对有违法失信行为的企业及高管依法实施联合惩戒；负责推动区内食盐定点生产企业加快建设食盐电子追溯体系，实现食盐来源可追溯、流向可查询、风险可防范、责任可追究；指导工业盐生产经营企业建立生产、销售记录制度，协同相关部门依法查处无标识或标识不清的盐产品；配合物价管理部门做好食盐零售价格市场监测和特殊情况下的价格干预工作，保持食盐价格基本稳定；配合卫生计生部门做好碘缺乏病防治监测与宣传工作；负责盐业行业的统计、分析，监测盐行业经济运行态势，协调处理行业发展中的重大问题；承办区政府交办的有关全区盐业行业管理、食盐专营管理的其他事项。</w:t>
      </w:r>
    </w:p>
    <w:p>
      <w:pPr>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安全生产与环境保护股。负责工业行业安全生产工作，督导工业企业开展隐患排查，落实安全生产措施。配合公安机关做好对民用爆炸物品生产、销售企业的安全监管。督促管道企业做好全区过境石油天然气长输管道的保护工作，协调处理管道保护的重大问题。负责节能降耗、循环经济发展、资源综合利用、水资源节约工作，配合做好清洁生产、污染治理、应对气候变化及低碳经济发展工作。做好行业内环境保护其他相关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广元市利州区经济信息化和科学技术局2019年部门预算收入总数502.8855万元，较2018年部门预算收入总数496.9460万元增长1.2%；2019年部门预算支出总数502.8855万元，较2018年部门预算支出总数496.9460万元增长1.2%。</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广元市利州区经济信息化和科学技术局2019年部门基本支出预算总数292.2855万元，其中：人员支出252.3385万元，公用支出39.9470万元。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广元市利州区经济信息化和科学技术局2019年部门预算安排专项资金210.60万元（明细项目见附表）。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信息化和科学技术局2019年部门预算财政拨款收入总数502.8855万元，较2018年部门预算财政拨款收入总数496.9460万元增长1.2%；2019年部门预算财政拨款支出总数502.8855万元，较2018年部门预算财政拨款支出总数496.9460万元,增长1.2%。</w:t>
      </w:r>
    </w:p>
    <w:p>
      <w:pPr>
        <w:widowControl/>
        <w:spacing w:before="270" w:line="450" w:lineRule="atLeast"/>
        <w:ind w:firstLine="480" w:firstLineChars="15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2019年一般公共预算当年拨款502.8855万元，比2018年预算数增加5.9395万元，主要原因是2018年底工资调整标准增加。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0万元,占0%；科技技术支出130.5842万元，占25.97%；社会保障和就业支出36.5862万元，占7.27%；卫生健康支出13.9790万元，占2.78%；农林水支出1.5万元，占0.3%；资源勘探信息等支出299.8733，占59.63%；住房保障支出20.3628万元，占4.05%。</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科学技术支出（类）科学技术管理事务（款）行政运行（项）2019年预算数为65.5842，主要用于：局机关及参公管理事业单位正常运转的基本支出，包括基本工资、津贴补贴等人员经费以及办公费、印刷费、水电费等日常公用经费,保障部门正常运转。</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科学技术支出（类）科学技术管理事务（款）其他科学技术管理事务支出（项）2019年预算数为60万元，主要用于：区级重点科技项目经费。</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科学技术支出（类）科学技术管理事务（款）一般行政管理事务（项）2019年预算数为5万元，主要用于：全区科技方面相关经费。</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社会保障和就业（类）行政事业单位离退休（款）未归口管理的行政单位离退休（项）2019年预算数为36.5862万元，主要用于：保障局机关离退休人员经费支出。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5. 卫生健康支出（类）行政事业单位医疗（款）行政单位医疗（项）2019年预算数为13.9790万元，主要用于：局机关及参公管理事业单位基本医疗保险缴费支出。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农林水支出（类）扶贫（款）其他扶贫支出（项）2019年预算数为1.5万元，主要用于扶贫工作经费支出。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 资源勘探信息等支出（类）工业和信息产业监管（款）行政运行（项）2019年预算数为154.2733万元，主要用于：局机关及事业单位正常运转的基本支出，包括基本工资、津贴补贴等人员经费以及办公费、印刷费、水电费等日常公用经费,保障部门正常运转。</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 资源勘探信息等支出（类）工业和信息产业监管（款）一般行政管理事务（项）2019年预算数为145.6万元，主要用于：全区工业经济运行工作费用开支、信息化专项资金、项目推介、组织企业参展专用经费。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9. 住房保障（类）住房改革支出（款）住房公积金（项）2019年预算数为20.3628万元，主要用于：部门按人力资源和社会保障部、财政部规定的基本工资和津贴补贴以及规定比例为职工缴纳的住房公积金支出。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信息化和科学技术局2019年一般公共预算基本支出292.2855万元，其中：人员经费252.3385万元，主要包括：基本工资、津贴补贴、奖金、社会保险缴费等支出。公用经费39.9470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财政拨款安排“三公”经费预算8.7420万元，较2018年部门预算收入9.6万元减少8.94%。其中：2019年安排公务接待费预算8.7420万元，安排公车购置及运行维护费0万元。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（一）公务接待费较2018年预算下降8.94%。</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（二）公务用车购置及运行维护费与2018年预算增长（下降）</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广元市利州区经济信息化和科学技术局2019年没有使用政府性基金预算拨款安排的支出。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广元市利州区经济信息化和科学技术局2019年没有使用国有资本经营预算拨款安排的支出。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2019年，广元市利州区经济信息化和科学技术局机关运行经费财政拨款预算为39.9470万元，比2018年预算增加2.2307万元，增长5.91%。主要原因是人员增加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2019年，广元市利州区经济信息化和科学技术局安排政府采购预算0万元，主要用于采购办公设备、公务用车运行维护、信息化建设运行及维护、物业管理、专项工作委托业务等。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截至2018年底，广元市利州区经济信息化和科学技术局所属各预算单位共有车辆0辆，其中，定向保障用车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辆。单位价值10万元以上大型设备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经济信息化和科学技术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p>
    <w:p>
      <w:pPr>
        <w:widowControl/>
        <w:spacing w:before="270" w:line="450" w:lineRule="atLeast"/>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广元市利州区经济信息化和科学技术局</w:t>
      </w:r>
    </w:p>
    <w:p>
      <w:pPr>
        <w:widowControl/>
        <w:spacing w:before="270" w:line="450" w:lineRule="atLeast"/>
        <w:ind w:firstLine="4000" w:firstLineChars="1250"/>
        <w:rPr>
          <w:rFonts w:asciiTheme="minorEastAsia" w:hAnsiTheme="minorEastAsia" w:eastAsiaTheme="minorEastAsia" w:cstheme="minorEastAsia"/>
          <w:sz w:val="32"/>
          <w:szCs w:val="32"/>
          <w:shd w:val="clear" w:color="auto" w:fill="FFFFFF"/>
        </w:rPr>
      </w:pPr>
      <w:bookmarkStart w:id="0" w:name="_GoBack"/>
      <w:bookmarkEnd w:id="0"/>
      <w:r>
        <w:rPr>
          <w:rFonts w:hint="eastAsia" w:asciiTheme="minorEastAsia" w:hAnsiTheme="minorEastAsia" w:eastAsiaTheme="minorEastAsia" w:cstheme="minorEastAsia"/>
          <w:sz w:val="32"/>
          <w:szCs w:val="32"/>
        </w:rPr>
        <w:t>2019年7月30日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71EE3"/>
    <w:rsid w:val="0019321F"/>
    <w:rsid w:val="001E0D28"/>
    <w:rsid w:val="0022790D"/>
    <w:rsid w:val="0024385F"/>
    <w:rsid w:val="0026122B"/>
    <w:rsid w:val="003F084C"/>
    <w:rsid w:val="00426EA5"/>
    <w:rsid w:val="00443A34"/>
    <w:rsid w:val="004C01BC"/>
    <w:rsid w:val="004D2DB4"/>
    <w:rsid w:val="004F2191"/>
    <w:rsid w:val="004F514A"/>
    <w:rsid w:val="006A6953"/>
    <w:rsid w:val="007058AB"/>
    <w:rsid w:val="007D2FDC"/>
    <w:rsid w:val="007E0D7C"/>
    <w:rsid w:val="00855C34"/>
    <w:rsid w:val="009073AE"/>
    <w:rsid w:val="0093761F"/>
    <w:rsid w:val="00952F9C"/>
    <w:rsid w:val="00A565DC"/>
    <w:rsid w:val="00A77E41"/>
    <w:rsid w:val="00B60FF7"/>
    <w:rsid w:val="00C06BFD"/>
    <w:rsid w:val="00CA677E"/>
    <w:rsid w:val="00CD4B04"/>
    <w:rsid w:val="00D341AB"/>
    <w:rsid w:val="00D87D91"/>
    <w:rsid w:val="00E14578"/>
    <w:rsid w:val="00F85C95"/>
    <w:rsid w:val="00FD2341"/>
    <w:rsid w:val="00FE108B"/>
    <w:rsid w:val="012E766D"/>
    <w:rsid w:val="044F5BC4"/>
    <w:rsid w:val="099A6EBD"/>
    <w:rsid w:val="0E1168EA"/>
    <w:rsid w:val="0E8D6536"/>
    <w:rsid w:val="160776AB"/>
    <w:rsid w:val="1A4B3E10"/>
    <w:rsid w:val="237F1682"/>
    <w:rsid w:val="24C90A2A"/>
    <w:rsid w:val="348C022F"/>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855</Words>
  <Characters>4880</Characters>
  <Lines>40</Lines>
  <Paragraphs>11</Paragraphs>
  <TotalTime>0</TotalTime>
  <ScaleCrop>false</ScaleCrop>
  <LinksUpToDate>false</LinksUpToDate>
  <CharactersWithSpaces>5724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2019-07-30T01:13:19Z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