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8441"/>
      <w:bookmarkStart w:id="4" w:name="_Toc15377425"/>
      <w:bookmarkStart w:id="5" w:name="_Toc15396475"/>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广元市利州区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旅游局决算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p/>
    <w:p>
      <w:pPr>
        <w:pStyle w:val="10"/>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bookmarkStart w:id="76" w:name="_GoBack"/>
      <w:bookmarkEnd w:id="76"/>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3</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7"/>
          <w:rFonts w:hint="eastAsia" w:ascii="仿宋" w:hAnsi="仿宋" w:eastAsia="仿宋"/>
          <w:bCs/>
          <w:sz w:val="28"/>
          <w:szCs w:val="28"/>
        </w:rPr>
        <w:t>一、</w:t>
      </w:r>
      <w:r>
        <w:rPr>
          <w:rStyle w:val="17"/>
          <w:rFonts w:hint="eastAsia" w:ascii="仿宋" w:hAnsi="仿宋" w:eastAsia="仿宋"/>
          <w:sz w:val="28"/>
          <w:szCs w:val="28"/>
        </w:rPr>
        <w:t>收</w:t>
      </w:r>
      <w:r>
        <w:rPr>
          <w:rStyle w:val="17"/>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7"/>
          <w:rFonts w:hint="eastAsia" w:ascii="仿宋" w:hAnsi="仿宋" w:eastAsia="仿宋"/>
          <w:bCs/>
          <w:sz w:val="28"/>
          <w:szCs w:val="28"/>
        </w:rPr>
        <w:t>二、</w:t>
      </w:r>
      <w:r>
        <w:rPr>
          <w:rStyle w:val="17"/>
          <w:rFonts w:hint="eastAsia" w:ascii="仿宋" w:hAnsi="仿宋" w:eastAsia="仿宋"/>
          <w:sz w:val="28"/>
          <w:szCs w:val="28"/>
        </w:rPr>
        <w:t>收</w:t>
      </w:r>
      <w:r>
        <w:rPr>
          <w:rStyle w:val="17"/>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7"/>
          <w:rFonts w:hint="eastAsia" w:ascii="仿宋" w:hAnsi="仿宋" w:eastAsia="仿宋"/>
          <w:bCs/>
          <w:sz w:val="28"/>
          <w:szCs w:val="28"/>
        </w:rPr>
        <w:t>三、</w:t>
      </w:r>
      <w:r>
        <w:rPr>
          <w:rStyle w:val="17"/>
          <w:rFonts w:hint="eastAsia" w:ascii="仿宋" w:hAnsi="仿宋" w:eastAsia="仿宋"/>
          <w:sz w:val="28"/>
          <w:szCs w:val="28"/>
        </w:rPr>
        <w:t>支</w:t>
      </w:r>
      <w:r>
        <w:rPr>
          <w:rStyle w:val="17"/>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7"/>
          <w:rFonts w:hint="eastAsia" w:ascii="仿宋" w:hAnsi="仿宋" w:eastAsia="仿宋"/>
          <w:bCs/>
          <w:sz w:val="28"/>
          <w:szCs w:val="28"/>
        </w:rPr>
        <w:t>九、</w:t>
      </w:r>
      <w:r>
        <w:rPr>
          <w:rStyle w:val="17"/>
          <w:rFonts w:ascii="仿宋" w:hAnsi="仿宋" w:eastAsia="仿宋"/>
          <w:sz w:val="28"/>
          <w:szCs w:val="28"/>
        </w:rPr>
        <w:t xml:space="preserve"> </w:t>
      </w:r>
      <w:r>
        <w:rPr>
          <w:rStyle w:val="17"/>
          <w:rFonts w:hint="eastAsia" w:ascii="仿宋" w:hAnsi="仿宋" w:eastAsia="仿宋"/>
          <w:sz w:val="28"/>
          <w:szCs w:val="28"/>
        </w:rPr>
        <w:t>国</w:t>
      </w:r>
      <w:r>
        <w:rPr>
          <w:rStyle w:val="17"/>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7"/>
          <w:rFonts w:hint="eastAsia"/>
          <w:bCs/>
          <w:kern w:val="44"/>
        </w:rPr>
        <w:t>第三部分</w:t>
      </w:r>
      <w:r>
        <w:rPr>
          <w:rStyle w:val="17"/>
        </w:rPr>
        <w:t xml:space="preserve"> </w:t>
      </w:r>
      <w:r>
        <w:rPr>
          <w:rStyle w:val="17"/>
          <w:rFonts w:hint="eastAsia"/>
        </w:rPr>
        <w:t>名</w:t>
      </w:r>
      <w:r>
        <w:rPr>
          <w:rStyle w:val="17"/>
          <w:rFonts w:hint="eastAsia"/>
          <w:bCs/>
          <w:kern w:val="44"/>
        </w:rPr>
        <w:t>词解释</w:t>
      </w:r>
      <w:r>
        <w:tab/>
      </w:r>
      <w:r>
        <w:fldChar w:fldCharType="begin"/>
      </w:r>
      <w:r>
        <w:instrText xml:space="preserve"> PAGEREF _Toc15396613 \h </w:instrText>
      </w:r>
      <w:r>
        <w:fldChar w:fldCharType="separate"/>
      </w:r>
      <w:r>
        <w:t>3</w:t>
      </w:r>
      <w:r>
        <w:fldChar w:fldCharType="end"/>
      </w:r>
      <w:r>
        <w:fldChar w:fldCharType="end"/>
      </w:r>
    </w:p>
    <w:p>
      <w:pPr>
        <w:pStyle w:val="10"/>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3</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3</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8"/>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9"/>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9"/>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snapToGrid w:val="0"/>
        <w:spacing w:line="576" w:lineRule="exact"/>
        <w:ind w:firstLine="640" w:firstLineChars="200"/>
        <w:rPr>
          <w:rFonts w:ascii="仿宋" w:hAnsi="仿宋" w:eastAsia="仿宋" w:cs="仿宋"/>
          <w:sz w:val="32"/>
          <w:szCs w:val="32"/>
        </w:rPr>
      </w:pPr>
      <w:bookmarkStart w:id="18" w:name="_Toc15378446"/>
      <w:bookmarkStart w:id="19" w:name="_Toc15377199"/>
      <w:r>
        <w:rPr>
          <w:rFonts w:ascii="仿宋" w:hAnsi="仿宋" w:eastAsia="仿宋" w:cs="仿宋"/>
          <w:sz w:val="32"/>
          <w:szCs w:val="32"/>
        </w:rPr>
        <w:t>1.</w:t>
      </w:r>
      <w:r>
        <w:rPr>
          <w:rFonts w:hint="eastAsia" w:ascii="仿宋" w:hAnsi="仿宋" w:eastAsia="仿宋" w:cs="仿宋"/>
          <w:sz w:val="32"/>
          <w:szCs w:val="32"/>
        </w:rPr>
        <w:t>贯彻执行国家有关旅游工作的方针、政策和法律、法规，拟订全区旅游发展的规范性文件，负责本系统、本部门依法行政工作，落实行政执法责任制，制订旅游产业发展的地方标准和行业规范并组织实施。</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制订全区旅游产业发展总体规划、旅游专项规划、旅游跨区域规划和年度计划并组织实施，指导实施乡镇旅游发展规划，对本区旅游规划进行监督管理。</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会同有关部门指导旅游资源开发、重大旅游项目规划建设、旅游安全、旅游应急救援、旅游环境综合治理、假日旅游、红色旅游等工作。</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制订全区旅游市场开发战略并组织实施，组织全区整体旅游形象的对外宣传和重大推广活动。</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负责全区旅行社的监督管理，会同有关部门监督管理旅游市场秩序、旅游服务质量，监督旅游投诉处理、维护旅游者和旅游经营者合法权益，指导旅游行业精神文明建设、诚信体系建设和行业组织的业务工作。</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负责旅行社设立核准、旅行社申请经营出境旅游业务审核、旅行社自组境外旅游团队旅游签证审核和导游从业人员资格审核。</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会同有关部门推进旅游体制和机制改革工作，指导重点旅游企业发展、旅游新业态的规划和开发以及招商引资工作。</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监测旅游经济运行，负责旅游信息化建设、旅游统计和行业信息发布工作。</w:t>
      </w:r>
    </w:p>
    <w:p>
      <w:pPr>
        <w:spacing w:line="576" w:lineRule="exact"/>
        <w:ind w:firstLine="640" w:firstLineChars="200"/>
        <w:rPr>
          <w:rFonts w:ascii="仿宋" w:hAnsi="仿宋" w:eastAsia="仿宋" w:cs="仿宋"/>
          <w:spacing w:val="-8"/>
          <w:sz w:val="32"/>
          <w:szCs w:val="32"/>
        </w:rPr>
      </w:pPr>
      <w:r>
        <w:rPr>
          <w:rFonts w:ascii="仿宋" w:hAnsi="仿宋" w:eastAsia="仿宋" w:cs="仿宋"/>
          <w:sz w:val="32"/>
          <w:szCs w:val="32"/>
        </w:rPr>
        <w:t>9.</w:t>
      </w:r>
      <w:r>
        <w:rPr>
          <w:rFonts w:hint="eastAsia" w:ascii="仿宋" w:hAnsi="仿宋" w:eastAsia="仿宋" w:cs="仿宋"/>
          <w:spacing w:val="-8"/>
          <w:sz w:val="32"/>
          <w:szCs w:val="32"/>
        </w:rPr>
        <w:t>制订旅游人才规划并组织实施，指导旅游教育培训工作。</w:t>
      </w:r>
    </w:p>
    <w:p>
      <w:pPr>
        <w:spacing w:line="576" w:lineRule="exact"/>
        <w:ind w:firstLine="640" w:firstLineChars="200"/>
        <w:rPr>
          <w:rFonts w:ascii="仿宋" w:hAnsi="仿宋" w:eastAsia="仿宋" w:cs="仿宋"/>
          <w:spacing w:val="-8"/>
          <w:sz w:val="32"/>
          <w:szCs w:val="32"/>
        </w:rPr>
      </w:pPr>
      <w:r>
        <w:rPr>
          <w:rFonts w:ascii="仿宋" w:hAnsi="仿宋" w:eastAsia="仿宋" w:cs="仿宋"/>
          <w:sz w:val="32"/>
          <w:szCs w:val="32"/>
        </w:rPr>
        <w:t>10.</w:t>
      </w:r>
      <w:r>
        <w:rPr>
          <w:rFonts w:hint="eastAsia" w:ascii="仿宋" w:hAnsi="仿宋" w:eastAsia="仿宋" w:cs="仿宋"/>
          <w:spacing w:val="-8"/>
          <w:sz w:val="32"/>
          <w:szCs w:val="32"/>
        </w:rPr>
        <w:t>承担区政府公布的有关行政审批事项。</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承办区政府交办的其他事项。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ind w:firstLine="960" w:firstLineChars="300"/>
        <w:rPr>
          <w:rFonts w:eastAsia="仿宋" w:cs="仿宋"/>
          <w:sz w:val="32"/>
        </w:rPr>
      </w:pPr>
      <w:r>
        <w:rPr>
          <w:rFonts w:eastAsia="仿宋" w:cs="仿宋"/>
          <w:sz w:val="32"/>
        </w:rPr>
        <w:t>2018</w:t>
      </w:r>
      <w:r>
        <w:rPr>
          <w:rFonts w:hint="eastAsia" w:eastAsia="仿宋" w:cs="仿宋"/>
          <w:sz w:val="32"/>
        </w:rPr>
        <w:t>年，全区旅游做了大量工作，全区康养旅游产业保持稳步发展，概括起来，主要呈现出以下几个特点。</w:t>
      </w:r>
    </w:p>
    <w:p>
      <w:pPr>
        <w:ind w:firstLine="960" w:firstLineChars="300"/>
        <w:rPr>
          <w:rFonts w:eastAsia="仿宋" w:cs="仿宋"/>
          <w:sz w:val="32"/>
        </w:rPr>
      </w:pPr>
      <w:r>
        <w:rPr>
          <w:rFonts w:eastAsia="仿宋" w:cs="仿宋"/>
          <w:sz w:val="32"/>
        </w:rPr>
        <w:t>1</w:t>
      </w:r>
      <w:r>
        <w:rPr>
          <w:rFonts w:hint="eastAsia" w:eastAsia="仿宋" w:cs="仿宋"/>
          <w:sz w:val="32"/>
        </w:rPr>
        <w:t>、文旅经济稳重有升。全年接待游客</w:t>
      </w:r>
      <w:r>
        <w:rPr>
          <w:rFonts w:eastAsia="仿宋" w:cs="仿宋"/>
          <w:sz w:val="32"/>
        </w:rPr>
        <w:t>1520</w:t>
      </w:r>
      <w:r>
        <w:rPr>
          <w:rFonts w:hint="eastAsia" w:eastAsia="仿宋" w:cs="仿宋"/>
          <w:sz w:val="32"/>
        </w:rPr>
        <w:t>万人次，同比增长</w:t>
      </w:r>
      <w:r>
        <w:rPr>
          <w:rFonts w:eastAsia="仿宋" w:cs="仿宋"/>
          <w:sz w:val="32"/>
        </w:rPr>
        <w:t>15%</w:t>
      </w:r>
      <w:r>
        <w:rPr>
          <w:rFonts w:hint="eastAsia" w:eastAsia="仿宋" w:cs="仿宋"/>
          <w:sz w:val="32"/>
        </w:rPr>
        <w:t>，继续保持全市第一水平。旅游总收入</w:t>
      </w:r>
      <w:r>
        <w:rPr>
          <w:rFonts w:eastAsia="仿宋" w:cs="仿宋"/>
          <w:sz w:val="32"/>
        </w:rPr>
        <w:t>93</w:t>
      </w:r>
      <w:r>
        <w:rPr>
          <w:rFonts w:hint="eastAsia" w:eastAsia="仿宋" w:cs="仿宋"/>
          <w:sz w:val="32"/>
        </w:rPr>
        <w:t>亿元，同比增长</w:t>
      </w:r>
      <w:r>
        <w:rPr>
          <w:rFonts w:eastAsia="仿宋" w:cs="仿宋"/>
          <w:sz w:val="32"/>
        </w:rPr>
        <w:t>23%</w:t>
      </w:r>
      <w:r>
        <w:rPr>
          <w:rFonts w:hint="eastAsia" w:eastAsia="仿宋" w:cs="仿宋"/>
          <w:sz w:val="32"/>
        </w:rPr>
        <w:t>。康养旅游产业综合带动功能进一步显现，为利州建设综合实力一流的现代化市辖区和推动全市旅游产业健康快速发展作出了积极贡献。</w:t>
      </w:r>
    </w:p>
    <w:p>
      <w:pPr>
        <w:ind w:firstLine="960" w:firstLineChars="300"/>
        <w:rPr>
          <w:rFonts w:eastAsia="仿宋" w:cs="仿宋"/>
          <w:sz w:val="32"/>
        </w:rPr>
      </w:pPr>
      <w:r>
        <w:rPr>
          <w:rFonts w:eastAsia="仿宋" w:cs="仿宋"/>
          <w:sz w:val="32"/>
        </w:rPr>
        <w:t>2</w:t>
      </w:r>
      <w:r>
        <w:rPr>
          <w:rFonts w:hint="eastAsia" w:eastAsia="仿宋" w:cs="仿宋"/>
          <w:sz w:val="32"/>
        </w:rPr>
        <w:t>、项目投资持续向好。全年实施康养旅游项目</w:t>
      </w:r>
      <w:r>
        <w:rPr>
          <w:rFonts w:eastAsia="仿宋" w:cs="仿宋"/>
          <w:sz w:val="32"/>
        </w:rPr>
        <w:t>59</w:t>
      </w:r>
      <w:r>
        <w:rPr>
          <w:rFonts w:hint="eastAsia" w:eastAsia="仿宋" w:cs="仿宋"/>
          <w:sz w:val="32"/>
        </w:rPr>
        <w:t>个，天曌山旅游区、花前月下度假区、雷家河水库等重大项目扎实推进，全年完成投资</w:t>
      </w:r>
      <w:r>
        <w:rPr>
          <w:rFonts w:eastAsia="仿宋" w:cs="仿宋"/>
          <w:sz w:val="32"/>
        </w:rPr>
        <w:t>30</w:t>
      </w:r>
      <w:r>
        <w:rPr>
          <w:rFonts w:hint="eastAsia" w:eastAsia="仿宋" w:cs="仿宋"/>
          <w:sz w:val="32"/>
        </w:rPr>
        <w:t>亿元以上。全年签约康养旅游项目</w:t>
      </w:r>
      <w:r>
        <w:rPr>
          <w:rFonts w:eastAsia="仿宋" w:cs="仿宋"/>
          <w:sz w:val="32"/>
        </w:rPr>
        <w:t>105</w:t>
      </w:r>
      <w:r>
        <w:rPr>
          <w:rFonts w:hint="eastAsia" w:eastAsia="仿宋" w:cs="仿宋"/>
          <w:sz w:val="32"/>
        </w:rPr>
        <w:t>亿元（其中凤凰小镇</w:t>
      </w:r>
      <w:r>
        <w:rPr>
          <w:rFonts w:eastAsia="仿宋" w:cs="仿宋"/>
          <w:sz w:val="32"/>
        </w:rPr>
        <w:t>50</w:t>
      </w:r>
      <w:r>
        <w:rPr>
          <w:rFonts w:hint="eastAsia" w:eastAsia="仿宋" w:cs="仿宋"/>
          <w:sz w:val="32"/>
        </w:rPr>
        <w:t>亿元、花前月下度假区</w:t>
      </w:r>
      <w:r>
        <w:rPr>
          <w:rFonts w:eastAsia="仿宋" w:cs="仿宋"/>
          <w:sz w:val="32"/>
        </w:rPr>
        <w:t>25</w:t>
      </w:r>
      <w:r>
        <w:rPr>
          <w:rFonts w:hint="eastAsia" w:eastAsia="仿宋" w:cs="仿宋"/>
          <w:sz w:val="32"/>
        </w:rPr>
        <w:t>亿元、智创小镇</w:t>
      </w:r>
      <w:r>
        <w:rPr>
          <w:rFonts w:eastAsia="仿宋" w:cs="仿宋"/>
          <w:sz w:val="32"/>
        </w:rPr>
        <w:t>30</w:t>
      </w:r>
      <w:r>
        <w:rPr>
          <w:rFonts w:hint="eastAsia" w:eastAsia="仿宋" w:cs="仿宋"/>
          <w:sz w:val="32"/>
        </w:rPr>
        <w:t>亿元）。可以说，全区</w:t>
      </w:r>
      <w:r>
        <w:rPr>
          <w:rFonts w:eastAsia="仿宋" w:cs="仿宋"/>
          <w:sz w:val="32"/>
        </w:rPr>
        <w:t>2018</w:t>
      </w:r>
      <w:r>
        <w:rPr>
          <w:rFonts w:hint="eastAsia" w:eastAsia="仿宋" w:cs="仿宋"/>
          <w:sz w:val="32"/>
        </w:rPr>
        <w:t>年的签约的几个重大项目均在康养旅游项目上。前瞻性、大手笔策划包装了三堆“三线记忆”小镇、荣山二重岩国家矿山遗址公园</w:t>
      </w:r>
      <w:r>
        <w:rPr>
          <w:rFonts w:eastAsia="仿宋" w:cs="仿宋"/>
          <w:sz w:val="32"/>
        </w:rPr>
        <w:t>2</w:t>
      </w:r>
      <w:r>
        <w:rPr>
          <w:rFonts w:hint="eastAsia" w:eastAsia="仿宋" w:cs="仿宋"/>
          <w:sz w:val="32"/>
        </w:rPr>
        <w:t>个百亿级项目。争取政府债券</w:t>
      </w:r>
      <w:r>
        <w:rPr>
          <w:rFonts w:eastAsia="仿宋" w:cs="仿宋"/>
          <w:sz w:val="32"/>
        </w:rPr>
        <w:t>5000</w:t>
      </w:r>
      <w:r>
        <w:rPr>
          <w:rFonts w:hint="eastAsia" w:eastAsia="仿宋" w:cs="仿宋"/>
          <w:sz w:val="32"/>
        </w:rPr>
        <w:t>万元。</w:t>
      </w:r>
    </w:p>
    <w:p>
      <w:pPr>
        <w:ind w:firstLine="960" w:firstLineChars="300"/>
        <w:rPr>
          <w:rFonts w:eastAsia="仿宋" w:cs="仿宋"/>
          <w:sz w:val="32"/>
        </w:rPr>
      </w:pPr>
      <w:r>
        <w:rPr>
          <w:rFonts w:eastAsia="仿宋" w:cs="仿宋"/>
          <w:sz w:val="32"/>
        </w:rPr>
        <w:t>3</w:t>
      </w:r>
      <w:r>
        <w:rPr>
          <w:rFonts w:hint="eastAsia" w:eastAsia="仿宋" w:cs="仿宋"/>
          <w:sz w:val="32"/>
        </w:rPr>
        <w:t>、旅游产品更加丰富。持续加强对天曌山旅游区、龙潭旅游区、月坝特色小镇的开发建设，利州建成省级旅游扶贫示范区、龙潭山地农业公园旅游度假区、新建成新华村省级旅游扶贫示范村，进一步丰富了康养旅游产品，提升了旅游品质。乡村旅游热潮不断，月坝特色小镇一经开放迎客，立即引起了社会的关注和好评。康养名市建设、农旅融合发展、三堆特色小镇开发等经验做法得到市政府邹自景市长、市人大常委会邓光志主任的肯定性批示。</w:t>
      </w:r>
    </w:p>
    <w:p>
      <w:pPr>
        <w:ind w:firstLine="960" w:firstLineChars="300"/>
        <w:rPr>
          <w:rFonts w:eastAsia="仿宋" w:cs="仿宋"/>
          <w:sz w:val="32"/>
        </w:rPr>
      </w:pPr>
      <w:r>
        <w:rPr>
          <w:rFonts w:eastAsia="仿宋" w:cs="仿宋"/>
          <w:sz w:val="32"/>
        </w:rPr>
        <w:t>4</w:t>
      </w:r>
      <w:r>
        <w:rPr>
          <w:rFonts w:hint="eastAsia" w:eastAsia="仿宋" w:cs="仿宋"/>
          <w:sz w:val="32"/>
        </w:rPr>
        <w:t>、产业融合走向深入。大力实施“旅游</w:t>
      </w:r>
      <w:r>
        <w:rPr>
          <w:rFonts w:eastAsia="仿宋" w:cs="仿宋"/>
          <w:sz w:val="32"/>
        </w:rPr>
        <w:t>+</w:t>
      </w:r>
      <w:r>
        <w:rPr>
          <w:rFonts w:hint="eastAsia" w:eastAsia="仿宋" w:cs="仿宋"/>
          <w:sz w:val="32"/>
        </w:rPr>
        <w:t>”“</w:t>
      </w:r>
      <w:r>
        <w:rPr>
          <w:rFonts w:eastAsia="仿宋" w:cs="仿宋"/>
          <w:sz w:val="32"/>
        </w:rPr>
        <w:t>+</w:t>
      </w:r>
      <w:r>
        <w:rPr>
          <w:rFonts w:hint="eastAsia" w:eastAsia="仿宋" w:cs="仿宋"/>
          <w:sz w:val="32"/>
        </w:rPr>
        <w:t>旅游”战略，成立了全区旅游规划委员会，加强旅游规划的审查、督查，积极推进旅游与农业、工业、文创、商贸、生态、康养等各大产业深度融合，统筹发展。</w:t>
      </w:r>
    </w:p>
    <w:p>
      <w:pPr>
        <w:ind w:firstLine="960" w:firstLineChars="300"/>
        <w:rPr>
          <w:rFonts w:eastAsia="仿宋" w:cs="仿宋"/>
          <w:sz w:val="32"/>
        </w:rPr>
      </w:pPr>
      <w:r>
        <w:rPr>
          <w:rFonts w:eastAsia="仿宋" w:cs="仿宋"/>
          <w:sz w:val="32"/>
        </w:rPr>
        <w:t>5</w:t>
      </w:r>
      <w:r>
        <w:rPr>
          <w:rFonts w:hint="eastAsia" w:eastAsia="仿宋" w:cs="仿宋"/>
          <w:sz w:val="32"/>
        </w:rPr>
        <w:t>、配套服务逐步完善。进一步完善交通、美食、住宿、购物、旅游厕所等配套体系，深入实施交通助力核心区建设“三年行动”，建成利州特色商品一条街（澳门湾），完成“则天女皇筵”美食开发，月坝旅游商品投放市场大受欢迎，万达凤凰里金街有序提升，新建改建旅游厕所</w:t>
      </w:r>
      <w:r>
        <w:rPr>
          <w:rFonts w:eastAsia="仿宋" w:cs="仿宋"/>
          <w:sz w:val="32"/>
        </w:rPr>
        <w:t>9</w:t>
      </w:r>
      <w:r>
        <w:rPr>
          <w:rFonts w:hint="eastAsia" w:eastAsia="仿宋" w:cs="仿宋"/>
          <w:sz w:val="32"/>
        </w:rPr>
        <w:t>个，天成大酒店创建五星级酒店通过国家终评，四季绣生态农庄建成今年全市唯一的四星级乡村酒店。六、宣传营销有声有色。全年举办</w:t>
      </w:r>
      <w:r>
        <w:rPr>
          <w:rFonts w:eastAsia="仿宋" w:cs="仿宋"/>
          <w:sz w:val="32"/>
        </w:rPr>
        <w:t>2018</w:t>
      </w:r>
      <w:r>
        <w:rPr>
          <w:rFonts w:hint="eastAsia" w:eastAsia="仿宋" w:cs="仿宋"/>
          <w:sz w:val="32"/>
        </w:rPr>
        <w:t>四川美丽田园欢乐游暨首届利州山珍节、女儿节狂欢夜等康养惠民年活动</w:t>
      </w:r>
      <w:r>
        <w:rPr>
          <w:rFonts w:eastAsia="仿宋" w:cs="仿宋"/>
          <w:sz w:val="32"/>
        </w:rPr>
        <w:t>25</w:t>
      </w:r>
      <w:r>
        <w:rPr>
          <w:rFonts w:hint="eastAsia" w:eastAsia="仿宋" w:cs="仿宋"/>
          <w:sz w:val="32"/>
        </w:rPr>
        <w:t>场次。成立天曌山旅游区旅游联盟，举办</w:t>
      </w:r>
      <w:r>
        <w:rPr>
          <w:rFonts w:eastAsia="仿宋" w:cs="仿宋"/>
          <w:sz w:val="32"/>
        </w:rPr>
        <w:t>2018</w:t>
      </w:r>
      <w:r>
        <w:rPr>
          <w:rFonts w:hint="eastAsia" w:eastAsia="仿宋" w:cs="仿宋"/>
          <w:sz w:val="32"/>
        </w:rPr>
        <w:t>川陕渝广元天曌山自驾游及房车露营论坛。</w:t>
      </w:r>
    </w:p>
    <w:p>
      <w:pPr>
        <w:pStyle w:val="3"/>
        <w:rPr>
          <w:rStyle w:val="19"/>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9"/>
          <w:rFonts w:hint="eastAsia" w:ascii="黑体" w:hAnsi="黑体" w:eastAsia="黑体"/>
          <w:b w:val="0"/>
          <w:bCs w:val="0"/>
        </w:rPr>
        <w:t>构设置</w:t>
      </w:r>
      <w:bookmarkEnd w:id="20"/>
      <w:bookmarkEnd w:id="21"/>
    </w:p>
    <w:p>
      <w:pPr>
        <w:spacing w:line="580" w:lineRule="exact"/>
        <w:ind w:firstLine="800" w:firstLineChars="250"/>
        <w:rPr>
          <w:rFonts w:ascii="宋体"/>
          <w:sz w:val="28"/>
          <w:szCs w:val="28"/>
        </w:rPr>
      </w:pPr>
      <w:r>
        <w:rPr>
          <w:rFonts w:hint="eastAsia" w:ascii="仿宋" w:hAnsi="仿宋" w:eastAsia="仿宋"/>
          <w:sz w:val="32"/>
          <w:szCs w:val="32"/>
        </w:rPr>
        <w:t>广元市利州区旅游局下属二级单位</w:t>
      </w:r>
      <w:r>
        <w:rPr>
          <w:rFonts w:ascii="仿宋" w:hAnsi="仿宋" w:eastAsia="仿宋"/>
          <w:sz w:val="32"/>
          <w:szCs w:val="32"/>
        </w:rPr>
        <w:t>1</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1</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纳入广元市利州区旅游局</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8"/>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8"/>
          <w:rFonts w:ascii="黑体" w:hAnsi="黑体" w:eastAsia="黑体"/>
          <w:b w:val="0"/>
          <w:bCs w:val="0"/>
        </w:rPr>
        <w:t>2018</w:t>
      </w:r>
      <w:r>
        <w:rPr>
          <w:rStyle w:val="18"/>
          <w:rFonts w:hint="eastAsia" w:ascii="黑体" w:hAnsi="黑体" w:eastAsia="黑体"/>
          <w:b w:val="0"/>
          <w:bCs w:val="0"/>
        </w:rPr>
        <w:t>年度部门决算情况说明</w:t>
      </w:r>
      <w:bookmarkEnd w:id="22"/>
      <w:bookmarkEnd w:id="23"/>
    </w:p>
    <w:p/>
    <w:p>
      <w:pPr>
        <w:pStyle w:val="29"/>
        <w:numPr>
          <w:ilvl w:val="0"/>
          <w:numId w:val="1"/>
        </w:numPr>
        <w:spacing w:line="600" w:lineRule="exact"/>
        <w:ind w:firstLineChars="0"/>
        <w:outlineLvl w:val="1"/>
        <w:rPr>
          <w:rStyle w:val="19"/>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5227.36</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w:t>
      </w:r>
      <w:r>
        <w:rPr>
          <w:rFonts w:ascii="仿宋" w:hAnsi="仿宋" w:eastAsia="仿宋"/>
          <w:color w:val="000000"/>
          <w:sz w:val="32"/>
          <w:szCs w:val="32"/>
        </w:rPr>
        <w:t>278.37</w:t>
      </w:r>
      <w:r>
        <w:rPr>
          <w:rFonts w:hint="eastAsia" w:ascii="仿宋" w:hAnsi="仿宋" w:eastAsia="仿宋"/>
          <w:color w:val="000000"/>
          <w:sz w:val="32"/>
          <w:szCs w:val="32"/>
        </w:rPr>
        <w:t>万元相比增加</w:t>
      </w:r>
      <w:r>
        <w:rPr>
          <w:rFonts w:ascii="仿宋" w:hAnsi="仿宋" w:eastAsia="仿宋"/>
          <w:color w:val="000000"/>
          <w:sz w:val="32"/>
          <w:szCs w:val="32"/>
        </w:rPr>
        <w:t>4948.99</w:t>
      </w:r>
      <w:r>
        <w:rPr>
          <w:rFonts w:hint="eastAsia" w:ascii="仿宋" w:hAnsi="仿宋" w:eastAsia="仿宋"/>
          <w:color w:val="000000"/>
          <w:sz w:val="32"/>
          <w:szCs w:val="32"/>
        </w:rPr>
        <w:t>万元，增加</w:t>
      </w:r>
      <w:r>
        <w:rPr>
          <w:rFonts w:ascii="仿宋" w:hAnsi="仿宋" w:eastAsia="仿宋"/>
          <w:color w:val="000000"/>
          <w:sz w:val="32"/>
          <w:szCs w:val="32"/>
        </w:rPr>
        <w:t>1778%</w:t>
      </w:r>
      <w:r>
        <w:rPr>
          <w:rFonts w:hint="eastAsia" w:ascii="仿宋" w:hAnsi="仿宋" w:eastAsia="仿宋"/>
          <w:color w:val="000000"/>
          <w:sz w:val="32"/>
          <w:szCs w:val="32"/>
        </w:rPr>
        <w:t>，主要变动原因是增加白朝黄蛟山旅游专项债券资金</w:t>
      </w:r>
      <w:r>
        <w:rPr>
          <w:rFonts w:ascii="仿宋" w:hAnsi="仿宋" w:eastAsia="仿宋"/>
          <w:color w:val="000000"/>
          <w:sz w:val="32"/>
          <w:szCs w:val="32"/>
        </w:rPr>
        <w:t>5000</w:t>
      </w:r>
      <w:r>
        <w:rPr>
          <w:rFonts w:hint="eastAsia" w:ascii="仿宋" w:hAnsi="仿宋" w:eastAsia="仿宋"/>
          <w:color w:val="000000"/>
          <w:sz w:val="32"/>
          <w:szCs w:val="32"/>
        </w:rPr>
        <w:t>万元。</w:t>
      </w:r>
      <w:r>
        <w:rPr>
          <w:rFonts w:ascii="仿宋" w:hAnsi="仿宋" w:eastAsia="仿宋"/>
          <w:color w:val="000000"/>
          <w:sz w:val="32"/>
          <w:szCs w:val="32"/>
        </w:rPr>
        <w:t>2018</w:t>
      </w:r>
      <w:r>
        <w:rPr>
          <w:rFonts w:hint="eastAsia" w:ascii="仿宋" w:hAnsi="仿宋" w:eastAsia="仿宋"/>
          <w:color w:val="000000"/>
          <w:sz w:val="32"/>
          <w:szCs w:val="32"/>
        </w:rPr>
        <w:t>年度支出总计</w:t>
      </w:r>
      <w:r>
        <w:rPr>
          <w:rFonts w:ascii="仿宋" w:hAnsi="仿宋" w:eastAsia="仿宋"/>
          <w:color w:val="000000"/>
          <w:sz w:val="32"/>
          <w:szCs w:val="32"/>
        </w:rPr>
        <w:t>5153.75</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w:t>
      </w:r>
      <w:r>
        <w:rPr>
          <w:rFonts w:ascii="仿宋" w:hAnsi="仿宋" w:eastAsia="仿宋"/>
          <w:color w:val="000000"/>
          <w:sz w:val="32"/>
          <w:szCs w:val="32"/>
        </w:rPr>
        <w:t>268.03</w:t>
      </w:r>
      <w:r>
        <w:rPr>
          <w:rFonts w:hint="eastAsia" w:ascii="仿宋" w:hAnsi="仿宋" w:eastAsia="仿宋"/>
          <w:color w:val="000000"/>
          <w:sz w:val="32"/>
          <w:szCs w:val="32"/>
        </w:rPr>
        <w:t>万元相比增加</w:t>
      </w:r>
      <w:r>
        <w:rPr>
          <w:rFonts w:ascii="仿宋" w:hAnsi="仿宋" w:eastAsia="仿宋"/>
          <w:color w:val="000000"/>
          <w:sz w:val="32"/>
          <w:szCs w:val="32"/>
        </w:rPr>
        <w:t>4885.72</w:t>
      </w:r>
      <w:r>
        <w:rPr>
          <w:rFonts w:hint="eastAsia" w:ascii="仿宋" w:hAnsi="仿宋" w:eastAsia="仿宋"/>
          <w:color w:val="000000"/>
          <w:sz w:val="32"/>
          <w:szCs w:val="32"/>
        </w:rPr>
        <w:t>万元，增加</w:t>
      </w:r>
      <w:r>
        <w:rPr>
          <w:rFonts w:ascii="仿宋" w:hAnsi="仿宋" w:eastAsia="仿宋"/>
          <w:color w:val="000000"/>
          <w:sz w:val="32"/>
          <w:szCs w:val="32"/>
        </w:rPr>
        <w:t>1822%</w:t>
      </w:r>
      <w:r>
        <w:rPr>
          <w:rFonts w:hint="eastAsia" w:ascii="仿宋" w:hAnsi="仿宋" w:eastAsia="仿宋"/>
          <w:color w:val="000000"/>
          <w:sz w:val="32"/>
          <w:szCs w:val="32"/>
        </w:rPr>
        <w:t>，主要变动原因是增加白朝黄蛟山旅游专项债券资金</w:t>
      </w:r>
      <w:r>
        <w:rPr>
          <w:rFonts w:ascii="仿宋" w:hAnsi="仿宋" w:eastAsia="仿宋"/>
          <w:color w:val="000000"/>
          <w:sz w:val="32"/>
          <w:szCs w:val="32"/>
        </w:rPr>
        <w:t>5000</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420" w:firstLineChars="200"/>
        <w:jc w:val="left"/>
        <w:rPr>
          <w:rFonts w:ascii="仿宋_GB2312" w:eastAsia="仿宋_GB2312"/>
          <w:color w:val="000000"/>
          <w:sz w:val="32"/>
          <w:szCs w:val="32"/>
        </w:rPr>
      </w:pPr>
      <w:r>
        <w:pict>
          <v:shape id="_x0000_s1026" o:spid="_x0000_s1026" o:spt="75" type="#_x0000_t75" style="position:absolute;left:0pt;margin-left:42pt;margin-top:16.55pt;height:218.65pt;width:362.1pt;z-index:251658240;mso-width-relative:page;mso-height-relative:page;" o:ole="t" filled="f" o:preferrelative="t" stroked="f" coordsize="21600,21600">
            <v:path/>
            <v:fill on="f" focussize="0,0"/>
            <v:stroke on="f" joinstyle="miter"/>
            <v:imagedata r:id="rId7" o:title=""/>
            <o:lock v:ext="edit" aspectratio="t"/>
          </v:shape>
          <o:OLEObject Type="Embed" ProgID="MSGraph.Chart.8" ShapeID="_x0000_s1026"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9"/>
        <w:numPr>
          <w:ilvl w:val="0"/>
          <w:numId w:val="1"/>
        </w:numPr>
        <w:spacing w:line="600" w:lineRule="exact"/>
        <w:ind w:firstLineChars="0"/>
        <w:outlineLvl w:val="1"/>
        <w:rPr>
          <w:rStyle w:val="19"/>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9"/>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5227.36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163.25</w:t>
      </w:r>
      <w:r>
        <w:rPr>
          <w:rFonts w:hint="eastAsia" w:ascii="仿宋" w:hAnsi="仿宋" w:eastAsia="仿宋"/>
          <w:color w:val="000000"/>
          <w:sz w:val="32"/>
          <w:szCs w:val="32"/>
        </w:rPr>
        <w:t>万元，占</w:t>
      </w:r>
      <w:r>
        <w:rPr>
          <w:rFonts w:ascii="仿宋" w:hAnsi="仿宋" w:eastAsia="仿宋"/>
          <w:color w:val="000000"/>
          <w:sz w:val="32"/>
          <w:szCs w:val="32"/>
        </w:rPr>
        <w:t>3.12%</w:t>
      </w:r>
      <w:r>
        <w:rPr>
          <w:rFonts w:hint="eastAsia" w:ascii="仿宋" w:hAnsi="仿宋" w:eastAsia="仿宋"/>
          <w:color w:val="000000"/>
          <w:sz w:val="32"/>
          <w:szCs w:val="32"/>
        </w:rPr>
        <w:t>；政府性基金预算财政拨款收入</w:t>
      </w:r>
      <w:r>
        <w:rPr>
          <w:rFonts w:ascii="仿宋" w:hAnsi="仿宋" w:eastAsia="仿宋"/>
          <w:color w:val="000000"/>
          <w:sz w:val="32"/>
          <w:szCs w:val="32"/>
        </w:rPr>
        <w:t>5063.7</w:t>
      </w:r>
      <w:r>
        <w:rPr>
          <w:rFonts w:hint="eastAsia" w:ascii="仿宋" w:hAnsi="仿宋" w:eastAsia="仿宋"/>
          <w:color w:val="000000"/>
          <w:sz w:val="32"/>
          <w:szCs w:val="32"/>
        </w:rPr>
        <w:t>万元，占</w:t>
      </w:r>
      <w:r>
        <w:rPr>
          <w:rFonts w:ascii="仿宋" w:hAnsi="仿宋" w:eastAsia="仿宋"/>
          <w:color w:val="000000"/>
          <w:sz w:val="32"/>
          <w:szCs w:val="32"/>
        </w:rPr>
        <w:t>96.87%</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0.41</w:t>
      </w:r>
      <w:r>
        <w:rPr>
          <w:rFonts w:hint="eastAsia" w:ascii="仿宋" w:hAnsi="仿宋" w:eastAsia="仿宋"/>
          <w:color w:val="000000"/>
          <w:sz w:val="32"/>
          <w:szCs w:val="32"/>
        </w:rPr>
        <w:t>万元，占</w:t>
      </w:r>
      <w:r>
        <w:rPr>
          <w:rFonts w:ascii="仿宋" w:hAnsi="仿宋" w:eastAsia="仿宋"/>
          <w:color w:val="000000"/>
          <w:sz w:val="32"/>
          <w:szCs w:val="32"/>
        </w:rPr>
        <w:t>0.01%</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rPr>
          <w:rFonts w:ascii="仿宋" w:hAnsi="仿宋" w:eastAsia="仿宋"/>
          <w:color w:val="000000"/>
          <w:sz w:val="18"/>
          <w:szCs w:val="18"/>
        </w:rPr>
      </w:pPr>
      <w:r>
        <w:rPr>
          <w:rFonts w:ascii="仿宋" w:hAnsi="仿宋" w:eastAsia="仿宋"/>
          <w:color w:val="000000"/>
          <w:sz w:val="32"/>
          <w:szCs w:val="32"/>
        </w:rPr>
        <w:t xml:space="preserve">          </w:t>
      </w:r>
      <w:r>
        <w:rPr>
          <w:rFonts w:ascii="仿宋" w:hAnsi="仿宋" w:eastAsia="仿宋"/>
          <w:color w:val="000000"/>
          <w:sz w:val="18"/>
          <w:szCs w:val="18"/>
        </w:rPr>
        <w:t xml:space="preserve"> </w:t>
      </w:r>
    </w:p>
    <w:p>
      <w:pPr>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69.25pt;width:408.75pt;" o:ole="t" filled="f" o:preferrelative="t" stroked="f" coordsize="21600,21600">
            <v:path/>
            <v:fill on="f" focussize="0,0"/>
            <v:stroke on="f" joinstyle="miter"/>
            <v:imagedata r:id="rId9" o:title=""/>
            <o:lock v:ext="edit" aspectratio="t"/>
            <w10:wrap type="none"/>
            <w10:anchorlock/>
          </v:shape>
          <o:OLEObject Type="Embed" ProgID="MSGraph.Chart.8" ShapeID="_x0000_i1025" DrawAspect="Content" ObjectID="_1468075726" r:id="rId8">
            <o:LockedField>false</o:LockedField>
          </o:OLEObject>
        </w:object>
      </w:r>
    </w:p>
    <w:p>
      <w:pPr>
        <w:pStyle w:val="29"/>
        <w:numPr>
          <w:ilvl w:val="0"/>
          <w:numId w:val="1"/>
        </w:numPr>
        <w:spacing w:line="600" w:lineRule="exact"/>
        <w:ind w:firstLineChars="0"/>
        <w:outlineLvl w:val="1"/>
        <w:rPr>
          <w:rStyle w:val="19"/>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9"/>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5153.75</w:t>
      </w:r>
      <w:r>
        <w:rPr>
          <w:rFonts w:hint="eastAsia" w:ascii="仿宋" w:hAnsi="仿宋" w:eastAsia="仿宋"/>
          <w:color w:val="000000"/>
          <w:sz w:val="32"/>
          <w:szCs w:val="32"/>
        </w:rPr>
        <w:t>万元，其中：基本支出</w:t>
      </w:r>
      <w:r>
        <w:rPr>
          <w:rFonts w:ascii="仿宋" w:hAnsi="仿宋" w:eastAsia="仿宋"/>
          <w:color w:val="000000"/>
          <w:sz w:val="32"/>
          <w:szCs w:val="32"/>
        </w:rPr>
        <w:t>149.86</w:t>
      </w:r>
      <w:r>
        <w:rPr>
          <w:rFonts w:hint="eastAsia" w:ascii="仿宋" w:hAnsi="仿宋" w:eastAsia="仿宋"/>
          <w:color w:val="000000"/>
          <w:sz w:val="32"/>
          <w:szCs w:val="32"/>
        </w:rPr>
        <w:t>万元，占</w:t>
      </w:r>
      <w:r>
        <w:rPr>
          <w:rFonts w:ascii="仿宋" w:hAnsi="仿宋" w:eastAsia="仿宋"/>
          <w:color w:val="000000"/>
          <w:sz w:val="32"/>
          <w:szCs w:val="32"/>
        </w:rPr>
        <w:t>2.91%</w:t>
      </w:r>
      <w:r>
        <w:rPr>
          <w:rFonts w:hint="eastAsia" w:ascii="仿宋" w:hAnsi="仿宋" w:eastAsia="仿宋"/>
          <w:color w:val="000000"/>
          <w:sz w:val="32"/>
          <w:szCs w:val="32"/>
        </w:rPr>
        <w:t>；项目支出</w:t>
      </w:r>
      <w:r>
        <w:rPr>
          <w:rFonts w:ascii="仿宋" w:hAnsi="仿宋" w:eastAsia="仿宋"/>
          <w:color w:val="000000"/>
          <w:sz w:val="32"/>
          <w:szCs w:val="32"/>
        </w:rPr>
        <w:t>5003.89</w:t>
      </w:r>
      <w:r>
        <w:rPr>
          <w:rFonts w:hint="eastAsia" w:ascii="仿宋" w:hAnsi="仿宋" w:eastAsia="仿宋"/>
          <w:color w:val="000000"/>
          <w:sz w:val="32"/>
          <w:szCs w:val="32"/>
        </w:rPr>
        <w:t>万元，占</w:t>
      </w:r>
      <w:r>
        <w:rPr>
          <w:rFonts w:ascii="仿宋" w:hAnsi="仿宋" w:eastAsia="仿宋"/>
          <w:color w:val="000000"/>
          <w:sz w:val="32"/>
          <w:szCs w:val="32"/>
        </w:rPr>
        <w:t>97.09%</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420" w:firstLineChars="200"/>
        <w:rPr>
          <w:rFonts w:ascii="仿宋_GB2312" w:eastAsia="仿宋_GB2312"/>
          <w:color w:val="FF0000"/>
          <w:sz w:val="32"/>
          <w:szCs w:val="32"/>
        </w:rPr>
      </w:pPr>
      <w:r>
        <w:pict>
          <v:shape id="_x0000_s1027" o:spid="_x0000_s1027" o:spt="75" type="#_x0000_t75" style="position:absolute;left:0pt;margin-left:31.5pt;margin-top:14.4pt;height:240.25pt;width:362.8pt;z-index:251659264;mso-width-relative:page;mso-height-relative:page;" o:ole="t" filled="f" o:preferrelative="t" stroked="f" coordsize="21600,21600">
            <v:path/>
            <v:fill on="f" focussize="0,0"/>
            <v:stroke on="f" joinstyle="miter"/>
            <v:imagedata r:id="rId11" o:title=""/>
            <o:lock v:ext="edit" aspectratio="t"/>
          </v:shape>
          <o:OLEObject Type="Embed" ProgID="MSGraph.Chart.8" ShapeID="_x0000_s1027" DrawAspect="Content" ObjectID="_1468075727" r:id="rId10">
            <o:LockedField>false</o:LockedField>
          </o:OLEObject>
        </w:pict>
      </w:r>
      <w:r>
        <w:rPr>
          <w:rFonts w:ascii="仿宋_GB2312" w:eastAsia="仿宋_GB2312"/>
          <w:color w:val="FF0000"/>
          <w:sz w:val="32"/>
          <w:szCs w:val="32"/>
        </w:rPr>
        <w:object>
          <v:shape id="_x0000_i1026" o:spt="75" type="#_x0000_t75" style="height:189pt;width:279pt;" o:ole="t" filled="f" o:preferrelative="t" stroked="f" coordsize="21600,21600">
            <v:path/>
            <v:fill on="f" focussize="0,0"/>
            <v:stroke on="f" joinstyle="miter"/>
            <v:imagedata r:id="rId13" o:title=""/>
            <o:lock v:ext="edit" aspectratio="t"/>
            <w10:wrap type="none"/>
            <w10:anchorlock/>
          </v:shape>
          <o:OLEObject Type="Embed" ProgID="MSGraph.Chart.8" ShapeID="_x0000_i1026" DrawAspect="Content" ObjectID="_1468075728" r:id="rId12">
            <o:LockedField>false</o:LockedField>
          </o:OLEObject>
        </w:object>
      </w:r>
    </w:p>
    <w:p>
      <w:pPr>
        <w:spacing w:line="600" w:lineRule="exact"/>
        <w:ind w:firstLine="640" w:firstLineChars="200"/>
        <w:rPr>
          <w:rFonts w:ascii="仿宋_GB2312" w:eastAsia="仿宋_GB2312"/>
          <w:color w:val="FF0000"/>
          <w:sz w:val="32"/>
          <w:szCs w:val="32"/>
        </w:rPr>
      </w:pPr>
    </w:p>
    <w:p>
      <w:pPr>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9"/>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年财政拨款收入总计</w:t>
      </w:r>
      <w:r>
        <w:rPr>
          <w:rFonts w:ascii="仿宋" w:hAnsi="仿宋" w:eastAsia="仿宋"/>
          <w:color w:val="000000"/>
          <w:sz w:val="32"/>
          <w:szCs w:val="32"/>
        </w:rPr>
        <w:t>5226.95</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4949.01</w:t>
      </w:r>
      <w:r>
        <w:rPr>
          <w:rFonts w:hint="eastAsia" w:ascii="仿宋" w:hAnsi="仿宋" w:eastAsia="仿宋"/>
          <w:color w:val="000000"/>
          <w:sz w:val="32"/>
          <w:szCs w:val="32"/>
        </w:rPr>
        <w:t>万元，增加</w:t>
      </w:r>
      <w:r>
        <w:rPr>
          <w:rFonts w:ascii="仿宋" w:hAnsi="仿宋" w:eastAsia="仿宋"/>
          <w:color w:val="000000"/>
          <w:sz w:val="32"/>
          <w:szCs w:val="32"/>
        </w:rPr>
        <w:t>1780%</w:t>
      </w:r>
      <w:r>
        <w:rPr>
          <w:rFonts w:hint="eastAsia" w:ascii="仿宋" w:hAnsi="仿宋" w:eastAsia="仿宋"/>
          <w:color w:val="000000"/>
          <w:sz w:val="32"/>
          <w:szCs w:val="32"/>
        </w:rPr>
        <w:t>，主要变动原因是增加白朝黄蛟山旅游专项债券资金</w:t>
      </w:r>
      <w:r>
        <w:rPr>
          <w:rFonts w:ascii="仿宋" w:hAnsi="仿宋" w:eastAsia="仿宋"/>
          <w:color w:val="000000"/>
          <w:sz w:val="32"/>
          <w:szCs w:val="32"/>
        </w:rPr>
        <w:t>5000</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163.25</w:t>
      </w:r>
      <w:r>
        <w:rPr>
          <w:rFonts w:hint="eastAsia" w:ascii="仿宋" w:hAnsi="仿宋" w:eastAsia="仿宋"/>
          <w:color w:val="000000"/>
          <w:sz w:val="32"/>
          <w:szCs w:val="32"/>
        </w:rPr>
        <w:t>万元，占</w:t>
      </w:r>
      <w:r>
        <w:rPr>
          <w:rFonts w:ascii="仿宋" w:hAnsi="仿宋" w:eastAsia="仿宋"/>
          <w:color w:val="000000"/>
          <w:sz w:val="32"/>
          <w:szCs w:val="32"/>
        </w:rPr>
        <w:t>3.12%</w:t>
      </w:r>
      <w:r>
        <w:rPr>
          <w:rFonts w:hint="eastAsia" w:ascii="仿宋" w:hAnsi="仿宋" w:eastAsia="仿宋"/>
          <w:color w:val="000000"/>
          <w:sz w:val="32"/>
          <w:szCs w:val="32"/>
        </w:rPr>
        <w:t>；比</w:t>
      </w:r>
      <w:r>
        <w:rPr>
          <w:rFonts w:ascii="仿宋" w:hAnsi="仿宋" w:eastAsia="仿宋"/>
          <w:color w:val="000000"/>
          <w:sz w:val="32"/>
          <w:szCs w:val="32"/>
        </w:rPr>
        <w:t>2017</w:t>
      </w:r>
      <w:r>
        <w:rPr>
          <w:rFonts w:hint="eastAsia" w:ascii="仿宋" w:hAnsi="仿宋" w:eastAsia="仿宋"/>
          <w:color w:val="000000"/>
          <w:sz w:val="32"/>
          <w:szCs w:val="32"/>
        </w:rPr>
        <w:t>年相比减少政府性基金预算财政拨款收入</w:t>
      </w:r>
      <w:r>
        <w:rPr>
          <w:rFonts w:ascii="仿宋" w:hAnsi="仿宋" w:eastAsia="仿宋"/>
          <w:color w:val="000000"/>
          <w:sz w:val="32"/>
          <w:szCs w:val="32"/>
        </w:rPr>
        <w:t>5063.7</w:t>
      </w:r>
      <w:r>
        <w:rPr>
          <w:rFonts w:hint="eastAsia" w:ascii="仿宋" w:hAnsi="仿宋" w:eastAsia="仿宋"/>
          <w:color w:val="000000"/>
          <w:sz w:val="32"/>
          <w:szCs w:val="32"/>
        </w:rPr>
        <w:t>万元，占</w:t>
      </w:r>
      <w:r>
        <w:rPr>
          <w:rFonts w:ascii="仿宋" w:hAnsi="仿宋" w:eastAsia="仿宋"/>
          <w:color w:val="000000"/>
          <w:sz w:val="32"/>
          <w:szCs w:val="32"/>
        </w:rPr>
        <w:t>96.88%</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0.41</w:t>
      </w:r>
      <w:r>
        <w:rPr>
          <w:rFonts w:hint="eastAsia" w:ascii="仿宋" w:hAnsi="仿宋" w:eastAsia="仿宋"/>
          <w:color w:val="000000"/>
          <w:sz w:val="32"/>
          <w:szCs w:val="32"/>
        </w:rPr>
        <w:t>万元，占</w:t>
      </w:r>
      <w:r>
        <w:rPr>
          <w:rFonts w:ascii="仿宋" w:hAnsi="仿宋" w:eastAsia="仿宋"/>
          <w:color w:val="000000"/>
          <w:sz w:val="32"/>
          <w:szCs w:val="32"/>
        </w:rPr>
        <w:t>0.01%</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年财政拨款支出总计</w:t>
      </w:r>
      <w:r>
        <w:rPr>
          <w:rFonts w:ascii="仿宋" w:hAnsi="仿宋" w:eastAsia="仿宋"/>
          <w:color w:val="000000"/>
          <w:sz w:val="32"/>
          <w:szCs w:val="32"/>
        </w:rPr>
        <w:t>5153.34</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w:t>
      </w:r>
      <w:r>
        <w:rPr>
          <w:rFonts w:ascii="仿宋" w:hAnsi="仿宋" w:eastAsia="仿宋"/>
          <w:color w:val="000000"/>
          <w:sz w:val="32"/>
          <w:szCs w:val="32"/>
        </w:rPr>
        <w:t>4885.74</w:t>
      </w:r>
      <w:r>
        <w:rPr>
          <w:rFonts w:hint="eastAsia" w:ascii="仿宋" w:hAnsi="仿宋" w:eastAsia="仿宋"/>
          <w:color w:val="000000"/>
          <w:sz w:val="32"/>
          <w:szCs w:val="32"/>
        </w:rPr>
        <w:t>万元，增加</w:t>
      </w:r>
      <w:r>
        <w:rPr>
          <w:rFonts w:ascii="仿宋" w:hAnsi="仿宋" w:eastAsia="仿宋"/>
          <w:color w:val="000000"/>
          <w:sz w:val="32"/>
          <w:szCs w:val="32"/>
        </w:rPr>
        <w:t>1826%</w:t>
      </w:r>
      <w:r>
        <w:rPr>
          <w:rFonts w:hint="eastAsia" w:ascii="仿宋" w:hAnsi="仿宋" w:eastAsia="仿宋"/>
          <w:color w:val="000000"/>
          <w:sz w:val="32"/>
          <w:szCs w:val="32"/>
        </w:rPr>
        <w:t>，主要变动原因是增加白朝黄蛟山旅游专项债券资金</w:t>
      </w:r>
      <w:r>
        <w:rPr>
          <w:rFonts w:ascii="仿宋" w:hAnsi="仿宋" w:eastAsia="仿宋"/>
          <w:color w:val="000000"/>
          <w:sz w:val="32"/>
          <w:szCs w:val="32"/>
        </w:rPr>
        <w:t>5000</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p>
    <w:p>
      <w:pPr>
        <w:spacing w:line="600" w:lineRule="exact"/>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r>
        <w:pict>
          <v:shape id="_x0000_s1028" o:spid="_x0000_s1028" o:spt="75" type="#_x0000_t75" style="position:absolute;left:0pt;margin-left:31.45pt;margin-top:-13.15pt;height:208.2pt;width:315.2pt;z-index:251660288;mso-width-relative:page;mso-height-relative:page;" o:ole="t" filled="f" o:preferrelative="t" stroked="f" coordsize="21600,21600">
            <v:path/>
            <v:fill on="f" focussize="0,0"/>
            <v:stroke on="f" joinstyle="miter"/>
            <v:imagedata r:id="rId15" o:title=""/>
            <o:lock v:ext="edit" aspectratio="t"/>
          </v:shape>
          <o:OLEObject Type="Embed" ProgID="MSGraph.Chart.8" ShapeID="_x0000_s1028" DrawAspect="Content" ObjectID="_1468075729" r:id="rId14">
            <o:LockedField>false</o:LockedField>
          </o:OLEObject>
        </w:pict>
      </w:r>
    </w:p>
    <w:p>
      <w:pPr>
        <w:spacing w:line="600" w:lineRule="exact"/>
        <w:ind w:firstLine="640"/>
        <w:rPr>
          <w:rFonts w:ascii="仿宋" w:hAnsi="仿宋" w:eastAsia="仿宋"/>
          <w:b/>
          <w:color w:val="000000"/>
          <w:sz w:val="32"/>
          <w:szCs w:val="32"/>
        </w:rPr>
      </w:pPr>
    </w:p>
    <w:p>
      <w:pPr>
        <w:tabs>
          <w:tab w:val="left" w:pos="3161"/>
        </w:tabs>
        <w:ind w:firstLine="641"/>
        <w:rPr>
          <w:rFonts w:ascii="仿宋" w:hAnsi="仿宋" w:eastAsia="仿宋"/>
          <w:b/>
          <w:color w:val="000000"/>
          <w:sz w:val="32"/>
          <w:szCs w:val="32"/>
        </w:rPr>
      </w:pPr>
      <w:r>
        <w:rPr>
          <w:rFonts w:ascii="仿宋" w:hAnsi="仿宋" w:eastAsia="仿宋"/>
          <w:b/>
          <w:color w:val="000000"/>
          <w:sz w:val="32"/>
          <w:szCs w:val="32"/>
        </w:rPr>
        <w:tab/>
      </w:r>
    </w:p>
    <w:p>
      <w:pPr>
        <w:spacing w:line="600" w:lineRule="exact"/>
        <w:ind w:firstLine="640"/>
        <w:rPr>
          <w:rFonts w:ascii="仿宋" w:hAnsi="仿宋" w:eastAsia="仿宋"/>
          <w:b/>
          <w:color w:val="000000"/>
          <w:sz w:val="32"/>
          <w:szCs w:val="32"/>
        </w:rPr>
      </w:pPr>
    </w:p>
    <w:p>
      <w:pPr>
        <w:ind w:firstLine="641"/>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9"/>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153.34</w:t>
      </w:r>
      <w:r>
        <w:rPr>
          <w:rFonts w:hint="eastAsia" w:ascii="仿宋" w:hAnsi="仿宋" w:eastAsia="仿宋"/>
          <w:color w:val="000000"/>
          <w:sz w:val="32"/>
          <w:szCs w:val="32"/>
        </w:rPr>
        <w:t>万元，占本年支出合计的</w:t>
      </w:r>
      <w:r>
        <w:rPr>
          <w:rFonts w:ascii="仿宋" w:hAnsi="仿宋" w:eastAsia="仿宋"/>
          <w:color w:val="000000"/>
          <w:sz w:val="32"/>
          <w:szCs w:val="32"/>
        </w:rPr>
        <w:t>2.98%</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年相比减少</w:t>
      </w:r>
      <w:r>
        <w:rPr>
          <w:rFonts w:ascii="仿宋" w:hAnsi="仿宋" w:eastAsia="仿宋"/>
          <w:color w:val="000000"/>
          <w:sz w:val="32"/>
          <w:szCs w:val="32"/>
        </w:rPr>
        <w:t>114.26</w:t>
      </w:r>
      <w:r>
        <w:rPr>
          <w:rFonts w:hint="eastAsia" w:ascii="仿宋" w:hAnsi="仿宋" w:eastAsia="仿宋"/>
          <w:color w:val="000000"/>
          <w:sz w:val="32"/>
          <w:szCs w:val="32"/>
        </w:rPr>
        <w:t>万元，下降</w:t>
      </w:r>
      <w:r>
        <w:rPr>
          <w:rFonts w:ascii="仿宋" w:hAnsi="仿宋" w:eastAsia="仿宋"/>
          <w:color w:val="000000"/>
          <w:sz w:val="32"/>
          <w:szCs w:val="32"/>
        </w:rPr>
        <w:t>42.69%</w:t>
      </w:r>
      <w:r>
        <w:rPr>
          <w:rFonts w:hint="eastAsia" w:ascii="仿宋" w:hAnsi="仿宋" w:eastAsia="仿宋"/>
          <w:color w:val="000000"/>
          <w:sz w:val="32"/>
          <w:szCs w:val="32"/>
        </w:rPr>
        <w:t>，主要变动原因是减少专项业务费。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153.34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商业服务业等支出（类）</w:t>
      </w:r>
      <w:r>
        <w:rPr>
          <w:rFonts w:hint="eastAsia" w:ascii="仿宋" w:hAnsi="仿宋" w:eastAsia="仿宋"/>
          <w:color w:val="000000"/>
          <w:sz w:val="32"/>
          <w:szCs w:val="32"/>
        </w:rPr>
        <w:t>支出</w:t>
      </w:r>
      <w:r>
        <w:rPr>
          <w:rFonts w:ascii="仿宋" w:hAnsi="仿宋" w:eastAsia="仿宋"/>
          <w:color w:val="000000"/>
          <w:sz w:val="32"/>
          <w:szCs w:val="32"/>
        </w:rPr>
        <w:t>124.37</w:t>
      </w:r>
      <w:r>
        <w:rPr>
          <w:rFonts w:hint="eastAsia" w:ascii="仿宋" w:hAnsi="仿宋" w:eastAsia="仿宋"/>
          <w:color w:val="000000"/>
          <w:sz w:val="32"/>
          <w:szCs w:val="32"/>
        </w:rPr>
        <w:t>万元，占</w:t>
      </w:r>
      <w:r>
        <w:rPr>
          <w:rFonts w:ascii="仿宋" w:hAnsi="仿宋" w:eastAsia="仿宋"/>
          <w:color w:val="000000"/>
          <w:sz w:val="32"/>
          <w:szCs w:val="32"/>
        </w:rPr>
        <w:t>81.11%</w:t>
      </w:r>
      <w:r>
        <w:rPr>
          <w:rFonts w:hint="eastAsia" w:ascii="仿宋" w:hAnsi="仿宋" w:eastAsia="仿宋"/>
          <w:color w:val="000000"/>
          <w:sz w:val="32"/>
          <w:szCs w:val="32"/>
        </w:rPr>
        <w:t>；</w:t>
      </w:r>
      <w:r>
        <w:rPr>
          <w:rFonts w:hint="eastAsia" w:ascii="仿宋" w:hAnsi="仿宋" w:eastAsia="仿宋"/>
          <w:b/>
          <w:color w:val="000000"/>
          <w:sz w:val="32"/>
          <w:szCs w:val="32"/>
        </w:rPr>
        <w:t>扶贫支出（类）</w:t>
      </w:r>
      <w:r>
        <w:rPr>
          <w:rFonts w:ascii="仿宋" w:hAnsi="仿宋" w:eastAsia="仿宋"/>
          <w:color w:val="000000"/>
          <w:sz w:val="32"/>
          <w:szCs w:val="32"/>
        </w:rPr>
        <w:t>3.89</w:t>
      </w:r>
      <w:r>
        <w:rPr>
          <w:rFonts w:hint="eastAsia" w:ascii="仿宋" w:hAnsi="仿宋" w:eastAsia="仿宋"/>
          <w:color w:val="000000"/>
          <w:sz w:val="32"/>
          <w:szCs w:val="32"/>
        </w:rPr>
        <w:t>万元，占</w:t>
      </w:r>
      <w:r>
        <w:rPr>
          <w:rFonts w:ascii="仿宋" w:hAnsi="仿宋" w:eastAsia="仿宋"/>
          <w:color w:val="000000"/>
          <w:sz w:val="32"/>
          <w:szCs w:val="32"/>
        </w:rPr>
        <w:t>2.54%</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12.89</w:t>
      </w:r>
      <w:r>
        <w:rPr>
          <w:rFonts w:hint="eastAsia" w:ascii="仿宋" w:hAnsi="仿宋" w:eastAsia="仿宋"/>
          <w:color w:val="000000"/>
          <w:sz w:val="32"/>
          <w:szCs w:val="32"/>
        </w:rPr>
        <w:t>万元，占</w:t>
      </w:r>
      <w:r>
        <w:rPr>
          <w:rFonts w:ascii="仿宋" w:hAnsi="仿宋" w:eastAsia="仿宋"/>
          <w:color w:val="000000"/>
          <w:sz w:val="32"/>
          <w:szCs w:val="32"/>
        </w:rPr>
        <w:t>8.4%</w:t>
      </w:r>
      <w:r>
        <w:rPr>
          <w:rFonts w:hint="eastAsia" w:ascii="仿宋" w:hAnsi="仿宋" w:eastAsia="仿宋"/>
          <w:color w:val="000000"/>
          <w:sz w:val="32"/>
          <w:szCs w:val="32"/>
        </w:rPr>
        <w:t>；</w:t>
      </w:r>
      <w:r>
        <w:rPr>
          <w:rStyle w:val="16"/>
          <w:rFonts w:hint="eastAsia" w:ascii="仿宋" w:hAnsi="仿宋" w:eastAsia="仿宋"/>
          <w:bCs/>
          <w:color w:val="000000"/>
          <w:sz w:val="32"/>
          <w:szCs w:val="32"/>
        </w:rPr>
        <w:t>医疗卫生与计划生育（类）</w:t>
      </w:r>
      <w:r>
        <w:rPr>
          <w:rFonts w:ascii="仿宋" w:hAnsi="仿宋" w:eastAsia="仿宋"/>
          <w:color w:val="000000"/>
          <w:sz w:val="32"/>
          <w:szCs w:val="32"/>
        </w:rPr>
        <w:t>4.62</w:t>
      </w:r>
      <w:r>
        <w:rPr>
          <w:rFonts w:hint="eastAsia" w:ascii="仿宋" w:hAnsi="仿宋" w:eastAsia="仿宋"/>
          <w:color w:val="000000"/>
          <w:sz w:val="32"/>
          <w:szCs w:val="32"/>
        </w:rPr>
        <w:t>万元，占</w:t>
      </w:r>
      <w:r>
        <w:rPr>
          <w:rFonts w:ascii="仿宋" w:hAnsi="仿宋" w:eastAsia="仿宋"/>
          <w:color w:val="000000"/>
          <w:sz w:val="32"/>
          <w:szCs w:val="32"/>
        </w:rPr>
        <w:t>3.01%</w:t>
      </w:r>
      <w:r>
        <w:rPr>
          <w:rFonts w:hint="eastAsia" w:ascii="仿宋" w:hAnsi="仿宋" w:eastAsia="仿宋"/>
          <w:color w:val="000000"/>
          <w:sz w:val="32"/>
          <w:szCs w:val="32"/>
        </w:rPr>
        <w:t>；住房保障支出（类）</w:t>
      </w:r>
      <w:r>
        <w:rPr>
          <w:rFonts w:ascii="仿宋" w:hAnsi="仿宋" w:eastAsia="仿宋"/>
          <w:color w:val="000000"/>
          <w:sz w:val="32"/>
          <w:szCs w:val="32"/>
        </w:rPr>
        <w:t>7.57</w:t>
      </w:r>
      <w:r>
        <w:rPr>
          <w:rFonts w:hint="eastAsia" w:ascii="仿宋" w:hAnsi="仿宋" w:eastAsia="仿宋"/>
          <w:color w:val="000000"/>
          <w:sz w:val="32"/>
          <w:szCs w:val="32"/>
        </w:rPr>
        <w:t>万元，占</w:t>
      </w:r>
      <w:r>
        <w:rPr>
          <w:rFonts w:ascii="仿宋" w:hAnsi="仿宋" w:eastAsia="仿宋"/>
          <w:color w:val="000000"/>
          <w:sz w:val="32"/>
          <w:szCs w:val="32"/>
        </w:rPr>
        <w:t>4.94%</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420" w:firstLineChars="200"/>
        <w:rPr>
          <w:rFonts w:ascii="仿宋" w:hAnsi="仿宋" w:eastAsia="仿宋"/>
          <w:color w:val="000000"/>
          <w:sz w:val="32"/>
          <w:szCs w:val="32"/>
        </w:rPr>
      </w:pPr>
      <w:r>
        <w:pict>
          <v:shape id="_x0000_s1029" o:spid="_x0000_s1029" o:spt="75" type="#_x0000_t75" style="position:absolute;left:0pt;margin-left:26.25pt;margin-top:27pt;height:188.2pt;width:349.95pt;z-index:251661312;mso-width-relative:page;mso-height-relative:page;" o:ole="t" filled="f" o:preferrelative="t" stroked="f" coordsize="21600,21600">
            <v:path/>
            <v:fill on="f" focussize="0,0"/>
            <v:stroke on="f" joinstyle="miter"/>
            <v:imagedata r:id="rId17" o:title=""/>
            <o:lock v:ext="edit" aspectratio="t"/>
          </v:shape>
          <o:OLEObject Type="Embed" ProgID="MSGraph.Chart.8" ShapeID="_x0000_s1029"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000000"/>
          <w:sz w:val="32"/>
          <w:szCs w:val="32"/>
        </w:rPr>
      </w:pPr>
      <w:bookmarkStart w:id="37" w:name="_Toc15377213"/>
      <w:bookmarkStart w:id="38" w:name="_Toc15377444"/>
      <w:bookmarkStart w:id="39" w:name="_Toc15378460"/>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153.34</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完成预算</w:t>
      </w:r>
      <w:r>
        <w:rPr>
          <w:rStyle w:val="16"/>
          <w:rFonts w:ascii="仿宋" w:hAnsi="仿宋" w:eastAsia="仿宋"/>
          <w:bCs/>
          <w:color w:val="000000"/>
          <w:sz w:val="32"/>
          <w:szCs w:val="32"/>
        </w:rPr>
        <w:t>92.63%</w:t>
      </w:r>
      <w:r>
        <w:rPr>
          <w:rStyle w:val="16"/>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Fonts w:hint="eastAsia" w:ascii="仿宋" w:hAnsi="仿宋" w:eastAsia="仿宋"/>
          <w:b/>
          <w:color w:val="000000"/>
          <w:sz w:val="32"/>
          <w:szCs w:val="32"/>
        </w:rPr>
        <w:t>商业服务业等支出（类）</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216</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21605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2160501:</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124.37</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92.63%</w:t>
      </w:r>
      <w:r>
        <w:rPr>
          <w:rStyle w:val="16"/>
          <w:rFonts w:hint="eastAsia" w:ascii="仿宋" w:hAnsi="仿宋" w:eastAsia="仿宋"/>
          <w:b w:val="0"/>
          <w:bCs/>
          <w:color w:val="000000"/>
          <w:sz w:val="32"/>
          <w:szCs w:val="32"/>
        </w:rPr>
        <w:t>，决算数小于预算数的主要原因是年底追加调动人员经费、旅游工作单项目标奖等经费。</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Fonts w:hint="eastAsia" w:ascii="仿宋" w:hAnsi="仿宋" w:eastAsia="仿宋"/>
          <w:b/>
          <w:color w:val="000000"/>
          <w:sz w:val="32"/>
          <w:szCs w:val="32"/>
        </w:rPr>
        <w:t>扶贫支出</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213</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21305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2130599:</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3.89</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Fonts w:hint="eastAsia" w:ascii="仿宋" w:hAnsi="仿宋" w:eastAsia="仿宋"/>
          <w:b/>
          <w:color w:val="000000"/>
          <w:sz w:val="32"/>
          <w:szCs w:val="32"/>
        </w:rPr>
        <w:t>社会保障和就业</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208</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20805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2080505:</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12.89</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医疗卫生与计划生育（类）</w:t>
      </w:r>
      <w:r>
        <w:rPr>
          <w:rStyle w:val="16"/>
          <w:rFonts w:ascii="仿宋" w:hAnsi="仿宋" w:eastAsia="仿宋"/>
          <w:bCs/>
          <w:color w:val="000000"/>
          <w:sz w:val="32"/>
          <w:szCs w:val="32"/>
        </w:rPr>
        <w:t>210</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21011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2101102:</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4.62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Fonts w:hint="eastAsia" w:ascii="仿宋" w:hAnsi="仿宋" w:eastAsia="仿宋"/>
          <w:color w:val="000000"/>
          <w:sz w:val="32"/>
          <w:szCs w:val="32"/>
        </w:rPr>
        <w:t>住房保障支出</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221</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22102</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2210201:</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7.57</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9"/>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40"/>
      <w:bookmarkEnd w:id="41"/>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149.45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133.59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15.86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outlineLvl w:val="1"/>
        <w:rPr>
          <w:rFonts w:ascii="黑体" w:eastAsia="黑体"/>
          <w:color w:val="000000"/>
          <w:sz w:val="32"/>
          <w:szCs w:val="32"/>
        </w:rPr>
      </w:pPr>
      <w:bookmarkStart w:id="42" w:name="_Toc15396609"/>
      <w:bookmarkStart w:id="43" w:name="_Toc15377215"/>
    </w:p>
    <w:p>
      <w:pPr>
        <w:spacing w:line="600" w:lineRule="exact"/>
        <w:ind w:firstLine="640"/>
        <w:outlineLvl w:val="1"/>
        <w:rPr>
          <w:rStyle w:val="19"/>
          <w:rFonts w:ascii="黑体" w:hAnsi="黑体" w:eastAsia="黑体"/>
          <w:b w:val="0"/>
        </w:rPr>
      </w:pPr>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4.67</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，决算数小于预算数（或与预算数持平）的主要原因是严格控制公务接待标准、接待规模等。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4.67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color w:val="000000"/>
          <w:sz w:val="32"/>
          <w:szCs w:val="32"/>
        </w:rPr>
      </w:pPr>
      <w:r>
        <w:pict>
          <v:shape id="_x0000_s1030" o:spid="_x0000_s1030" o:spt="75" type="#_x0000_t75" style="position:absolute;left:0pt;margin-left:48.05pt;margin-top:8.6pt;height:204pt;width:313.2pt;z-index:251662336;mso-width-relative:page;mso-height-relative:page;" o:ole="t" filled="f" o:preferrelative="t" stroked="f" coordsize="21600,21600">
            <v:path/>
            <v:fill on="f" focussize="0,0"/>
            <v:stroke on="f" joinstyle="miter"/>
            <v:imagedata r:id="rId19" o:title=""/>
            <o:lock v:ext="edit" aspectratio="t"/>
          </v:shape>
          <o:OLEObject Type="Embed" ProgID="MSGraph.Chart.8" ShapeID="_x0000_s1030" DrawAspect="Content" ObjectID="_1468075731" r:id="rId18">
            <o:LockedField>false</o:LockedField>
          </o:OLEObject>
        </w:pict>
      </w: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b/>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b/>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4.67</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1.8</w:t>
      </w:r>
      <w:r>
        <w:rPr>
          <w:rFonts w:hint="eastAsia" w:ascii="仿宋_GB2312" w:eastAsia="仿宋_GB2312"/>
          <w:color w:val="000000"/>
          <w:sz w:val="32"/>
          <w:szCs w:val="32"/>
        </w:rPr>
        <w:t>万元，下降</w:t>
      </w:r>
      <w:r>
        <w:rPr>
          <w:rFonts w:ascii="仿宋_GB2312" w:eastAsia="仿宋_GB2312"/>
          <w:color w:val="000000"/>
          <w:sz w:val="32"/>
          <w:szCs w:val="32"/>
        </w:rPr>
        <w:t>27.84%</w:t>
      </w:r>
      <w:r>
        <w:rPr>
          <w:rFonts w:hint="eastAsia" w:ascii="仿宋_GB2312" w:eastAsia="仿宋_GB2312"/>
          <w:color w:val="000000"/>
          <w:sz w:val="32"/>
          <w:szCs w:val="32"/>
        </w:rPr>
        <w:t>。主要原因是加强管理，</w:t>
      </w:r>
      <w:r>
        <w:rPr>
          <w:rFonts w:hint="eastAsia" w:ascii="仿宋" w:hAnsi="仿宋" w:eastAsia="仿宋"/>
          <w:color w:val="000000"/>
          <w:sz w:val="32"/>
          <w:szCs w:val="32"/>
        </w:rPr>
        <w:t>严格控制公务接待标准、接待规模等</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主要用于旅游宣传活动、执行公务、开展业务活动开支的住宿费、用餐费等。国内公务接待</w:t>
      </w:r>
      <w:r>
        <w:rPr>
          <w:rFonts w:ascii="仿宋_GB2312" w:eastAsia="仿宋_GB2312"/>
          <w:color w:val="000000"/>
          <w:sz w:val="32"/>
          <w:szCs w:val="32"/>
        </w:rPr>
        <w:t>25</w:t>
      </w:r>
      <w:r>
        <w:rPr>
          <w:rFonts w:hint="eastAsia" w:ascii="仿宋_GB2312" w:eastAsia="仿宋_GB2312"/>
          <w:color w:val="000000"/>
          <w:sz w:val="32"/>
          <w:szCs w:val="32"/>
        </w:rPr>
        <w:t>批次，</w:t>
      </w:r>
      <w:r>
        <w:rPr>
          <w:rFonts w:ascii="仿宋_GB2312" w:eastAsia="仿宋_GB2312"/>
          <w:color w:val="000000"/>
          <w:sz w:val="32"/>
          <w:szCs w:val="32"/>
        </w:rPr>
        <w:t>800</w:t>
      </w:r>
      <w:r>
        <w:rPr>
          <w:rFonts w:hint="eastAsia" w:ascii="仿宋_GB2312" w:eastAsia="仿宋_GB2312"/>
          <w:color w:val="000000"/>
          <w:sz w:val="32"/>
          <w:szCs w:val="32"/>
        </w:rPr>
        <w:t>余人次（不包括陪同人员），共计支出</w:t>
      </w:r>
      <w:r>
        <w:rPr>
          <w:rFonts w:ascii="仿宋_GB2312" w:eastAsia="仿宋_GB2312"/>
          <w:color w:val="000000"/>
          <w:sz w:val="32"/>
          <w:szCs w:val="32"/>
        </w:rPr>
        <w:t>4.67</w:t>
      </w:r>
      <w:r>
        <w:rPr>
          <w:rFonts w:hint="eastAsia" w:ascii="仿宋_GB2312" w:eastAsia="仿宋_GB2312"/>
          <w:color w:val="000000"/>
          <w:sz w:val="32"/>
          <w:szCs w:val="32"/>
        </w:rPr>
        <w:t>万元，具体内容其中：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b/>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4.67</w:t>
      </w:r>
      <w:r>
        <w:rPr>
          <w:rFonts w:hint="eastAsia" w:ascii="仿宋_GB2312" w:eastAsia="仿宋_GB2312"/>
          <w:color w:val="000000"/>
          <w:sz w:val="32"/>
          <w:szCs w:val="32"/>
        </w:rPr>
        <w:t>万元，主要用于旅游宣传、旅游项目招商、乡村旅游、康养旅游、旅游标准化建设、旅游景区建设、精准扶贫等方面工作的公务接待。</w:t>
      </w:r>
    </w:p>
    <w:p>
      <w:pPr>
        <w:spacing w:line="600" w:lineRule="exact"/>
        <w:ind w:firstLine="640"/>
        <w:outlineLvl w:val="1"/>
        <w:rPr>
          <w:rStyle w:val="19"/>
          <w:rFonts w:ascii="黑体" w:hAnsi="黑体" w:eastAsia="黑体"/>
        </w:rPr>
      </w:pPr>
      <w:bookmarkStart w:id="46" w:name="_Toc15396610"/>
      <w:bookmarkStart w:id="47" w:name="_Toc15377218"/>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5000</w:t>
      </w:r>
      <w:r>
        <w:rPr>
          <w:rFonts w:hint="eastAsia" w:ascii="仿宋_GB2312" w:eastAsia="仿宋_GB2312"/>
          <w:color w:val="000000"/>
          <w:sz w:val="32"/>
          <w:szCs w:val="32"/>
        </w:rPr>
        <w:t>万元，主要是用于</w:t>
      </w:r>
      <w:r>
        <w:rPr>
          <w:rFonts w:hint="eastAsia" w:ascii="仿宋" w:hAnsi="仿宋" w:eastAsia="仿宋"/>
          <w:color w:val="000000"/>
          <w:sz w:val="32"/>
          <w:szCs w:val="32"/>
        </w:rPr>
        <w:t>白朝黄蛟山旅游专项债券资金支出</w:t>
      </w:r>
      <w:r>
        <w:rPr>
          <w:rFonts w:hint="eastAsia" w:ascii="仿宋_GB2312" w:eastAsia="仿宋_GB2312"/>
          <w:color w:val="000000"/>
          <w:sz w:val="32"/>
          <w:szCs w:val="32"/>
        </w:rPr>
        <w:t>。</w:t>
      </w:r>
    </w:p>
    <w:p>
      <w:pPr>
        <w:numPr>
          <w:ilvl w:val="0"/>
          <w:numId w:val="2"/>
        </w:numPr>
        <w:spacing w:line="600" w:lineRule="exact"/>
        <w:ind w:firstLine="640"/>
        <w:outlineLvl w:val="1"/>
        <w:rPr>
          <w:rStyle w:val="19"/>
          <w:rFonts w:ascii="黑体" w:hAnsi="黑体" w:eastAsia="黑体"/>
          <w:b w:val="0"/>
        </w:rPr>
      </w:pPr>
      <w:bookmarkStart w:id="48" w:name="_Toc15396611"/>
      <w:bookmarkStart w:id="49" w:name="_Toc15377219"/>
      <w:r>
        <w:rPr>
          <w:rStyle w:val="19"/>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9"/>
        <w:numPr>
          <w:ilvl w:val="0"/>
          <w:numId w:val="3"/>
        </w:numPr>
        <w:spacing w:line="580" w:lineRule="exact"/>
        <w:ind w:firstLineChars="0"/>
        <w:rPr>
          <w:rStyle w:val="19"/>
          <w:rFonts w:ascii="黑体" w:hAnsi="黑体" w:eastAsia="黑体"/>
          <w:b w:val="0"/>
        </w:rPr>
      </w:pPr>
      <w:r>
        <w:rPr>
          <w:rStyle w:val="19"/>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根据预算绩效管理要求，本部门（单位）在年初预算编制阶段，组织对白朝月坝旅游专项债券、扶贫工作</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年部门整体支出开展绩效自评，从评价情况来看旅游局整体支出绩效评价自评结果良好，全年基本支出保障了日常工作的正常开展，项目支出保障了整体工作的开展，各项支出均达到了预期的绩效管理目标。</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年度部门决算中反映“黄蛟山旅游专项债券””扶贫工作”“等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旅游专项债券绩效目标完成情况综述。项目全年预算数</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。通过项目实施，大大促进了白朝月坝黄蛟山旅游基础设施建设，提高了旅游景区建设，保障了游客的基本需求，丰富了人民们旅游文化生活。发现的主要问题：工程建设资金量较大，地</w:t>
      </w:r>
      <w:r>
        <w:rPr>
          <w:rFonts w:hint="eastAsia" w:ascii="方正仿宋简体" w:hAnsi="方正仿宋简体" w:eastAsia="仿宋" w:cs="方正仿宋简体"/>
          <w:sz w:val="32"/>
          <w:szCs w:val="32"/>
        </w:rPr>
        <w:t>方政府配套资金有限，</w:t>
      </w:r>
      <w:r>
        <w:rPr>
          <w:rFonts w:hint="eastAsia" w:ascii="仿宋_GB2312" w:hAnsi="仿宋_GB2312" w:eastAsia="仿宋_GB2312" w:cs="仿宋_GB2312"/>
          <w:sz w:val="32"/>
          <w:szCs w:val="32"/>
        </w:rPr>
        <w:t>资金拨付不够及时。下一步改进措施：</w:t>
      </w:r>
      <w:r>
        <w:rPr>
          <w:rFonts w:hint="eastAsia" w:ascii="仿宋_GB2312" w:hAnsi="方正仿宋简体" w:eastAsia="仿宋_GB2312" w:cs="方正仿宋简体"/>
          <w:sz w:val="32"/>
          <w:szCs w:val="32"/>
        </w:rPr>
        <w:t>充分利用国家对旅游资金扶持项目建设的优惠政策，争取一定数量的专项资金，保证资金的及时</w:t>
      </w:r>
      <w:r>
        <w:rPr>
          <w:rFonts w:hint="eastAsia" w:ascii="仿宋_GB2312" w:hAnsi="仿宋_GB2312" w:eastAsia="仿宋_GB2312" w:cs="仿宋_GB2312"/>
          <w:sz w:val="32"/>
          <w:szCs w:val="32"/>
        </w:rPr>
        <w:t>拨付。</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扶贫项目绩效目标完成情况综述。项目全年预算数</w:t>
      </w:r>
      <w:r>
        <w:rPr>
          <w:rFonts w:ascii="仿宋_GB2312" w:hAnsi="仿宋_GB2312" w:eastAsia="仿宋_GB2312" w:cs="仿宋_GB2312"/>
          <w:sz w:val="32"/>
          <w:szCs w:val="32"/>
        </w:rPr>
        <w:t>3.89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3.89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凉山扶贫工作人员、贫困村和非贫困村扶贫工作经费的基本保障，促进了脱贫攻坚工作的正常开展，不同程度地提高了贫困户的物质和文化生活。发现的主要问题：帮扶工作中有不少困难，资金不足。下一步改进措施：克服困难，把帮扶工作做好做实。</w:t>
      </w:r>
    </w:p>
    <w:p>
      <w:pPr>
        <w:tabs>
          <w:tab w:val="left" w:pos="312"/>
        </w:tabs>
        <w:spacing w:line="580" w:lineRule="exact"/>
        <w:rPr>
          <w:rFonts w:ascii="仿宋_GB2312" w:hAnsi="仿宋_GB2312" w:eastAsia="仿宋_GB2312" w:cs="仿宋_GB2312"/>
          <w:sz w:val="32"/>
          <w:szCs w:val="32"/>
        </w:rPr>
      </w:pPr>
    </w:p>
    <w:tbl>
      <w:tblPr>
        <w:tblStyle w:val="13"/>
        <w:tblW w:w="9037" w:type="dxa"/>
        <w:tblInd w:w="-285" w:type="dxa"/>
        <w:tblLayout w:type="fixed"/>
        <w:tblCellMar>
          <w:top w:w="0" w:type="dxa"/>
          <w:left w:w="0" w:type="dxa"/>
          <w:bottom w:w="0" w:type="dxa"/>
          <w:right w:w="0" w:type="dxa"/>
        </w:tblCellMar>
      </w:tblPr>
      <w:tblGrid>
        <w:gridCol w:w="810"/>
        <w:gridCol w:w="1367"/>
        <w:gridCol w:w="1025"/>
        <w:gridCol w:w="1654"/>
        <w:gridCol w:w="2175"/>
        <w:gridCol w:w="2006"/>
      </w:tblGrid>
      <w:tr>
        <w:tblPrEx>
          <w:tblLayout w:type="fixed"/>
          <w:tblCellMar>
            <w:top w:w="0" w:type="dxa"/>
            <w:left w:w="0" w:type="dxa"/>
            <w:bottom w:w="0" w:type="dxa"/>
            <w:right w:w="0" w:type="dxa"/>
          </w:tblCellMar>
        </w:tblPrEx>
        <w:trPr>
          <w:trHeight w:val="1034" w:hRule="atLeast"/>
        </w:trPr>
        <w:tc>
          <w:tcPr>
            <w:tcW w:w="9037" w:type="dxa"/>
            <w:gridSpan w:val="6"/>
            <w:tcBorders>
              <w:top w:val="nil"/>
              <w:left w:val="nil"/>
              <w:bottom w:val="nil"/>
              <w:right w:val="nil"/>
            </w:tcBorders>
            <w:tcMar>
              <w:top w:w="15" w:type="dxa"/>
              <w:left w:w="15" w:type="dxa"/>
              <w:bottom w:w="0" w:type="dxa"/>
              <w:right w:w="15" w:type="dxa"/>
            </w:tcMar>
            <w:vAlign w:val="center"/>
          </w:tcPr>
          <w:p>
            <w:pPr>
              <w:pStyle w:val="29"/>
              <w:widowControl/>
              <w:ind w:left="4173" w:leftChars="1310" w:hanging="1422" w:hangingChars="395"/>
              <w:jc w:val="left"/>
              <w:textAlignment w:val="center"/>
              <w:rPr>
                <w:rFonts w:ascii="宋体"/>
                <w:color w:val="000000"/>
                <w:sz w:val="36"/>
                <w:szCs w:val="36"/>
              </w:rPr>
            </w:pPr>
            <w:r>
              <w:rPr>
                <w:rFonts w:hint="eastAsia" w:ascii="黑体" w:hAnsi="黑体" w:eastAsia="黑体" w:cs="宋体"/>
                <w:color w:val="000000"/>
                <w:kern w:val="0"/>
                <w:sz w:val="36"/>
                <w:szCs w:val="36"/>
              </w:rPr>
              <w:t>项目支出绩效目标完成情况表</w:t>
            </w:r>
            <w:r>
              <w:rPr>
                <w:rFonts w:ascii="宋体"/>
                <w:b/>
                <w:bCs/>
                <w:color w:val="000000"/>
                <w:kern w:val="0"/>
                <w:sz w:val="36"/>
                <w:szCs w:val="36"/>
              </w:rPr>
              <w:br w:type="textWrapping"/>
            </w:r>
            <w:r>
              <w:rPr>
                <w:rFonts w:ascii="宋体" w:hAnsi="宋体"/>
                <w:color w:val="000000"/>
                <w:kern w:val="0"/>
                <w:sz w:val="36"/>
                <w:szCs w:val="36"/>
              </w:rPr>
              <w:t xml:space="preserve">(2018 </w:t>
            </w:r>
            <w:r>
              <w:rPr>
                <w:rFonts w:hint="eastAsia" w:ascii="宋体" w:hAnsi="宋体"/>
                <w:color w:val="000000"/>
                <w:kern w:val="0"/>
                <w:sz w:val="36"/>
                <w:szCs w:val="36"/>
              </w:rPr>
              <w:t>年度</w:t>
            </w:r>
            <w:r>
              <w:rPr>
                <w:rFonts w:ascii="宋体" w:hAnsi="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32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项目名称</w:t>
            </w:r>
          </w:p>
        </w:tc>
        <w:tc>
          <w:tcPr>
            <w:tcW w:w="583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黄蛟山旅游专项债券资金</w:t>
            </w:r>
          </w:p>
        </w:tc>
      </w:tr>
      <w:tr>
        <w:tblPrEx>
          <w:tblLayout w:type="fixed"/>
          <w:tblCellMar>
            <w:top w:w="0" w:type="dxa"/>
            <w:left w:w="0" w:type="dxa"/>
            <w:bottom w:w="0" w:type="dxa"/>
            <w:right w:w="0" w:type="dxa"/>
          </w:tblCellMar>
        </w:tblPrEx>
        <w:trPr>
          <w:trHeight w:val="276" w:hRule="atLeast"/>
        </w:trPr>
        <w:tc>
          <w:tcPr>
            <w:tcW w:w="32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预算单位</w:t>
            </w:r>
          </w:p>
        </w:tc>
        <w:tc>
          <w:tcPr>
            <w:tcW w:w="583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广元市利州区旅游局</w:t>
            </w:r>
          </w:p>
        </w:tc>
      </w:tr>
      <w:tr>
        <w:tblPrEx>
          <w:tblLayout w:type="fixed"/>
          <w:tblCellMar>
            <w:top w:w="0" w:type="dxa"/>
            <w:left w:w="0" w:type="dxa"/>
            <w:bottom w:w="0" w:type="dxa"/>
            <w:right w:w="0" w:type="dxa"/>
          </w:tblCellMar>
        </w:tblPrEx>
        <w:trPr>
          <w:trHeight w:val="276" w:hRule="atLeast"/>
        </w:trPr>
        <w:tc>
          <w:tcPr>
            <w:tcW w:w="81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预算执行情况</w:t>
            </w:r>
            <w:r>
              <w:rPr>
                <w:rFonts w:ascii="宋体" w:hAnsi="宋体"/>
                <w:color w:val="000000"/>
                <w:kern w:val="0"/>
                <w:sz w:val="24"/>
              </w:rPr>
              <w:t>(</w:t>
            </w:r>
            <w:r>
              <w:rPr>
                <w:rFonts w:hint="eastAsia" w:ascii="宋体" w:hAnsi="宋体"/>
                <w:color w:val="000000"/>
                <w:kern w:val="0"/>
                <w:sz w:val="24"/>
              </w:rPr>
              <w:t>万元</w:t>
            </w:r>
            <w:r>
              <w:rPr>
                <w:rFonts w:ascii="宋体" w:hAnsi="宋体"/>
                <w:color w:val="000000"/>
                <w:kern w:val="0"/>
                <w:sz w:val="24"/>
              </w:rPr>
              <w:t>)</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预算数</w:t>
            </w:r>
            <w:r>
              <w:rPr>
                <w:rFonts w:ascii="宋体" w:hAnsi="宋体"/>
                <w:color w:val="000000"/>
                <w:kern w:val="0"/>
                <w:sz w:val="24"/>
              </w:rPr>
              <w:t>:</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ascii="宋体"/>
                <w:color w:val="000000"/>
                <w:sz w:val="24"/>
              </w:rPr>
              <w:t>5000</w:t>
            </w:r>
            <w:r>
              <w:rPr>
                <w:rFonts w:hint="eastAsia" w:ascii="宋体"/>
                <w:color w:val="000000"/>
                <w:sz w:val="24"/>
              </w:rPr>
              <w:t>万元</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执行数</w:t>
            </w:r>
            <w:r>
              <w:rPr>
                <w:rFonts w:ascii="宋体" w:hAnsi="宋体"/>
                <w:color w:val="000000"/>
                <w:kern w:val="0"/>
                <w:sz w:val="24"/>
              </w:rPr>
              <w:t>:</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ascii="宋体"/>
                <w:color w:val="000000"/>
                <w:sz w:val="24"/>
              </w:rPr>
              <w:t>5000</w:t>
            </w:r>
            <w:r>
              <w:rPr>
                <w:rFonts w:hint="eastAsia" w:ascii="宋体"/>
                <w:color w:val="000000"/>
                <w:sz w:val="24"/>
              </w:rPr>
              <w:t>万元</w:t>
            </w:r>
          </w:p>
        </w:tc>
      </w:tr>
      <w:tr>
        <w:tblPrEx>
          <w:tblLayout w:type="fixed"/>
          <w:tblCellMar>
            <w:top w:w="0" w:type="dxa"/>
            <w:left w:w="0" w:type="dxa"/>
            <w:bottom w:w="0" w:type="dxa"/>
            <w:right w:w="0" w:type="dxa"/>
          </w:tblCellMar>
        </w:tblPrEx>
        <w:trPr>
          <w:trHeight w:val="276"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其中</w:t>
            </w:r>
            <w:r>
              <w:rPr>
                <w:rFonts w:ascii="宋体"/>
                <w:color w:val="000000"/>
                <w:kern w:val="0"/>
                <w:sz w:val="24"/>
              </w:rPr>
              <w:t>-</w:t>
            </w:r>
            <w:r>
              <w:rPr>
                <w:rFonts w:hint="eastAsia" w:ascii="宋体" w:hAnsi="宋体"/>
                <w:color w:val="000000"/>
                <w:kern w:val="0"/>
                <w:sz w:val="24"/>
              </w:rPr>
              <w:t>财政拨款</w:t>
            </w:r>
            <w:r>
              <w:rPr>
                <w:rFonts w:ascii="宋体" w:hAnsi="宋体"/>
                <w:color w:val="000000"/>
                <w:kern w:val="0"/>
                <w:sz w:val="24"/>
              </w:rPr>
              <w:t>:</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ascii="宋体"/>
                <w:color w:val="000000"/>
                <w:sz w:val="24"/>
              </w:rPr>
              <w:t>5000</w:t>
            </w:r>
            <w:r>
              <w:rPr>
                <w:rFonts w:hint="eastAsia" w:ascii="宋体"/>
                <w:color w:val="000000"/>
                <w:sz w:val="24"/>
              </w:rPr>
              <w:t>万元</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其中</w:t>
            </w:r>
            <w:r>
              <w:rPr>
                <w:rFonts w:ascii="宋体"/>
                <w:color w:val="000000"/>
                <w:kern w:val="0"/>
                <w:sz w:val="24"/>
              </w:rPr>
              <w:t>-</w:t>
            </w:r>
            <w:r>
              <w:rPr>
                <w:rFonts w:hint="eastAsia" w:ascii="宋体" w:hAnsi="宋体"/>
                <w:color w:val="000000"/>
                <w:kern w:val="0"/>
                <w:sz w:val="24"/>
              </w:rPr>
              <w:t>财政拨款</w:t>
            </w:r>
            <w:r>
              <w:rPr>
                <w:rFonts w:ascii="宋体" w:hAnsi="宋体"/>
                <w:color w:val="000000"/>
                <w:kern w:val="0"/>
                <w:sz w:val="24"/>
              </w:rPr>
              <w:t>:</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ascii="宋体"/>
                <w:color w:val="000000"/>
                <w:sz w:val="24"/>
              </w:rPr>
              <w:t>5000</w:t>
            </w:r>
            <w:r>
              <w:rPr>
                <w:rFonts w:hint="eastAsia" w:ascii="宋体"/>
                <w:color w:val="000000"/>
                <w:sz w:val="24"/>
              </w:rPr>
              <w:t>万元</w:t>
            </w:r>
          </w:p>
        </w:tc>
      </w:tr>
      <w:tr>
        <w:tblPrEx>
          <w:tblLayout w:type="fixed"/>
          <w:tblCellMar>
            <w:top w:w="0" w:type="dxa"/>
            <w:left w:w="0" w:type="dxa"/>
            <w:bottom w:w="0" w:type="dxa"/>
            <w:right w:w="0" w:type="dxa"/>
          </w:tblCellMar>
        </w:tblPrEx>
        <w:trPr>
          <w:trHeight w:val="698"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其它资金</w:t>
            </w:r>
            <w:r>
              <w:rPr>
                <w:rFonts w:ascii="宋体" w:hAnsi="宋体"/>
                <w:color w:val="000000"/>
                <w:kern w:val="0"/>
                <w:sz w:val="24"/>
              </w:rPr>
              <w:t>:</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ascii="宋体"/>
                <w:color w:val="000000"/>
                <w:kern w:val="0"/>
                <w:sz w:val="24"/>
              </w:rPr>
              <w:t>0</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其它资金</w:t>
            </w:r>
            <w:r>
              <w:rPr>
                <w:rFonts w:ascii="宋体" w:hAnsi="宋体"/>
                <w:color w:val="000000"/>
                <w:kern w:val="0"/>
                <w:sz w:val="24"/>
              </w:rPr>
              <w:t>:</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ascii="宋体"/>
                <w:color w:val="000000"/>
                <w:sz w:val="24"/>
              </w:rPr>
            </w:pPr>
          </w:p>
        </w:tc>
      </w:tr>
      <w:tr>
        <w:tblPrEx>
          <w:tblLayout w:type="fixed"/>
          <w:tblCellMar>
            <w:top w:w="0" w:type="dxa"/>
            <w:left w:w="0" w:type="dxa"/>
            <w:bottom w:w="0" w:type="dxa"/>
            <w:right w:w="0" w:type="dxa"/>
          </w:tblCellMar>
        </w:tblPrEx>
        <w:trPr>
          <w:trHeight w:val="276" w:hRule="atLeast"/>
        </w:trPr>
        <w:tc>
          <w:tcPr>
            <w:tcW w:w="81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年度目标完成情况</w:t>
            </w:r>
          </w:p>
        </w:tc>
        <w:tc>
          <w:tcPr>
            <w:tcW w:w="4046"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预期目标</w:t>
            </w:r>
          </w:p>
        </w:tc>
        <w:tc>
          <w:tcPr>
            <w:tcW w:w="418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实际完成目标</w:t>
            </w:r>
          </w:p>
        </w:tc>
      </w:tr>
      <w:tr>
        <w:tblPrEx>
          <w:tblLayout w:type="fixed"/>
          <w:tblCellMar>
            <w:top w:w="0" w:type="dxa"/>
            <w:left w:w="0" w:type="dxa"/>
            <w:bottom w:w="0" w:type="dxa"/>
            <w:right w:w="0" w:type="dxa"/>
          </w:tblCellMar>
        </w:tblPrEx>
        <w:trPr>
          <w:trHeight w:val="949"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046"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加强白朝黄蛟山旅游基础设施建设</w:t>
            </w:r>
          </w:p>
        </w:tc>
        <w:tc>
          <w:tcPr>
            <w:tcW w:w="418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提升了白朝月坝旅游基础设施建设，进一步推动旅游景区的全面发展。</w:t>
            </w:r>
          </w:p>
          <w:p>
            <w:pPr>
              <w:widowControl/>
              <w:jc w:val="left"/>
              <w:textAlignment w:val="center"/>
              <w:rPr>
                <w:rFonts w:ascii="宋体"/>
                <w:color w:val="000000"/>
                <w:sz w:val="24"/>
              </w:rPr>
            </w:pPr>
          </w:p>
        </w:tc>
      </w:tr>
      <w:tr>
        <w:tblPrEx>
          <w:tblLayout w:type="fixed"/>
          <w:tblCellMar>
            <w:top w:w="0" w:type="dxa"/>
            <w:left w:w="0" w:type="dxa"/>
            <w:bottom w:w="0" w:type="dxa"/>
            <w:right w:w="0" w:type="dxa"/>
          </w:tblCellMar>
        </w:tblPrEx>
        <w:trPr>
          <w:trHeight w:val="1042" w:hRule="atLeast"/>
        </w:trPr>
        <w:tc>
          <w:tcPr>
            <w:tcW w:w="81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sz w:val="24"/>
              </w:rPr>
              <w:t>绩效指标完成情况</w:t>
            </w: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一级指标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二级指标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三级指标</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预期指标值</w:t>
            </w:r>
            <w:r>
              <w:rPr>
                <w:rFonts w:ascii="宋体" w:hAnsi="宋体"/>
                <w:color w:val="000000"/>
                <w:kern w:val="0"/>
                <w:sz w:val="24"/>
              </w:rPr>
              <w:t>(</w:t>
            </w:r>
            <w:r>
              <w:rPr>
                <w:rFonts w:hint="eastAsia" w:ascii="宋体" w:hAnsi="宋体"/>
                <w:color w:val="000000"/>
                <w:kern w:val="0"/>
                <w:sz w:val="24"/>
              </w:rPr>
              <w:t>包含数字及文字描述</w:t>
            </w:r>
            <w:r>
              <w:rPr>
                <w:rFonts w:ascii="宋体" w:hAnsi="宋体"/>
                <w:color w:val="000000"/>
                <w:kern w:val="0"/>
                <w:sz w:val="24"/>
              </w:rPr>
              <w:t>)</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实际完成指标值</w:t>
            </w:r>
            <w:r>
              <w:rPr>
                <w:rFonts w:ascii="宋体" w:hAnsi="宋体"/>
                <w:color w:val="000000"/>
                <w:kern w:val="0"/>
                <w:sz w:val="24"/>
              </w:rPr>
              <w:t>(</w:t>
            </w:r>
            <w:r>
              <w:rPr>
                <w:rFonts w:hint="eastAsia" w:ascii="宋体" w:hAnsi="宋体"/>
                <w:color w:val="000000"/>
                <w:kern w:val="0"/>
                <w:sz w:val="24"/>
              </w:rPr>
              <w:t>包含数字及文字描述</w:t>
            </w:r>
            <w:r>
              <w:rPr>
                <w:rFonts w:ascii="宋体" w:hAnsi="宋体"/>
                <w:color w:val="000000"/>
                <w:kern w:val="0"/>
                <w:sz w:val="24"/>
              </w:rPr>
              <w:t>)</w:t>
            </w:r>
          </w:p>
        </w:tc>
      </w:tr>
      <w:tr>
        <w:tblPrEx>
          <w:tblLayout w:type="fixed"/>
          <w:tblCellMar>
            <w:top w:w="0" w:type="dxa"/>
            <w:left w:w="0" w:type="dxa"/>
            <w:bottom w:w="0" w:type="dxa"/>
            <w:right w:w="0" w:type="dxa"/>
          </w:tblCellMar>
        </w:tblPrEx>
        <w:trPr>
          <w:trHeight w:val="953"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项目完成指标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时效指标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完成时间</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预计年底拨付</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ascii="宋体"/>
                <w:color w:val="000000"/>
                <w:sz w:val="24"/>
              </w:rPr>
              <w:t>2018</w:t>
            </w:r>
            <w:r>
              <w:rPr>
                <w:rFonts w:hint="eastAsia" w:ascii="宋体"/>
                <w:color w:val="000000"/>
                <w:sz w:val="24"/>
              </w:rPr>
              <w:t>年</w:t>
            </w:r>
            <w:r>
              <w:rPr>
                <w:rFonts w:ascii="宋体"/>
                <w:color w:val="000000"/>
                <w:sz w:val="24"/>
              </w:rPr>
              <w:t>11</w:t>
            </w:r>
            <w:r>
              <w:rPr>
                <w:rFonts w:hint="eastAsia" w:ascii="宋体"/>
                <w:color w:val="000000"/>
                <w:sz w:val="24"/>
              </w:rPr>
              <w:t>月已实现全额拨付</w:t>
            </w:r>
          </w:p>
        </w:tc>
      </w:tr>
      <w:tr>
        <w:tblPrEx>
          <w:tblLayout w:type="fixed"/>
          <w:tblCellMar>
            <w:top w:w="0" w:type="dxa"/>
            <w:left w:w="0" w:type="dxa"/>
            <w:bottom w:w="0" w:type="dxa"/>
            <w:right w:w="0" w:type="dxa"/>
          </w:tblCellMar>
        </w:tblPrEx>
        <w:trPr>
          <w:trHeight w:val="1297"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项目完成指标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成本指标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旅游专项债券资金</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预付拨付</w:t>
            </w:r>
            <w:r>
              <w:rPr>
                <w:rFonts w:ascii="宋体"/>
                <w:color w:val="000000"/>
                <w:sz w:val="24"/>
              </w:rPr>
              <w:t>5000</w:t>
            </w:r>
            <w:r>
              <w:rPr>
                <w:rFonts w:hint="eastAsia" w:ascii="宋体"/>
                <w:color w:val="000000"/>
                <w:sz w:val="24"/>
              </w:rPr>
              <w:t>万元</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已拨付</w:t>
            </w:r>
            <w:r>
              <w:rPr>
                <w:rFonts w:ascii="宋体"/>
                <w:color w:val="000000"/>
                <w:sz w:val="24"/>
              </w:rPr>
              <w:t>5000</w:t>
            </w:r>
            <w:r>
              <w:rPr>
                <w:rFonts w:hint="eastAsia" w:ascii="宋体"/>
                <w:color w:val="000000"/>
                <w:sz w:val="24"/>
              </w:rPr>
              <w:t>万元</w:t>
            </w:r>
          </w:p>
        </w:tc>
      </w:tr>
      <w:tr>
        <w:tblPrEx>
          <w:tblLayout w:type="fixed"/>
          <w:tblCellMar>
            <w:top w:w="0" w:type="dxa"/>
            <w:left w:w="0" w:type="dxa"/>
            <w:bottom w:w="0" w:type="dxa"/>
            <w:right w:w="0" w:type="dxa"/>
          </w:tblCellMar>
        </w:tblPrEx>
        <w:trPr>
          <w:trHeight w:val="1042"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效益指标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生态效益指标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改善污水排放系统等基础设施建设</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lang w:val="zh-CN"/>
              </w:rPr>
              <w:t>本项目实施以后，建设区内环境和周围环境不会产生新的污染。运营中产生污水、废渣、噪声可以得到有效的控制和治理。所有排放物可以做到达标排放。</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lang w:val="zh-CN"/>
              </w:rPr>
            </w:pPr>
            <w:r>
              <w:rPr>
                <w:rFonts w:hint="eastAsia" w:ascii="宋体"/>
                <w:color w:val="000000"/>
                <w:sz w:val="24"/>
                <w:lang w:val="zh-CN"/>
              </w:rPr>
              <w:t>内环境和周围环境不会产生新的污染。运营中产生污水、废渣、噪声可以得到有效的控制和治理。所有排放物可以做到达标排放。</w:t>
            </w:r>
          </w:p>
          <w:p>
            <w:pPr>
              <w:widowControl/>
              <w:jc w:val="left"/>
              <w:textAlignment w:val="center"/>
              <w:rPr>
                <w:rFonts w:ascii="宋体"/>
                <w:color w:val="000000"/>
                <w:sz w:val="24"/>
              </w:rPr>
            </w:pPr>
          </w:p>
        </w:tc>
      </w:tr>
      <w:tr>
        <w:tblPrEx>
          <w:tblLayout w:type="fixed"/>
          <w:tblCellMar>
            <w:top w:w="0" w:type="dxa"/>
            <w:left w:w="0" w:type="dxa"/>
            <w:bottom w:w="0" w:type="dxa"/>
            <w:right w:w="0" w:type="dxa"/>
          </w:tblCellMar>
        </w:tblPrEx>
        <w:trPr>
          <w:trHeight w:val="1297"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效益指标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经济效益指标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对社会经济发展的可持续影响</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项目建成后的</w:t>
            </w:r>
            <w:r>
              <w:rPr>
                <w:rFonts w:ascii="宋体"/>
                <w:color w:val="000000"/>
                <w:sz w:val="24"/>
              </w:rPr>
              <w:t>17</w:t>
            </w:r>
            <w:r>
              <w:rPr>
                <w:rFonts w:hint="eastAsia" w:ascii="宋体"/>
                <w:color w:val="000000"/>
                <w:sz w:val="24"/>
              </w:rPr>
              <w:t>年运营期内，总收入可达到</w:t>
            </w:r>
            <w:r>
              <w:rPr>
                <w:rFonts w:ascii="宋体"/>
                <w:color w:val="000000"/>
                <w:sz w:val="24"/>
              </w:rPr>
              <w:t>192876.2</w:t>
            </w:r>
            <w:r>
              <w:rPr>
                <w:rFonts w:hint="eastAsia" w:ascii="宋体"/>
                <w:color w:val="000000"/>
                <w:sz w:val="24"/>
              </w:rPr>
              <w:t>万元，年平均营业收入</w:t>
            </w:r>
            <w:r>
              <w:rPr>
                <w:rFonts w:ascii="宋体"/>
                <w:color w:val="000000"/>
                <w:sz w:val="24"/>
              </w:rPr>
              <w:t>11345.66</w:t>
            </w:r>
            <w:r>
              <w:rPr>
                <w:rFonts w:hint="eastAsia" w:ascii="宋体"/>
                <w:color w:val="000000"/>
                <w:sz w:val="24"/>
              </w:rPr>
              <w:t>万元，年平均总成本费用为</w:t>
            </w:r>
            <w:r>
              <w:rPr>
                <w:rFonts w:ascii="宋体"/>
                <w:color w:val="000000"/>
                <w:sz w:val="24"/>
              </w:rPr>
              <w:t>6025.16</w:t>
            </w:r>
            <w:r>
              <w:rPr>
                <w:rFonts w:hint="eastAsia" w:ascii="宋体"/>
                <w:color w:val="000000"/>
                <w:sz w:val="24"/>
              </w:rPr>
              <w:t>万元，年平均利润总额</w:t>
            </w:r>
            <w:r>
              <w:rPr>
                <w:rFonts w:ascii="宋体"/>
                <w:color w:val="000000"/>
                <w:sz w:val="24"/>
              </w:rPr>
              <w:t>4685.14</w:t>
            </w:r>
            <w:r>
              <w:rPr>
                <w:rFonts w:hint="eastAsia" w:ascii="宋体"/>
                <w:color w:val="000000"/>
                <w:sz w:val="24"/>
              </w:rPr>
              <w:t>万元，年平均上缴所得税和营业税金及附加为</w:t>
            </w:r>
            <w:r>
              <w:rPr>
                <w:rFonts w:ascii="宋体"/>
                <w:color w:val="000000"/>
                <w:sz w:val="24"/>
              </w:rPr>
              <w:t>1806.64</w:t>
            </w:r>
            <w:r>
              <w:rPr>
                <w:rFonts w:hint="eastAsia" w:ascii="宋体"/>
                <w:color w:val="000000"/>
                <w:sz w:val="24"/>
              </w:rPr>
              <w:t>万元，年平均净利润为</w:t>
            </w:r>
            <w:r>
              <w:rPr>
                <w:rFonts w:ascii="宋体"/>
                <w:color w:val="000000"/>
                <w:sz w:val="24"/>
              </w:rPr>
              <w:t>3513.85</w:t>
            </w:r>
            <w:r>
              <w:rPr>
                <w:rFonts w:hint="eastAsia" w:ascii="宋体"/>
                <w:color w:val="000000"/>
                <w:sz w:val="24"/>
              </w:rPr>
              <w:t>万元。</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通过发展旅游业，带动当地农民就业，实现脱贫奔康。</w:t>
            </w:r>
          </w:p>
        </w:tc>
      </w:tr>
      <w:tr>
        <w:tblPrEx>
          <w:tblLayout w:type="fixed"/>
          <w:tblCellMar>
            <w:top w:w="0" w:type="dxa"/>
            <w:left w:w="0" w:type="dxa"/>
            <w:bottom w:w="0" w:type="dxa"/>
            <w:right w:w="0" w:type="dxa"/>
          </w:tblCellMar>
        </w:tblPrEx>
        <w:trPr>
          <w:trHeight w:val="1297"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kern w:val="0"/>
                <w:sz w:val="24"/>
              </w:rPr>
            </w:pPr>
            <w:r>
              <w:rPr>
                <w:rFonts w:hint="eastAsia" w:ascii="宋体" w:hAnsi="宋体"/>
                <w:color w:val="000000"/>
                <w:kern w:val="0"/>
                <w:sz w:val="24"/>
              </w:rPr>
              <w:t>效益指标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社会效益指标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带动年青就业、带动第三产业、基础设施建设</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可带动广元旅游业的发展，促进旅游产业转型升级，给游客提供良好的休闲度假环境，增加居民收入，推动广元市利州区城乡经济协调发展，可以解决景区富余劳动力和城市待业青年就业，带动第三产业和水电、交通事业的发展</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带动就业</w:t>
            </w:r>
            <w:r>
              <w:rPr>
                <w:rFonts w:ascii="宋体"/>
                <w:color w:val="000000"/>
                <w:sz w:val="24"/>
              </w:rPr>
              <w:t>1500</w:t>
            </w:r>
            <w:r>
              <w:rPr>
                <w:rFonts w:hint="eastAsia" w:ascii="宋体"/>
                <w:color w:val="000000"/>
                <w:sz w:val="24"/>
              </w:rPr>
              <w:t>余人，改善了交通、用水、用电环境。</w:t>
            </w:r>
          </w:p>
        </w:tc>
      </w:tr>
      <w:tr>
        <w:tblPrEx>
          <w:tblLayout w:type="fixed"/>
          <w:tblCellMar>
            <w:top w:w="0" w:type="dxa"/>
            <w:left w:w="0" w:type="dxa"/>
            <w:bottom w:w="0" w:type="dxa"/>
            <w:right w:w="0" w:type="dxa"/>
          </w:tblCellMar>
        </w:tblPrEx>
        <w:trPr>
          <w:trHeight w:val="1050" w:hRule="atLeast"/>
        </w:trPr>
        <w:tc>
          <w:tcPr>
            <w:tcW w:w="8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olor w:val="000000"/>
                <w:kern w:val="0"/>
                <w:sz w:val="24"/>
              </w:rPr>
              <w:t>满意度指标</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游客满意度指标</w:t>
            </w:r>
          </w:p>
        </w:tc>
        <w:tc>
          <w:tcPr>
            <w:tcW w:w="165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color w:val="000000"/>
                <w:sz w:val="24"/>
              </w:rPr>
              <w:t>群众满意度</w:t>
            </w:r>
          </w:p>
        </w:tc>
        <w:tc>
          <w:tcPr>
            <w:tcW w:w="21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s="宋体"/>
                <w:kern w:val="0"/>
                <w:sz w:val="20"/>
                <w:szCs w:val="20"/>
              </w:rPr>
              <w:t>满意度</w:t>
            </w:r>
            <w:r>
              <w:rPr>
                <w:rFonts w:ascii="宋体" w:hAnsi="宋体" w:cs="宋体"/>
                <w:kern w:val="0"/>
                <w:sz w:val="20"/>
                <w:szCs w:val="20"/>
              </w:rPr>
              <w:t>98%</w:t>
            </w:r>
          </w:p>
        </w:tc>
        <w:tc>
          <w:tcPr>
            <w:tcW w:w="20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000000"/>
                <w:sz w:val="24"/>
              </w:rPr>
            </w:pPr>
            <w:r>
              <w:rPr>
                <w:rFonts w:hint="eastAsia" w:ascii="宋体" w:hAnsi="宋体" w:cs="宋体"/>
                <w:kern w:val="0"/>
                <w:sz w:val="20"/>
                <w:szCs w:val="20"/>
              </w:rPr>
              <w:t>满意度</w:t>
            </w:r>
            <w:r>
              <w:rPr>
                <w:rFonts w:ascii="宋体" w:hAnsi="宋体" w:cs="宋体"/>
                <w:kern w:val="0"/>
                <w:sz w:val="20"/>
                <w:szCs w:val="20"/>
              </w:rPr>
              <w:t>98%</w:t>
            </w:r>
          </w:p>
        </w:tc>
      </w:tr>
    </w:tbl>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675" w:type="dxa"/>
        <w:tblInd w:w="0" w:type="dxa"/>
        <w:tblLayout w:type="fixed"/>
        <w:tblCellMar>
          <w:top w:w="0" w:type="dxa"/>
          <w:left w:w="0" w:type="dxa"/>
          <w:bottom w:w="0" w:type="dxa"/>
          <w:right w:w="0" w:type="dxa"/>
        </w:tblCellMar>
      </w:tblPr>
      <w:tblGrid>
        <w:gridCol w:w="390"/>
        <w:gridCol w:w="1367"/>
        <w:gridCol w:w="1025"/>
        <w:gridCol w:w="2392"/>
        <w:gridCol w:w="2394"/>
        <w:gridCol w:w="2107"/>
      </w:tblGrid>
      <w:tr>
        <w:tblPrEx>
          <w:tblLayout w:type="fixed"/>
          <w:tblCellMar>
            <w:top w:w="0" w:type="dxa"/>
            <w:left w:w="0" w:type="dxa"/>
            <w:bottom w:w="0" w:type="dxa"/>
            <w:right w:w="0" w:type="dxa"/>
          </w:tblCellMar>
        </w:tblPrEx>
        <w:trPr>
          <w:trHeight w:val="1034" w:hRule="atLeast"/>
        </w:trPr>
        <w:tc>
          <w:tcPr>
            <w:tcW w:w="9675" w:type="dxa"/>
            <w:gridSpan w:val="6"/>
            <w:tcMar>
              <w:top w:w="15" w:type="dxa"/>
              <w:left w:w="15" w:type="dxa"/>
              <w:bottom w:w="0" w:type="dxa"/>
              <w:right w:w="15" w:type="dxa"/>
            </w:tcMar>
            <w:vAlign w:val="center"/>
          </w:tcPr>
          <w:p>
            <w:pPr>
              <w:pStyle w:val="29"/>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89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旅游扶贫工作经费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89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广元市利州区旅游局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3.89</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3.89</w:t>
            </w:r>
            <w:r>
              <w:rPr>
                <w:rFonts w:hint="eastAsia" w:asci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00" w:firstLineChars="250"/>
              <w:textAlignment w:val="center"/>
              <w:rPr>
                <w:rFonts w:ascii="宋体" w:cs="宋体"/>
                <w:color w:val="000000"/>
                <w:sz w:val="24"/>
              </w:rPr>
            </w:pPr>
            <w:r>
              <w:rPr>
                <w:rFonts w:ascii="宋体" w:cs="宋体"/>
                <w:color w:val="000000"/>
                <w:sz w:val="24"/>
              </w:rPr>
              <w:t>3.89</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3.89</w:t>
            </w:r>
            <w:r>
              <w:rPr>
                <w:rFonts w:hint="eastAsia" w:ascii="宋体" w:cs="宋体"/>
                <w:color w:val="000000"/>
                <w:sz w:val="24"/>
              </w:rPr>
              <w:t>万元</w:t>
            </w:r>
          </w:p>
        </w:tc>
      </w:tr>
      <w:tr>
        <w:tblPrEx>
          <w:tblLayout w:type="fixed"/>
          <w:tblCellMar>
            <w:top w:w="0" w:type="dxa"/>
            <w:left w:w="0" w:type="dxa"/>
            <w:bottom w:w="0" w:type="dxa"/>
            <w:right w:w="0" w:type="dxa"/>
          </w:tblCellMar>
        </w:tblPrEx>
        <w:trPr>
          <w:trHeight w:val="12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5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71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加强贫困村、非贫困村的扶贫工作及凉山扶贫等工作</w:t>
            </w:r>
          </w:p>
        </w:tc>
        <w:tc>
          <w:tcPr>
            <w:tcW w:w="45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保障贫困村、非贫困村的扶贫工作经费，</w:t>
            </w:r>
          </w:p>
          <w:p>
            <w:pPr>
              <w:widowControl/>
              <w:textAlignment w:val="center"/>
              <w:rPr>
                <w:rFonts w:ascii="宋体" w:cs="宋体"/>
                <w:color w:val="000000"/>
                <w:sz w:val="24"/>
              </w:rPr>
            </w:pPr>
            <w:r>
              <w:rPr>
                <w:rFonts w:hint="eastAsia" w:ascii="宋体" w:cs="宋体"/>
                <w:color w:val="000000"/>
                <w:sz w:val="24"/>
              </w:rPr>
              <w:t>保障凉山扶贫工作人员补助。</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按时拨付</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月已实现全额拨付</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预计</w:t>
            </w:r>
            <w:r>
              <w:rPr>
                <w:rFonts w:ascii="宋体" w:cs="宋体"/>
                <w:color w:val="000000"/>
                <w:sz w:val="24"/>
              </w:rPr>
              <w:t>3.89</w:t>
            </w:r>
            <w:r>
              <w:rPr>
                <w:rFonts w:hint="eastAsia" w:ascii="宋体" w:cs="宋体"/>
                <w:color w:val="000000"/>
                <w:sz w:val="24"/>
              </w:rPr>
              <w:t>万元</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实际贫困村工作经费</w:t>
            </w:r>
            <w:r>
              <w:rPr>
                <w:rFonts w:ascii="宋体" w:cs="宋体"/>
                <w:color w:val="000000"/>
                <w:sz w:val="24"/>
              </w:rPr>
              <w:t>1</w:t>
            </w:r>
            <w:r>
              <w:rPr>
                <w:rFonts w:hint="eastAsia" w:ascii="宋体" w:cs="宋体"/>
                <w:color w:val="000000"/>
                <w:sz w:val="24"/>
              </w:rPr>
              <w:t>万元、非贫困村</w:t>
            </w:r>
            <w:r>
              <w:rPr>
                <w:rFonts w:ascii="宋体" w:cs="宋体"/>
                <w:color w:val="000000"/>
                <w:sz w:val="24"/>
              </w:rPr>
              <w:t>0.5</w:t>
            </w:r>
            <w:r>
              <w:rPr>
                <w:rFonts w:hint="eastAsia" w:ascii="宋体" w:cs="宋体"/>
                <w:color w:val="000000"/>
                <w:sz w:val="24"/>
              </w:rPr>
              <w:t>万元、凉山扶贫人员补贴</w:t>
            </w:r>
            <w:r>
              <w:rPr>
                <w:rFonts w:ascii="宋体" w:cs="宋体"/>
                <w:color w:val="000000"/>
                <w:sz w:val="24"/>
              </w:rPr>
              <w:t>2.39</w:t>
            </w:r>
            <w:r>
              <w:rPr>
                <w:rFonts w:hint="eastAsia" w:ascii="宋体" w:cs="宋体"/>
                <w:color w:val="000000"/>
                <w:sz w:val="24"/>
              </w:rPr>
              <w:t>万元，合计拨付</w:t>
            </w:r>
            <w:r>
              <w:rPr>
                <w:rFonts w:ascii="宋体" w:cs="宋体"/>
                <w:color w:val="000000"/>
                <w:sz w:val="24"/>
              </w:rPr>
              <w:t>3.89</w:t>
            </w:r>
            <w:r>
              <w:rPr>
                <w:rFonts w:hint="eastAsia" w:ascii="宋体" w:cs="宋体"/>
                <w:color w:val="000000"/>
                <w:sz w:val="24"/>
              </w:rPr>
              <w:t>万元</w:t>
            </w:r>
          </w:p>
        </w:tc>
      </w:tr>
      <w:tr>
        <w:tblPrEx>
          <w:tblLayout w:type="fixed"/>
          <w:tblCellMar>
            <w:top w:w="0" w:type="dxa"/>
            <w:left w:w="0" w:type="dxa"/>
            <w:bottom w:w="0" w:type="dxa"/>
            <w:right w:w="0" w:type="dxa"/>
          </w:tblCellMar>
        </w:tblPrEx>
        <w:trPr>
          <w:trHeight w:val="11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促进村集体经济发展和贫困户的增收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帮助贫困户制定发展产业规划，提高生活质量</w:t>
            </w: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贫困村户的产业得到发展，贫困户的收入增加</w:t>
            </w:r>
          </w:p>
        </w:tc>
      </w:tr>
      <w:tr>
        <w:tblPrEx>
          <w:tblLayout w:type="fixed"/>
          <w:tblCellMar>
            <w:top w:w="0" w:type="dxa"/>
            <w:left w:w="0" w:type="dxa"/>
            <w:bottom w:w="0" w:type="dxa"/>
            <w:right w:w="0" w:type="dxa"/>
          </w:tblCellMar>
        </w:tblPrEx>
        <w:trPr>
          <w:trHeight w:val="74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1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年部门整体支出绩效评价情况开展自评，《广元市利州区旅游局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本部门自行组织对黄蛟山旅游专项债券资金项目、扶贫帮扶项目开展了绩效评价，《项目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600" w:lineRule="exact"/>
        <w:ind w:firstLine="800" w:firstLineChars="250"/>
        <w:outlineLvl w:val="1"/>
        <w:rPr>
          <w:rStyle w:val="19"/>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9"/>
          <w:rFonts w:hint="eastAsia" w:ascii="黑体" w:hAnsi="黑体" w:eastAsia="黑体"/>
        </w:rPr>
        <w:t>一、</w:t>
      </w:r>
      <w:r>
        <w:rPr>
          <w:rStyle w:val="19"/>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年，广元市利州区旅游局机关运行经费支出</w:t>
      </w:r>
      <w:r>
        <w:rPr>
          <w:rFonts w:ascii="仿宋_GB2312" w:eastAsia="仿宋_GB2312"/>
          <w:color w:val="000000"/>
          <w:sz w:val="32"/>
          <w:szCs w:val="32"/>
        </w:rPr>
        <w:t>15.86</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8.78</w:t>
      </w:r>
      <w:r>
        <w:rPr>
          <w:rFonts w:hint="eastAsia" w:ascii="仿宋_GB2312" w:eastAsia="仿宋_GB2312"/>
          <w:color w:val="000000"/>
          <w:sz w:val="32"/>
          <w:szCs w:val="32"/>
        </w:rPr>
        <w:t>万元，下降</w:t>
      </w:r>
      <w:r>
        <w:rPr>
          <w:rFonts w:ascii="仿宋_GB2312" w:eastAsia="仿宋_GB2312"/>
          <w:color w:val="000000"/>
          <w:sz w:val="32"/>
          <w:szCs w:val="32"/>
        </w:rPr>
        <w:t>35.63%</w:t>
      </w:r>
      <w:r>
        <w:rPr>
          <w:rFonts w:hint="eastAsia" w:ascii="仿宋_GB2312" w:eastAsia="仿宋_GB2312"/>
          <w:color w:val="000000"/>
          <w:sz w:val="32"/>
          <w:szCs w:val="32"/>
        </w:rPr>
        <w:t>。主要原因是专项业务费未纳入部门决算。</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年，广元市利州区旅游局政府采购支出总额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日，广元市利州区旅游局共有车辆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8"/>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18"/>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8"/>
        <w:spacing w:line="560" w:lineRule="exact"/>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w:t>
      </w:r>
      <w:r>
        <w:rPr>
          <w:rFonts w:hint="eastAsia" w:ascii="仿宋" w:hAnsi="仿宋" w:eastAsia="仿宋_GB2312"/>
          <w:sz w:val="32"/>
          <w:szCs w:val="32"/>
        </w:rPr>
        <w:t>商业服务业等支出（类）旅游业管理与服务支出</w:t>
      </w:r>
      <w:r>
        <w:rPr>
          <w:rStyle w:val="16"/>
          <w:rFonts w:hint="eastAsia" w:ascii="仿宋" w:hAnsi="仿宋" w:eastAsia="仿宋_GB2312"/>
          <w:b w:val="0"/>
          <w:bCs/>
          <w:sz w:val="32"/>
          <w:szCs w:val="32"/>
        </w:rPr>
        <w:t>（款）行政运行（项）：</w:t>
      </w:r>
      <w:r>
        <w:rPr>
          <w:rFonts w:hint="eastAsia" w:ascii="仿宋_GB2312" w:eastAsia="仿宋_GB2312"/>
          <w:sz w:val="32"/>
          <w:szCs w:val="32"/>
        </w:rPr>
        <w:t>反映教育行政单位（包括实行公务员管理的事业单位）的基本支出</w:t>
      </w:r>
    </w:p>
    <w:p>
      <w:pPr>
        <w:ind w:firstLine="640" w:firstLineChars="200"/>
        <w:rPr>
          <w:rFonts w:ascii="仿宋_GB2312" w:eastAsia="仿宋_GB2312"/>
          <w:sz w:val="32"/>
          <w:szCs w:val="32"/>
        </w:rPr>
      </w:pPr>
      <w:r>
        <w:rPr>
          <w:rFonts w:ascii="仿宋_GB2312" w:eastAsia="仿宋_GB2312"/>
          <w:sz w:val="32"/>
          <w:szCs w:val="32"/>
        </w:rPr>
        <w:t xml:space="preserve"> 10. </w:t>
      </w:r>
      <w:r>
        <w:rPr>
          <w:rFonts w:hint="eastAsia" w:ascii="仿宋_GB2312" w:eastAsia="仿宋_GB2312"/>
          <w:sz w:val="32"/>
          <w:szCs w:val="32"/>
        </w:rPr>
        <w:t>社会保障和就业支出（类）行政事业单位离退休（款）机关事业单位基本养老保险缴费支出（项）</w:t>
      </w:r>
      <w:r>
        <w:rPr>
          <w:rFonts w:ascii="仿宋_GB2312" w:eastAsia="仿宋_GB2312"/>
          <w:sz w:val="32"/>
          <w:szCs w:val="32"/>
        </w:rPr>
        <w:t xml:space="preserve">: </w:t>
      </w:r>
      <w:r>
        <w:rPr>
          <w:rFonts w:hint="eastAsia" w:ascii="仿宋_GB2312" w:eastAsia="仿宋_GB2312"/>
          <w:sz w:val="32"/>
          <w:szCs w:val="32"/>
        </w:rPr>
        <w:t>指机关事业单位实施养老保险制度由单位缴纳的基本养老保险费支出。</w:t>
      </w:r>
    </w:p>
    <w:p>
      <w:pPr>
        <w:ind w:firstLine="640" w:firstLineChars="200"/>
        <w:rPr>
          <w:rFonts w:ascii="仿宋_GB2312" w:eastAsia="仿宋_GB2312"/>
          <w:sz w:val="32"/>
          <w:szCs w:val="32"/>
        </w:rPr>
      </w:pPr>
      <w:r>
        <w:rPr>
          <w:rFonts w:ascii="仿宋_GB2312" w:eastAsia="仿宋_GB2312"/>
          <w:sz w:val="32"/>
          <w:szCs w:val="32"/>
        </w:rPr>
        <w:t xml:space="preserve">11. </w:t>
      </w:r>
      <w:r>
        <w:rPr>
          <w:rFonts w:hint="eastAsia" w:ascii="仿宋_GB2312" w:eastAsia="仿宋_GB2312"/>
          <w:sz w:val="32"/>
          <w:szCs w:val="32"/>
        </w:rPr>
        <w:t>社会保障和就业支出（类）行政事业单位离退休（款）机关事业单位职业年金缴费支出（项）</w:t>
      </w:r>
      <w:r>
        <w:rPr>
          <w:rFonts w:ascii="仿宋_GB2312" w:eastAsia="仿宋_GB2312"/>
          <w:sz w:val="32"/>
          <w:szCs w:val="32"/>
        </w:rPr>
        <w:t xml:space="preserve">: </w:t>
      </w:r>
      <w:r>
        <w:rPr>
          <w:rFonts w:hint="eastAsia" w:ascii="仿宋_GB2312" w:eastAsia="仿宋_GB2312"/>
          <w:sz w:val="32"/>
          <w:szCs w:val="32"/>
        </w:rPr>
        <w:t>指机关事业单位实施养老保险制度由单位实际缴纳的职业年金支出。</w:t>
      </w:r>
    </w:p>
    <w:p>
      <w:pPr>
        <w:ind w:firstLine="640" w:firstLineChars="200"/>
        <w:rPr>
          <w:rFonts w:ascii="仿宋_GB2312" w:eastAsia="仿宋_GB2312"/>
          <w:sz w:val="32"/>
          <w:szCs w:val="32"/>
        </w:rPr>
      </w:pPr>
      <w:r>
        <w:rPr>
          <w:rFonts w:ascii="仿宋_GB2312" w:eastAsia="仿宋_GB2312"/>
          <w:sz w:val="32"/>
          <w:szCs w:val="32"/>
        </w:rPr>
        <w:t xml:space="preserve">12. </w:t>
      </w:r>
      <w:r>
        <w:rPr>
          <w:rFonts w:hint="eastAsia" w:ascii="仿宋_GB2312" w:eastAsia="仿宋_GB2312"/>
          <w:sz w:val="32"/>
          <w:szCs w:val="32"/>
        </w:rPr>
        <w:t>医疗卫生与计划生育（类）行政事业单位医疗（款）事业单位医疗（项）</w:t>
      </w:r>
      <w:r>
        <w:rPr>
          <w:rFonts w:ascii="仿宋_GB2312" w:eastAsia="仿宋_GB2312"/>
          <w:sz w:val="32"/>
          <w:szCs w:val="32"/>
        </w:rPr>
        <w:t xml:space="preserve">: </w:t>
      </w:r>
      <w:r>
        <w:rPr>
          <w:rFonts w:hint="eastAsia" w:ascii="仿宋_GB2312" w:eastAsia="仿宋_GB2312"/>
          <w:sz w:val="32"/>
          <w:szCs w:val="32"/>
        </w:rPr>
        <w:t>指财政部门安排的事业单位基本医疗保险缴费经费，未参加医疗保险的事业单位的公费医疗经费，按国家规定享受离休人员待遇的医疗经费。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ascii="仿宋_GB2312" w:eastAsia="仿宋_GB2312"/>
          <w:sz w:val="32"/>
          <w:szCs w:val="32"/>
        </w:rPr>
        <w:t xml:space="preserve">13. </w:t>
      </w:r>
      <w:r>
        <w:rPr>
          <w:rFonts w:hint="eastAsia" w:ascii="仿宋_GB2312" w:eastAsia="仿宋_GB2312"/>
          <w:sz w:val="32"/>
          <w:szCs w:val="32"/>
        </w:rPr>
        <w:t>农林水支出（类）扶贫（款）其它扶贫支出（项）</w:t>
      </w:r>
      <w:r>
        <w:rPr>
          <w:rFonts w:ascii="仿宋_GB2312" w:eastAsia="仿宋_GB2312"/>
          <w:sz w:val="32"/>
          <w:szCs w:val="32"/>
        </w:rPr>
        <w:t xml:space="preserve">: </w:t>
      </w:r>
      <w:r>
        <w:rPr>
          <w:rFonts w:hint="eastAsia" w:ascii="仿宋_GB2312" w:eastAsia="仿宋_GB2312"/>
          <w:sz w:val="32"/>
          <w:szCs w:val="32"/>
        </w:rPr>
        <w:t>指除上述项目以外其他用于扶贫方面的支出。</w:t>
      </w:r>
    </w:p>
    <w:p>
      <w:pPr>
        <w:ind w:firstLine="640" w:firstLineChars="200"/>
        <w:rPr>
          <w:rFonts w:ascii="仿宋_GB2312" w:eastAsia="仿宋_GB2312"/>
          <w:sz w:val="32"/>
          <w:szCs w:val="32"/>
        </w:rPr>
      </w:pPr>
      <w:r>
        <w:rPr>
          <w:rFonts w:ascii="仿宋_GB2312" w:eastAsia="仿宋_GB2312"/>
          <w:sz w:val="32"/>
          <w:szCs w:val="32"/>
        </w:rPr>
        <w:t xml:space="preserve">14. </w:t>
      </w:r>
      <w:r>
        <w:rPr>
          <w:rFonts w:hint="eastAsia" w:ascii="仿宋_GB2312" w:eastAsia="仿宋_GB2312"/>
          <w:sz w:val="32"/>
          <w:szCs w:val="32"/>
        </w:rPr>
        <w:t>住房保障支出（类）住房改革支出（款）住房公积金（项）</w:t>
      </w:r>
      <w:r>
        <w:rPr>
          <w:rFonts w:ascii="仿宋_GB2312" w:eastAsia="仿宋_GB2312"/>
          <w:sz w:val="32"/>
          <w:szCs w:val="32"/>
        </w:rPr>
        <w:t xml:space="preserve">: </w:t>
      </w:r>
      <w:r>
        <w:rPr>
          <w:rFonts w:hint="eastAsia" w:ascii="仿宋_GB2312" w:eastAsia="仿宋_GB2312"/>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s="黑体"/>
          <w:sz w:val="32"/>
          <w:szCs w:val="32"/>
        </w:rPr>
      </w:pPr>
      <w:r>
        <w:rPr>
          <w:rFonts w:ascii="仿宋_GB2312" w:eastAsia="仿宋_GB2312"/>
          <w:sz w:val="32"/>
          <w:szCs w:val="32"/>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 w:hAnsi="仿宋" w:eastAsia="仿宋"/>
          <w:b/>
          <w:color w:val="000000"/>
          <w:sz w:val="32"/>
          <w:szCs w:val="32"/>
        </w:rPr>
      </w:pPr>
      <w:r>
        <w:rPr>
          <w:rFonts w:ascii="仿宋_GB2312" w:eastAsia="仿宋_GB2312"/>
          <w:color w:val="000000"/>
          <w:sz w:val="32"/>
          <w:szCs w:val="32"/>
        </w:rPr>
        <w:t>2</w:t>
      </w:r>
    </w:p>
    <w:p>
      <w:pPr>
        <w:spacing w:line="600" w:lineRule="exact"/>
        <w:jc w:val="center"/>
        <w:outlineLvl w:val="0"/>
        <w:rPr>
          <w:rStyle w:val="18"/>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58"/>
    </w:p>
    <w:p>
      <w:pPr>
        <w:spacing w:line="600" w:lineRule="exact"/>
        <w:jc w:val="center"/>
        <w:outlineLvl w:val="0"/>
        <w:rPr>
          <w:rStyle w:val="18"/>
        </w:rPr>
      </w:pPr>
    </w:p>
    <w:p>
      <w:pPr>
        <w:pStyle w:val="3"/>
        <w:rPr>
          <w:rStyle w:val="18"/>
          <w:rFonts w:ascii="仿宋" w:hAnsi="仿宋" w:eastAsia="仿宋"/>
          <w:b w:val="0"/>
          <w:bCs w:val="0"/>
          <w:sz w:val="32"/>
          <w:szCs w:val="32"/>
        </w:rPr>
      </w:pPr>
      <w:bookmarkStart w:id="59" w:name="_Toc15396615"/>
      <w:r>
        <w:rPr>
          <w:rStyle w:val="18"/>
          <w:rFonts w:hint="eastAsia" w:ascii="仿宋" w:hAnsi="仿宋" w:eastAsia="仿宋"/>
          <w:b w:val="0"/>
          <w:bCs w:val="0"/>
          <w:sz w:val="32"/>
          <w:szCs w:val="32"/>
        </w:rPr>
        <w:t>附件</w:t>
      </w:r>
      <w:r>
        <w:rPr>
          <w:rStyle w:val="18"/>
          <w:rFonts w:ascii="仿宋" w:hAnsi="仿宋" w:eastAsia="仿宋"/>
          <w:b w:val="0"/>
          <w:bCs w:val="0"/>
          <w:sz w:val="32"/>
          <w:szCs w:val="32"/>
        </w:rPr>
        <w:t>1</w:t>
      </w:r>
      <w:bookmarkEnd w:id="59"/>
    </w:p>
    <w:p>
      <w:pPr>
        <w:spacing w:line="600" w:lineRule="exact"/>
        <w:jc w:val="center"/>
        <w:outlineLvl w:val="0"/>
        <w:rPr>
          <w:rFonts w:ascii="黑体" w:hAnsi="黑体" w:eastAsia="黑体" w:cs="方正小标宋简体"/>
          <w:sz w:val="44"/>
          <w:szCs w:val="44"/>
        </w:rPr>
      </w:pPr>
      <w:bookmarkStart w:id="60" w:name="_Toc15396616"/>
      <w:r>
        <w:rPr>
          <w:rFonts w:hint="eastAsia" w:ascii="黑体" w:hAnsi="黑体" w:eastAsia="黑体" w:cs="方正小标宋简体"/>
          <w:sz w:val="44"/>
          <w:szCs w:val="44"/>
        </w:rPr>
        <w:t>广元市利州区旅游局</w:t>
      </w:r>
    </w:p>
    <w:p>
      <w:pPr>
        <w:spacing w:line="600" w:lineRule="exact"/>
        <w:jc w:val="center"/>
        <w:outlineLvl w:val="0"/>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宋体" w:cs="仿宋_GB2312"/>
          <w:sz w:val="32"/>
          <w:szCs w:val="32"/>
        </w:rPr>
      </w:pPr>
      <w:r>
        <w:rPr>
          <w:rFonts w:hint="eastAsia" w:ascii="宋体" w:hAnsi="宋体"/>
          <w:sz w:val="32"/>
          <w:szCs w:val="32"/>
        </w:rPr>
        <w:t>区旅游局属一级预算单位，内设办公室、产业发展股、统计促销股、质量规范管理股等股室，下设旅游投诉服务中心一个事业单位。</w:t>
      </w:r>
    </w:p>
    <w:p>
      <w:pPr>
        <w:spacing w:line="580" w:lineRule="exact"/>
        <w:ind w:firstLine="640" w:firstLineChars="200"/>
        <w:rPr>
          <w:rFonts w:ascii="宋体" w:cs="仿宋_GB2312"/>
          <w:sz w:val="32"/>
          <w:szCs w:val="32"/>
        </w:rPr>
      </w:pPr>
      <w:r>
        <w:rPr>
          <w:rFonts w:hint="eastAsia" w:ascii="宋体" w:hAnsi="宋体" w:cs="仿宋_GB2312"/>
          <w:sz w:val="32"/>
          <w:szCs w:val="32"/>
        </w:rPr>
        <w:t>（二）机构职能。</w:t>
      </w:r>
    </w:p>
    <w:p>
      <w:pPr>
        <w:snapToGrid w:val="0"/>
        <w:spacing w:line="576" w:lineRule="exact"/>
        <w:ind w:firstLine="640" w:firstLineChars="200"/>
        <w:rPr>
          <w:rFonts w:ascii="宋体" w:cs="仿宋"/>
          <w:sz w:val="32"/>
          <w:szCs w:val="32"/>
        </w:rPr>
      </w:pPr>
      <w:r>
        <w:rPr>
          <w:rFonts w:ascii="宋体" w:hAnsi="宋体" w:cs="仿宋"/>
          <w:sz w:val="32"/>
          <w:szCs w:val="32"/>
        </w:rPr>
        <w:t>1.</w:t>
      </w:r>
      <w:r>
        <w:rPr>
          <w:rFonts w:hint="eastAsia" w:ascii="宋体" w:hAnsi="宋体" w:cs="仿宋"/>
          <w:sz w:val="32"/>
          <w:szCs w:val="32"/>
        </w:rPr>
        <w:t>贯彻执行国家有关旅游工作的方针、政策和法律、法规，拟订全区旅游发展的规范性文件，负责本系统、本部门依法行政工作，落实行政执法责任制，制订旅游产业发展的地方标准和行业规范并组织实施。</w:t>
      </w:r>
    </w:p>
    <w:p>
      <w:pPr>
        <w:spacing w:line="576" w:lineRule="exact"/>
        <w:ind w:firstLine="640" w:firstLineChars="200"/>
        <w:rPr>
          <w:rFonts w:ascii="宋体" w:cs="仿宋"/>
          <w:sz w:val="32"/>
          <w:szCs w:val="32"/>
        </w:rPr>
      </w:pPr>
      <w:r>
        <w:rPr>
          <w:rFonts w:ascii="宋体" w:hAnsi="宋体" w:cs="仿宋"/>
          <w:sz w:val="32"/>
          <w:szCs w:val="32"/>
        </w:rPr>
        <w:t>2.</w:t>
      </w:r>
      <w:r>
        <w:rPr>
          <w:rFonts w:hint="eastAsia" w:ascii="宋体" w:hAnsi="宋体" w:cs="仿宋"/>
          <w:sz w:val="32"/>
          <w:szCs w:val="32"/>
        </w:rPr>
        <w:t>制订全区旅游产业发展总体规划、旅游专项规划、旅游跨区域规划和年度计划并组织实施，指导实施乡镇旅游发展规划，对本区旅游规划进行监督管理。</w:t>
      </w:r>
    </w:p>
    <w:p>
      <w:pPr>
        <w:spacing w:line="576" w:lineRule="exact"/>
        <w:ind w:firstLine="640" w:firstLineChars="200"/>
        <w:rPr>
          <w:rFonts w:ascii="宋体" w:cs="仿宋"/>
          <w:sz w:val="32"/>
          <w:szCs w:val="32"/>
        </w:rPr>
      </w:pPr>
      <w:r>
        <w:rPr>
          <w:rFonts w:ascii="宋体" w:hAnsi="宋体" w:cs="仿宋"/>
          <w:sz w:val="32"/>
          <w:szCs w:val="32"/>
        </w:rPr>
        <w:t>3.</w:t>
      </w:r>
      <w:r>
        <w:rPr>
          <w:rFonts w:hint="eastAsia" w:ascii="宋体" w:hAnsi="宋体" w:cs="仿宋"/>
          <w:sz w:val="32"/>
          <w:szCs w:val="32"/>
        </w:rPr>
        <w:t>会同有关部门指导旅游资源开发、重大旅游项目规划建设、旅游安全、旅游应急救援、旅游环境综合治理、假日旅游、红色旅游等工作。</w:t>
      </w:r>
    </w:p>
    <w:p>
      <w:pPr>
        <w:spacing w:line="576" w:lineRule="exact"/>
        <w:ind w:firstLine="640" w:firstLineChars="200"/>
        <w:rPr>
          <w:rFonts w:ascii="宋体" w:cs="仿宋"/>
          <w:sz w:val="32"/>
          <w:szCs w:val="32"/>
        </w:rPr>
      </w:pPr>
      <w:r>
        <w:rPr>
          <w:rFonts w:ascii="宋体" w:hAnsi="宋体" w:cs="仿宋"/>
          <w:sz w:val="32"/>
          <w:szCs w:val="32"/>
        </w:rPr>
        <w:t>4.</w:t>
      </w:r>
      <w:r>
        <w:rPr>
          <w:rFonts w:hint="eastAsia" w:ascii="宋体" w:hAnsi="宋体" w:cs="仿宋"/>
          <w:sz w:val="32"/>
          <w:szCs w:val="32"/>
        </w:rPr>
        <w:t>制订全区旅游市场开发战略并组织实施，组织全区整体旅游形象的对外宣传和重大推广活动。</w:t>
      </w:r>
    </w:p>
    <w:p>
      <w:pPr>
        <w:spacing w:line="576" w:lineRule="exact"/>
        <w:ind w:firstLine="640" w:firstLineChars="200"/>
        <w:rPr>
          <w:rFonts w:ascii="宋体" w:cs="仿宋"/>
          <w:sz w:val="32"/>
          <w:szCs w:val="32"/>
        </w:rPr>
      </w:pPr>
      <w:r>
        <w:rPr>
          <w:rFonts w:ascii="宋体" w:hAnsi="宋体" w:cs="仿宋"/>
          <w:sz w:val="32"/>
          <w:szCs w:val="32"/>
        </w:rPr>
        <w:t>5.</w:t>
      </w:r>
      <w:r>
        <w:rPr>
          <w:rFonts w:hint="eastAsia" w:ascii="宋体" w:hAnsi="宋体" w:cs="仿宋"/>
          <w:sz w:val="32"/>
          <w:szCs w:val="32"/>
        </w:rPr>
        <w:t>负责全区旅行社的监督管理，会同有关部门监督管理旅游市场秩序、旅游服务质量，监督旅游投诉处理、维护旅游者和旅游经营者合法权益，指导旅游行业精神文明建设、诚信体系建设和行业组织的业务工作。</w:t>
      </w:r>
    </w:p>
    <w:p>
      <w:pPr>
        <w:spacing w:line="576" w:lineRule="exact"/>
        <w:ind w:firstLine="640" w:firstLineChars="200"/>
        <w:rPr>
          <w:rFonts w:ascii="宋体" w:cs="仿宋"/>
          <w:sz w:val="32"/>
          <w:szCs w:val="32"/>
        </w:rPr>
      </w:pPr>
      <w:r>
        <w:rPr>
          <w:rFonts w:ascii="宋体" w:hAnsi="宋体" w:cs="仿宋"/>
          <w:sz w:val="32"/>
          <w:szCs w:val="32"/>
        </w:rPr>
        <w:t>6.</w:t>
      </w:r>
      <w:r>
        <w:rPr>
          <w:rFonts w:hint="eastAsia" w:ascii="宋体" w:hAnsi="宋体" w:cs="仿宋"/>
          <w:sz w:val="32"/>
          <w:szCs w:val="32"/>
        </w:rPr>
        <w:t>负责旅行社设立核准、旅行社申请经营出境旅游业务审核、旅行社自组境外旅游团队旅游签证审核和导游从业人员资格审核。</w:t>
      </w:r>
    </w:p>
    <w:p>
      <w:pPr>
        <w:spacing w:line="576" w:lineRule="exact"/>
        <w:ind w:firstLine="640" w:firstLineChars="200"/>
        <w:rPr>
          <w:rFonts w:ascii="宋体" w:cs="仿宋"/>
          <w:sz w:val="32"/>
          <w:szCs w:val="32"/>
        </w:rPr>
      </w:pPr>
      <w:r>
        <w:rPr>
          <w:rFonts w:ascii="宋体" w:hAnsi="宋体" w:cs="仿宋"/>
          <w:sz w:val="32"/>
          <w:szCs w:val="32"/>
        </w:rPr>
        <w:t>7.</w:t>
      </w:r>
      <w:r>
        <w:rPr>
          <w:rFonts w:hint="eastAsia" w:ascii="宋体" w:hAnsi="宋体" w:cs="仿宋"/>
          <w:sz w:val="32"/>
          <w:szCs w:val="32"/>
        </w:rPr>
        <w:t>会同有关部门推进旅游体制和机制改革工作，指导重点旅游企业发展、旅游新业态的规划和开发以及招商引资工作。</w:t>
      </w:r>
    </w:p>
    <w:p>
      <w:pPr>
        <w:spacing w:line="576" w:lineRule="exact"/>
        <w:ind w:firstLine="640" w:firstLineChars="200"/>
        <w:rPr>
          <w:rFonts w:ascii="宋体" w:cs="仿宋"/>
          <w:sz w:val="32"/>
          <w:szCs w:val="32"/>
        </w:rPr>
      </w:pPr>
      <w:r>
        <w:rPr>
          <w:rFonts w:ascii="宋体" w:hAnsi="宋体" w:cs="仿宋"/>
          <w:sz w:val="32"/>
          <w:szCs w:val="32"/>
        </w:rPr>
        <w:t>8.</w:t>
      </w:r>
      <w:r>
        <w:rPr>
          <w:rFonts w:hint="eastAsia" w:ascii="宋体" w:hAnsi="宋体" w:cs="仿宋"/>
          <w:sz w:val="32"/>
          <w:szCs w:val="32"/>
        </w:rPr>
        <w:t>监测旅游经济运行，负责旅游信息化建设、旅游统计和行业信息发布工作。</w:t>
      </w:r>
    </w:p>
    <w:p>
      <w:pPr>
        <w:spacing w:line="576" w:lineRule="exact"/>
        <w:ind w:firstLine="640" w:firstLineChars="200"/>
        <w:rPr>
          <w:rFonts w:ascii="宋体" w:cs="仿宋"/>
          <w:spacing w:val="-8"/>
          <w:sz w:val="32"/>
          <w:szCs w:val="32"/>
        </w:rPr>
      </w:pPr>
      <w:r>
        <w:rPr>
          <w:rFonts w:ascii="宋体" w:hAnsi="宋体" w:cs="仿宋"/>
          <w:sz w:val="32"/>
          <w:szCs w:val="32"/>
        </w:rPr>
        <w:t>9.</w:t>
      </w:r>
      <w:r>
        <w:rPr>
          <w:rFonts w:hint="eastAsia" w:ascii="宋体" w:hAnsi="宋体" w:cs="仿宋"/>
          <w:spacing w:val="-8"/>
          <w:sz w:val="32"/>
          <w:szCs w:val="32"/>
        </w:rPr>
        <w:t>制订旅游人才规划并组织实施，指导旅游教育培训工作。</w:t>
      </w:r>
    </w:p>
    <w:p>
      <w:pPr>
        <w:spacing w:line="576" w:lineRule="exact"/>
        <w:ind w:firstLine="640" w:firstLineChars="200"/>
        <w:rPr>
          <w:rFonts w:ascii="宋体" w:cs="仿宋"/>
          <w:spacing w:val="-8"/>
          <w:sz w:val="32"/>
          <w:szCs w:val="32"/>
        </w:rPr>
      </w:pPr>
      <w:r>
        <w:rPr>
          <w:rFonts w:ascii="宋体" w:hAnsi="宋体" w:cs="仿宋"/>
          <w:sz w:val="32"/>
          <w:szCs w:val="32"/>
        </w:rPr>
        <w:t>10.</w:t>
      </w:r>
      <w:r>
        <w:rPr>
          <w:rFonts w:hint="eastAsia" w:ascii="宋体" w:hAnsi="宋体" w:cs="仿宋"/>
          <w:spacing w:val="-8"/>
          <w:sz w:val="32"/>
          <w:szCs w:val="32"/>
        </w:rPr>
        <w:t>承担区政府公布的有关行政审批事项。</w:t>
      </w:r>
    </w:p>
    <w:p>
      <w:pPr>
        <w:spacing w:line="576" w:lineRule="exact"/>
        <w:ind w:firstLine="640" w:firstLineChars="200"/>
        <w:rPr>
          <w:rFonts w:ascii="宋体" w:cs="仿宋"/>
          <w:sz w:val="32"/>
          <w:szCs w:val="32"/>
        </w:rPr>
      </w:pPr>
      <w:r>
        <w:rPr>
          <w:rFonts w:ascii="宋体" w:hAnsi="宋体" w:cs="仿宋"/>
          <w:sz w:val="32"/>
          <w:szCs w:val="32"/>
        </w:rPr>
        <w:t>11.</w:t>
      </w:r>
      <w:r>
        <w:rPr>
          <w:rFonts w:hint="eastAsia" w:ascii="宋体" w:hAnsi="宋体" w:cs="仿宋"/>
          <w:sz w:val="32"/>
          <w:szCs w:val="32"/>
        </w:rPr>
        <w:t>承办区政府交办的其他事项。</w:t>
      </w:r>
    </w:p>
    <w:p>
      <w:pPr>
        <w:spacing w:line="580" w:lineRule="exact"/>
        <w:ind w:firstLine="640" w:firstLineChars="200"/>
        <w:rPr>
          <w:rFonts w:ascii="宋体" w:cs="仿宋_GB2312"/>
          <w:sz w:val="32"/>
          <w:szCs w:val="32"/>
        </w:rPr>
      </w:pPr>
      <w:r>
        <w:rPr>
          <w:rFonts w:hint="eastAsia" w:ascii="宋体" w:hAnsi="宋体" w:cs="仿宋_GB2312"/>
          <w:sz w:val="32"/>
          <w:szCs w:val="32"/>
        </w:rPr>
        <w:t>（三）人员概况。</w:t>
      </w:r>
    </w:p>
    <w:p>
      <w:pPr>
        <w:spacing w:line="580" w:lineRule="exact"/>
        <w:ind w:firstLine="800" w:firstLineChars="250"/>
        <w:rPr>
          <w:rFonts w:ascii="宋体"/>
          <w:sz w:val="32"/>
          <w:szCs w:val="32"/>
        </w:rPr>
      </w:pPr>
      <w:r>
        <w:rPr>
          <w:rFonts w:ascii="宋体" w:hAnsi="宋体"/>
          <w:sz w:val="32"/>
          <w:szCs w:val="32"/>
        </w:rPr>
        <w:t>2018</w:t>
      </w:r>
      <w:r>
        <w:rPr>
          <w:rFonts w:hint="eastAsia" w:ascii="宋体" w:hAnsi="宋体"/>
          <w:sz w:val="32"/>
          <w:szCs w:val="32"/>
        </w:rPr>
        <w:t>年底，区编办核定编制人数</w:t>
      </w:r>
      <w:r>
        <w:rPr>
          <w:rFonts w:ascii="宋体" w:hAnsi="宋体"/>
          <w:sz w:val="32"/>
          <w:szCs w:val="32"/>
        </w:rPr>
        <w:t>13</w:t>
      </w:r>
      <w:r>
        <w:rPr>
          <w:rFonts w:hint="eastAsia" w:ascii="宋体" w:hAnsi="宋体"/>
          <w:sz w:val="32"/>
          <w:szCs w:val="32"/>
        </w:rPr>
        <w:t>人，年末实有人数</w:t>
      </w:r>
      <w:r>
        <w:rPr>
          <w:rFonts w:ascii="宋体" w:hAnsi="宋体"/>
          <w:sz w:val="32"/>
          <w:szCs w:val="32"/>
        </w:rPr>
        <w:t>13</w:t>
      </w:r>
      <w:r>
        <w:rPr>
          <w:rFonts w:hint="eastAsia" w:ascii="宋体" w:hAnsi="宋体"/>
          <w:sz w:val="32"/>
          <w:szCs w:val="32"/>
        </w:rPr>
        <w:t>人。其中：局机关</w:t>
      </w:r>
      <w:r>
        <w:rPr>
          <w:rFonts w:ascii="宋体" w:hAnsi="宋体"/>
          <w:sz w:val="32"/>
          <w:szCs w:val="32"/>
        </w:rPr>
        <w:t>5</w:t>
      </w:r>
      <w:r>
        <w:rPr>
          <w:rFonts w:hint="eastAsia" w:ascii="宋体" w:hAnsi="宋体"/>
          <w:sz w:val="32"/>
          <w:szCs w:val="32"/>
        </w:rPr>
        <w:t>人、旅游投诉服务中心</w:t>
      </w:r>
      <w:r>
        <w:rPr>
          <w:rFonts w:ascii="宋体" w:hAnsi="宋体"/>
          <w:sz w:val="32"/>
          <w:szCs w:val="32"/>
        </w:rPr>
        <w:t>7</w:t>
      </w:r>
      <w:r>
        <w:rPr>
          <w:rFonts w:hint="eastAsia" w:ascii="宋体" w:hAnsi="宋体"/>
          <w:sz w:val="32"/>
          <w:szCs w:val="32"/>
        </w:rPr>
        <w:t>人、工勤控制数</w:t>
      </w:r>
      <w:r>
        <w:rPr>
          <w:rFonts w:ascii="宋体" w:hAnsi="宋体"/>
          <w:sz w:val="32"/>
          <w:szCs w:val="32"/>
        </w:rPr>
        <w:t>1</w:t>
      </w:r>
      <w:r>
        <w:rPr>
          <w:rFonts w:hint="eastAsia" w:ascii="宋体" w:hAnsi="宋体"/>
          <w:sz w:val="32"/>
          <w:szCs w:val="32"/>
        </w:rPr>
        <w:t>人。实有人数中，公务人员</w:t>
      </w:r>
      <w:r>
        <w:rPr>
          <w:rFonts w:ascii="宋体" w:hAnsi="宋体"/>
          <w:sz w:val="32"/>
          <w:szCs w:val="32"/>
        </w:rPr>
        <w:t>4</w:t>
      </w:r>
      <w:r>
        <w:rPr>
          <w:rFonts w:hint="eastAsia" w:ascii="宋体" w:hAnsi="宋体"/>
          <w:sz w:val="32"/>
          <w:szCs w:val="32"/>
        </w:rPr>
        <w:t>人、参公人员</w:t>
      </w:r>
      <w:r>
        <w:rPr>
          <w:rFonts w:ascii="宋体" w:hAnsi="宋体"/>
          <w:sz w:val="32"/>
          <w:szCs w:val="32"/>
        </w:rPr>
        <w:t>1</w:t>
      </w:r>
      <w:r>
        <w:rPr>
          <w:rFonts w:hint="eastAsia" w:ascii="宋体" w:hAnsi="宋体"/>
          <w:sz w:val="32"/>
          <w:szCs w:val="32"/>
        </w:rPr>
        <w:t>人、全额事业人员</w:t>
      </w:r>
      <w:r>
        <w:rPr>
          <w:rFonts w:ascii="宋体" w:hAnsi="宋体"/>
          <w:sz w:val="32"/>
          <w:szCs w:val="32"/>
        </w:rPr>
        <w:t>7</w:t>
      </w:r>
      <w:r>
        <w:rPr>
          <w:rFonts w:hint="eastAsia" w:ascii="宋体" w:hAnsi="宋体"/>
          <w:sz w:val="32"/>
          <w:szCs w:val="32"/>
        </w:rPr>
        <w:t>人、工勤控制人员</w:t>
      </w:r>
      <w:r>
        <w:rPr>
          <w:rFonts w:ascii="宋体" w:hAnsi="宋体"/>
          <w:sz w:val="32"/>
          <w:szCs w:val="32"/>
        </w:rPr>
        <w:t>1</w:t>
      </w:r>
      <w:r>
        <w:rPr>
          <w:rFonts w:hint="eastAsia" w:ascii="宋体" w:hAnsi="宋体"/>
          <w:sz w:val="32"/>
          <w:szCs w:val="32"/>
        </w:rPr>
        <w:t>人。</w:t>
      </w:r>
    </w:p>
    <w:p>
      <w:pPr>
        <w:spacing w:line="580" w:lineRule="exact"/>
        <w:ind w:firstLine="643" w:firstLineChars="200"/>
        <w:rPr>
          <w:rFonts w:ascii="宋体" w:cs="黑体"/>
          <w:b/>
          <w:bCs/>
          <w:sz w:val="32"/>
          <w:szCs w:val="32"/>
        </w:rPr>
      </w:pPr>
      <w:r>
        <w:rPr>
          <w:rFonts w:hint="eastAsia" w:ascii="宋体" w:hAnsi="宋体" w:cs="黑体"/>
          <w:b/>
          <w:bCs/>
          <w:sz w:val="32"/>
          <w:szCs w:val="32"/>
        </w:rPr>
        <w:t>二、部门财政资金收支情况</w:t>
      </w:r>
    </w:p>
    <w:p>
      <w:pPr>
        <w:spacing w:line="580" w:lineRule="exact"/>
        <w:ind w:firstLine="640" w:firstLineChars="200"/>
        <w:rPr>
          <w:rFonts w:ascii="宋体" w:cs="仿宋_GB2312"/>
          <w:sz w:val="32"/>
          <w:szCs w:val="32"/>
        </w:rPr>
      </w:pPr>
      <w:r>
        <w:rPr>
          <w:rFonts w:hint="eastAsia" w:ascii="宋体" w:hAnsi="宋体" w:cs="仿宋_GB2312"/>
          <w:sz w:val="32"/>
          <w:szCs w:val="32"/>
        </w:rPr>
        <w:t>（一）部门财政资金收入情况。</w:t>
      </w:r>
    </w:p>
    <w:p>
      <w:pPr>
        <w:spacing w:line="600" w:lineRule="exact"/>
        <w:ind w:firstLine="640" w:firstLineChars="200"/>
        <w:outlineLvl w:val="1"/>
        <w:rPr>
          <w:rFonts w:ascii="宋体"/>
          <w:color w:val="000000"/>
          <w:sz w:val="32"/>
          <w:szCs w:val="32"/>
        </w:rPr>
      </w:pPr>
      <w:r>
        <w:rPr>
          <w:rFonts w:ascii="宋体" w:hAnsi="宋体"/>
          <w:color w:val="000000"/>
          <w:sz w:val="32"/>
          <w:szCs w:val="32"/>
        </w:rPr>
        <w:t>2018</w:t>
      </w:r>
      <w:r>
        <w:rPr>
          <w:rFonts w:hint="eastAsia" w:ascii="宋体" w:hAnsi="宋体"/>
          <w:color w:val="000000"/>
          <w:sz w:val="32"/>
          <w:szCs w:val="32"/>
        </w:rPr>
        <w:t>年财政拨款收入总计</w:t>
      </w:r>
      <w:r>
        <w:rPr>
          <w:rFonts w:ascii="宋体" w:hAnsi="宋体"/>
          <w:color w:val="000000"/>
          <w:sz w:val="32"/>
          <w:szCs w:val="32"/>
        </w:rPr>
        <w:t>5226.95</w:t>
      </w:r>
      <w:r>
        <w:rPr>
          <w:rFonts w:hint="eastAsia" w:ascii="宋体" w:hAnsi="宋体"/>
          <w:color w:val="000000"/>
          <w:sz w:val="32"/>
          <w:szCs w:val="32"/>
        </w:rPr>
        <w:t>万元。其中：一般公共预算财政拨款收入</w:t>
      </w:r>
      <w:r>
        <w:rPr>
          <w:rFonts w:ascii="宋体" w:hAnsi="宋体"/>
          <w:color w:val="000000"/>
          <w:sz w:val="32"/>
          <w:szCs w:val="32"/>
        </w:rPr>
        <w:t>163.25</w:t>
      </w:r>
      <w:r>
        <w:rPr>
          <w:rFonts w:hint="eastAsia" w:ascii="宋体" w:hAnsi="宋体"/>
          <w:color w:val="000000"/>
          <w:sz w:val="32"/>
          <w:szCs w:val="32"/>
        </w:rPr>
        <w:t>万元、政府性基金预算财政拨款收入</w:t>
      </w:r>
      <w:r>
        <w:rPr>
          <w:rFonts w:ascii="宋体" w:hAnsi="宋体"/>
          <w:color w:val="000000"/>
          <w:sz w:val="32"/>
          <w:szCs w:val="32"/>
        </w:rPr>
        <w:t>5063.7</w:t>
      </w:r>
      <w:r>
        <w:rPr>
          <w:rFonts w:hint="eastAsia" w:ascii="宋体" w:hAnsi="宋体"/>
          <w:color w:val="000000"/>
          <w:sz w:val="32"/>
          <w:szCs w:val="32"/>
        </w:rPr>
        <w:t>万元。</w:t>
      </w:r>
    </w:p>
    <w:p>
      <w:pPr>
        <w:spacing w:line="580" w:lineRule="exact"/>
        <w:ind w:firstLine="640" w:firstLineChars="200"/>
        <w:rPr>
          <w:rFonts w:ascii="宋体" w:cs="仿宋_GB2312"/>
          <w:sz w:val="32"/>
          <w:szCs w:val="32"/>
        </w:rPr>
      </w:pPr>
      <w:r>
        <w:rPr>
          <w:rFonts w:hint="eastAsia" w:ascii="宋体" w:hAnsi="宋体" w:cs="仿宋_GB2312"/>
          <w:sz w:val="32"/>
          <w:szCs w:val="32"/>
        </w:rPr>
        <w:t>（二）部门财政资金支出情况。</w:t>
      </w:r>
    </w:p>
    <w:p>
      <w:pPr>
        <w:spacing w:line="600" w:lineRule="exact"/>
        <w:ind w:firstLine="640" w:firstLineChars="200"/>
        <w:outlineLvl w:val="1"/>
        <w:rPr>
          <w:rFonts w:ascii="宋体"/>
          <w:color w:val="000000"/>
          <w:sz w:val="32"/>
          <w:szCs w:val="32"/>
        </w:rPr>
      </w:pPr>
      <w:r>
        <w:rPr>
          <w:rFonts w:ascii="宋体" w:hAnsi="宋体"/>
          <w:color w:val="000000"/>
          <w:sz w:val="32"/>
          <w:szCs w:val="32"/>
        </w:rPr>
        <w:t>2018</w:t>
      </w:r>
      <w:r>
        <w:rPr>
          <w:rFonts w:hint="eastAsia" w:ascii="宋体" w:hAnsi="宋体"/>
          <w:color w:val="000000"/>
          <w:sz w:val="32"/>
          <w:szCs w:val="32"/>
        </w:rPr>
        <w:t>年财政拨款支出总计</w:t>
      </w:r>
      <w:r>
        <w:rPr>
          <w:rFonts w:ascii="宋体" w:hAnsi="宋体"/>
          <w:color w:val="000000"/>
          <w:sz w:val="32"/>
          <w:szCs w:val="32"/>
        </w:rPr>
        <w:t>5153.34</w:t>
      </w:r>
      <w:r>
        <w:rPr>
          <w:rFonts w:hint="eastAsia" w:ascii="宋体" w:hAnsi="宋体"/>
          <w:color w:val="000000"/>
          <w:sz w:val="32"/>
          <w:szCs w:val="32"/>
        </w:rPr>
        <w:t>万元。主要变动原因是增加白朝黄蛟山旅游专项债券资金</w:t>
      </w:r>
      <w:r>
        <w:rPr>
          <w:rFonts w:ascii="宋体" w:hAnsi="宋体"/>
          <w:color w:val="000000"/>
          <w:sz w:val="32"/>
          <w:szCs w:val="32"/>
        </w:rPr>
        <w:t>5000</w:t>
      </w:r>
      <w:r>
        <w:rPr>
          <w:rFonts w:hint="eastAsia" w:ascii="宋体" w:hAnsi="宋体"/>
          <w:color w:val="000000"/>
          <w:sz w:val="32"/>
          <w:szCs w:val="32"/>
        </w:rPr>
        <w:t>万元。其中：一般公共预算财政拨款支出</w:t>
      </w:r>
      <w:r>
        <w:rPr>
          <w:rFonts w:ascii="宋体" w:hAnsi="宋体"/>
          <w:color w:val="000000"/>
          <w:sz w:val="32"/>
          <w:szCs w:val="32"/>
        </w:rPr>
        <w:t>153.34</w:t>
      </w:r>
      <w:r>
        <w:rPr>
          <w:rFonts w:hint="eastAsia" w:ascii="宋体" w:hAnsi="宋体"/>
          <w:color w:val="000000"/>
          <w:sz w:val="32"/>
          <w:szCs w:val="32"/>
        </w:rPr>
        <w:t>万元、政府性基金支出（白朝黄蛟山旅游专项债券资金）</w:t>
      </w:r>
      <w:r>
        <w:rPr>
          <w:rFonts w:ascii="宋体" w:hAnsi="宋体"/>
          <w:color w:val="000000"/>
          <w:sz w:val="32"/>
          <w:szCs w:val="32"/>
        </w:rPr>
        <w:t>5000</w:t>
      </w:r>
      <w:r>
        <w:rPr>
          <w:rFonts w:hint="eastAsia" w:ascii="宋体" w:hAnsi="宋体"/>
          <w:color w:val="000000"/>
          <w:sz w:val="32"/>
          <w:szCs w:val="32"/>
        </w:rPr>
        <w:t>万元。</w:t>
      </w:r>
    </w:p>
    <w:p>
      <w:pPr>
        <w:spacing w:line="580" w:lineRule="exact"/>
        <w:ind w:firstLine="640" w:firstLineChars="200"/>
        <w:rPr>
          <w:rFonts w:ascii="宋体" w:cs="黑体"/>
          <w:sz w:val="32"/>
          <w:szCs w:val="32"/>
        </w:rPr>
      </w:pPr>
      <w:r>
        <w:rPr>
          <w:rFonts w:hint="eastAsia" w:ascii="宋体" w:hAnsi="宋体" w:cs="黑体"/>
          <w:sz w:val="32"/>
          <w:szCs w:val="32"/>
        </w:rPr>
        <w:t>三、部门整体预算绩效管理情况（根据适用指标体系进行调整）</w:t>
      </w:r>
    </w:p>
    <w:p>
      <w:pPr>
        <w:spacing w:line="580" w:lineRule="exact"/>
        <w:ind w:firstLine="640" w:firstLineChars="200"/>
        <w:rPr>
          <w:rFonts w:ascii="宋体" w:cs="仿宋_GB2312"/>
          <w:sz w:val="32"/>
          <w:szCs w:val="32"/>
        </w:rPr>
      </w:pPr>
      <w:r>
        <w:rPr>
          <w:rFonts w:hint="eastAsia" w:ascii="宋体" w:hAnsi="宋体" w:cs="仿宋_GB2312"/>
          <w:sz w:val="32"/>
          <w:szCs w:val="32"/>
        </w:rPr>
        <w:t>（一）部门预算管理</w:t>
      </w:r>
    </w:p>
    <w:p>
      <w:pPr>
        <w:spacing w:line="580" w:lineRule="exact"/>
        <w:ind w:firstLine="640" w:firstLineChars="200"/>
        <w:rPr>
          <w:rFonts w:ascii="宋体" w:cs="仿宋_GB2312"/>
          <w:sz w:val="32"/>
          <w:szCs w:val="32"/>
        </w:rPr>
      </w:pPr>
      <w:r>
        <w:rPr>
          <w:rFonts w:ascii="宋体" w:hAnsi="宋体" w:cs="仿宋_GB2312"/>
          <w:sz w:val="32"/>
          <w:szCs w:val="32"/>
        </w:rPr>
        <w:t>1.</w:t>
      </w:r>
      <w:r>
        <w:rPr>
          <w:rFonts w:hint="eastAsia" w:ascii="宋体" w:hAnsi="宋体" w:cs="仿宋_GB2312"/>
          <w:sz w:val="32"/>
          <w:szCs w:val="32"/>
        </w:rPr>
        <w:t>部门绩效目标制定</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1</w:t>
      </w:r>
      <w:r>
        <w:rPr>
          <w:rFonts w:hint="eastAsia" w:ascii="宋体" w:hAnsi="宋体" w:cs="仿宋_GB2312"/>
          <w:sz w:val="32"/>
          <w:szCs w:val="32"/>
        </w:rPr>
        <w:t>）部门绩效目标制定是充分考虑到各项资金的使用内容、范围、方向和预期效果，符合部门职能及事业发展规划。</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2</w:t>
      </w:r>
      <w:r>
        <w:rPr>
          <w:rFonts w:hint="eastAsia" w:ascii="宋体" w:hAnsi="宋体" w:cs="仿宋_GB2312"/>
          <w:sz w:val="32"/>
          <w:szCs w:val="32"/>
        </w:rPr>
        <w:t>）绩效目标从数量、质量、成本、时效以及经济效益、社会效益、生态效益、可持续影响、满意度等方面进行了细化，具有可衡量性。</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3</w:t>
      </w:r>
      <w:r>
        <w:rPr>
          <w:rFonts w:hint="eastAsia" w:ascii="宋体" w:hAnsi="宋体" w:cs="仿宋_GB2312"/>
          <w:sz w:val="32"/>
          <w:szCs w:val="32"/>
        </w:rPr>
        <w:t>）绩效目标相关指标设定与预算安排金额相对应，未超预算安排的资金。</w:t>
      </w:r>
    </w:p>
    <w:p>
      <w:pPr>
        <w:spacing w:line="580" w:lineRule="exact"/>
        <w:ind w:firstLine="640" w:firstLineChars="200"/>
        <w:rPr>
          <w:rFonts w:ascii="宋体" w:cs="仿宋_GB2312"/>
          <w:sz w:val="32"/>
          <w:szCs w:val="32"/>
        </w:rPr>
      </w:pPr>
      <w:r>
        <w:rPr>
          <w:rFonts w:ascii="宋体" w:hAnsi="宋体" w:cs="仿宋_GB2312"/>
          <w:sz w:val="32"/>
          <w:szCs w:val="32"/>
        </w:rPr>
        <w:t>2.</w:t>
      </w:r>
      <w:r>
        <w:rPr>
          <w:rFonts w:hint="eastAsia" w:ascii="宋体" w:hAnsi="宋体" w:cs="仿宋_GB2312"/>
          <w:sz w:val="32"/>
          <w:szCs w:val="32"/>
        </w:rPr>
        <w:t>预算编制和执行</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1</w:t>
      </w:r>
      <w:r>
        <w:rPr>
          <w:rFonts w:hint="eastAsia" w:ascii="宋体" w:hAnsi="宋体" w:cs="仿宋_GB2312"/>
          <w:sz w:val="32"/>
          <w:szCs w:val="32"/>
        </w:rPr>
        <w:t>）部门预算报送时间严格按照财政部门预算编制要求的时间及时报送部门预算。预算编制完整、准确，基础信息和科目使用准确。</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2</w:t>
      </w:r>
      <w:r>
        <w:rPr>
          <w:rFonts w:hint="eastAsia" w:ascii="宋体" w:hAnsi="宋体" w:cs="仿宋_GB2312"/>
          <w:sz w:val="32"/>
          <w:szCs w:val="32"/>
        </w:rPr>
        <w:t>）严格执行预算。年度预算收支平衡，人员支出按时间表进度执行，无挪用情况，执行中一般不调整预算项目。</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3</w:t>
      </w:r>
      <w:r>
        <w:rPr>
          <w:rFonts w:hint="eastAsia" w:ascii="宋体" w:hAnsi="宋体" w:cs="仿宋_GB2312"/>
          <w:sz w:val="32"/>
          <w:szCs w:val="32"/>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使用资金。</w:t>
      </w:r>
    </w:p>
    <w:p>
      <w:pPr>
        <w:spacing w:line="580" w:lineRule="exact"/>
        <w:ind w:firstLine="640" w:firstLineChars="200"/>
        <w:rPr>
          <w:rFonts w:ascii="宋体" w:cs="仿宋_GB2312"/>
          <w:sz w:val="32"/>
          <w:szCs w:val="32"/>
        </w:rPr>
      </w:pPr>
      <w:r>
        <w:rPr>
          <w:rFonts w:hint="eastAsia" w:ascii="宋体" w:hAnsi="宋体" w:cs="仿宋_GB2312"/>
          <w:sz w:val="32"/>
          <w:szCs w:val="32"/>
        </w:rPr>
        <w:t>（</w:t>
      </w:r>
      <w:r>
        <w:rPr>
          <w:rFonts w:ascii="宋体" w:hAnsi="宋体" w:cs="仿宋_GB2312"/>
          <w:sz w:val="32"/>
          <w:szCs w:val="32"/>
        </w:rPr>
        <w:t>4</w:t>
      </w:r>
      <w:r>
        <w:rPr>
          <w:rFonts w:hint="eastAsia" w:ascii="宋体" w:hAnsi="宋体" w:cs="仿宋_GB2312"/>
          <w:sz w:val="32"/>
          <w:szCs w:val="32"/>
        </w:rPr>
        <w:t>）按时送部门决算，决算数据真实准确、帐表一致，部门决算编制人员与供养人员系统一致。</w:t>
      </w:r>
    </w:p>
    <w:p>
      <w:pPr>
        <w:spacing w:line="580" w:lineRule="exact"/>
        <w:ind w:firstLine="640" w:firstLineChars="200"/>
        <w:jc w:val="left"/>
        <w:rPr>
          <w:rFonts w:ascii="宋体" w:cs="仿宋_GB2312"/>
          <w:sz w:val="32"/>
          <w:szCs w:val="32"/>
        </w:rPr>
      </w:pPr>
      <w:r>
        <w:rPr>
          <w:rFonts w:hint="eastAsia" w:ascii="宋体" w:hAnsi="宋体" w:cs="仿宋_GB2312"/>
          <w:sz w:val="32"/>
          <w:szCs w:val="32"/>
        </w:rPr>
        <w:t>（二）专项预算管理。</w:t>
      </w:r>
    </w:p>
    <w:p>
      <w:pPr>
        <w:spacing w:line="580" w:lineRule="exact"/>
        <w:ind w:firstLine="640" w:firstLineChars="200"/>
        <w:jc w:val="left"/>
        <w:rPr>
          <w:rFonts w:ascii="宋体" w:cs="仿宋_GB2312"/>
          <w:sz w:val="32"/>
          <w:szCs w:val="32"/>
        </w:rPr>
      </w:pPr>
      <w:r>
        <w:rPr>
          <w:rFonts w:ascii="宋体" w:hAnsi="宋体" w:cs="仿宋_GB2312"/>
          <w:sz w:val="32"/>
          <w:szCs w:val="32"/>
        </w:rPr>
        <w:t>1.</w:t>
      </w:r>
      <w:r>
        <w:rPr>
          <w:rFonts w:hint="eastAsia" w:ascii="宋体" w:hAnsi="宋体" w:cs="仿宋_GB2312"/>
          <w:sz w:val="32"/>
          <w:szCs w:val="32"/>
        </w:rPr>
        <w:t>专项预算编制情况</w:t>
      </w:r>
    </w:p>
    <w:p>
      <w:pPr>
        <w:spacing w:line="580" w:lineRule="exact"/>
        <w:ind w:firstLine="640" w:firstLineChars="200"/>
        <w:jc w:val="left"/>
        <w:rPr>
          <w:rFonts w:ascii="宋体" w:cs="仿宋_GB2312"/>
          <w:color w:val="000000"/>
          <w:sz w:val="32"/>
          <w:szCs w:val="32"/>
        </w:rPr>
      </w:pPr>
      <w:r>
        <w:rPr>
          <w:rFonts w:hint="eastAsia" w:ascii="宋体" w:hAnsi="宋体" w:cs="仿宋_GB2312"/>
          <w:color w:val="000000"/>
          <w:sz w:val="32"/>
          <w:szCs w:val="32"/>
        </w:rPr>
        <w:t>各项专项预算的编制严格按照“二上二下”的程序，先由各支出股室根据年度工作目标提出当年的专项预算项目建议方案，经分管领导审核后由财务汇总编制上报区财政。根据区财政下达的年度各类专项资金年度预算指标，进一步完善专项预算方案。财政最终批复后，将各类专项预算指标分解下达各支出股室。</w:t>
      </w:r>
    </w:p>
    <w:p>
      <w:pPr>
        <w:spacing w:line="580" w:lineRule="exact"/>
        <w:ind w:firstLine="640" w:firstLineChars="200"/>
        <w:jc w:val="left"/>
        <w:rPr>
          <w:rFonts w:ascii="宋体" w:cs="仿宋_GB2312"/>
          <w:sz w:val="32"/>
          <w:szCs w:val="32"/>
        </w:rPr>
      </w:pPr>
      <w:r>
        <w:rPr>
          <w:rFonts w:ascii="宋体" w:hAnsi="宋体" w:cs="仿宋_GB2312"/>
          <w:sz w:val="32"/>
          <w:szCs w:val="32"/>
        </w:rPr>
        <w:t>2.</w:t>
      </w:r>
      <w:r>
        <w:rPr>
          <w:rFonts w:hint="eastAsia" w:ascii="宋体" w:hAnsi="宋体" w:cs="仿宋_GB2312"/>
          <w:sz w:val="32"/>
          <w:szCs w:val="32"/>
        </w:rPr>
        <w:t>专项预算执行</w:t>
      </w:r>
    </w:p>
    <w:p>
      <w:pPr>
        <w:spacing w:line="580" w:lineRule="exact"/>
        <w:ind w:firstLine="640" w:firstLineChars="200"/>
        <w:jc w:val="left"/>
        <w:rPr>
          <w:rFonts w:ascii="宋体" w:cs="仿宋_GB2312"/>
          <w:sz w:val="32"/>
          <w:szCs w:val="32"/>
        </w:rPr>
      </w:pPr>
      <w:r>
        <w:rPr>
          <w:rFonts w:hint="eastAsia" w:ascii="宋体" w:hAnsi="宋体" w:cs="仿宋_GB2312"/>
          <w:sz w:val="32"/>
          <w:szCs w:val="32"/>
        </w:rPr>
        <w:t>对下达的各类专项预算支出，严格按照预算批复的开支范围和标准执行，不准擅自改变资金用途，不准调项、不准扩项、不准缩项，更不准挪用、挤占和随意扣压资金。</w:t>
      </w:r>
    </w:p>
    <w:p>
      <w:pPr>
        <w:spacing w:line="580" w:lineRule="exact"/>
        <w:ind w:firstLine="640" w:firstLineChars="200"/>
        <w:jc w:val="left"/>
        <w:rPr>
          <w:rFonts w:ascii="宋体" w:cs="仿宋_GB2312"/>
          <w:sz w:val="32"/>
          <w:szCs w:val="32"/>
        </w:rPr>
      </w:pPr>
      <w:r>
        <w:rPr>
          <w:rFonts w:ascii="宋体" w:hAnsi="宋体" w:cs="仿宋_GB2312"/>
          <w:sz w:val="32"/>
          <w:szCs w:val="32"/>
        </w:rPr>
        <w:t>3.</w:t>
      </w:r>
      <w:r>
        <w:rPr>
          <w:rFonts w:hint="eastAsia" w:ascii="宋体" w:hAnsi="宋体" w:cs="仿宋_GB2312"/>
          <w:sz w:val="32"/>
          <w:szCs w:val="32"/>
        </w:rPr>
        <w:t>专项预算绩效目标完成情况</w:t>
      </w:r>
    </w:p>
    <w:p>
      <w:pPr>
        <w:spacing w:line="580" w:lineRule="exact"/>
        <w:ind w:firstLine="640" w:firstLineChars="200"/>
        <w:jc w:val="left"/>
        <w:rPr>
          <w:rFonts w:ascii="宋体" w:cs="仿宋_GB2312"/>
          <w:color w:val="000000"/>
          <w:sz w:val="32"/>
          <w:szCs w:val="32"/>
        </w:rPr>
      </w:pPr>
      <w:r>
        <w:rPr>
          <w:rFonts w:ascii="宋体" w:hAnsi="宋体" w:cs="仿宋_GB2312"/>
          <w:color w:val="000000"/>
          <w:sz w:val="32"/>
          <w:szCs w:val="32"/>
        </w:rPr>
        <w:t>2018</w:t>
      </w:r>
      <w:r>
        <w:rPr>
          <w:rFonts w:hint="eastAsia" w:ascii="宋体" w:hAnsi="宋体" w:cs="仿宋_GB2312"/>
          <w:color w:val="000000"/>
          <w:sz w:val="32"/>
          <w:szCs w:val="32"/>
        </w:rPr>
        <w:t>年局各类财政专项预算支出共</w:t>
      </w:r>
      <w:r>
        <w:rPr>
          <w:rFonts w:ascii="宋体" w:hAnsi="宋体" w:cs="仿宋_GB2312"/>
          <w:color w:val="000000"/>
          <w:sz w:val="32"/>
          <w:szCs w:val="32"/>
        </w:rPr>
        <w:t>5153.34</w:t>
      </w:r>
      <w:r>
        <w:rPr>
          <w:rFonts w:hint="eastAsia" w:ascii="宋体" w:hAnsi="宋体" w:cs="仿宋_GB2312"/>
          <w:color w:val="000000"/>
          <w:sz w:val="32"/>
          <w:szCs w:val="32"/>
        </w:rPr>
        <w:t>万元，其中：一般公共预算支出</w:t>
      </w:r>
      <w:r>
        <w:rPr>
          <w:rFonts w:ascii="宋体" w:hAnsi="宋体" w:cs="仿宋_GB2312"/>
          <w:color w:val="000000"/>
          <w:sz w:val="32"/>
          <w:szCs w:val="32"/>
        </w:rPr>
        <w:t>153.34</w:t>
      </w:r>
      <w:r>
        <w:rPr>
          <w:rFonts w:hint="eastAsia" w:ascii="宋体" w:hAnsi="宋体" w:cs="仿宋_GB2312"/>
          <w:color w:val="000000"/>
          <w:sz w:val="32"/>
          <w:szCs w:val="32"/>
        </w:rPr>
        <w:t>万元、政府性基金预算项目支出</w:t>
      </w:r>
      <w:r>
        <w:rPr>
          <w:rFonts w:ascii="宋体" w:hAnsi="宋体" w:cs="仿宋_GB2312"/>
          <w:color w:val="000000"/>
          <w:sz w:val="32"/>
          <w:szCs w:val="32"/>
        </w:rPr>
        <w:t>5000</w:t>
      </w:r>
      <w:r>
        <w:rPr>
          <w:rFonts w:hint="eastAsia" w:ascii="宋体" w:hAnsi="宋体" w:cs="仿宋_GB2312"/>
          <w:color w:val="000000"/>
          <w:sz w:val="32"/>
          <w:szCs w:val="32"/>
        </w:rPr>
        <w:t>万元。</w:t>
      </w:r>
    </w:p>
    <w:p>
      <w:pPr>
        <w:spacing w:line="580" w:lineRule="exact"/>
        <w:ind w:firstLine="640" w:firstLineChars="200"/>
        <w:rPr>
          <w:rFonts w:ascii="宋体" w:cs="黑体"/>
          <w:sz w:val="32"/>
          <w:szCs w:val="32"/>
        </w:rPr>
      </w:pPr>
      <w:r>
        <w:rPr>
          <w:rFonts w:hint="eastAsia" w:ascii="宋体" w:hAnsi="宋体" w:cs="黑体"/>
          <w:sz w:val="32"/>
          <w:szCs w:val="32"/>
        </w:rPr>
        <w:t>四、评价结论及建议</w:t>
      </w:r>
    </w:p>
    <w:p>
      <w:pPr>
        <w:spacing w:line="580" w:lineRule="exact"/>
        <w:ind w:firstLine="640" w:firstLineChars="200"/>
        <w:rPr>
          <w:rFonts w:ascii="宋体" w:cs="仿宋_GB2312"/>
          <w:sz w:val="32"/>
          <w:szCs w:val="32"/>
        </w:rPr>
      </w:pPr>
      <w:r>
        <w:rPr>
          <w:rFonts w:hint="eastAsia" w:ascii="宋体" w:hAnsi="宋体" w:cs="仿宋_GB2312"/>
          <w:sz w:val="32"/>
          <w:szCs w:val="32"/>
        </w:rPr>
        <w:t>（一）评价结论</w:t>
      </w:r>
    </w:p>
    <w:p>
      <w:pPr>
        <w:spacing w:line="580" w:lineRule="exact"/>
        <w:ind w:firstLine="640" w:firstLineChars="200"/>
        <w:rPr>
          <w:rFonts w:ascii="宋体" w:cs="仿宋_GB2312"/>
          <w:color w:val="000000"/>
          <w:sz w:val="32"/>
          <w:szCs w:val="32"/>
        </w:rPr>
      </w:pPr>
      <w:r>
        <w:rPr>
          <w:rFonts w:hint="eastAsia" w:ascii="宋体" w:hAnsi="宋体" w:cs="仿宋_GB2312"/>
          <w:sz w:val="32"/>
          <w:szCs w:val="32"/>
        </w:rPr>
        <w:t>从总体上看，部门整体绩效目标与部门职责相符，预算编制合理，规章制度完善，资金使用规范合理；预算执行、预算管理</w:t>
      </w:r>
      <w:r>
        <w:rPr>
          <w:rFonts w:hint="eastAsia" w:ascii="宋体" w:hAnsi="宋体" w:cs="仿宋_GB2312"/>
          <w:color w:val="000000"/>
          <w:sz w:val="32"/>
          <w:szCs w:val="32"/>
        </w:rPr>
        <w:t>比较好，顺利完成各项目标任务。部门整体绩效评价得分</w:t>
      </w:r>
      <w:r>
        <w:rPr>
          <w:rFonts w:ascii="宋体" w:hAnsi="宋体" w:cs="仿宋_GB2312"/>
          <w:color w:val="000000"/>
          <w:sz w:val="32"/>
          <w:szCs w:val="32"/>
        </w:rPr>
        <w:t>95</w:t>
      </w:r>
      <w:r>
        <w:rPr>
          <w:rFonts w:hint="eastAsia" w:ascii="宋体" w:hAnsi="宋体" w:cs="仿宋_GB2312"/>
          <w:color w:val="000000"/>
          <w:sz w:val="32"/>
          <w:szCs w:val="32"/>
        </w:rPr>
        <w:t>分。</w:t>
      </w:r>
    </w:p>
    <w:p>
      <w:pPr>
        <w:spacing w:line="580" w:lineRule="exact"/>
        <w:ind w:firstLine="640" w:firstLineChars="200"/>
        <w:rPr>
          <w:rFonts w:ascii="宋体" w:cs="仿宋_GB2312"/>
          <w:color w:val="000000"/>
          <w:sz w:val="32"/>
          <w:szCs w:val="32"/>
        </w:rPr>
      </w:pPr>
      <w:r>
        <w:rPr>
          <w:rFonts w:hint="eastAsia" w:ascii="宋体" w:hAnsi="宋体" w:cs="仿宋_GB2312"/>
          <w:color w:val="000000"/>
          <w:sz w:val="32"/>
          <w:szCs w:val="32"/>
        </w:rPr>
        <w:t>（二）存在问题</w:t>
      </w:r>
    </w:p>
    <w:p>
      <w:pPr>
        <w:spacing w:line="580" w:lineRule="exact"/>
        <w:ind w:firstLine="640" w:firstLineChars="200"/>
        <w:rPr>
          <w:rFonts w:ascii="宋体" w:cs="仿宋_GB2312"/>
          <w:color w:val="000000"/>
          <w:sz w:val="32"/>
          <w:szCs w:val="32"/>
        </w:rPr>
      </w:pPr>
      <w:r>
        <w:rPr>
          <w:rFonts w:hint="eastAsia" w:ascii="宋体" w:hAnsi="宋体" w:cs="仿宋_GB2312"/>
          <w:color w:val="000000"/>
          <w:sz w:val="32"/>
          <w:szCs w:val="32"/>
        </w:rPr>
        <w:t>在资金的支付、安排与管理上偶尔存在不及时、不规范的现象。</w:t>
      </w:r>
    </w:p>
    <w:p>
      <w:pPr>
        <w:spacing w:line="580" w:lineRule="exact"/>
        <w:ind w:firstLine="640" w:firstLineChars="200"/>
        <w:rPr>
          <w:rFonts w:ascii="宋体" w:cs="仿宋_GB2312"/>
          <w:sz w:val="32"/>
          <w:szCs w:val="32"/>
        </w:rPr>
      </w:pPr>
      <w:r>
        <w:rPr>
          <w:rFonts w:hint="eastAsia" w:ascii="宋体" w:hAnsi="宋体" w:cs="仿宋_GB2312"/>
          <w:sz w:val="32"/>
          <w:szCs w:val="32"/>
        </w:rPr>
        <w:t>（三）改进建议</w:t>
      </w:r>
    </w:p>
    <w:p>
      <w:pPr>
        <w:spacing w:line="580" w:lineRule="exact"/>
        <w:ind w:firstLine="640" w:firstLineChars="200"/>
        <w:rPr>
          <w:rFonts w:ascii="宋体" w:cs="仿宋_GB2312"/>
          <w:sz w:val="32"/>
          <w:szCs w:val="32"/>
        </w:rPr>
      </w:pPr>
      <w:r>
        <w:rPr>
          <w:rFonts w:ascii="宋体" w:hAnsi="宋体" w:cs="仿宋_GB2312"/>
          <w:sz w:val="32"/>
          <w:szCs w:val="32"/>
        </w:rPr>
        <w:t>1.</w:t>
      </w:r>
      <w:r>
        <w:rPr>
          <w:rFonts w:hint="eastAsia" w:ascii="宋体" w:hAnsi="宋体" w:cs="仿宋_GB2312"/>
          <w:sz w:val="32"/>
          <w:szCs w:val="32"/>
        </w:rPr>
        <w:t>严格落实预算执行与分析，进一步完善各类项目支出的支出标准，提高部门预算收支管理水平。</w:t>
      </w:r>
    </w:p>
    <w:p>
      <w:pPr>
        <w:spacing w:line="580" w:lineRule="exact"/>
        <w:ind w:firstLine="640" w:firstLineChars="200"/>
        <w:rPr>
          <w:rFonts w:ascii="宋体" w:cs="仿宋_GB2312"/>
          <w:sz w:val="32"/>
          <w:szCs w:val="32"/>
        </w:rPr>
      </w:pPr>
      <w:r>
        <w:rPr>
          <w:rFonts w:ascii="宋体" w:hAnsi="宋体" w:cs="仿宋_GB2312"/>
          <w:sz w:val="32"/>
          <w:szCs w:val="32"/>
        </w:rPr>
        <w:t>2.</w:t>
      </w:r>
      <w:r>
        <w:rPr>
          <w:rFonts w:hint="eastAsia" w:ascii="宋体" w:hAnsi="宋体" w:cs="仿宋_GB2312"/>
          <w:sz w:val="32"/>
          <w:szCs w:val="32"/>
        </w:rPr>
        <w:t>进一步完善财务管理制度、严格资金审批程序，加大资金监管力度，确保各项资金的正常使用，杜绝发生违规违纪现象。</w:t>
      </w:r>
    </w:p>
    <w:p>
      <w:pPr>
        <w:widowControl/>
        <w:jc w:val="left"/>
        <w:rPr>
          <w:rStyle w:val="18"/>
          <w:rFonts w:ascii="仿宋" w:hAnsi="仿宋" w:eastAsia="仿宋"/>
          <w:b w:val="0"/>
          <w:bCs w:val="0"/>
          <w:sz w:val="32"/>
          <w:szCs w:val="32"/>
        </w:rPr>
      </w:pPr>
      <w:r>
        <w:rPr>
          <w:rFonts w:ascii="宋体" w:cs="仿宋_GB2312"/>
          <w:sz w:val="32"/>
          <w:szCs w:val="32"/>
        </w:rPr>
        <w:br w:type="page"/>
      </w:r>
      <w:bookmarkStart w:id="61" w:name="_Toc15396617"/>
      <w:r>
        <w:rPr>
          <w:rStyle w:val="18"/>
          <w:rFonts w:hint="eastAsia" w:ascii="仿宋" w:hAnsi="仿宋" w:eastAsia="仿宋"/>
          <w:b w:val="0"/>
          <w:bCs w:val="0"/>
          <w:sz w:val="32"/>
          <w:szCs w:val="32"/>
        </w:rPr>
        <w:t>附件</w:t>
      </w:r>
      <w:r>
        <w:rPr>
          <w:rStyle w:val="18"/>
          <w:rFonts w:ascii="仿宋" w:hAnsi="仿宋" w:eastAsia="仿宋"/>
          <w:b w:val="0"/>
          <w:bCs w:val="0"/>
          <w:sz w:val="32"/>
          <w:szCs w:val="32"/>
        </w:rPr>
        <w:t>2</w:t>
      </w:r>
      <w:bookmarkEnd w:id="61"/>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年旅游专项债券</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3" w:firstLineChars="200"/>
        <w:rPr>
          <w:rFonts w:ascii="方正仿宋简体" w:hAnsi="方正仿宋简体" w:eastAsia="仿宋" w:cs="仿宋"/>
          <w:b/>
          <w:bCs/>
          <w:sz w:val="32"/>
          <w:szCs w:val="32"/>
        </w:rPr>
      </w:pPr>
      <w:r>
        <w:rPr>
          <w:rFonts w:hint="eastAsia" w:ascii="方正仿宋简体" w:hAnsi="方正仿宋简体" w:eastAsia="仿宋" w:cs="仿宋"/>
          <w:b/>
          <w:bCs/>
          <w:sz w:val="32"/>
          <w:szCs w:val="32"/>
        </w:rPr>
        <w:t>一、评价工作开展及项目情况</w:t>
      </w:r>
    </w:p>
    <w:p>
      <w:pPr>
        <w:widowControl/>
        <w:spacing w:line="360" w:lineRule="auto"/>
        <w:ind w:firstLine="640" w:firstLineChars="200"/>
        <w:jc w:val="left"/>
        <w:rPr>
          <w:rFonts w:ascii="方正仿宋简体" w:hAnsi="方正仿宋简体" w:eastAsia="仿宋" w:cs="仿宋"/>
          <w:sz w:val="32"/>
          <w:szCs w:val="32"/>
        </w:rPr>
      </w:pPr>
      <w:r>
        <w:rPr>
          <w:rFonts w:hint="eastAsia" w:ascii="方正仿宋简体" w:hAnsi="方正仿宋简体" w:eastAsia="仿宋" w:cs="仿宋"/>
          <w:sz w:val="32"/>
          <w:szCs w:val="32"/>
        </w:rPr>
        <w:t>旅游专项债券资金项目是为了进一步加快月坝黄蛟山的旅游基础设施建设，推动白朝旅游工作的发展，全面提升全区旅游景区景点工作，以旅游带动各方面经济的全面发展，该项目规划占地面积</w:t>
      </w:r>
      <w:r>
        <w:rPr>
          <w:rFonts w:ascii="方正仿宋简体" w:hAnsi="方正仿宋简体" w:eastAsia="仿宋" w:cs="仿宋"/>
          <w:sz w:val="32"/>
          <w:szCs w:val="32"/>
        </w:rPr>
        <w:t>320</w:t>
      </w:r>
      <w:r>
        <w:rPr>
          <w:rFonts w:hint="eastAsia" w:ascii="方正仿宋简体" w:hAnsi="方正仿宋简体" w:eastAsia="仿宋" w:cs="仿宋"/>
          <w:sz w:val="32"/>
          <w:szCs w:val="32"/>
        </w:rPr>
        <w:t>公顷，新建景区游客中心</w:t>
      </w:r>
      <w:r>
        <w:rPr>
          <w:rFonts w:ascii="方正仿宋简体" w:hAnsi="方正仿宋简体" w:eastAsia="仿宋" w:cs="仿宋"/>
          <w:sz w:val="32"/>
          <w:szCs w:val="32"/>
        </w:rPr>
        <w:t>3000</w:t>
      </w:r>
      <w:r>
        <w:rPr>
          <w:rFonts w:hint="eastAsia" w:ascii="方正仿宋简体" w:hAnsi="方正仿宋简体" w:eastAsia="仿宋" w:cs="仿宋"/>
          <w:sz w:val="32"/>
          <w:szCs w:val="32"/>
        </w:rPr>
        <w:t>平方米</w:t>
      </w:r>
      <w:r>
        <w:rPr>
          <w:rFonts w:ascii="方正仿宋简体" w:hAnsi="方正仿宋简体" w:eastAsia="仿宋" w:cs="仿宋"/>
          <w:sz w:val="32"/>
          <w:szCs w:val="32"/>
        </w:rPr>
        <w:t>(</w:t>
      </w:r>
      <w:r>
        <w:rPr>
          <w:rFonts w:hint="eastAsia" w:ascii="方正仿宋简体" w:hAnsi="方正仿宋简体" w:eastAsia="仿宋" w:cs="仿宋"/>
          <w:sz w:val="32"/>
          <w:szCs w:val="32"/>
        </w:rPr>
        <w:t>占地面积</w:t>
      </w:r>
      <w:r>
        <w:rPr>
          <w:rFonts w:ascii="方正仿宋简体" w:hAnsi="方正仿宋简体" w:eastAsia="仿宋" w:cs="仿宋"/>
          <w:sz w:val="32"/>
          <w:szCs w:val="32"/>
        </w:rPr>
        <w:t>2000</w:t>
      </w:r>
      <w:r>
        <w:rPr>
          <w:rFonts w:hint="eastAsia" w:ascii="方正仿宋简体" w:hAnsi="方正仿宋简体" w:eastAsia="仿宋" w:cs="仿宋"/>
          <w:sz w:val="32"/>
          <w:szCs w:val="32"/>
        </w:rPr>
        <w:t>平方米</w:t>
      </w:r>
      <w:r>
        <w:rPr>
          <w:rFonts w:ascii="方正仿宋简体" w:hAnsi="方正仿宋简体" w:eastAsia="仿宋" w:cs="仿宋"/>
          <w:sz w:val="32"/>
          <w:szCs w:val="32"/>
        </w:rPr>
        <w:t>)</w:t>
      </w:r>
      <w:r>
        <w:rPr>
          <w:rFonts w:hint="eastAsia" w:ascii="方正仿宋简体" w:hAnsi="方正仿宋简体" w:eastAsia="仿宋" w:cs="仿宋"/>
          <w:sz w:val="32"/>
          <w:szCs w:val="32"/>
        </w:rPr>
        <w:t>，生态停车场</w:t>
      </w:r>
      <w:r>
        <w:rPr>
          <w:rFonts w:ascii="方正仿宋简体" w:hAnsi="方正仿宋简体" w:eastAsia="仿宋" w:cs="仿宋"/>
          <w:sz w:val="32"/>
          <w:szCs w:val="32"/>
        </w:rPr>
        <w:t>18000</w:t>
      </w:r>
      <w:r>
        <w:rPr>
          <w:rFonts w:hint="eastAsia" w:ascii="方正仿宋简体" w:hAnsi="方正仿宋简体" w:eastAsia="仿宋" w:cs="仿宋"/>
          <w:sz w:val="32"/>
          <w:szCs w:val="32"/>
        </w:rPr>
        <w:t>平方米，游客服务点</w:t>
      </w:r>
      <w:r>
        <w:rPr>
          <w:rFonts w:ascii="方正仿宋简体" w:hAnsi="方正仿宋简体" w:eastAsia="仿宋" w:cs="仿宋"/>
          <w:sz w:val="32"/>
          <w:szCs w:val="32"/>
        </w:rPr>
        <w:t>30</w:t>
      </w:r>
      <w:r>
        <w:rPr>
          <w:rFonts w:hint="eastAsia" w:ascii="方正仿宋简体" w:hAnsi="方正仿宋简体" w:eastAsia="仿宋" w:cs="仿宋"/>
          <w:sz w:val="32"/>
          <w:szCs w:val="32"/>
        </w:rPr>
        <w:t>处（</w:t>
      </w:r>
      <w:r>
        <w:rPr>
          <w:rFonts w:ascii="方正仿宋简体" w:hAnsi="方正仿宋简体" w:eastAsia="仿宋" w:cs="仿宋"/>
          <w:sz w:val="32"/>
          <w:szCs w:val="32"/>
        </w:rPr>
        <w:t>4000</w:t>
      </w:r>
      <w:r>
        <w:rPr>
          <w:rFonts w:hint="eastAsia" w:ascii="方正仿宋简体" w:hAnsi="方正仿宋简体" w:eastAsia="仿宋" w:cs="仿宋"/>
          <w:sz w:val="32"/>
          <w:szCs w:val="32"/>
        </w:rPr>
        <w:t>平方米），河道整治</w:t>
      </w:r>
      <w:r>
        <w:rPr>
          <w:rFonts w:ascii="方正仿宋简体" w:hAnsi="方正仿宋简体" w:eastAsia="仿宋" w:cs="仿宋"/>
          <w:sz w:val="32"/>
          <w:szCs w:val="32"/>
        </w:rPr>
        <w:t>10000</w:t>
      </w:r>
      <w:r>
        <w:rPr>
          <w:rFonts w:hint="eastAsia" w:ascii="方正仿宋简体" w:hAnsi="方正仿宋简体" w:eastAsia="仿宋" w:cs="仿宋"/>
          <w:sz w:val="32"/>
          <w:szCs w:val="32"/>
        </w:rPr>
        <w:t>米，建设步游道</w:t>
      </w:r>
      <w:r>
        <w:rPr>
          <w:rFonts w:ascii="方正仿宋简体" w:hAnsi="方正仿宋简体" w:eastAsia="仿宋" w:cs="仿宋"/>
          <w:sz w:val="32"/>
          <w:szCs w:val="32"/>
        </w:rPr>
        <w:t>30000</w:t>
      </w:r>
      <w:r>
        <w:rPr>
          <w:rFonts w:hint="eastAsia" w:ascii="方正仿宋简体" w:hAnsi="方正仿宋简体" w:eastAsia="仿宋" w:cs="仿宋"/>
          <w:sz w:val="32"/>
          <w:szCs w:val="32"/>
        </w:rPr>
        <w:t>米</w:t>
      </w:r>
      <w:r>
        <w:rPr>
          <w:rFonts w:ascii="方正仿宋简体" w:hAnsi="方正仿宋简体" w:eastAsia="仿宋" w:cs="仿宋"/>
          <w:sz w:val="32"/>
          <w:szCs w:val="32"/>
        </w:rPr>
        <w:t xml:space="preserve"> ,</w:t>
      </w:r>
      <w:r>
        <w:rPr>
          <w:rFonts w:hint="eastAsia" w:ascii="方正仿宋简体" w:hAnsi="方正仿宋简体" w:eastAsia="仿宋" w:cs="仿宋"/>
          <w:sz w:val="32"/>
          <w:szCs w:val="32"/>
        </w:rPr>
        <w:t>新建旅游公路</w:t>
      </w:r>
      <w:r>
        <w:rPr>
          <w:rFonts w:ascii="方正仿宋简体" w:hAnsi="方正仿宋简体" w:eastAsia="仿宋" w:cs="仿宋"/>
          <w:sz w:val="32"/>
          <w:szCs w:val="32"/>
        </w:rPr>
        <w:t>36</w:t>
      </w:r>
      <w:r>
        <w:rPr>
          <w:rFonts w:hint="eastAsia" w:ascii="方正仿宋简体" w:hAnsi="方正仿宋简体" w:eastAsia="仿宋" w:cs="仿宋"/>
          <w:sz w:val="32"/>
          <w:szCs w:val="32"/>
        </w:rPr>
        <w:t>公里、景区内道路</w:t>
      </w:r>
      <w:r>
        <w:rPr>
          <w:rFonts w:ascii="方正仿宋简体" w:hAnsi="方正仿宋简体" w:eastAsia="仿宋" w:cs="仿宋"/>
          <w:sz w:val="32"/>
          <w:szCs w:val="32"/>
        </w:rPr>
        <w:t>18</w:t>
      </w:r>
      <w:r>
        <w:rPr>
          <w:rFonts w:hint="eastAsia" w:ascii="方正仿宋简体" w:hAnsi="方正仿宋简体" w:eastAsia="仿宋" w:cs="仿宋"/>
          <w:sz w:val="32"/>
          <w:szCs w:val="32"/>
        </w:rPr>
        <w:t>公里，旅游厕所</w:t>
      </w:r>
      <w:r>
        <w:rPr>
          <w:rFonts w:ascii="方正仿宋简体" w:hAnsi="方正仿宋简体" w:eastAsia="仿宋" w:cs="仿宋"/>
          <w:sz w:val="32"/>
          <w:szCs w:val="32"/>
        </w:rPr>
        <w:t>8</w:t>
      </w:r>
      <w:r>
        <w:rPr>
          <w:rFonts w:hint="eastAsia" w:ascii="方正仿宋简体" w:hAnsi="方正仿宋简体" w:eastAsia="仿宋" w:cs="仿宋"/>
          <w:sz w:val="32"/>
          <w:szCs w:val="32"/>
        </w:rPr>
        <w:t>座，环境整治</w:t>
      </w:r>
      <w:r>
        <w:rPr>
          <w:rFonts w:ascii="方正仿宋简体" w:hAnsi="方正仿宋简体" w:eastAsia="仿宋" w:cs="仿宋"/>
          <w:sz w:val="32"/>
          <w:szCs w:val="32"/>
        </w:rPr>
        <w:t>100000</w:t>
      </w:r>
      <w:r>
        <w:rPr>
          <w:rFonts w:hint="eastAsia" w:ascii="方正仿宋简体" w:hAnsi="方正仿宋简体" w:eastAsia="仿宋" w:cs="仿宋"/>
          <w:sz w:val="32"/>
          <w:szCs w:val="32"/>
        </w:rPr>
        <w:t>平方米，制作标识标牌</w:t>
      </w:r>
      <w:r>
        <w:rPr>
          <w:rFonts w:ascii="方正仿宋简体" w:hAnsi="方正仿宋简体" w:eastAsia="仿宋" w:cs="仿宋"/>
          <w:sz w:val="32"/>
          <w:szCs w:val="32"/>
        </w:rPr>
        <w:t>700</w:t>
      </w:r>
      <w:r>
        <w:rPr>
          <w:rFonts w:hint="eastAsia" w:ascii="方正仿宋简体" w:hAnsi="方正仿宋简体" w:eastAsia="仿宋" w:cs="仿宋"/>
          <w:sz w:val="32"/>
          <w:szCs w:val="32"/>
        </w:rPr>
        <w:t>个，供排水设施、污水处理设施、垃圾处理设施、消防设施各</w:t>
      </w:r>
      <w:r>
        <w:rPr>
          <w:rFonts w:ascii="方正仿宋简体" w:hAnsi="方正仿宋简体" w:eastAsia="仿宋" w:cs="仿宋"/>
          <w:sz w:val="32"/>
          <w:szCs w:val="32"/>
        </w:rPr>
        <w:t>120</w:t>
      </w:r>
      <w:r>
        <w:rPr>
          <w:rFonts w:hint="eastAsia" w:ascii="方正仿宋简体" w:hAnsi="方正仿宋简体" w:eastAsia="仿宋" w:cs="仿宋"/>
          <w:sz w:val="32"/>
          <w:szCs w:val="32"/>
        </w:rPr>
        <w:t>套，建设污水排水沟</w:t>
      </w:r>
      <w:r>
        <w:rPr>
          <w:rFonts w:ascii="方正仿宋简体" w:hAnsi="方正仿宋简体" w:eastAsia="仿宋" w:cs="仿宋"/>
          <w:sz w:val="32"/>
          <w:szCs w:val="32"/>
        </w:rPr>
        <w:t>50</w:t>
      </w:r>
      <w:r>
        <w:rPr>
          <w:rFonts w:hint="eastAsia" w:ascii="方正仿宋简体" w:hAnsi="方正仿宋简体" w:eastAsia="仿宋" w:cs="仿宋"/>
          <w:sz w:val="32"/>
          <w:szCs w:val="32"/>
        </w:rPr>
        <w:t>公里，供排水管线</w:t>
      </w:r>
      <w:r>
        <w:rPr>
          <w:rFonts w:ascii="方正仿宋简体" w:hAnsi="方正仿宋简体" w:eastAsia="仿宋" w:cs="仿宋"/>
          <w:sz w:val="32"/>
          <w:szCs w:val="32"/>
        </w:rPr>
        <w:t>55</w:t>
      </w:r>
      <w:r>
        <w:rPr>
          <w:rFonts w:hint="eastAsia" w:ascii="方正仿宋简体" w:hAnsi="方正仿宋简体" w:eastAsia="仿宋" w:cs="仿宋"/>
          <w:sz w:val="32"/>
          <w:szCs w:val="32"/>
        </w:rPr>
        <w:t>公里，供电线路</w:t>
      </w:r>
      <w:r>
        <w:rPr>
          <w:rFonts w:ascii="方正仿宋简体" w:hAnsi="方正仿宋简体" w:eastAsia="仿宋" w:cs="仿宋"/>
          <w:sz w:val="32"/>
          <w:szCs w:val="32"/>
        </w:rPr>
        <w:t>32</w:t>
      </w:r>
      <w:r>
        <w:rPr>
          <w:rFonts w:hint="eastAsia" w:ascii="方正仿宋简体" w:hAnsi="方正仿宋简体" w:eastAsia="仿宋" w:cs="仿宋"/>
          <w:sz w:val="32"/>
          <w:szCs w:val="32"/>
        </w:rPr>
        <w:t>公里等基础设施建设项目。</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二、评价结论及绩效分析</w:t>
      </w:r>
    </w:p>
    <w:p>
      <w:pPr>
        <w:spacing w:line="580" w:lineRule="exact"/>
        <w:ind w:firstLine="640" w:firstLineChars="200"/>
        <w:rPr>
          <w:rFonts w:ascii="方正仿宋简体" w:hAnsi="方正仿宋简体" w:eastAsia="仿宋" w:cs="仿宋"/>
          <w:sz w:val="32"/>
          <w:szCs w:val="32"/>
        </w:rPr>
      </w:pPr>
      <w:r>
        <w:rPr>
          <w:rFonts w:hint="eastAsia" w:ascii="方正仿宋简体" w:hAnsi="方正仿宋简体" w:eastAsia="仿宋" w:cs="仿宋"/>
          <w:sz w:val="32"/>
          <w:szCs w:val="32"/>
        </w:rPr>
        <w:t>（一）评价结论</w:t>
      </w:r>
    </w:p>
    <w:p>
      <w:pPr>
        <w:spacing w:line="580" w:lineRule="exact"/>
        <w:ind w:firstLine="640" w:firstLineChars="200"/>
        <w:rPr>
          <w:rFonts w:ascii="仿宋" w:hAnsi="仿宋" w:eastAsia="仿宋" w:cs="仿宋_GB2312"/>
          <w:sz w:val="32"/>
          <w:szCs w:val="32"/>
          <w:lang w:val="zh-CN"/>
        </w:rPr>
      </w:pPr>
      <w:r>
        <w:rPr>
          <w:rFonts w:hint="eastAsia" w:ascii="仿宋" w:hAnsi="仿宋" w:eastAsia="仿宋" w:cs="仿宋"/>
          <w:sz w:val="32"/>
          <w:szCs w:val="32"/>
          <w:lang w:val="zh-CN"/>
        </w:rPr>
        <w:t>项目的建设非常必要，建成后具有广阔的市场前景和较高的经济效益。各项财务评价指标都符合国家标准与要求。项目的建设能全面提白朝乡村旅游品牌，实施开发扶贫，带动相关产业的发展，促进区域经济发展和景区内人民群众生活质量的显著提高，改善和加强流域生态环境建设，为社会</w:t>
      </w:r>
      <w:r>
        <w:rPr>
          <w:rFonts w:hint="eastAsia" w:ascii="仿宋" w:hAnsi="仿宋" w:eastAsia="仿宋" w:cs="仿宋_GB2312"/>
          <w:sz w:val="32"/>
          <w:szCs w:val="32"/>
          <w:lang w:val="zh-CN"/>
        </w:rPr>
        <w:t>提供更多的就业机会，增加当地农民收入、提高文明程度。更重要的是，本项目的建设可加快改善区域基础设施条件和旅游环境，充分发掘地块人文和自然景观价值，提升旅游品位，进而全面带动广元市利州区白朝乡村旅游的发展，加快建设利州旅游强区进程，加速利州的经济与社会事业发展、优化广元市旅游产品结构，促进社会长治久安。</w:t>
      </w:r>
    </w:p>
    <w:p>
      <w:pPr>
        <w:spacing w:line="580" w:lineRule="exact"/>
        <w:ind w:firstLine="640" w:firstLineChars="200"/>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（二）绩效分析</w:t>
      </w:r>
    </w:p>
    <w:p>
      <w:pPr>
        <w:spacing w:line="580" w:lineRule="exact"/>
        <w:ind w:firstLine="640" w:firstLineChars="200"/>
        <w:rPr>
          <w:rFonts w:ascii="方正仿宋简体" w:hAnsi="方正仿宋简体" w:eastAsia="仿宋" w:cs="方正仿宋简体"/>
          <w:sz w:val="32"/>
          <w:szCs w:val="32"/>
        </w:rPr>
      </w:pPr>
      <w:r>
        <w:rPr>
          <w:rFonts w:ascii="方正仿宋简体" w:hAnsi="方正仿宋简体" w:eastAsia="仿宋" w:cs="方正仿宋简体"/>
          <w:sz w:val="32"/>
          <w:szCs w:val="32"/>
        </w:rPr>
        <w:t>1</w:t>
      </w:r>
      <w:r>
        <w:rPr>
          <w:rFonts w:hint="eastAsia" w:ascii="方正仿宋简体" w:hAnsi="方正仿宋简体" w:eastAsia="仿宋" w:cs="方正仿宋简体"/>
          <w:sz w:val="32"/>
          <w:szCs w:val="32"/>
        </w:rPr>
        <w:t>、项目决策</w:t>
      </w:r>
    </w:p>
    <w:p>
      <w:pPr>
        <w:spacing w:line="360" w:lineRule="auto"/>
        <w:rPr>
          <w:rFonts w:ascii="方正仿宋简体" w:hAnsi="方正仿宋简体" w:eastAsia="仿宋" w:cs="方正仿宋简体"/>
          <w:sz w:val="32"/>
          <w:szCs w:val="32"/>
          <w:lang w:val="zh-CN"/>
        </w:rPr>
      </w:pPr>
      <w:r>
        <w:rPr>
          <w:rFonts w:hint="eastAsia" w:ascii="方正仿宋简体" w:hAnsi="方正仿宋简体" w:eastAsia="仿宋" w:cs="方正仿宋简体"/>
          <w:sz w:val="32"/>
          <w:szCs w:val="32"/>
          <w:lang w:val="zh-CN"/>
        </w:rPr>
        <w:t>围绕打造“川陕甘结合部旅游集散中心”和“女皇故里知名旅游目的地”的目标，坚持“全域旅游，智慧旅游、富民旅游”的发展理念，围绕利州区白朝乡黄蛟山旅游开发为中心，广元市利州区白朝乡月坝生态休闲度假开发项目已纳入利州区“十三五”旅游发展规划。</w:t>
      </w:r>
      <w:r>
        <w:rPr>
          <w:rFonts w:hint="eastAsia" w:ascii="方正仿宋简体" w:hAnsi="方正仿宋简体" w:eastAsia="仿宋" w:cs="方正仿宋简体"/>
          <w:kern w:val="0"/>
          <w:sz w:val="32"/>
          <w:szCs w:val="32"/>
          <w:lang w:val="zh-CN"/>
        </w:rPr>
        <w:t>为了更好地</w:t>
      </w:r>
      <w:r>
        <w:rPr>
          <w:rFonts w:hint="eastAsia" w:ascii="方正仿宋简体" w:hAnsi="方正仿宋简体" w:eastAsia="仿宋" w:cs="方正仿宋简体"/>
          <w:kern w:val="0"/>
          <w:sz w:val="32"/>
          <w:szCs w:val="32"/>
        </w:rPr>
        <w:t>整合广元市优势旅游资源，推进旅游产业转型升级，</w:t>
      </w:r>
      <w:r>
        <w:rPr>
          <w:rFonts w:hint="eastAsia" w:ascii="方正仿宋简体" w:hAnsi="方正仿宋简体" w:eastAsia="仿宋" w:cs="方正仿宋简体"/>
          <w:kern w:val="0"/>
          <w:sz w:val="32"/>
          <w:szCs w:val="32"/>
          <w:lang w:val="zh-CN"/>
        </w:rPr>
        <w:t>推动广元旅游业的快速发展，促进广元经济发展，带动乡村旅游发展，改善白朝乡</w:t>
      </w:r>
      <w:r>
        <w:rPr>
          <w:rFonts w:hint="eastAsia" w:ascii="方正仿宋简体" w:hAnsi="方正仿宋简体" w:eastAsia="仿宋" w:cs="方正仿宋简体"/>
          <w:kern w:val="0"/>
          <w:sz w:val="32"/>
          <w:szCs w:val="32"/>
        </w:rPr>
        <w:t>贫困村、贫困人口生产生活基础条件、扶持特色产业发展、完善城乡同等均质化公共服务。在这种背景下，</w:t>
      </w:r>
      <w:r>
        <w:rPr>
          <w:rFonts w:hint="eastAsia" w:ascii="方正仿宋简体" w:hAnsi="方正仿宋简体" w:eastAsia="仿宋" w:cs="方正仿宋简体"/>
          <w:kern w:val="0"/>
          <w:sz w:val="32"/>
          <w:szCs w:val="32"/>
          <w:lang w:val="zh-CN"/>
        </w:rPr>
        <w:t>广元市利州区旅游局受广元市利州区政府的委托提出本项目的建设。</w:t>
      </w:r>
    </w:p>
    <w:p>
      <w:pPr>
        <w:numPr>
          <w:ilvl w:val="0"/>
          <w:numId w:val="7"/>
        </w:numPr>
        <w:spacing w:line="580" w:lineRule="exact"/>
        <w:ind w:firstLine="640" w:firstLineChars="200"/>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项目管理</w:t>
      </w:r>
    </w:p>
    <w:p>
      <w:pPr>
        <w:numPr>
          <w:ilvl w:val="0"/>
          <w:numId w:val="8"/>
        </w:numPr>
        <w:spacing w:line="360" w:lineRule="auto"/>
        <w:ind w:firstLine="640" w:firstLineChars="200"/>
        <w:rPr>
          <w:rFonts w:ascii="方正仿宋简体" w:hAnsi="方正仿宋简体" w:eastAsia="仿宋" w:cs="方正仿宋简体"/>
          <w:kern w:val="0"/>
          <w:sz w:val="32"/>
          <w:szCs w:val="32"/>
        </w:rPr>
      </w:pPr>
      <w:r>
        <w:rPr>
          <w:rFonts w:hint="eastAsia" w:ascii="方正仿宋简体" w:hAnsi="方正仿宋简体" w:eastAsia="仿宋" w:cs="方正仿宋简体"/>
          <w:kern w:val="0"/>
          <w:sz w:val="32"/>
          <w:szCs w:val="32"/>
        </w:rPr>
        <w:t>资金分配：广元市利州区黄蛟山旅游基础设施建设项目估算总投资</w:t>
      </w:r>
      <w:r>
        <w:rPr>
          <w:rFonts w:ascii="方正仿宋简体" w:hAnsi="方正仿宋简体" w:eastAsia="仿宋" w:cs="方正仿宋简体"/>
          <w:kern w:val="0"/>
          <w:sz w:val="32"/>
          <w:szCs w:val="32"/>
        </w:rPr>
        <w:t>51400</w:t>
      </w:r>
      <w:r>
        <w:rPr>
          <w:rFonts w:hint="eastAsia" w:ascii="方正仿宋简体" w:hAnsi="方正仿宋简体" w:eastAsia="仿宋" w:cs="方正仿宋简体"/>
          <w:kern w:val="0"/>
          <w:sz w:val="32"/>
          <w:szCs w:val="32"/>
        </w:rPr>
        <w:t>万元，其中工程费</w:t>
      </w:r>
      <w:r>
        <w:rPr>
          <w:rFonts w:ascii="方正仿宋简体" w:hAnsi="方正仿宋简体" w:eastAsia="仿宋" w:cs="方正仿宋简体"/>
          <w:kern w:val="0"/>
          <w:sz w:val="32"/>
          <w:szCs w:val="32"/>
        </w:rPr>
        <w:t xml:space="preserve">40718.17 </w:t>
      </w:r>
      <w:r>
        <w:rPr>
          <w:rFonts w:hint="eastAsia" w:ascii="方正仿宋简体" w:hAnsi="方正仿宋简体" w:eastAsia="仿宋" w:cs="方正仿宋简体"/>
          <w:kern w:val="0"/>
          <w:sz w:val="32"/>
          <w:szCs w:val="32"/>
        </w:rPr>
        <w:t>万元，占总投资的</w:t>
      </w:r>
      <w:r>
        <w:rPr>
          <w:rFonts w:ascii="方正仿宋简体" w:hAnsi="方正仿宋简体" w:eastAsia="仿宋" w:cs="方正仿宋简体"/>
          <w:kern w:val="0"/>
          <w:sz w:val="32"/>
          <w:szCs w:val="32"/>
        </w:rPr>
        <w:t>79.22%</w:t>
      </w:r>
      <w:r>
        <w:rPr>
          <w:rFonts w:hint="eastAsia" w:ascii="方正仿宋简体" w:hAnsi="方正仿宋简体" w:eastAsia="仿宋" w:cs="方正仿宋简体"/>
          <w:kern w:val="0"/>
          <w:sz w:val="32"/>
          <w:szCs w:val="32"/>
        </w:rPr>
        <w:t>；其它费用</w:t>
      </w:r>
      <w:r>
        <w:rPr>
          <w:rFonts w:ascii="方正仿宋简体" w:hAnsi="方正仿宋简体" w:eastAsia="仿宋" w:cs="方正仿宋简体"/>
          <w:kern w:val="0"/>
          <w:sz w:val="32"/>
          <w:szCs w:val="32"/>
        </w:rPr>
        <w:t xml:space="preserve">2881.90 </w:t>
      </w:r>
      <w:r>
        <w:rPr>
          <w:rFonts w:hint="eastAsia" w:ascii="方正仿宋简体" w:hAnsi="方正仿宋简体" w:eastAsia="仿宋" w:cs="方正仿宋简体"/>
          <w:kern w:val="0"/>
          <w:sz w:val="32"/>
          <w:szCs w:val="32"/>
        </w:rPr>
        <w:t>万，占总投资的</w:t>
      </w:r>
      <w:r>
        <w:rPr>
          <w:rFonts w:ascii="方正仿宋简体" w:hAnsi="方正仿宋简体" w:eastAsia="仿宋" w:cs="方正仿宋简体"/>
          <w:kern w:val="0"/>
          <w:sz w:val="32"/>
          <w:szCs w:val="32"/>
        </w:rPr>
        <w:t>5.61%</w:t>
      </w:r>
      <w:r>
        <w:rPr>
          <w:rFonts w:hint="eastAsia" w:ascii="方正仿宋简体" w:hAnsi="方正仿宋简体" w:eastAsia="仿宋" w:cs="方正仿宋简体"/>
          <w:kern w:val="0"/>
          <w:sz w:val="32"/>
          <w:szCs w:val="32"/>
        </w:rPr>
        <w:t>；预备费</w:t>
      </w:r>
      <w:r>
        <w:rPr>
          <w:rFonts w:ascii="方正仿宋简体" w:hAnsi="方正仿宋简体" w:eastAsia="仿宋" w:cs="方正仿宋简体"/>
          <w:kern w:val="0"/>
          <w:sz w:val="32"/>
          <w:szCs w:val="32"/>
        </w:rPr>
        <w:t>4215.91</w:t>
      </w:r>
      <w:r>
        <w:rPr>
          <w:rFonts w:hint="eastAsia" w:ascii="方正仿宋简体" w:hAnsi="方正仿宋简体" w:eastAsia="仿宋" w:cs="方正仿宋简体"/>
          <w:kern w:val="0"/>
          <w:sz w:val="32"/>
          <w:szCs w:val="32"/>
        </w:rPr>
        <w:t>万，占总投资的</w:t>
      </w:r>
      <w:r>
        <w:rPr>
          <w:rFonts w:ascii="方正仿宋简体" w:hAnsi="方正仿宋简体" w:eastAsia="仿宋" w:cs="方正仿宋简体"/>
          <w:kern w:val="0"/>
          <w:sz w:val="32"/>
          <w:szCs w:val="32"/>
        </w:rPr>
        <w:t>8.2%</w:t>
      </w:r>
      <w:r>
        <w:rPr>
          <w:rFonts w:hint="eastAsia" w:ascii="方正仿宋简体" w:hAnsi="方正仿宋简体" w:eastAsia="仿宋" w:cs="方正仿宋简体"/>
          <w:kern w:val="0"/>
          <w:sz w:val="32"/>
          <w:szCs w:val="32"/>
        </w:rPr>
        <w:t>；资金利息</w:t>
      </w:r>
      <w:r>
        <w:rPr>
          <w:rFonts w:ascii="方正仿宋简体" w:hAnsi="方正仿宋简体" w:eastAsia="仿宋" w:cs="方正仿宋简体"/>
          <w:kern w:val="0"/>
          <w:sz w:val="32"/>
          <w:szCs w:val="32"/>
        </w:rPr>
        <w:t xml:space="preserve">3584.25 </w:t>
      </w:r>
      <w:r>
        <w:rPr>
          <w:rFonts w:hint="eastAsia" w:ascii="方正仿宋简体" w:hAnsi="方正仿宋简体" w:eastAsia="仿宋" w:cs="方正仿宋简体"/>
          <w:kern w:val="0"/>
          <w:sz w:val="32"/>
          <w:szCs w:val="32"/>
        </w:rPr>
        <w:t>万元，占总投资的</w:t>
      </w:r>
      <w:r>
        <w:rPr>
          <w:rFonts w:ascii="方正仿宋简体" w:hAnsi="方正仿宋简体" w:eastAsia="仿宋" w:cs="方正仿宋简体"/>
          <w:kern w:val="0"/>
          <w:sz w:val="32"/>
          <w:szCs w:val="32"/>
        </w:rPr>
        <w:t>6.97%</w:t>
      </w:r>
      <w:r>
        <w:rPr>
          <w:rFonts w:hint="eastAsia" w:ascii="方正仿宋简体" w:hAnsi="方正仿宋简体" w:eastAsia="仿宋" w:cs="方正仿宋简体"/>
          <w:kern w:val="0"/>
          <w:sz w:val="32"/>
          <w:szCs w:val="32"/>
        </w:rPr>
        <w:t>。其中债券支付</w:t>
      </w:r>
      <w:r>
        <w:rPr>
          <w:rFonts w:ascii="方正仿宋简体" w:hAnsi="方正仿宋简体" w:eastAsia="仿宋" w:cs="方正仿宋简体"/>
          <w:kern w:val="0"/>
          <w:sz w:val="32"/>
          <w:szCs w:val="32"/>
        </w:rPr>
        <w:t>5000</w:t>
      </w:r>
      <w:r>
        <w:rPr>
          <w:rFonts w:hint="eastAsia" w:ascii="方正仿宋简体" w:hAnsi="方正仿宋简体" w:eastAsia="仿宋" w:cs="方正仿宋简体"/>
          <w:kern w:val="0"/>
          <w:sz w:val="32"/>
          <w:szCs w:val="32"/>
        </w:rPr>
        <w:t>万元。</w:t>
      </w:r>
    </w:p>
    <w:p>
      <w:pPr>
        <w:spacing w:line="580" w:lineRule="exact"/>
        <w:ind w:firstLine="640" w:firstLineChars="200"/>
        <w:rPr>
          <w:rFonts w:ascii="方正仿宋简体" w:hAnsi="方正仿宋简体" w:eastAsia="仿宋" w:cs="方正仿宋简体"/>
          <w:kern w:val="0"/>
          <w:sz w:val="32"/>
          <w:szCs w:val="32"/>
        </w:rPr>
      </w:pP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）资金使用：项目支出真实、完整、合法，支付依据符合规定，不存在大额现金支付、虚列经费等情况。</w:t>
      </w:r>
    </w:p>
    <w:p>
      <w:pPr>
        <w:spacing w:line="580" w:lineRule="exact"/>
        <w:ind w:firstLine="640" w:firstLineChars="200"/>
        <w:rPr>
          <w:rFonts w:ascii="方正仿宋简体" w:hAnsi="方正仿宋简体" w:eastAsia="仿宋" w:cs="方正仿宋简体"/>
          <w:sz w:val="32"/>
          <w:szCs w:val="32"/>
        </w:rPr>
      </w:pPr>
      <w:r>
        <w:rPr>
          <w:rFonts w:ascii="方正仿宋简体" w:hAnsi="方正仿宋简体" w:eastAsia="仿宋" w:cs="方正仿宋简体"/>
          <w:sz w:val="32"/>
          <w:szCs w:val="32"/>
        </w:rPr>
        <w:t>3</w:t>
      </w:r>
      <w:r>
        <w:rPr>
          <w:rFonts w:hint="eastAsia" w:ascii="方正仿宋简体" w:hAnsi="方正仿宋简体" w:eastAsia="仿宋" w:cs="方正仿宋简体"/>
          <w:sz w:val="32"/>
          <w:szCs w:val="32"/>
        </w:rPr>
        <w:t>、项目绩效</w:t>
      </w:r>
    </w:p>
    <w:p>
      <w:pPr>
        <w:spacing w:line="640" w:lineRule="exact"/>
        <w:ind w:firstLine="640" w:firstLineChars="200"/>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本项目的效益除了财务评价的收益外还具有巨大的社会效益，项目实施后可带动第三产业等相关产业发展，提供更多的就业机会，增加地区国民经济收入。</w:t>
      </w:r>
    </w:p>
    <w:p>
      <w:pPr>
        <w:spacing w:line="640" w:lineRule="exact"/>
        <w:ind w:firstLine="640" w:firstLineChars="200"/>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旅游业关联带动能力强，本项目实施后将为景区旅游提供良好的基础设施条件，带动景区的发展，从而可以间接带动服务业、交通运输业等相关产业发展，可以加快地方产业结构调整，据世界旅游组织测算，旅游业每增加</w:t>
      </w:r>
      <w:r>
        <w:rPr>
          <w:rFonts w:ascii="方正仿宋简体" w:hAnsi="方正仿宋简体" w:eastAsia="仿宋" w:cs="方正仿宋简体"/>
          <w:sz w:val="32"/>
          <w:szCs w:val="32"/>
        </w:rPr>
        <w:t>1</w:t>
      </w:r>
      <w:r>
        <w:rPr>
          <w:rFonts w:hint="eastAsia" w:ascii="方正仿宋简体" w:hAnsi="方正仿宋简体" w:eastAsia="仿宋" w:cs="方正仿宋简体"/>
          <w:sz w:val="32"/>
          <w:szCs w:val="32"/>
        </w:rPr>
        <w:t>元，可以带动相关产业收入</w:t>
      </w:r>
      <w:r>
        <w:rPr>
          <w:rFonts w:ascii="方正仿宋简体" w:hAnsi="方正仿宋简体" w:eastAsia="仿宋" w:cs="方正仿宋简体"/>
          <w:sz w:val="32"/>
          <w:szCs w:val="32"/>
        </w:rPr>
        <w:t>5</w:t>
      </w:r>
      <w:r>
        <w:rPr>
          <w:rFonts w:hint="eastAsia" w:ascii="方正仿宋简体" w:hAnsi="方正仿宋简体" w:eastAsia="仿宋" w:cs="方正仿宋简体"/>
          <w:sz w:val="32"/>
          <w:szCs w:val="32"/>
        </w:rPr>
        <w:t>元。以带动关联产业收入的</w:t>
      </w:r>
      <w:r>
        <w:rPr>
          <w:rFonts w:ascii="方正仿宋简体" w:hAnsi="方正仿宋简体" w:eastAsia="仿宋" w:cs="方正仿宋简体"/>
          <w:sz w:val="32"/>
          <w:szCs w:val="32"/>
        </w:rPr>
        <w:t>10%</w:t>
      </w:r>
      <w:r>
        <w:rPr>
          <w:rFonts w:hint="eastAsia" w:ascii="方正仿宋简体" w:hAnsi="方正仿宋简体" w:eastAsia="仿宋" w:cs="方正仿宋简体"/>
          <w:sz w:val="32"/>
          <w:szCs w:val="32"/>
        </w:rPr>
        <w:t>计入本项目国民经济效益，则运营期</w:t>
      </w:r>
      <w:r>
        <w:rPr>
          <w:rFonts w:ascii="方正仿宋简体" w:hAnsi="方正仿宋简体" w:eastAsia="仿宋" w:cs="方正仿宋简体"/>
          <w:sz w:val="32"/>
          <w:szCs w:val="32"/>
        </w:rPr>
        <w:t>17</w:t>
      </w:r>
      <w:r>
        <w:rPr>
          <w:rFonts w:hint="eastAsia" w:ascii="方正仿宋简体" w:hAnsi="方正仿宋简体" w:eastAsia="仿宋" w:cs="方正仿宋简体"/>
          <w:sz w:val="32"/>
          <w:szCs w:val="32"/>
        </w:rPr>
        <w:t>年内，将实现国民经济效益</w:t>
      </w:r>
      <w:r>
        <w:rPr>
          <w:rFonts w:ascii="方正仿宋简体" w:hAnsi="方正仿宋简体" w:eastAsia="仿宋" w:cs="方正仿宋简体"/>
          <w:sz w:val="32"/>
          <w:szCs w:val="32"/>
        </w:rPr>
        <w:t>87745.50</w:t>
      </w:r>
      <w:r>
        <w:rPr>
          <w:rFonts w:hint="eastAsia" w:ascii="方正仿宋简体" w:hAnsi="方正仿宋简体" w:eastAsia="仿宋" w:cs="方正仿宋简体"/>
          <w:sz w:val="32"/>
          <w:szCs w:val="32"/>
        </w:rPr>
        <w:t>万元，</w:t>
      </w:r>
    </w:p>
    <w:p>
      <w:pPr>
        <w:spacing w:line="640" w:lineRule="exact"/>
        <w:ind w:firstLine="640" w:firstLineChars="200"/>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据世界旅游组织的测算，旅游业内每增加一个从业人员，就能间接带动相关产业新增从业人员五个。按此估算，现有直接从业人数</w:t>
      </w:r>
      <w:r>
        <w:rPr>
          <w:rFonts w:ascii="方正仿宋简体" w:hAnsi="方正仿宋简体" w:eastAsia="仿宋" w:cs="方正仿宋简体"/>
          <w:sz w:val="32"/>
          <w:szCs w:val="32"/>
        </w:rPr>
        <w:t>300</w:t>
      </w:r>
      <w:r>
        <w:rPr>
          <w:rFonts w:hint="eastAsia" w:ascii="方正仿宋简体" w:hAnsi="方正仿宋简体" w:eastAsia="仿宋" w:cs="方正仿宋简体"/>
          <w:sz w:val="32"/>
          <w:szCs w:val="32"/>
        </w:rPr>
        <w:t>人，则间接就业人数可达</w:t>
      </w:r>
      <w:r>
        <w:rPr>
          <w:rFonts w:ascii="方正仿宋简体" w:hAnsi="方正仿宋简体" w:eastAsia="仿宋" w:cs="方正仿宋简体"/>
          <w:sz w:val="32"/>
          <w:szCs w:val="32"/>
        </w:rPr>
        <w:t>1500</w:t>
      </w:r>
      <w:r>
        <w:rPr>
          <w:rFonts w:hint="eastAsia" w:ascii="方正仿宋简体" w:hAnsi="方正仿宋简体" w:eastAsia="仿宋" w:cs="方正仿宋简体"/>
          <w:sz w:val="32"/>
          <w:szCs w:val="32"/>
        </w:rPr>
        <w:t>人，按照每月</w:t>
      </w:r>
      <w:r>
        <w:rPr>
          <w:rFonts w:ascii="方正仿宋简体" w:hAnsi="方正仿宋简体" w:eastAsia="仿宋" w:cs="方正仿宋简体"/>
          <w:sz w:val="32"/>
          <w:szCs w:val="32"/>
        </w:rPr>
        <w:t>700</w:t>
      </w:r>
      <w:r>
        <w:rPr>
          <w:rFonts w:hint="eastAsia" w:ascii="方正仿宋简体" w:hAnsi="方正仿宋简体" w:eastAsia="仿宋" w:cs="方正仿宋简体"/>
          <w:sz w:val="32"/>
          <w:szCs w:val="32"/>
        </w:rPr>
        <w:t>元</w:t>
      </w:r>
      <w:r>
        <w:rPr>
          <w:rFonts w:ascii="方正仿宋简体" w:hAnsi="方正仿宋简体" w:eastAsia="仿宋" w:cs="方正仿宋简体"/>
          <w:sz w:val="32"/>
          <w:szCs w:val="32"/>
        </w:rPr>
        <w:t>/</w:t>
      </w:r>
      <w:r>
        <w:rPr>
          <w:rFonts w:hint="eastAsia" w:ascii="方正仿宋简体" w:hAnsi="方正仿宋简体" w:eastAsia="仿宋" w:cs="方正仿宋简体"/>
          <w:sz w:val="32"/>
          <w:szCs w:val="32"/>
        </w:rPr>
        <w:t>人算，间接从业人员每年收入将为</w:t>
      </w:r>
      <w:r>
        <w:rPr>
          <w:rFonts w:ascii="方正仿宋简体" w:hAnsi="方正仿宋简体" w:eastAsia="仿宋" w:cs="方正仿宋简体"/>
          <w:sz w:val="32"/>
          <w:szCs w:val="32"/>
        </w:rPr>
        <w:t>1260.00</w:t>
      </w:r>
      <w:r>
        <w:rPr>
          <w:rFonts w:hint="eastAsia" w:ascii="方正仿宋简体" w:hAnsi="方正仿宋简体" w:eastAsia="仿宋" w:cs="方正仿宋简体"/>
          <w:sz w:val="32"/>
          <w:szCs w:val="32"/>
        </w:rPr>
        <w:t>万元。</w:t>
      </w:r>
    </w:p>
    <w:p>
      <w:pPr>
        <w:numPr>
          <w:ilvl w:val="0"/>
          <w:numId w:val="9"/>
        </w:numPr>
        <w:spacing w:line="580" w:lineRule="exact"/>
        <w:ind w:firstLine="643" w:firstLineChars="200"/>
        <w:rPr>
          <w:rFonts w:ascii="方正仿宋简体" w:hAnsi="方正仿宋简体" w:eastAsia="仿宋" w:cs="方正仿宋简体"/>
          <w:b/>
          <w:bCs/>
          <w:sz w:val="32"/>
          <w:szCs w:val="32"/>
        </w:rPr>
      </w:pPr>
      <w:r>
        <w:rPr>
          <w:rFonts w:hint="eastAsia" w:ascii="方正仿宋简体" w:hAnsi="方正仿宋简体" w:eastAsia="仿宋" w:cs="方正仿宋简体"/>
          <w:b/>
          <w:bCs/>
          <w:sz w:val="32"/>
          <w:szCs w:val="32"/>
        </w:rPr>
        <w:t>存在主要问题</w:t>
      </w:r>
    </w:p>
    <w:p>
      <w:pPr>
        <w:spacing w:line="640" w:lineRule="exact"/>
        <w:ind w:firstLine="640" w:firstLineChars="200"/>
        <w:rPr>
          <w:rFonts w:ascii="方正仿宋简体" w:hAnsi="方正仿宋简体" w:eastAsia="仿宋" w:cs="方正仿宋简体"/>
          <w:sz w:val="32"/>
          <w:szCs w:val="32"/>
        </w:rPr>
      </w:pPr>
      <w:r>
        <w:rPr>
          <w:rFonts w:ascii="方正仿宋简体" w:hAnsi="方正仿宋简体" w:eastAsia="仿宋" w:cs="方正仿宋简体"/>
          <w:sz w:val="32"/>
          <w:szCs w:val="32"/>
        </w:rPr>
        <w:t>1.</w:t>
      </w:r>
      <w:r>
        <w:rPr>
          <w:rFonts w:hint="eastAsia" w:ascii="方正仿宋简体" w:hAnsi="方正仿宋简体" w:eastAsia="仿宋" w:cs="方正仿宋简体"/>
          <w:sz w:val="32"/>
          <w:szCs w:val="32"/>
        </w:rPr>
        <w:t>由于土地具有不可移动的特征，一旦投资建设就难以调整或改变，且单位价值较高、流动性风险较大。由于土地市场发生变化，加之项目经营上的失误，造成实际经营成果偏高期望值并最终产生资金浪费的可能。</w:t>
      </w:r>
    </w:p>
    <w:p>
      <w:pPr>
        <w:spacing w:line="640" w:lineRule="exact"/>
        <w:ind w:firstLine="640" w:firstLineChars="200"/>
        <w:rPr>
          <w:rFonts w:ascii="方正仿宋简体" w:hAnsi="方正仿宋简体" w:eastAsia="仿宋" w:cs="方正仿宋简体"/>
          <w:sz w:val="32"/>
          <w:szCs w:val="32"/>
        </w:rPr>
      </w:pPr>
      <w:r>
        <w:rPr>
          <w:rFonts w:ascii="方正仿宋简体" w:hAnsi="方正仿宋简体" w:eastAsia="仿宋" w:cs="方正仿宋简体"/>
          <w:sz w:val="32"/>
          <w:szCs w:val="32"/>
        </w:rPr>
        <w:t>2.</w:t>
      </w:r>
      <w:r>
        <w:rPr>
          <w:rFonts w:hint="eastAsia" w:ascii="方正仿宋简体" w:hAnsi="方正仿宋简体" w:eastAsia="仿宋" w:cs="方正仿宋简体"/>
          <w:sz w:val="32"/>
          <w:szCs w:val="32"/>
        </w:rPr>
        <w:t>本项目的建设资金较大，虽然</w:t>
      </w:r>
      <w:r>
        <w:rPr>
          <w:rFonts w:ascii="方正仿宋简体" w:hAnsi="方正仿宋简体" w:eastAsia="仿宋" w:cs="方正仿宋简体"/>
          <w:sz w:val="32"/>
          <w:szCs w:val="32"/>
        </w:rPr>
        <w:t>80%</w:t>
      </w:r>
      <w:r>
        <w:rPr>
          <w:rFonts w:hint="eastAsia" w:ascii="方正仿宋简体" w:hAnsi="方正仿宋简体" w:eastAsia="仿宋" w:cs="方正仿宋简体"/>
          <w:sz w:val="32"/>
          <w:szCs w:val="32"/>
        </w:rPr>
        <w:t>为银行贷款，</w:t>
      </w:r>
      <w:r>
        <w:rPr>
          <w:rFonts w:ascii="方正仿宋简体" w:hAnsi="方正仿宋简体" w:eastAsia="仿宋" w:cs="方正仿宋简体"/>
          <w:sz w:val="32"/>
          <w:szCs w:val="32"/>
        </w:rPr>
        <w:t>20%</w:t>
      </w:r>
      <w:r>
        <w:rPr>
          <w:rFonts w:hint="eastAsia" w:ascii="方正仿宋简体" w:hAnsi="方正仿宋简体" w:eastAsia="仿宋" w:cs="方正仿宋简体"/>
          <w:sz w:val="32"/>
          <w:szCs w:val="32"/>
        </w:rPr>
        <w:t>为地方政府配套资金，但是广元市利州区地方财力有限，可能会导致资金不能及时到位的风险，从而影响本项目的工程进度。</w:t>
      </w:r>
    </w:p>
    <w:p>
      <w:pPr>
        <w:spacing w:line="580" w:lineRule="exact"/>
        <w:ind w:firstLine="562" w:firstLineChars="200"/>
        <w:rPr>
          <w:rStyle w:val="31"/>
          <w:rFonts w:ascii="方正仿宋简体" w:hAnsi="方正仿宋简体" w:eastAsia="仿宋" w:cs="方正仿宋简体"/>
          <w:kern w:val="2"/>
          <w:sz w:val="28"/>
          <w:szCs w:val="28"/>
        </w:rPr>
      </w:pPr>
      <w:r>
        <w:rPr>
          <w:rFonts w:hint="eastAsia" w:ascii="方正仿宋简体" w:hAnsi="方正仿宋简体" w:eastAsia="仿宋" w:cs="方正仿宋简体"/>
          <w:b/>
          <w:bCs/>
          <w:sz w:val="28"/>
          <w:szCs w:val="28"/>
        </w:rPr>
        <w:t>四、相关措施建议</w:t>
      </w:r>
    </w:p>
    <w:p>
      <w:pPr>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　　</w:t>
      </w:r>
      <w:r>
        <w:rPr>
          <w:rFonts w:ascii="方正仿宋简体" w:hAnsi="方正仿宋简体" w:eastAsia="仿宋" w:cs="方正仿宋简体"/>
          <w:sz w:val="32"/>
          <w:szCs w:val="32"/>
        </w:rPr>
        <w:t>1.</w:t>
      </w:r>
      <w:r>
        <w:rPr>
          <w:rFonts w:hint="eastAsia" w:ascii="方正仿宋简体" w:hAnsi="方正仿宋简体" w:eastAsia="仿宋" w:cs="方正仿宋简体"/>
          <w:sz w:val="32"/>
          <w:szCs w:val="32"/>
        </w:rPr>
        <w:t>投资者需要对市场的供求现状和趋势作认真的分析，尤其要对项目经济发展的周期做出预测和判断，按照项目规划，合理的安排经营策略，并采取相应的调整策略，以减少由于对市场状况把握不准造成的损失。</w:t>
      </w:r>
    </w:p>
    <w:p>
      <w:pPr>
        <w:rPr>
          <w:rFonts w:ascii="方正仿宋简体" w:hAnsi="方正仿宋简体" w:eastAsia="仿宋" w:cs="方正仿宋简体"/>
          <w:sz w:val="32"/>
          <w:szCs w:val="32"/>
        </w:rPr>
      </w:pPr>
      <w:r>
        <w:rPr>
          <w:rFonts w:hint="eastAsia" w:ascii="方正仿宋简体" w:hAnsi="方正仿宋简体" w:eastAsia="仿宋" w:cs="方正仿宋简体"/>
          <w:sz w:val="32"/>
          <w:szCs w:val="32"/>
        </w:rPr>
        <w:t>　　</w:t>
      </w:r>
      <w:r>
        <w:rPr>
          <w:rFonts w:ascii="方正仿宋简体" w:hAnsi="方正仿宋简体" w:eastAsia="仿宋" w:cs="方正仿宋简体"/>
          <w:sz w:val="32"/>
          <w:szCs w:val="32"/>
        </w:rPr>
        <w:t>2.</w:t>
      </w:r>
      <w:r>
        <w:rPr>
          <w:rFonts w:hint="eastAsia" w:ascii="方正仿宋简体" w:hAnsi="方正仿宋简体" w:eastAsia="仿宋" w:cs="方正仿宋简体"/>
          <w:sz w:val="32"/>
          <w:szCs w:val="32"/>
        </w:rPr>
        <w:t>针对融资风险，首先应该加强管理，保证项目按计划进行建设和完工，地方政府应增加预算，并向上级政府沟通，取得各级政府的支持；二是准确把握国家宏观形势、产业政策和银行信贷变化，及时调整策略，充分利用国家对旅游项目建设的优惠政策和资金扶持，争取一定数量的专项资金；三是积极开辟新的融资渠道；减少或降低资金风险。</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r>
        <w:rPr>
          <w:rFonts w:ascii="仿宋" w:hAnsi="仿宋" w:eastAsia="仿宋" w:cs="仿宋_GB2312"/>
          <w:sz w:val="32"/>
          <w:szCs w:val="32"/>
        </w:rPr>
        <w:t>3</w:t>
      </w: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年旅游扶贫工作经费</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旅游扶贫项目是为了所联系贫困村、非贫困村工作能进一步得到有效开展，驻村帮扶工作人员驻村工作经费能得到保障。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项目绩效评价总体结论（包括项目评价得分表）</w:t>
      </w:r>
    </w:p>
    <w:tbl>
      <w:tblPr>
        <w:tblStyle w:val="13"/>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tcPr>
          <w:p>
            <w:pPr>
              <w:spacing w:line="580" w:lineRule="exact"/>
              <w:rPr>
                <w:rFonts w:ascii="仿宋" w:hAnsi="仿宋" w:eastAsia="仿宋" w:cs="仿宋"/>
                <w:sz w:val="32"/>
                <w:szCs w:val="32"/>
              </w:rPr>
            </w:pPr>
            <w:r>
              <w:rPr>
                <w:rFonts w:hint="eastAsia" w:ascii="仿宋" w:hAnsi="仿宋" w:eastAsia="仿宋" w:cs="仿宋"/>
                <w:sz w:val="32"/>
                <w:szCs w:val="32"/>
              </w:rPr>
              <w:t>目标任务</w:t>
            </w:r>
          </w:p>
        </w:tc>
        <w:tc>
          <w:tcPr>
            <w:tcW w:w="2841" w:type="dxa"/>
          </w:tcPr>
          <w:p>
            <w:pPr>
              <w:spacing w:line="580" w:lineRule="exact"/>
              <w:rPr>
                <w:rFonts w:ascii="仿宋" w:hAnsi="仿宋" w:eastAsia="仿宋" w:cs="仿宋"/>
                <w:sz w:val="32"/>
                <w:szCs w:val="32"/>
              </w:rPr>
            </w:pPr>
            <w:r>
              <w:rPr>
                <w:rFonts w:hint="eastAsia" w:ascii="仿宋" w:hAnsi="仿宋" w:eastAsia="仿宋" w:cs="仿宋"/>
                <w:sz w:val="32"/>
                <w:szCs w:val="32"/>
              </w:rPr>
              <w:t>得分</w:t>
            </w:r>
          </w:p>
        </w:tc>
        <w:tc>
          <w:tcPr>
            <w:tcW w:w="2841" w:type="dxa"/>
          </w:tcPr>
          <w:p>
            <w:pPr>
              <w:spacing w:line="580" w:lineRule="exact"/>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tcPr>
          <w:p>
            <w:pPr>
              <w:spacing w:line="580" w:lineRule="exact"/>
              <w:rPr>
                <w:rFonts w:ascii="仿宋" w:hAnsi="仿宋" w:eastAsia="仿宋" w:cs="仿宋"/>
                <w:sz w:val="32"/>
                <w:szCs w:val="32"/>
              </w:rPr>
            </w:pPr>
            <w:r>
              <w:rPr>
                <w:rFonts w:hint="eastAsia" w:ascii="仿宋" w:hAnsi="仿宋" w:eastAsia="仿宋" w:cs="仿宋"/>
                <w:sz w:val="32"/>
                <w:szCs w:val="32"/>
              </w:rPr>
              <w:t>拨付情况</w:t>
            </w:r>
          </w:p>
        </w:tc>
        <w:tc>
          <w:tcPr>
            <w:tcW w:w="2841" w:type="dxa"/>
          </w:tcPr>
          <w:p>
            <w:pPr>
              <w:spacing w:line="580" w:lineRule="exact"/>
              <w:rPr>
                <w:rFonts w:ascii="仿宋" w:hAnsi="仿宋" w:eastAsia="仿宋" w:cs="仿宋"/>
                <w:sz w:val="32"/>
                <w:szCs w:val="32"/>
              </w:rPr>
            </w:pPr>
            <w:r>
              <w:rPr>
                <w:rFonts w:ascii="仿宋" w:hAnsi="仿宋" w:eastAsia="仿宋" w:cs="仿宋"/>
                <w:sz w:val="32"/>
                <w:szCs w:val="32"/>
              </w:rPr>
              <w:t>4</w:t>
            </w:r>
          </w:p>
        </w:tc>
        <w:tc>
          <w:tcPr>
            <w:tcW w:w="2841" w:type="dxa"/>
          </w:tcPr>
          <w:p>
            <w:pPr>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tcPr>
          <w:p>
            <w:pPr>
              <w:spacing w:line="580" w:lineRule="exact"/>
              <w:rPr>
                <w:rFonts w:ascii="仿宋" w:hAnsi="仿宋" w:eastAsia="仿宋" w:cs="仿宋"/>
                <w:sz w:val="32"/>
                <w:szCs w:val="32"/>
              </w:rPr>
            </w:pPr>
            <w:r>
              <w:rPr>
                <w:rFonts w:hint="eastAsia" w:ascii="仿宋" w:hAnsi="仿宋" w:eastAsia="仿宋" w:cs="仿宋"/>
                <w:sz w:val="32"/>
                <w:szCs w:val="32"/>
              </w:rPr>
              <w:t>所帮扶村、户满意度</w:t>
            </w:r>
          </w:p>
        </w:tc>
        <w:tc>
          <w:tcPr>
            <w:tcW w:w="2841" w:type="dxa"/>
          </w:tcPr>
          <w:p>
            <w:pPr>
              <w:spacing w:line="580" w:lineRule="exact"/>
              <w:rPr>
                <w:rFonts w:ascii="仿宋" w:hAnsi="仿宋" w:eastAsia="仿宋" w:cs="仿宋"/>
                <w:sz w:val="32"/>
                <w:szCs w:val="32"/>
              </w:rPr>
            </w:pPr>
            <w:r>
              <w:rPr>
                <w:rFonts w:ascii="仿宋" w:hAnsi="仿宋" w:eastAsia="仿宋" w:cs="仿宋"/>
                <w:sz w:val="32"/>
                <w:szCs w:val="32"/>
              </w:rPr>
              <w:t>6</w:t>
            </w:r>
          </w:p>
        </w:tc>
        <w:tc>
          <w:tcPr>
            <w:tcW w:w="2841" w:type="dxa"/>
          </w:tcPr>
          <w:p>
            <w:pPr>
              <w:spacing w:line="58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48" w:type="dxa"/>
          </w:tcPr>
          <w:p>
            <w:pPr>
              <w:spacing w:line="580" w:lineRule="exact"/>
              <w:rPr>
                <w:rFonts w:ascii="仿宋" w:hAnsi="仿宋" w:eastAsia="仿宋" w:cs="仿宋"/>
                <w:sz w:val="32"/>
                <w:szCs w:val="32"/>
              </w:rPr>
            </w:pPr>
            <w:r>
              <w:rPr>
                <w:rFonts w:hint="eastAsia" w:ascii="仿宋" w:hAnsi="仿宋" w:eastAsia="仿宋" w:cs="仿宋"/>
                <w:sz w:val="32"/>
                <w:szCs w:val="32"/>
              </w:rPr>
              <w:t>合计</w:t>
            </w:r>
          </w:p>
        </w:tc>
        <w:tc>
          <w:tcPr>
            <w:tcW w:w="2841" w:type="dxa"/>
          </w:tcPr>
          <w:p>
            <w:pPr>
              <w:spacing w:line="580" w:lineRule="exact"/>
              <w:rPr>
                <w:rFonts w:ascii="仿宋" w:hAnsi="仿宋" w:eastAsia="仿宋" w:cs="仿宋"/>
                <w:sz w:val="32"/>
                <w:szCs w:val="32"/>
              </w:rPr>
            </w:pPr>
            <w:r>
              <w:rPr>
                <w:rFonts w:ascii="仿宋" w:hAnsi="仿宋" w:eastAsia="仿宋" w:cs="仿宋"/>
                <w:sz w:val="32"/>
                <w:szCs w:val="32"/>
              </w:rPr>
              <w:t>10</w:t>
            </w:r>
          </w:p>
        </w:tc>
        <w:tc>
          <w:tcPr>
            <w:tcW w:w="2841" w:type="dxa"/>
          </w:tcPr>
          <w:p>
            <w:pPr>
              <w:spacing w:line="580" w:lineRule="exact"/>
              <w:rPr>
                <w:rFonts w:ascii="仿宋" w:hAnsi="仿宋" w:eastAsia="仿宋" w:cs="仿宋"/>
                <w:sz w:val="32"/>
                <w:szCs w:val="32"/>
              </w:rPr>
            </w:pPr>
            <w:r>
              <w:rPr>
                <w:rFonts w:hint="eastAsia" w:ascii="仿宋" w:hAnsi="仿宋" w:eastAsia="仿宋" w:cs="仿宋"/>
                <w:sz w:val="32"/>
                <w:szCs w:val="32"/>
              </w:rPr>
              <w:t>满分</w:t>
            </w:r>
            <w:r>
              <w:rPr>
                <w:rFonts w:ascii="仿宋" w:hAnsi="仿宋" w:eastAsia="仿宋" w:cs="仿宋"/>
                <w:sz w:val="32"/>
                <w:szCs w:val="32"/>
              </w:rPr>
              <w:t>10</w:t>
            </w:r>
            <w:r>
              <w:rPr>
                <w:rFonts w:hint="eastAsia" w:ascii="仿宋" w:hAnsi="仿宋" w:eastAsia="仿宋" w:cs="仿宋"/>
                <w:sz w:val="32"/>
                <w:szCs w:val="32"/>
              </w:rPr>
              <w:t>分</w:t>
            </w:r>
          </w:p>
        </w:tc>
      </w:tr>
    </w:tbl>
    <w:p>
      <w:pPr>
        <w:spacing w:line="580" w:lineRule="exact"/>
        <w:ind w:firstLine="640" w:firstLineChars="200"/>
        <w:rPr>
          <w:rFonts w:ascii="宋体" w:cs="仿宋"/>
          <w:color w:val="000000"/>
          <w:sz w:val="32"/>
        </w:rPr>
      </w:pPr>
      <w:r>
        <w:rPr>
          <w:rFonts w:hint="eastAsia" w:ascii="仿宋" w:hAnsi="仿宋" w:eastAsia="仿宋" w:cs="仿宋"/>
          <w:sz w:val="32"/>
          <w:szCs w:val="32"/>
        </w:rPr>
        <w:t>该项目</w:t>
      </w:r>
      <w:r>
        <w:rPr>
          <w:rFonts w:hint="eastAsia" w:ascii="宋体" w:cs="仿宋"/>
          <w:color w:val="000000"/>
          <w:sz w:val="32"/>
        </w:rPr>
        <w:t>促进村集体经济发展，帮助贫困村户制定发展产业规划，实现贫困户的增收脱贫。</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为推进脱贫攻坚工作，帮助所联系村脱贫增收，派驻驻村工作队是非常必要的，鉴于驻村工作队员工作情况，应为工作人员保障必要的工作经费。</w:t>
      </w:r>
    </w:p>
    <w:p>
      <w:pPr>
        <w:spacing w:line="580" w:lineRule="exact"/>
        <w:ind w:firstLine="640" w:firstLineChars="200"/>
        <w:rPr>
          <w:rFonts w:ascii="宋体" w:cs="仿宋_GB2312"/>
          <w:sz w:val="32"/>
          <w:szCs w:val="32"/>
        </w:rPr>
      </w:pPr>
      <w:r>
        <w:rPr>
          <w:rFonts w:ascii="宋体" w:hAnsi="宋体" w:cs="仿宋_GB2312"/>
          <w:sz w:val="32"/>
          <w:szCs w:val="32"/>
        </w:rPr>
        <w:t>2</w:t>
      </w:r>
      <w:r>
        <w:rPr>
          <w:rFonts w:hint="eastAsia" w:ascii="宋体" w:hAnsi="宋体" w:cs="仿宋_GB2312"/>
          <w:sz w:val="32"/>
          <w:szCs w:val="32"/>
        </w:rPr>
        <w:t>、项目管理</w:t>
      </w:r>
    </w:p>
    <w:p>
      <w:pPr>
        <w:spacing w:line="580" w:lineRule="exact"/>
        <w:ind w:firstLine="640" w:firstLineChars="200"/>
        <w:rPr>
          <w:rFonts w:ascii="宋体" w:cs="仿宋_GB2312"/>
          <w:sz w:val="32"/>
          <w:szCs w:val="32"/>
        </w:rPr>
      </w:pPr>
      <w:r>
        <w:rPr>
          <w:rFonts w:hint="eastAsia" w:ascii="宋体" w:hAnsi="宋体" w:cs="仿宋_GB2312"/>
          <w:sz w:val="32"/>
          <w:szCs w:val="32"/>
        </w:rPr>
        <w:t>严格按资金管理制度，按月保障了帮扶干部的工作经费。</w:t>
      </w:r>
    </w:p>
    <w:p>
      <w:pPr>
        <w:spacing w:line="580" w:lineRule="exact"/>
        <w:ind w:firstLine="640" w:firstLineChars="200"/>
        <w:rPr>
          <w:rFonts w:ascii="宋体" w:cs="仿宋_GB2312"/>
          <w:sz w:val="32"/>
          <w:szCs w:val="32"/>
        </w:rPr>
      </w:pPr>
      <w:r>
        <w:rPr>
          <w:rFonts w:ascii="宋体" w:hAnsi="宋体" w:cs="仿宋_GB2312"/>
          <w:sz w:val="32"/>
          <w:szCs w:val="32"/>
        </w:rPr>
        <w:t>3</w:t>
      </w:r>
      <w:r>
        <w:rPr>
          <w:rFonts w:hint="eastAsia" w:ascii="宋体" w:hAnsi="宋体" w:cs="仿宋_GB2312"/>
          <w:sz w:val="32"/>
          <w:szCs w:val="32"/>
        </w:rPr>
        <w:t>、项目绩效</w:t>
      </w:r>
    </w:p>
    <w:p>
      <w:pPr>
        <w:spacing w:line="580" w:lineRule="exact"/>
        <w:ind w:firstLine="640" w:firstLineChars="200"/>
        <w:rPr>
          <w:rFonts w:ascii="宋体" w:cs="仿宋_GB2312"/>
          <w:sz w:val="32"/>
          <w:szCs w:val="32"/>
        </w:rPr>
      </w:pPr>
      <w:r>
        <w:rPr>
          <w:rFonts w:hint="eastAsia" w:ascii="宋体" w:hAnsi="宋体" w:cs="仿宋_GB2312"/>
          <w:sz w:val="32"/>
          <w:szCs w:val="32"/>
        </w:rPr>
        <w:t>促进村集体经济发展和贫困户增收，增加了贫困户对国家相在政策和扶贫政策的知晓率，增进了与贫困户的感情。。</w:t>
      </w:r>
    </w:p>
    <w:p>
      <w:pPr>
        <w:spacing w:line="580" w:lineRule="exact"/>
        <w:ind w:firstLine="640" w:firstLineChars="200"/>
        <w:rPr>
          <w:rFonts w:ascii="宋体" w:cs="仿宋_GB2312"/>
          <w:sz w:val="32"/>
          <w:szCs w:val="32"/>
        </w:rPr>
      </w:pPr>
      <w:r>
        <w:rPr>
          <w:rFonts w:hint="eastAsia" w:ascii="宋体" w:hAnsi="宋体" w:cs="仿宋_GB2312"/>
          <w:sz w:val="32"/>
          <w:szCs w:val="32"/>
        </w:rPr>
        <w:t>三、存在主要问题</w:t>
      </w:r>
    </w:p>
    <w:p>
      <w:pPr>
        <w:spacing w:line="580" w:lineRule="exact"/>
        <w:ind w:firstLine="640" w:firstLineChars="200"/>
        <w:rPr>
          <w:rFonts w:ascii="宋体" w:cs="仿宋_GB2312"/>
          <w:sz w:val="32"/>
          <w:szCs w:val="32"/>
        </w:rPr>
      </w:pPr>
      <w:r>
        <w:rPr>
          <w:rFonts w:hint="eastAsia" w:ascii="宋体" w:hAnsi="宋体" w:cs="仿宋_GB2312"/>
          <w:sz w:val="32"/>
          <w:szCs w:val="32"/>
        </w:rPr>
        <w:t>帮扶工作中有不少困难，资金不足。</w:t>
      </w:r>
    </w:p>
    <w:p>
      <w:pPr>
        <w:spacing w:line="580" w:lineRule="exact"/>
        <w:ind w:firstLine="640" w:firstLineChars="200"/>
        <w:rPr>
          <w:rStyle w:val="18"/>
          <w:rFonts w:ascii="宋体" w:cs="仿宋_GB2312"/>
          <w:b w:val="0"/>
          <w:bCs w:val="0"/>
          <w:kern w:val="2"/>
          <w:sz w:val="32"/>
          <w:szCs w:val="32"/>
        </w:rPr>
      </w:pPr>
      <w:r>
        <w:rPr>
          <w:rFonts w:hint="eastAsia" w:ascii="宋体" w:hAnsi="宋体" w:cs="仿宋_GB2312"/>
          <w:sz w:val="32"/>
          <w:szCs w:val="32"/>
        </w:rPr>
        <w:t>四、相关措施建议</w:t>
      </w:r>
    </w:p>
    <w:p>
      <w:pPr>
        <w:spacing w:line="580" w:lineRule="exact"/>
        <w:ind w:firstLine="640" w:firstLineChars="200"/>
        <w:rPr>
          <w:rFonts w:ascii="宋体" w:cs="仿宋_GB2312"/>
          <w:sz w:val="32"/>
          <w:szCs w:val="32"/>
        </w:rPr>
      </w:pPr>
      <w:r>
        <w:rPr>
          <w:rFonts w:hint="eastAsia" w:ascii="宋体" w:hAnsi="宋体" w:cs="仿宋_GB2312"/>
          <w:sz w:val="32"/>
          <w:szCs w:val="32"/>
        </w:rPr>
        <w:t>克服困难，加强资金监管，根据相关政策适当增加经费，进一步保障</w:t>
      </w:r>
      <w:r>
        <w:rPr>
          <w:rStyle w:val="18"/>
          <w:rFonts w:hint="eastAsia" w:ascii="宋体" w:hAnsi="宋体" w:cs="仿宋_GB2312"/>
          <w:b w:val="0"/>
          <w:bCs w:val="0"/>
          <w:kern w:val="2"/>
          <w:sz w:val="32"/>
          <w:szCs w:val="32"/>
        </w:rPr>
        <w:t>扶贫帮扶工作经费</w:t>
      </w:r>
      <w:r>
        <w:rPr>
          <w:rFonts w:hint="eastAsia" w:ascii="宋体" w:hAnsi="宋体" w:cs="仿宋_GB2312"/>
          <w:sz w:val="32"/>
          <w:szCs w:val="32"/>
        </w:rPr>
        <w:t>。</w:t>
      </w:r>
    </w:p>
    <w:p>
      <w:pPr>
        <w:spacing w:line="600" w:lineRule="exact"/>
        <w:jc w:val="center"/>
        <w:outlineLvl w:val="0"/>
        <w:rPr>
          <w:rFonts w:ascii="黑体" w:hAnsi="黑体" w:eastAsia="黑体"/>
          <w:color w:val="000000"/>
          <w:sz w:val="44"/>
          <w:szCs w:val="44"/>
        </w:rPr>
      </w:pPr>
      <w:bookmarkStart w:id="62"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8"/>
          <w:rFonts w:ascii="黑体" w:hAnsi="黑体" w:eastAsia="黑体"/>
          <w:b w:val="0"/>
        </w:rPr>
      </w:pPr>
      <w:r>
        <w:rPr>
          <w:rFonts w:hint="eastAsia" w:ascii="黑体" w:hAnsi="黑体" w:eastAsia="黑体"/>
          <w:color w:val="000000"/>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19"/>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19"/>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府性基金预算财政拨款“三公”经费支出决算表</w:t>
      </w:r>
      <w:bookmarkEnd w:id="74"/>
    </w:p>
    <w:p>
      <w:pPr>
        <w:pStyle w:val="3"/>
        <w:rPr>
          <w:rFonts w:ascii="仿宋" w:hAnsi="仿宋" w:eastAsia="仿宋"/>
          <w:color w:val="000000"/>
        </w:rPr>
      </w:pPr>
      <w:bookmarkStart w:id="75" w:name="_Toc15396631"/>
      <w:r>
        <w:rPr>
          <w:rStyle w:val="19"/>
          <w:rFonts w:hint="eastAsia" w:ascii="仿宋" w:hAnsi="仿宋" w:eastAsia="仿宋"/>
          <w:b w:val="0"/>
          <w:bCs w:val="0"/>
        </w:rPr>
        <w:t>十三、</w:t>
      </w:r>
      <w:r>
        <w:rPr>
          <w:rFonts w:hint="eastAsia" w:ascii="仿宋" w:hAnsi="仿宋" w:eastAsia="仿宋"/>
          <w:b w:val="0"/>
          <w:color w:val="000000"/>
        </w:rPr>
        <w:t>国</w:t>
      </w:r>
      <w:r>
        <w:rPr>
          <w:rStyle w:val="19"/>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CEA3"/>
    <w:multiLevelType w:val="singleLevel"/>
    <w:tmpl w:val="93C7CEA3"/>
    <w:lvl w:ilvl="0" w:tentative="0">
      <w:start w:val="2"/>
      <w:numFmt w:val="decimal"/>
      <w:suff w:val="nothing"/>
      <w:lvlText w:val="%1、"/>
      <w:lvlJc w:val="left"/>
      <w:rPr>
        <w:rFonts w:cs="Times New Roman"/>
      </w:rPr>
    </w:lvl>
  </w:abstractNum>
  <w:abstractNum w:abstractNumId="1">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D211BA39"/>
    <w:multiLevelType w:val="singleLevel"/>
    <w:tmpl w:val="D211BA39"/>
    <w:lvl w:ilvl="0" w:tentative="0">
      <w:start w:val="3"/>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0A02AA66"/>
    <w:multiLevelType w:val="singleLevel"/>
    <w:tmpl w:val="0A02AA66"/>
    <w:lvl w:ilvl="0" w:tentative="0">
      <w:start w:val="1"/>
      <w:numFmt w:val="decimal"/>
      <w:suff w:val="nothing"/>
      <w:lvlText w:val="（%1）"/>
      <w:lvlJc w:val="left"/>
      <w:rPr>
        <w:rFonts w:cs="Times New Roman"/>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8">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7"/>
  </w:num>
  <w:num w:numId="2">
    <w:abstractNumId w:val="2"/>
  </w:num>
  <w:num w:numId="3">
    <w:abstractNumId w:val="8"/>
  </w:num>
  <w:num w:numId="4">
    <w:abstractNumId w:val="5"/>
  </w:num>
  <w:num w:numId="5">
    <w:abstractNumId w:val="1"/>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34655"/>
    <w:rsid w:val="0005738C"/>
    <w:rsid w:val="00057C0C"/>
    <w:rsid w:val="0006487A"/>
    <w:rsid w:val="00065F8F"/>
    <w:rsid w:val="000768F2"/>
    <w:rsid w:val="00090193"/>
    <w:rsid w:val="0009184B"/>
    <w:rsid w:val="0009593C"/>
    <w:rsid w:val="000A0B18"/>
    <w:rsid w:val="000A6CE6"/>
    <w:rsid w:val="000B047F"/>
    <w:rsid w:val="000B5923"/>
    <w:rsid w:val="000B5A48"/>
    <w:rsid w:val="000B6FF3"/>
    <w:rsid w:val="000C3467"/>
    <w:rsid w:val="000C3CA6"/>
    <w:rsid w:val="000D1267"/>
    <w:rsid w:val="000D1D50"/>
    <w:rsid w:val="000D5782"/>
    <w:rsid w:val="000E6613"/>
    <w:rsid w:val="000E7119"/>
    <w:rsid w:val="000F22C3"/>
    <w:rsid w:val="000F77AC"/>
    <w:rsid w:val="001060D3"/>
    <w:rsid w:val="00114E9B"/>
    <w:rsid w:val="001215EF"/>
    <w:rsid w:val="00124C06"/>
    <w:rsid w:val="0014533D"/>
    <w:rsid w:val="0014729F"/>
    <w:rsid w:val="001563DE"/>
    <w:rsid w:val="00157BAB"/>
    <w:rsid w:val="00160661"/>
    <w:rsid w:val="001654D1"/>
    <w:rsid w:val="001673DB"/>
    <w:rsid w:val="001715FD"/>
    <w:rsid w:val="0018106D"/>
    <w:rsid w:val="001877A7"/>
    <w:rsid w:val="00187EC1"/>
    <w:rsid w:val="00191536"/>
    <w:rsid w:val="00196687"/>
    <w:rsid w:val="001B2A37"/>
    <w:rsid w:val="001C0962"/>
    <w:rsid w:val="001C2CAB"/>
    <w:rsid w:val="001C68CD"/>
    <w:rsid w:val="001D2070"/>
    <w:rsid w:val="001D7531"/>
    <w:rsid w:val="001E737D"/>
    <w:rsid w:val="001F0592"/>
    <w:rsid w:val="001F7506"/>
    <w:rsid w:val="002006CD"/>
    <w:rsid w:val="00202B36"/>
    <w:rsid w:val="00204B7A"/>
    <w:rsid w:val="0021101A"/>
    <w:rsid w:val="0021305B"/>
    <w:rsid w:val="00220536"/>
    <w:rsid w:val="0022405A"/>
    <w:rsid w:val="0023006A"/>
    <w:rsid w:val="00235629"/>
    <w:rsid w:val="00242629"/>
    <w:rsid w:val="00260C38"/>
    <w:rsid w:val="002616C0"/>
    <w:rsid w:val="002662AA"/>
    <w:rsid w:val="0027282C"/>
    <w:rsid w:val="0027409E"/>
    <w:rsid w:val="00276E00"/>
    <w:rsid w:val="00280496"/>
    <w:rsid w:val="00281158"/>
    <w:rsid w:val="00295495"/>
    <w:rsid w:val="002B2613"/>
    <w:rsid w:val="002E229B"/>
    <w:rsid w:val="002F1818"/>
    <w:rsid w:val="002F567B"/>
    <w:rsid w:val="002F6300"/>
    <w:rsid w:val="0031188C"/>
    <w:rsid w:val="003216A9"/>
    <w:rsid w:val="00330799"/>
    <w:rsid w:val="0034793D"/>
    <w:rsid w:val="003505FD"/>
    <w:rsid w:val="00353871"/>
    <w:rsid w:val="0037013F"/>
    <w:rsid w:val="00380C92"/>
    <w:rsid w:val="003810AD"/>
    <w:rsid w:val="003A484F"/>
    <w:rsid w:val="003B0BE0"/>
    <w:rsid w:val="003B0C1B"/>
    <w:rsid w:val="003B6821"/>
    <w:rsid w:val="003B688C"/>
    <w:rsid w:val="003C0291"/>
    <w:rsid w:val="003C39AE"/>
    <w:rsid w:val="003C7B60"/>
    <w:rsid w:val="003D0497"/>
    <w:rsid w:val="003D1FB2"/>
    <w:rsid w:val="003D66DA"/>
    <w:rsid w:val="003E1310"/>
    <w:rsid w:val="003E4D28"/>
    <w:rsid w:val="003E6F55"/>
    <w:rsid w:val="00404E4F"/>
    <w:rsid w:val="00406254"/>
    <w:rsid w:val="00410F47"/>
    <w:rsid w:val="0042026E"/>
    <w:rsid w:val="004223DE"/>
    <w:rsid w:val="00434489"/>
    <w:rsid w:val="00437085"/>
    <w:rsid w:val="00443880"/>
    <w:rsid w:val="004464F4"/>
    <w:rsid w:val="00460D9D"/>
    <w:rsid w:val="00464048"/>
    <w:rsid w:val="00471401"/>
    <w:rsid w:val="00472A22"/>
    <w:rsid w:val="00473F31"/>
    <w:rsid w:val="00481153"/>
    <w:rsid w:val="0048263A"/>
    <w:rsid w:val="00487E5D"/>
    <w:rsid w:val="004A069C"/>
    <w:rsid w:val="004A711F"/>
    <w:rsid w:val="004B199D"/>
    <w:rsid w:val="004B4690"/>
    <w:rsid w:val="004C1950"/>
    <w:rsid w:val="004C7755"/>
    <w:rsid w:val="004E0A2D"/>
    <w:rsid w:val="004E1E47"/>
    <w:rsid w:val="004E206B"/>
    <w:rsid w:val="004E314A"/>
    <w:rsid w:val="004E6DF7"/>
    <w:rsid w:val="004F0FBD"/>
    <w:rsid w:val="00505A47"/>
    <w:rsid w:val="00512FDA"/>
    <w:rsid w:val="00520B5E"/>
    <w:rsid w:val="00520DA0"/>
    <w:rsid w:val="00547B04"/>
    <w:rsid w:val="00566104"/>
    <w:rsid w:val="005664BB"/>
    <w:rsid w:val="0057481D"/>
    <w:rsid w:val="0058486E"/>
    <w:rsid w:val="00586EE0"/>
    <w:rsid w:val="005D0304"/>
    <w:rsid w:val="005D1C8B"/>
    <w:rsid w:val="005D5CED"/>
    <w:rsid w:val="005E1064"/>
    <w:rsid w:val="005F1A4C"/>
    <w:rsid w:val="0060191A"/>
    <w:rsid w:val="00602CA0"/>
    <w:rsid w:val="00605688"/>
    <w:rsid w:val="006070AF"/>
    <w:rsid w:val="00607E6C"/>
    <w:rsid w:val="006101B1"/>
    <w:rsid w:val="00614E44"/>
    <w:rsid w:val="00622830"/>
    <w:rsid w:val="00630AEF"/>
    <w:rsid w:val="006325F8"/>
    <w:rsid w:val="00634C9A"/>
    <w:rsid w:val="006440E4"/>
    <w:rsid w:val="0066343B"/>
    <w:rsid w:val="00664777"/>
    <w:rsid w:val="006748A4"/>
    <w:rsid w:val="006801B4"/>
    <w:rsid w:val="00681AAA"/>
    <w:rsid w:val="00683E73"/>
    <w:rsid w:val="00687E53"/>
    <w:rsid w:val="006A3141"/>
    <w:rsid w:val="006A3EEA"/>
    <w:rsid w:val="006A595C"/>
    <w:rsid w:val="006A5E34"/>
    <w:rsid w:val="006B2422"/>
    <w:rsid w:val="006B2B9A"/>
    <w:rsid w:val="006C1937"/>
    <w:rsid w:val="006D2315"/>
    <w:rsid w:val="006F020C"/>
    <w:rsid w:val="0070373F"/>
    <w:rsid w:val="007065AC"/>
    <w:rsid w:val="007123DF"/>
    <w:rsid w:val="007127B7"/>
    <w:rsid w:val="00712BF0"/>
    <w:rsid w:val="0071542F"/>
    <w:rsid w:val="007155F8"/>
    <w:rsid w:val="007268F5"/>
    <w:rsid w:val="007416B6"/>
    <w:rsid w:val="00741E71"/>
    <w:rsid w:val="00742695"/>
    <w:rsid w:val="00746F48"/>
    <w:rsid w:val="0075404D"/>
    <w:rsid w:val="0076182A"/>
    <w:rsid w:val="00762ED3"/>
    <w:rsid w:val="00766E3E"/>
    <w:rsid w:val="00767B7E"/>
    <w:rsid w:val="007727F0"/>
    <w:rsid w:val="007770C3"/>
    <w:rsid w:val="00777D5F"/>
    <w:rsid w:val="00784D24"/>
    <w:rsid w:val="00785FBA"/>
    <w:rsid w:val="00786E4A"/>
    <w:rsid w:val="007875EB"/>
    <w:rsid w:val="0079426B"/>
    <w:rsid w:val="00797826"/>
    <w:rsid w:val="007B16EB"/>
    <w:rsid w:val="007C129F"/>
    <w:rsid w:val="007D312A"/>
    <w:rsid w:val="007D3F19"/>
    <w:rsid w:val="007E23B0"/>
    <w:rsid w:val="007E6D47"/>
    <w:rsid w:val="007F1991"/>
    <w:rsid w:val="007F2C2F"/>
    <w:rsid w:val="007F4B65"/>
    <w:rsid w:val="007F55FC"/>
    <w:rsid w:val="007F5665"/>
    <w:rsid w:val="007F694A"/>
    <w:rsid w:val="00800112"/>
    <w:rsid w:val="00803C76"/>
    <w:rsid w:val="00814E44"/>
    <w:rsid w:val="00817D0D"/>
    <w:rsid w:val="008253BB"/>
    <w:rsid w:val="0083706E"/>
    <w:rsid w:val="008423A5"/>
    <w:rsid w:val="00850625"/>
    <w:rsid w:val="00853718"/>
    <w:rsid w:val="00855221"/>
    <w:rsid w:val="00860645"/>
    <w:rsid w:val="00861255"/>
    <w:rsid w:val="00871F71"/>
    <w:rsid w:val="00880388"/>
    <w:rsid w:val="00882CCC"/>
    <w:rsid w:val="00885AF4"/>
    <w:rsid w:val="008939CD"/>
    <w:rsid w:val="008B768C"/>
    <w:rsid w:val="008C0F82"/>
    <w:rsid w:val="008C1103"/>
    <w:rsid w:val="008C4DB1"/>
    <w:rsid w:val="008C4EAF"/>
    <w:rsid w:val="008C5176"/>
    <w:rsid w:val="008C7FD0"/>
    <w:rsid w:val="008E1DE7"/>
    <w:rsid w:val="008E707C"/>
    <w:rsid w:val="008F5A28"/>
    <w:rsid w:val="00900B08"/>
    <w:rsid w:val="00900E54"/>
    <w:rsid w:val="00902155"/>
    <w:rsid w:val="00902FA3"/>
    <w:rsid w:val="00923564"/>
    <w:rsid w:val="0092392E"/>
    <w:rsid w:val="009262D0"/>
    <w:rsid w:val="009268FE"/>
    <w:rsid w:val="009315F9"/>
    <w:rsid w:val="00931C6A"/>
    <w:rsid w:val="00946945"/>
    <w:rsid w:val="00951248"/>
    <w:rsid w:val="0095152F"/>
    <w:rsid w:val="00954C49"/>
    <w:rsid w:val="009609CE"/>
    <w:rsid w:val="0097099F"/>
    <w:rsid w:val="0097182F"/>
    <w:rsid w:val="00971997"/>
    <w:rsid w:val="00971FFC"/>
    <w:rsid w:val="00975A15"/>
    <w:rsid w:val="0098660A"/>
    <w:rsid w:val="0099313F"/>
    <w:rsid w:val="009931C3"/>
    <w:rsid w:val="009A1282"/>
    <w:rsid w:val="009A787A"/>
    <w:rsid w:val="009B2C43"/>
    <w:rsid w:val="009B4EAE"/>
    <w:rsid w:val="009B6459"/>
    <w:rsid w:val="009B7573"/>
    <w:rsid w:val="009B7754"/>
    <w:rsid w:val="009C22F4"/>
    <w:rsid w:val="009C2E98"/>
    <w:rsid w:val="009D3447"/>
    <w:rsid w:val="009D4711"/>
    <w:rsid w:val="009D5883"/>
    <w:rsid w:val="009F1185"/>
    <w:rsid w:val="009F18CD"/>
    <w:rsid w:val="009F2A13"/>
    <w:rsid w:val="009F4C43"/>
    <w:rsid w:val="009F62FC"/>
    <w:rsid w:val="00A04EB0"/>
    <w:rsid w:val="00A1269E"/>
    <w:rsid w:val="00A13CC1"/>
    <w:rsid w:val="00A16847"/>
    <w:rsid w:val="00A237D8"/>
    <w:rsid w:val="00A24B4C"/>
    <w:rsid w:val="00A268C4"/>
    <w:rsid w:val="00A307CD"/>
    <w:rsid w:val="00A37E1B"/>
    <w:rsid w:val="00A40A00"/>
    <w:rsid w:val="00A4142F"/>
    <w:rsid w:val="00A56DF2"/>
    <w:rsid w:val="00A674A3"/>
    <w:rsid w:val="00A67AB5"/>
    <w:rsid w:val="00A86AB4"/>
    <w:rsid w:val="00A91760"/>
    <w:rsid w:val="00A93B00"/>
    <w:rsid w:val="00A93C21"/>
    <w:rsid w:val="00A93CB5"/>
    <w:rsid w:val="00AC3C6A"/>
    <w:rsid w:val="00AD5620"/>
    <w:rsid w:val="00AD7C1B"/>
    <w:rsid w:val="00AE16BA"/>
    <w:rsid w:val="00AE1EBE"/>
    <w:rsid w:val="00AE4E02"/>
    <w:rsid w:val="00AF3F15"/>
    <w:rsid w:val="00B03C9D"/>
    <w:rsid w:val="00B060AE"/>
    <w:rsid w:val="00B06D2D"/>
    <w:rsid w:val="00B10517"/>
    <w:rsid w:val="00B122FB"/>
    <w:rsid w:val="00B14E76"/>
    <w:rsid w:val="00B161B8"/>
    <w:rsid w:val="00B2048C"/>
    <w:rsid w:val="00B310B9"/>
    <w:rsid w:val="00B35F3F"/>
    <w:rsid w:val="00B36CBB"/>
    <w:rsid w:val="00B425E0"/>
    <w:rsid w:val="00B42B62"/>
    <w:rsid w:val="00B440AA"/>
    <w:rsid w:val="00B445F8"/>
    <w:rsid w:val="00B44B70"/>
    <w:rsid w:val="00B46763"/>
    <w:rsid w:val="00B53C56"/>
    <w:rsid w:val="00B727F3"/>
    <w:rsid w:val="00B77EA6"/>
    <w:rsid w:val="00B81598"/>
    <w:rsid w:val="00B841F1"/>
    <w:rsid w:val="00B942D2"/>
    <w:rsid w:val="00B944D6"/>
    <w:rsid w:val="00B96C19"/>
    <w:rsid w:val="00BB4DF0"/>
    <w:rsid w:val="00BC289F"/>
    <w:rsid w:val="00BC47AB"/>
    <w:rsid w:val="00BC5361"/>
    <w:rsid w:val="00BC5460"/>
    <w:rsid w:val="00BC6B50"/>
    <w:rsid w:val="00BD0E25"/>
    <w:rsid w:val="00BD74A3"/>
    <w:rsid w:val="00BF5BD6"/>
    <w:rsid w:val="00C00393"/>
    <w:rsid w:val="00C0190B"/>
    <w:rsid w:val="00C03E31"/>
    <w:rsid w:val="00C138D7"/>
    <w:rsid w:val="00C15EBA"/>
    <w:rsid w:val="00C20994"/>
    <w:rsid w:val="00C20FA7"/>
    <w:rsid w:val="00C242DE"/>
    <w:rsid w:val="00C33E72"/>
    <w:rsid w:val="00C354B2"/>
    <w:rsid w:val="00C35554"/>
    <w:rsid w:val="00C42709"/>
    <w:rsid w:val="00C4300C"/>
    <w:rsid w:val="00C47D9F"/>
    <w:rsid w:val="00C52234"/>
    <w:rsid w:val="00C533CC"/>
    <w:rsid w:val="00C5751C"/>
    <w:rsid w:val="00C61BFC"/>
    <w:rsid w:val="00C62B85"/>
    <w:rsid w:val="00C65438"/>
    <w:rsid w:val="00C91CBB"/>
    <w:rsid w:val="00CA06E3"/>
    <w:rsid w:val="00CA6CBB"/>
    <w:rsid w:val="00CC09B6"/>
    <w:rsid w:val="00CC1854"/>
    <w:rsid w:val="00CC666F"/>
    <w:rsid w:val="00CD1E3F"/>
    <w:rsid w:val="00CD5C10"/>
    <w:rsid w:val="00CD7323"/>
    <w:rsid w:val="00CE0126"/>
    <w:rsid w:val="00CE44F6"/>
    <w:rsid w:val="00CE49DA"/>
    <w:rsid w:val="00CE5938"/>
    <w:rsid w:val="00CE6B78"/>
    <w:rsid w:val="00CE7B61"/>
    <w:rsid w:val="00CF037D"/>
    <w:rsid w:val="00D00095"/>
    <w:rsid w:val="00D12712"/>
    <w:rsid w:val="00D20620"/>
    <w:rsid w:val="00D21604"/>
    <w:rsid w:val="00D257E8"/>
    <w:rsid w:val="00D26091"/>
    <w:rsid w:val="00D34E7C"/>
    <w:rsid w:val="00D35489"/>
    <w:rsid w:val="00D47379"/>
    <w:rsid w:val="00D51276"/>
    <w:rsid w:val="00D7035F"/>
    <w:rsid w:val="00D77D9B"/>
    <w:rsid w:val="00DA3C7B"/>
    <w:rsid w:val="00DA65AC"/>
    <w:rsid w:val="00DB1913"/>
    <w:rsid w:val="00DB241B"/>
    <w:rsid w:val="00DC3B82"/>
    <w:rsid w:val="00DC410D"/>
    <w:rsid w:val="00DC68CA"/>
    <w:rsid w:val="00DC7221"/>
    <w:rsid w:val="00DC7CBA"/>
    <w:rsid w:val="00DD73B7"/>
    <w:rsid w:val="00DE58EA"/>
    <w:rsid w:val="00DE5FBE"/>
    <w:rsid w:val="00DF28BC"/>
    <w:rsid w:val="00DF34B9"/>
    <w:rsid w:val="00E01053"/>
    <w:rsid w:val="00E03E6B"/>
    <w:rsid w:val="00E07ACF"/>
    <w:rsid w:val="00E13AE7"/>
    <w:rsid w:val="00E33103"/>
    <w:rsid w:val="00E331A1"/>
    <w:rsid w:val="00E33202"/>
    <w:rsid w:val="00E336A9"/>
    <w:rsid w:val="00E404E1"/>
    <w:rsid w:val="00E50624"/>
    <w:rsid w:val="00E51E2F"/>
    <w:rsid w:val="00E568DF"/>
    <w:rsid w:val="00E64269"/>
    <w:rsid w:val="00E759B8"/>
    <w:rsid w:val="00E82267"/>
    <w:rsid w:val="00E83580"/>
    <w:rsid w:val="00EA010F"/>
    <w:rsid w:val="00EA4D7E"/>
    <w:rsid w:val="00ED1B63"/>
    <w:rsid w:val="00ED3C1F"/>
    <w:rsid w:val="00ED4085"/>
    <w:rsid w:val="00ED420E"/>
    <w:rsid w:val="00ED4C2F"/>
    <w:rsid w:val="00EE2F57"/>
    <w:rsid w:val="00EE7630"/>
    <w:rsid w:val="00EF4C34"/>
    <w:rsid w:val="00EF77C6"/>
    <w:rsid w:val="00F05438"/>
    <w:rsid w:val="00F10242"/>
    <w:rsid w:val="00F122DE"/>
    <w:rsid w:val="00F1361C"/>
    <w:rsid w:val="00F160C7"/>
    <w:rsid w:val="00F205FE"/>
    <w:rsid w:val="00F21E23"/>
    <w:rsid w:val="00F23ED6"/>
    <w:rsid w:val="00F3610A"/>
    <w:rsid w:val="00F36D8F"/>
    <w:rsid w:val="00F417B1"/>
    <w:rsid w:val="00F42E0F"/>
    <w:rsid w:val="00F570AC"/>
    <w:rsid w:val="00F602DF"/>
    <w:rsid w:val="00F67CAF"/>
    <w:rsid w:val="00F81FD9"/>
    <w:rsid w:val="00F841AA"/>
    <w:rsid w:val="00F874C8"/>
    <w:rsid w:val="00FA23E8"/>
    <w:rsid w:val="00FA59DB"/>
    <w:rsid w:val="00FD3CC1"/>
    <w:rsid w:val="00FF1E02"/>
    <w:rsid w:val="00FF30B4"/>
    <w:rsid w:val="096D45DD"/>
    <w:rsid w:val="0C815810"/>
    <w:rsid w:val="10896D96"/>
    <w:rsid w:val="10C055FF"/>
    <w:rsid w:val="11233A77"/>
    <w:rsid w:val="119008AF"/>
    <w:rsid w:val="14E95E49"/>
    <w:rsid w:val="16BB723D"/>
    <w:rsid w:val="18E80FE8"/>
    <w:rsid w:val="19243D0C"/>
    <w:rsid w:val="1A1E52E3"/>
    <w:rsid w:val="1E3A6CE3"/>
    <w:rsid w:val="240371BF"/>
    <w:rsid w:val="282C6018"/>
    <w:rsid w:val="28C52BC1"/>
    <w:rsid w:val="29FD04D3"/>
    <w:rsid w:val="300A16D0"/>
    <w:rsid w:val="319F7F4E"/>
    <w:rsid w:val="3626409E"/>
    <w:rsid w:val="382055C6"/>
    <w:rsid w:val="39AE3786"/>
    <w:rsid w:val="3B9E48DA"/>
    <w:rsid w:val="3C2C4EA1"/>
    <w:rsid w:val="3CF867F0"/>
    <w:rsid w:val="449C51AC"/>
    <w:rsid w:val="45A26F08"/>
    <w:rsid w:val="4731765B"/>
    <w:rsid w:val="47C0475A"/>
    <w:rsid w:val="47F6307F"/>
    <w:rsid w:val="4B256019"/>
    <w:rsid w:val="50243423"/>
    <w:rsid w:val="507A7C07"/>
    <w:rsid w:val="50AB2B89"/>
    <w:rsid w:val="50CD35B9"/>
    <w:rsid w:val="51E725A4"/>
    <w:rsid w:val="578C1925"/>
    <w:rsid w:val="5A25087A"/>
    <w:rsid w:val="5AE7101F"/>
    <w:rsid w:val="5BF050B7"/>
    <w:rsid w:val="5E741D90"/>
    <w:rsid w:val="60471E22"/>
    <w:rsid w:val="64AB06C8"/>
    <w:rsid w:val="654213B1"/>
    <w:rsid w:val="697813C1"/>
    <w:rsid w:val="725713CF"/>
    <w:rsid w:val="73EC567D"/>
    <w:rsid w:val="752348DE"/>
    <w:rsid w:val="76622662"/>
    <w:rsid w:val="79A5149E"/>
    <w:rsid w:val="7EE136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uiPriority w:val="99"/>
    <w:pPr>
      <w:tabs>
        <w:tab w:val="right" w:leader="dot" w:pos="8296"/>
      </w:tabs>
      <w:ind w:left="840" w:leftChars="400"/>
    </w:pPr>
  </w:style>
  <w:style w:type="paragraph" w:styleId="7">
    <w:name w:val="Balloon Text"/>
    <w:basedOn w:val="1"/>
    <w:link w:val="22"/>
    <w:semiHidden/>
    <w:uiPriority w:val="99"/>
    <w:rPr>
      <w:sz w:val="18"/>
      <w:szCs w:val="18"/>
    </w:rPr>
  </w:style>
  <w:style w:type="paragraph" w:styleId="8">
    <w:name w:val="footer"/>
    <w:basedOn w:val="1"/>
    <w:link w:val="26"/>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paragraph" w:styleId="12">
    <w:name w:val="Normal (Web)"/>
    <w:basedOn w:val="1"/>
    <w:uiPriority w:val="99"/>
    <w:pPr>
      <w:widowControl/>
      <w:spacing w:beforeAutospacing="1" w:afterAutospacing="1"/>
      <w:jc w:val="left"/>
    </w:pPr>
    <w:rPr>
      <w:rFonts w:ascii="宋体" w:hAnsi="宋体" w:cs="宋体"/>
      <w:kern w:val="0"/>
      <w:sz w:val="24"/>
    </w:rPr>
  </w:style>
  <w:style w:type="table" w:styleId="14">
    <w:name w:val="Table Grid"/>
    <w:basedOn w:val="13"/>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Hyperlink"/>
    <w:basedOn w:val="15"/>
    <w:uiPriority w:val="99"/>
    <w:rPr>
      <w:rFonts w:cs="Times New Roman"/>
      <w:color w:val="0000FF"/>
      <w:u w:val="single"/>
    </w:rPr>
  </w:style>
  <w:style w:type="character" w:customStyle="1" w:styleId="18">
    <w:name w:val="Heading 1 Char"/>
    <w:basedOn w:val="15"/>
    <w:link w:val="2"/>
    <w:locked/>
    <w:uiPriority w:val="99"/>
    <w:rPr>
      <w:rFonts w:ascii="Times New Roman" w:hAnsi="Times New Roman" w:cs="Times New Roman"/>
      <w:b/>
      <w:bCs/>
      <w:kern w:val="44"/>
      <w:sz w:val="44"/>
      <w:szCs w:val="44"/>
    </w:rPr>
  </w:style>
  <w:style w:type="character" w:customStyle="1" w:styleId="19">
    <w:name w:val="Heading 2 Char"/>
    <w:basedOn w:val="15"/>
    <w:link w:val="3"/>
    <w:locked/>
    <w:uiPriority w:val="99"/>
    <w:rPr>
      <w:rFonts w:ascii="Cambria" w:hAnsi="Cambria" w:eastAsia="宋体" w:cs="Times New Roman"/>
      <w:b/>
      <w:bCs/>
      <w:kern w:val="2"/>
      <w:sz w:val="32"/>
      <w:szCs w:val="32"/>
    </w:rPr>
  </w:style>
  <w:style w:type="character" w:customStyle="1" w:styleId="20">
    <w:name w:val="Heading 3 Char"/>
    <w:basedOn w:val="15"/>
    <w:link w:val="4"/>
    <w:qFormat/>
    <w:locked/>
    <w:uiPriority w:val="99"/>
    <w:rPr>
      <w:rFonts w:ascii="Times New Roman" w:hAnsi="Times New Roman" w:cs="Times New Roman"/>
      <w:b/>
      <w:bCs/>
      <w:kern w:val="2"/>
      <w:sz w:val="32"/>
      <w:szCs w:val="32"/>
    </w:rPr>
  </w:style>
  <w:style w:type="character" w:customStyle="1" w:styleId="21">
    <w:name w:val="Body Text Char"/>
    <w:basedOn w:val="15"/>
    <w:link w:val="5"/>
    <w:semiHidden/>
    <w:locked/>
    <w:uiPriority w:val="99"/>
    <w:rPr>
      <w:rFonts w:ascii="Times New Roman" w:hAnsi="Times New Roman" w:cs="Times New Roman"/>
      <w:sz w:val="24"/>
      <w:szCs w:val="24"/>
    </w:rPr>
  </w:style>
  <w:style w:type="character" w:customStyle="1" w:styleId="22">
    <w:name w:val="Balloon Text Char"/>
    <w:basedOn w:val="15"/>
    <w:link w:val="7"/>
    <w:semiHidden/>
    <w:locked/>
    <w:uiPriority w:val="99"/>
    <w:rPr>
      <w:rFonts w:ascii="Times New Roman" w:hAnsi="Times New Roman" w:cs="Times New Roman"/>
      <w:kern w:val="2"/>
      <w:sz w:val="18"/>
      <w:szCs w:val="18"/>
    </w:rPr>
  </w:style>
  <w:style w:type="character" w:customStyle="1" w:styleId="23">
    <w:name w:val="Footer Char"/>
    <w:basedOn w:val="15"/>
    <w:link w:val="8"/>
    <w:semiHidden/>
    <w:locked/>
    <w:uiPriority w:val="99"/>
    <w:rPr>
      <w:rFonts w:ascii="Times New Roman" w:hAnsi="Times New Roman" w:cs="Times New Roman"/>
      <w:sz w:val="18"/>
      <w:szCs w:val="18"/>
    </w:rPr>
  </w:style>
  <w:style w:type="character" w:customStyle="1" w:styleId="24">
    <w:name w:val="Header Char"/>
    <w:basedOn w:val="15"/>
    <w:link w:val="9"/>
    <w:semiHidden/>
    <w:locked/>
    <w:uiPriority w:val="99"/>
    <w:rPr>
      <w:rFonts w:ascii="Times New Roman" w:hAnsi="Times New Roman" w:cs="Times New Roman"/>
      <w:sz w:val="18"/>
      <w:szCs w:val="18"/>
    </w:rPr>
  </w:style>
  <w:style w:type="character" w:customStyle="1" w:styleId="25">
    <w:name w:val="Header Char1"/>
    <w:link w:val="9"/>
    <w:semiHidden/>
    <w:locked/>
    <w:uiPriority w:val="99"/>
    <w:rPr>
      <w:sz w:val="18"/>
    </w:rPr>
  </w:style>
  <w:style w:type="character" w:customStyle="1" w:styleId="26">
    <w:name w:val="Footer Char1"/>
    <w:link w:val="8"/>
    <w:locked/>
    <w:uiPriority w:val="99"/>
    <w:rPr>
      <w:sz w:val="18"/>
    </w:rPr>
  </w:style>
  <w:style w:type="character" w:customStyle="1" w:styleId="27">
    <w:name w:val="Body Text Char1"/>
    <w:link w:val="5"/>
    <w:locked/>
    <w:uiPriority w:val="99"/>
    <w:rPr>
      <w:rFonts w:ascii="仿宋_GB2312" w:hAnsi="Times New Roman" w:eastAsia="仿宋_GB2312"/>
      <w:sz w:val="24"/>
    </w:rPr>
  </w:style>
  <w:style w:type="paragraph" w:customStyle="1" w:styleId="28">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15"/>
    <w:basedOn w:val="15"/>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36</Pages>
  <Words>2421</Words>
  <Characters>13806</Characters>
  <Lines>0</Lines>
  <Paragraphs>0</Paragraphs>
  <TotalTime>131</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风语</cp:lastModifiedBy>
  <cp:lastPrinted>2019-08-01T00:48:00Z</cp:lastPrinted>
  <dcterms:modified xsi:type="dcterms:W3CDTF">2019-09-17T06:45:02Z</dcterms:modified>
  <dc:title>四川省***</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