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77193"/>
      <w:bookmarkStart w:id="3" w:name="_Toc15378441"/>
      <w:bookmarkStart w:id="4" w:name="_Toc15377425"/>
      <w:bookmarkStart w:id="5" w:name="_Toc15396597"/>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476"/>
      <w:bookmarkStart w:id="7" w:name="_Toc15396598"/>
      <w:bookmarkStart w:id="8" w:name="_Toc15377426"/>
      <w:bookmarkStart w:id="9" w:name="_Toc15377194"/>
      <w:bookmarkStart w:id="10" w:name="_Toc15378442"/>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广元市利州区纪委部门决算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公开时间：2019年9月1</w:t>
      </w:r>
      <w:r>
        <w:rPr>
          <w:rFonts w:hint="eastAsia"/>
          <w:lang w:val="en-US" w:eastAsia="zh-CN"/>
        </w:rPr>
        <w:t>2</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8</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bookmarkStart w:id="76" w:name="_GoBack"/>
      <w:bookmarkEnd w:id="76"/>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pStyle w:val="11"/>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rPr>
          <w:color w:val="000000" w:themeColor="text1"/>
          <w:sz w:val="28"/>
          <w:szCs w:val="28"/>
        </w:rPr>
      </w:pPr>
      <w:r>
        <w:rPr>
          <w:rFonts w:hint="eastAsia"/>
        </w:rPr>
        <w:t xml:space="preserve">    </w:t>
      </w:r>
      <w:r>
        <w:rPr>
          <w:rStyle w:val="15"/>
          <w:rFonts w:hint="eastAsia" w:ascii="仿宋" w:hAnsi="仿宋" w:eastAsia="仿宋" w:cstheme="majorBidi"/>
          <w:bCs/>
          <w:color w:val="000000" w:themeColor="text1"/>
          <w:sz w:val="28"/>
          <w:szCs w:val="28"/>
          <w:u w:val="none"/>
        </w:rPr>
        <w:t>十、预算绩效情况说明</w:t>
      </w:r>
      <w:r>
        <w:rPr>
          <w:rStyle w:val="15"/>
          <w:rFonts w:ascii="仿宋" w:hAnsi="仿宋" w:eastAsia="仿宋" w:cstheme="majorBidi"/>
          <w:bCs/>
          <w:color w:val="000000" w:themeColor="text1"/>
          <w:sz w:val="28"/>
          <w:szCs w:val="28"/>
          <w:u w:val="none"/>
        </w:rPr>
        <w:tab/>
      </w:r>
      <w:r>
        <w:rPr>
          <w:rStyle w:val="15"/>
          <w:rFonts w:ascii="仿宋" w:hAnsi="仿宋" w:eastAsia="仿宋" w:cstheme="majorBidi"/>
          <w:bCs/>
          <w:color w:val="000000" w:themeColor="text1"/>
          <w:sz w:val="28"/>
          <w:szCs w:val="28"/>
          <w:u w:val="none"/>
        </w:rPr>
        <w:t>…﹒</w:t>
      </w:r>
      <w:r>
        <w:rPr>
          <w:rFonts w:hint="eastAsia"/>
          <w:color w:val="000000" w:themeColor="text1"/>
          <w:sz w:val="28"/>
          <w:szCs w:val="28"/>
        </w:rPr>
        <w:t xml:space="preserve">                             17</w:t>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20</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21</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24</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24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31</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4"/>
          <w:rFonts w:ascii="黑体" w:hAnsi="黑体" w:eastAsia="黑体"/>
          <w:b w:val="0"/>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bookmarkStart w:id="14" w:name="_Toc15377197"/>
      <w:bookmarkStart w:id="15" w:name="_Toc15396600"/>
    </w:p>
    <w:p>
      <w:pPr>
        <w:pStyle w:val="2"/>
        <w:ind w:firstLine="640" w:firstLineChars="200"/>
        <w:rPr>
          <w:rStyle w:val="25"/>
          <w:rFonts w:ascii="黑体" w:hAnsi="黑体" w:eastAsia="黑体" w:cs="Times New Roman"/>
          <w:b w:val="0"/>
          <w:bCs w:val="0"/>
          <w:kern w:val="44"/>
        </w:rPr>
      </w:pPr>
      <w:r>
        <w:rPr>
          <w:rFonts w:hint="eastAsia" w:ascii="黑体" w:hAnsi="黑体" w:eastAsia="黑体"/>
          <w:b w:val="0"/>
          <w:color w:val="000000"/>
          <w:sz w:val="32"/>
          <w:szCs w:val="32"/>
        </w:rPr>
        <w:t>一、基</w:t>
      </w:r>
      <w:r>
        <w:rPr>
          <w:rStyle w:val="25"/>
          <w:rFonts w:hint="eastAsia" w:ascii="黑体" w:hAnsi="黑体" w:eastAsia="黑体"/>
          <w:b w:val="0"/>
          <w:bCs w:val="0"/>
        </w:rPr>
        <w:t>本职能及主要工作</w:t>
      </w:r>
      <w:bookmarkEnd w:id="14"/>
      <w:bookmarkEnd w:id="15"/>
    </w:p>
    <w:p>
      <w:pPr>
        <w:ind w:firstLine="480" w:firstLineChars="150"/>
        <w:rPr>
          <w:rFonts w:ascii="楷体" w:hAnsi="楷体" w:eastAsia="楷体"/>
          <w:bCs/>
          <w:color w:val="000000"/>
          <w:sz w:val="32"/>
          <w:szCs w:val="32"/>
        </w:rPr>
      </w:pPr>
      <w:bookmarkStart w:id="16" w:name="_Toc15377198"/>
      <w:bookmarkStart w:id="17" w:name="_Toc15378445"/>
      <w:r>
        <w:rPr>
          <w:rFonts w:hint="eastAsia" w:ascii="楷体" w:hAnsi="楷体" w:eastAsia="楷体"/>
          <w:bCs/>
          <w:color w:val="000000"/>
          <w:sz w:val="32"/>
          <w:szCs w:val="32"/>
        </w:rPr>
        <w:t>（一）主要职能</w:t>
      </w:r>
      <w:bookmarkEnd w:id="16"/>
      <w:bookmarkEnd w:id="17"/>
    </w:p>
    <w:p>
      <w:pPr>
        <w:ind w:firstLine="640" w:firstLineChars="200"/>
        <w:rPr>
          <w:rFonts w:hint="eastAsia" w:ascii="方正仿宋简体" w:hAnsi="仿宋" w:eastAsia="方正仿宋简体"/>
          <w:bCs/>
          <w:color w:val="000000"/>
          <w:sz w:val="32"/>
          <w:szCs w:val="32"/>
        </w:rPr>
      </w:pPr>
      <w:r>
        <w:rPr>
          <w:rFonts w:hint="eastAsia" w:ascii="方正仿宋简体" w:hAnsi="宋体" w:eastAsia="方正仿宋简体"/>
          <w:color w:val="000000"/>
          <w:sz w:val="32"/>
          <w:szCs w:val="32"/>
        </w:rPr>
        <w:t>中共广元市利州区纪委、广元市利州区监察委员会实行合署办公，履行纪检、监察两项职责，实行一套工作机构、两个机关名称。</w:t>
      </w:r>
    </w:p>
    <w:p>
      <w:pPr>
        <w:ind w:firstLine="640" w:firstLineChars="200"/>
        <w:rPr>
          <w:rFonts w:hint="eastAsia" w:ascii="方正仿宋简体" w:hAnsi="宋体" w:eastAsia="方正仿宋简体"/>
          <w:color w:val="000000"/>
          <w:sz w:val="32"/>
          <w:szCs w:val="32"/>
        </w:rPr>
      </w:pPr>
      <w:r>
        <w:rPr>
          <w:rFonts w:hint="eastAsia" w:ascii="方正仿宋简体" w:hAnsi="宋体" w:eastAsia="方正仿宋简体"/>
          <w:color w:val="000000"/>
          <w:sz w:val="32"/>
          <w:szCs w:val="32"/>
        </w:rPr>
        <w:t>1.负责党的纪律检查工作。贯彻落实党中央关于纪律检查工作的决定，维护党的章程和其他党内法规，检查党的路线方针政策和决议的执行情况，协助区委推进全面从严治党、加强党风建设和组织协调反腐败工作。</w:t>
      </w:r>
    </w:p>
    <w:p>
      <w:pPr>
        <w:ind w:firstLine="640" w:firstLineChars="200"/>
        <w:rPr>
          <w:rFonts w:hint="eastAsia" w:ascii="方正仿宋简体" w:hAnsi="宋体" w:eastAsia="方正仿宋简体"/>
          <w:color w:val="000000"/>
          <w:sz w:val="32"/>
          <w:szCs w:val="32"/>
        </w:rPr>
      </w:pPr>
      <w:r>
        <w:rPr>
          <w:rFonts w:hint="eastAsia" w:ascii="方正仿宋简体" w:hAnsi="宋体" w:eastAsia="方正仿宋简体"/>
          <w:color w:val="000000"/>
          <w:sz w:val="32"/>
          <w:szCs w:val="32"/>
        </w:rPr>
        <w:t>2.依照党的章程和其他党内法规履行监督、执纪、问责职责。负责经常对党员进行遵守纪律的教育，作出关于维护党纪的决定，对区委工作机关、区委批准设立的党组织（党委），各乡镇（街道）党（工）委、纪（工）委等党的组织和区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ind w:firstLine="640" w:firstLineChars="200"/>
        <w:rPr>
          <w:rFonts w:hint="eastAsia" w:ascii="方正仿宋简体" w:hAnsi="宋体" w:eastAsia="方正仿宋简体"/>
          <w:color w:val="000000"/>
          <w:sz w:val="32"/>
          <w:szCs w:val="32"/>
        </w:rPr>
      </w:pPr>
      <w:r>
        <w:rPr>
          <w:rFonts w:hint="eastAsia" w:ascii="方正仿宋简体" w:hAnsi="宋体" w:eastAsia="方正仿宋简体"/>
          <w:color w:val="000000"/>
          <w:sz w:val="32"/>
          <w:szCs w:val="32"/>
        </w:rPr>
        <w:t>3.负责全区监察工作。贯彻落实党中央关于监察工作的决定，维护宪法法律，依法对区委管理的行使公权力的公职人员进行监察，调查职务违法和职务犯罪，开展廉政建设和反腐败工作。</w:t>
      </w:r>
    </w:p>
    <w:p>
      <w:pPr>
        <w:ind w:firstLine="640" w:firstLineChars="200"/>
        <w:rPr>
          <w:rFonts w:hint="eastAsia" w:ascii="方正仿宋简体" w:hAnsi="宋体" w:eastAsia="方正仿宋简体"/>
          <w:color w:val="000000"/>
          <w:sz w:val="32"/>
          <w:szCs w:val="32"/>
        </w:rPr>
      </w:pPr>
      <w:r>
        <w:rPr>
          <w:rFonts w:hint="eastAsia" w:ascii="方正仿宋简体" w:hAnsi="宋体" w:eastAsia="方正仿宋简体"/>
          <w:color w:val="000000"/>
          <w:sz w:val="32"/>
          <w:szCs w:val="32"/>
        </w:rPr>
        <w:t>4.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ind w:firstLine="640" w:firstLineChars="200"/>
        <w:rPr>
          <w:rFonts w:hint="eastAsia" w:ascii="方正仿宋简体" w:hAnsi="宋体" w:eastAsia="方正仿宋简体"/>
          <w:color w:val="000000"/>
          <w:sz w:val="32"/>
          <w:szCs w:val="32"/>
        </w:rPr>
      </w:pPr>
      <w:r>
        <w:rPr>
          <w:rFonts w:hint="eastAsia" w:ascii="方正仿宋简体" w:hAnsi="宋体" w:eastAsia="方正仿宋简体"/>
          <w:color w:val="000000"/>
          <w:sz w:val="32"/>
          <w:szCs w:val="32"/>
        </w:rPr>
        <w:t>5.负责组织协调全面从严治党、党风廉政建设和反腐败宣传教育工作。</w:t>
      </w:r>
    </w:p>
    <w:p>
      <w:pPr>
        <w:ind w:firstLine="640" w:firstLineChars="200"/>
        <w:rPr>
          <w:rFonts w:hint="eastAsia" w:ascii="方正仿宋简体" w:hAnsi="宋体" w:eastAsia="方正仿宋简体"/>
          <w:color w:val="000000"/>
          <w:sz w:val="32"/>
          <w:szCs w:val="32"/>
        </w:rPr>
      </w:pPr>
      <w:r>
        <w:rPr>
          <w:rFonts w:hint="eastAsia" w:ascii="方正仿宋简体" w:hAnsi="宋体" w:eastAsia="方正仿宋简体"/>
          <w:color w:val="000000"/>
          <w:sz w:val="32"/>
          <w:szCs w:val="32"/>
        </w:rPr>
        <w:t>6.负责综合分析全面从严治党、党风廉政建设和反腐败工作情况。对纪检监察工作重要理论及实践问题进行调查研究，制定或者修改全区纪检监察规范性文件，参与起草制定相关法规和规范性文件。</w:t>
      </w:r>
    </w:p>
    <w:p>
      <w:pPr>
        <w:ind w:firstLine="640" w:firstLineChars="200"/>
        <w:rPr>
          <w:rFonts w:hint="eastAsia" w:ascii="方正仿宋简体" w:hAnsi="宋体" w:eastAsia="方正仿宋简体"/>
          <w:color w:val="000000"/>
          <w:sz w:val="32"/>
          <w:szCs w:val="32"/>
        </w:rPr>
      </w:pPr>
      <w:r>
        <w:rPr>
          <w:rFonts w:hint="eastAsia" w:ascii="方正仿宋简体" w:hAnsi="宋体" w:eastAsia="方正仿宋简体"/>
          <w:color w:val="000000"/>
          <w:sz w:val="32"/>
          <w:szCs w:val="32"/>
        </w:rPr>
        <w:t>7.在市纪委监委的领导下，加强对反腐败国际追逃追赃和防逃工作的组织协调，督促有关单位做好相关工作。</w:t>
      </w:r>
    </w:p>
    <w:p>
      <w:pPr>
        <w:ind w:firstLine="640" w:firstLineChars="200"/>
        <w:rPr>
          <w:rFonts w:hint="eastAsia" w:ascii="方正仿宋简体" w:hAnsi="宋体" w:eastAsia="方正仿宋简体"/>
          <w:color w:val="000000"/>
          <w:sz w:val="32"/>
          <w:szCs w:val="32"/>
        </w:rPr>
      </w:pPr>
      <w:r>
        <w:rPr>
          <w:rFonts w:hint="eastAsia" w:ascii="方正仿宋简体" w:hAnsi="宋体" w:eastAsia="方正仿宋简体"/>
          <w:color w:val="000000"/>
          <w:sz w:val="32"/>
          <w:szCs w:val="32"/>
        </w:rPr>
        <w:t>8.根据干部管理权限，负责纪检监察系统领导班子建设、干部队伍建设和组织建设的综合规划、政策研究、制度建设和业务指导。会同有关方面做好区纪委监委派驻（出）机构、乡镇（街道）纪（工）委（监察室）、区管企业和区属学校医院等企事业单位纪检监察机构领导班子建设有关工作，组织和指导全区纪检监察系统教育培训工作等。</w:t>
      </w:r>
    </w:p>
    <w:p>
      <w:pPr>
        <w:ind w:firstLine="640" w:firstLineChars="200"/>
        <w:rPr>
          <w:rFonts w:hint="eastAsia" w:ascii="方正仿宋简体" w:hAnsi="宋体" w:eastAsia="方正仿宋简体"/>
          <w:color w:val="000000"/>
          <w:sz w:val="32"/>
          <w:szCs w:val="32"/>
        </w:rPr>
      </w:pPr>
      <w:r>
        <w:rPr>
          <w:rFonts w:hint="eastAsia" w:ascii="方正仿宋简体" w:hAnsi="宋体" w:eastAsia="方正仿宋简体"/>
          <w:color w:val="000000"/>
          <w:sz w:val="32"/>
          <w:szCs w:val="32"/>
        </w:rPr>
        <w:t>9.完成区委和市纪委监委交办的其他任务。</w:t>
      </w:r>
    </w:p>
    <w:p>
      <w:pPr>
        <w:pStyle w:val="5"/>
        <w:adjustRightInd w:val="0"/>
        <w:snapToGrid w:val="0"/>
        <w:spacing w:before="93" w:line="600" w:lineRule="exact"/>
        <w:ind w:firstLine="672" w:firstLineChars="210"/>
        <w:outlineLvl w:val="2"/>
        <w:rPr>
          <w:rFonts w:ascii="楷体" w:hAnsi="楷体" w:eastAsia="楷体"/>
          <w:bCs/>
          <w:color w:val="000000"/>
          <w:sz w:val="32"/>
          <w:szCs w:val="32"/>
        </w:rPr>
      </w:pPr>
      <w:bookmarkStart w:id="18" w:name="_Toc15377199"/>
      <w:bookmarkStart w:id="19" w:name="_Toc15378446"/>
      <w:r>
        <w:rPr>
          <w:rFonts w:hint="eastAsia" w:ascii="楷体" w:hAnsi="楷体" w:eastAsia="楷体"/>
          <w:bCs/>
          <w:color w:val="000000"/>
          <w:sz w:val="32"/>
          <w:szCs w:val="32"/>
        </w:rPr>
        <w:t>（二）</w:t>
      </w:r>
      <w:r>
        <w:rPr>
          <w:rFonts w:ascii="楷体" w:hAnsi="楷体" w:eastAsia="楷体"/>
          <w:bCs/>
          <w:color w:val="000000"/>
          <w:sz w:val="32"/>
          <w:szCs w:val="32"/>
        </w:rPr>
        <w:t>201</w:t>
      </w:r>
      <w:r>
        <w:rPr>
          <w:rFonts w:hint="eastAsia" w:ascii="楷体" w:hAnsi="楷体" w:eastAsia="楷体"/>
          <w:bCs/>
          <w:color w:val="000000"/>
          <w:sz w:val="32"/>
          <w:szCs w:val="32"/>
        </w:rPr>
        <w:t>8年重点工作完成情况</w:t>
      </w:r>
      <w:bookmarkEnd w:id="18"/>
      <w:bookmarkEnd w:id="19"/>
    </w:p>
    <w:p>
      <w:pPr>
        <w:pStyle w:val="5"/>
        <w:adjustRightInd w:val="0"/>
        <w:snapToGrid w:val="0"/>
        <w:spacing w:before="93" w:line="600" w:lineRule="exact"/>
        <w:ind w:firstLine="672" w:firstLineChars="210"/>
        <w:outlineLvl w:val="2"/>
        <w:rPr>
          <w:rFonts w:hint="eastAsia" w:ascii="方正仿宋简体" w:hAnsi="仿宋" w:eastAsia="方正仿宋简体"/>
          <w:bCs/>
          <w:color w:val="000000"/>
          <w:sz w:val="32"/>
          <w:szCs w:val="32"/>
        </w:rPr>
      </w:pPr>
      <w:r>
        <w:rPr>
          <w:rFonts w:hint="eastAsia" w:ascii="方正仿宋简体" w:hAnsi="仿宋" w:eastAsia="方正仿宋简体"/>
          <w:bCs/>
          <w:color w:val="000000"/>
          <w:sz w:val="32"/>
          <w:szCs w:val="32"/>
        </w:rPr>
        <w:t>1.聚焦压力传导，扛稳抓牢政治责任。坚持以习近平新时代中国特色社会主义思想为指导，坚定不移落实新时代全面从严治党要求，自觉担负“两个维护”重大政治责任，严守政治纪律和政治规矩，以落实“两个责任”为统揽，持续深化签字背书、责任清单、述责述廉等有效机制，建立落实党风廉政建设责任制情况抄告制度，持续完善主体责任落实链条。全年组织集中述责述廉2场，开展专项监督检查3次，督促整改问题30余个，问责党组织5个、党员干部32人。</w:t>
      </w:r>
    </w:p>
    <w:p>
      <w:pPr>
        <w:pStyle w:val="5"/>
        <w:adjustRightInd w:val="0"/>
        <w:snapToGrid w:val="0"/>
        <w:spacing w:before="93" w:line="600" w:lineRule="exact"/>
        <w:ind w:firstLine="672" w:firstLineChars="210"/>
        <w:outlineLvl w:val="2"/>
        <w:rPr>
          <w:rFonts w:hint="eastAsia" w:ascii="方正仿宋简体" w:hAnsi="仿宋" w:eastAsia="方正仿宋简体"/>
          <w:bCs/>
          <w:color w:val="000000"/>
          <w:sz w:val="32"/>
          <w:szCs w:val="32"/>
        </w:rPr>
      </w:pPr>
      <w:r>
        <w:rPr>
          <w:rFonts w:hint="eastAsia" w:ascii="方正仿宋简体" w:hAnsi="仿宋" w:eastAsia="方正仿宋简体"/>
          <w:bCs/>
          <w:color w:val="000000"/>
          <w:sz w:val="32"/>
          <w:szCs w:val="32"/>
        </w:rPr>
        <w:t>2.聚焦精准监督，切实担当第一职责。认真履行纪委监委监督首要职责，当好政治生态“护林员”。一方面，强化执纪监督，统筹设置7个纪检监察室，在县区一级率先探索执纪监督与执纪审查分设，推动治理体系和治理能力现代化。另一方面，突出巡察监督，把牢政治站位，对27家单位进行常规巡察和脱贫攻坚专项巡察，发现问题264个，移交问题线索25个。同时，深化社会监督，开展“廉洁大使”评选活动，把“问政利州”搬到群众家门口，围绕项目建设、脱贫攻坚制播节目4期，曝光问题43个，问责25人。</w:t>
      </w:r>
    </w:p>
    <w:p>
      <w:pPr>
        <w:pStyle w:val="5"/>
        <w:adjustRightInd w:val="0"/>
        <w:snapToGrid w:val="0"/>
        <w:spacing w:before="93" w:line="600" w:lineRule="exact"/>
        <w:ind w:firstLine="672" w:firstLineChars="210"/>
        <w:outlineLvl w:val="2"/>
        <w:rPr>
          <w:rFonts w:hint="eastAsia" w:ascii="方正仿宋简体" w:hAnsi="仿宋" w:eastAsia="方正仿宋简体"/>
          <w:bCs/>
          <w:color w:val="000000"/>
          <w:sz w:val="32"/>
          <w:szCs w:val="32"/>
        </w:rPr>
      </w:pPr>
      <w:r>
        <w:rPr>
          <w:rFonts w:hint="eastAsia" w:ascii="方正仿宋简体" w:hAnsi="仿宋" w:eastAsia="方正仿宋简体"/>
          <w:bCs/>
          <w:color w:val="000000"/>
          <w:sz w:val="32"/>
          <w:szCs w:val="32"/>
        </w:rPr>
        <w:t>3.聚焦正风肃纪，突出重点系统治理。坚定落实中央八项规定及其实施细则，坚决整治形式主义、官僚主义，立案查处“四风”问题10起、14人。扎实推进“作风纪律深化年”活动，集中整治“六大突出问题”，开展专项督查14场，收集问题线索338条，问责处理224人。深入开展扶贫领域腐败和作风问题专项治理，立案查处24件，组织处理63人。大力开展“一卡通”专项治理，查处问题160个、处分39人，528名干部群众主动上缴资金149.64万元。切实开展扫黑除恶专项斗争，排查涉黑涉恶问题线索38条，立案查处3人。</w:t>
      </w:r>
    </w:p>
    <w:p>
      <w:pPr>
        <w:pStyle w:val="5"/>
        <w:adjustRightInd w:val="0"/>
        <w:snapToGrid w:val="0"/>
        <w:spacing w:before="93" w:line="600" w:lineRule="exact"/>
        <w:ind w:firstLine="672" w:firstLineChars="210"/>
        <w:outlineLvl w:val="2"/>
        <w:rPr>
          <w:rFonts w:hint="eastAsia" w:ascii="方正仿宋简体" w:hAnsi="仿宋" w:eastAsia="方正仿宋简体"/>
          <w:bCs/>
          <w:color w:val="000000"/>
          <w:sz w:val="32"/>
          <w:szCs w:val="32"/>
        </w:rPr>
      </w:pPr>
      <w:r>
        <w:rPr>
          <w:rFonts w:hint="eastAsia" w:ascii="方正仿宋简体" w:hAnsi="仿宋" w:eastAsia="方正仿宋简体"/>
          <w:bCs/>
          <w:color w:val="000000"/>
          <w:sz w:val="32"/>
          <w:szCs w:val="32"/>
        </w:rPr>
        <w:t>4.聚焦标本兼治，旗帜鲜明惩治腐败。坚持执纪为民，重拳惩治群众身边“微腐败”。全年处置问题线索533件，立案查处150件，党纪政务处分143人，其中：采取留置措施3人、移送审查起诉5人。坚持挺纪在前、抓早抓小，有效运用“四种形态”处理538人次，占比分别为72.5%、24%、1.5%、2%。持续深化“纪检监察信访进大厅”，推行“三零三化”信访工作法，受理检举控告类信访举报213件，同比增长15.1%。做深做实“下半篇”文章，典型案件剖析先后20余次被《中国纪检监察报》等媒体宣传报道。同时，创新开展“微课堂”除“微腐败”活动，通报曝光典型案件81件，开展警示教育210余场。</w:t>
      </w:r>
    </w:p>
    <w:p>
      <w:pPr>
        <w:pStyle w:val="5"/>
        <w:adjustRightInd w:val="0"/>
        <w:snapToGrid w:val="0"/>
        <w:spacing w:before="93" w:line="600" w:lineRule="exact"/>
        <w:ind w:firstLine="672" w:firstLineChars="210"/>
        <w:outlineLvl w:val="2"/>
        <w:rPr>
          <w:rFonts w:hint="eastAsia" w:ascii="方正仿宋简体" w:hAnsi="仿宋" w:eastAsia="方正仿宋简体"/>
          <w:bCs/>
          <w:color w:val="000000"/>
          <w:sz w:val="32"/>
          <w:szCs w:val="32"/>
        </w:rPr>
      </w:pPr>
      <w:r>
        <w:rPr>
          <w:rFonts w:hint="eastAsia" w:ascii="方正仿宋简体" w:hAnsi="仿宋" w:eastAsia="方正仿宋简体"/>
          <w:bCs/>
          <w:color w:val="000000"/>
          <w:sz w:val="32"/>
          <w:szCs w:val="32"/>
        </w:rPr>
        <w:t>5.聚焦队伍建设，着力锻造铁军队伍。稳妥推进监察体制改革，如期完成编制划转、人员转隶和挂牌组建；全面完成综合派驻机构改革，实现派驻监督全覆盖；全力推进国家监察向基层延伸，4个片区纪检监察组、17个乡镇（街道）监察室全部组建到位。深入开展“大学习、大讨论、大调研”活动，通过集中学习、知识竞赛、专题讨论、跟班轮训等方式，大力实施能力素质提升行动，建设精忠向党、精诚守纪、精准提能、精干实为、精细筑廉“五精”干部队伍。</w:t>
      </w:r>
      <w:bookmarkStart w:id="20" w:name="_Toc15377200"/>
      <w:bookmarkStart w:id="21" w:name="_Toc15396601"/>
    </w:p>
    <w:p>
      <w:pPr>
        <w:pStyle w:val="5"/>
        <w:adjustRightInd w:val="0"/>
        <w:snapToGrid w:val="0"/>
        <w:spacing w:before="93" w:line="600" w:lineRule="exact"/>
        <w:ind w:firstLine="630" w:firstLineChars="210"/>
        <w:outlineLvl w:val="2"/>
        <w:rPr>
          <w:rStyle w:val="25"/>
          <w:rFonts w:ascii="仿宋" w:hAnsi="仿宋" w:eastAsia="仿宋" w:cs="Times New Roman"/>
          <w:b w:val="0"/>
          <w:color w:val="000000"/>
          <w:kern w:val="0"/>
        </w:rPr>
      </w:pPr>
      <w:r>
        <w:rPr>
          <w:rFonts w:hint="eastAsia" w:ascii="黑体" w:eastAsia="黑体"/>
          <w:color w:val="000000"/>
        </w:rPr>
        <w:t>二、</w:t>
      </w:r>
      <w:r>
        <w:rPr>
          <w:rFonts w:hint="eastAsia" w:ascii="黑体" w:hAnsi="黑体" w:eastAsia="黑体"/>
          <w:color w:val="000000"/>
        </w:rPr>
        <w:t>机</w:t>
      </w:r>
      <w:r>
        <w:rPr>
          <w:rStyle w:val="25"/>
          <w:rFonts w:hint="eastAsia" w:ascii="黑体" w:hAnsi="黑体" w:eastAsia="黑体"/>
        </w:rPr>
        <w:t>构设置</w:t>
      </w:r>
      <w:bookmarkEnd w:id="20"/>
      <w:bookmarkEnd w:id="21"/>
    </w:p>
    <w:p>
      <w:pPr>
        <w:ind w:firstLine="800" w:firstLineChars="250"/>
        <w:rPr>
          <w:rFonts w:hint="eastAsia" w:ascii="方正仿宋简体" w:hAnsi="楷体" w:eastAsia="方正仿宋简体"/>
          <w:sz w:val="32"/>
          <w:szCs w:val="32"/>
        </w:rPr>
      </w:pPr>
      <w:r>
        <w:rPr>
          <w:rFonts w:hint="eastAsia" w:ascii="方正仿宋简体" w:hAnsi="楷体" w:eastAsia="方正仿宋简体"/>
          <w:sz w:val="32"/>
          <w:szCs w:val="32"/>
        </w:rPr>
        <w:t>广元市利州区纪委下属二级单位0个，其中行政单位0个，参照公务员法管理的事业单位</w:t>
      </w:r>
      <w:r>
        <w:rPr>
          <w:rFonts w:hint="eastAsia" w:ascii="方正仿宋简体" w:hAnsi="楷体" w:eastAsia="方正仿宋简体"/>
          <w:bCs/>
          <w:sz w:val="32"/>
          <w:szCs w:val="32"/>
        </w:rPr>
        <w:t>0</w:t>
      </w:r>
      <w:r>
        <w:rPr>
          <w:rFonts w:hint="eastAsia" w:ascii="方正仿宋简体" w:hAnsi="楷体" w:eastAsia="方正仿宋简体"/>
          <w:sz w:val="32"/>
          <w:szCs w:val="32"/>
        </w:rPr>
        <w:t>个，其他事业单位0个。</w:t>
      </w:r>
    </w:p>
    <w:p>
      <w:pPr>
        <w:pStyle w:val="5"/>
        <w:adjustRightInd w:val="0"/>
        <w:snapToGrid w:val="0"/>
        <w:spacing w:before="93" w:line="600" w:lineRule="exact"/>
        <w:ind w:firstLine="672" w:firstLineChars="210"/>
        <w:rPr>
          <w:rFonts w:hint="eastAsia" w:ascii="方正仿宋简体" w:hAnsi="楷体" w:eastAsia="方正仿宋简体"/>
          <w:color w:val="000000"/>
          <w:sz w:val="32"/>
          <w:szCs w:val="32"/>
        </w:rPr>
      </w:pPr>
      <w:r>
        <w:rPr>
          <w:rFonts w:hint="eastAsia" w:ascii="方正仿宋简体" w:hAnsi="楷体" w:eastAsia="方正仿宋简体"/>
          <w:color w:val="000000"/>
          <w:sz w:val="32"/>
          <w:szCs w:val="32"/>
        </w:rPr>
        <w:t>纳入</w:t>
      </w:r>
      <w:r>
        <w:rPr>
          <w:rFonts w:hint="eastAsia" w:ascii="方正仿宋简体" w:hAnsi="楷体" w:eastAsia="方正仿宋简体"/>
          <w:sz w:val="32"/>
          <w:szCs w:val="32"/>
        </w:rPr>
        <w:t>广元市利州区纪委</w:t>
      </w:r>
      <w:r>
        <w:rPr>
          <w:rFonts w:hint="eastAsia" w:ascii="方正仿宋简体" w:hAnsi="楷体" w:eastAsia="方正仿宋简体"/>
          <w:color w:val="000000"/>
          <w:sz w:val="32"/>
          <w:szCs w:val="32"/>
        </w:rPr>
        <w:t>2018年度部门决算编制范围的二级预算单位包括：无。</w:t>
      </w:r>
    </w:p>
    <w:p>
      <w:pPr>
        <w:ind w:firstLine="800" w:firstLineChars="250"/>
        <w:rPr>
          <w:rFonts w:ascii="仿宋" w:hAnsi="仿宋" w:eastAsia="仿宋"/>
          <w:color w:val="000000"/>
          <w:kern w:val="0"/>
          <w:sz w:val="32"/>
          <w:szCs w:val="32"/>
        </w:rPr>
      </w:pPr>
    </w:p>
    <w:p>
      <w:pPr>
        <w:pStyle w:val="2"/>
        <w:ind w:right="440"/>
        <w:jc w:val="right"/>
        <w:rPr>
          <w:rStyle w:val="2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hint="eastAsia" w:ascii="方正仿宋简体" w:hAnsi="仿宋" w:eastAsia="方正仿宋简体"/>
          <w:color w:val="000000"/>
          <w:sz w:val="32"/>
          <w:szCs w:val="32"/>
        </w:rPr>
      </w:pPr>
      <w:r>
        <w:rPr>
          <w:rFonts w:hint="eastAsia" w:ascii="方正仿宋简体" w:hAnsi="仿宋" w:eastAsia="方正仿宋简体"/>
          <w:color w:val="000000"/>
          <w:sz w:val="32"/>
          <w:szCs w:val="32"/>
        </w:rPr>
        <w:t>2018年度利州区纪委收入总计784.69万元。与2017年相比（568.71万元），收入增加215.98万元，增长37.98%。主要变动原因：一是2018年监察体制改革后，从区检察院转隶17人，人员经费增加；二是新购置执法车辆2辆；三是人员工资增资、调标。</w:t>
      </w:r>
    </w:p>
    <w:p>
      <w:pPr>
        <w:spacing w:line="600" w:lineRule="exact"/>
        <w:ind w:firstLine="640" w:firstLineChars="200"/>
        <w:rPr>
          <w:rFonts w:hint="eastAsia" w:ascii="方正仿宋简体" w:hAnsi="仿宋" w:eastAsia="方正仿宋简体"/>
          <w:color w:val="000000"/>
          <w:sz w:val="32"/>
          <w:szCs w:val="32"/>
        </w:rPr>
      </w:pPr>
      <w:r>
        <w:rPr>
          <w:rFonts w:hint="eastAsia" w:ascii="方正仿宋简体" w:hAnsi="仿宋" w:eastAsia="方正仿宋简体"/>
          <w:color w:val="000000"/>
          <w:sz w:val="32"/>
          <w:szCs w:val="32"/>
        </w:rPr>
        <w:t>2018年度支出总计823.96万元。与2017年相比（541.18万元），支出增加282.78万元，增长52.25%。主要变动原因：一是2018年监察体制改革后，从区检察院转隶17人，人员经费增加；二是新购置执法车辆2辆；三是人员工资增资、调标。</w:t>
      </w:r>
    </w:p>
    <w:p>
      <w:pPr>
        <w:spacing w:line="600" w:lineRule="exact"/>
        <w:ind w:firstLine="640" w:firstLineChars="200"/>
        <w:rPr>
          <w:rFonts w:hint="eastAsia" w:ascii="方正仿宋简体" w:hAnsi="仿宋" w:eastAsia="方正仿宋简体"/>
          <w:color w:val="000000" w:themeColor="text1"/>
          <w:sz w:val="32"/>
          <w:szCs w:val="32"/>
        </w:rPr>
      </w:pPr>
      <w:r>
        <w:rPr>
          <w:rFonts w:hint="eastAsia" w:ascii="方正仿宋简体" w:hAnsi="仿宋" w:eastAsia="方正仿宋简体"/>
          <w:color w:val="000000" w:themeColor="text1"/>
          <w:sz w:val="32"/>
          <w:szCs w:val="32"/>
        </w:rPr>
        <w:t>（图1：收、支决算总计变动情况图）（</w:t>
      </w:r>
      <w:r>
        <w:rPr>
          <w:rFonts w:hint="eastAsia" w:ascii="方正仿宋简体" w:hAnsi="仿宋" w:eastAsia="方正仿宋简体"/>
          <w:color w:val="000000"/>
          <w:sz w:val="32"/>
          <w:szCs w:val="32"/>
        </w:rPr>
        <w:t>柱状图</w:t>
      </w:r>
      <w:r>
        <w:rPr>
          <w:rFonts w:hint="eastAsia" w:ascii="方正仿宋简体" w:hAnsi="仿宋" w:eastAsia="方正仿宋简体"/>
          <w:color w:val="000000" w:themeColor="text1"/>
          <w:sz w:val="32"/>
          <w:szCs w:val="32"/>
        </w:rPr>
        <w:t>）</w:t>
      </w:r>
    </w:p>
    <w:p>
      <w:pPr>
        <w:spacing w:line="600" w:lineRule="exact"/>
        <w:ind w:firstLine="640" w:firstLineChars="200"/>
        <w:rPr>
          <w:rStyle w:val="25"/>
          <w:rFonts w:ascii="黑体" w:hAnsi="黑体" w:eastAsia="黑体"/>
          <w:b w:val="0"/>
        </w:rPr>
      </w:pPr>
      <w:r>
        <w:rPr>
          <w:rFonts w:ascii="仿宋" w:hAnsi="仿宋" w:eastAsia="仿宋"/>
          <w:color w:val="000000" w:themeColor="text1"/>
          <w:sz w:val="32"/>
          <w:szCs w:val="32"/>
        </w:rPr>
        <w:pict>
          <v:shape id="对象 1" o:spid="_x0000_s1039" o:spt="75" type="#_x0000_t75" style="position:absolute;left:0pt;margin-left:8.7pt;margin-top:0.95pt;height:190.5pt;width:392.75pt;mso-wrap-distance-bottom:0pt;mso-wrap-distance-top:0pt;z-index:-251649024;mso-width-relative:page;mso-height-relative:page;" o:ole="t" filled="f" o:preferrelative="t" stroked="f" coordsize="21600,21600">
            <v:path/>
            <v:fill on="f" focussize="0,0"/>
            <v:stroke on="f" joinstyle="miter"/>
            <v:imagedata r:id="rId7" o:title=""/>
            <o:lock v:ext="edit" aspectratio="t"/>
            <w10:wrap type="topAndBottom"/>
          </v:shape>
          <o:OLEObject Type="Embed" ProgID="Excel.Sheet.8" ShapeID="对象 1" DrawAspect="Content" ObjectID="_1468075725" r:id="rId6">
            <o:LockedField>false</o:LockedField>
          </o:OLEObject>
        </w:pict>
      </w:r>
      <w:bookmarkStart w:id="26" w:name="_Toc15377206"/>
      <w:bookmarkStart w:id="27" w:name="_Toc15396604"/>
      <w:r>
        <w:rPr>
          <w:rFonts w:hint="eastAsia" w:ascii="黑体" w:hAnsi="黑体" w:eastAsia="黑体"/>
          <w:color w:val="000000"/>
          <w:sz w:val="32"/>
          <w:szCs w:val="32"/>
        </w:rPr>
        <w:t>二、收</w:t>
      </w:r>
      <w:r>
        <w:rPr>
          <w:rStyle w:val="25"/>
          <w:rFonts w:hint="eastAsia" w:ascii="黑体" w:hAnsi="黑体" w:eastAsia="黑体"/>
          <w:b w:val="0"/>
        </w:rPr>
        <w:t>入决算情况说明</w:t>
      </w:r>
      <w:bookmarkEnd w:id="26"/>
      <w:bookmarkEnd w:id="27"/>
    </w:p>
    <w:p>
      <w:pPr>
        <w:spacing w:line="520" w:lineRule="exact"/>
        <w:ind w:firstLine="640" w:firstLineChars="200"/>
        <w:outlineLvl w:val="1"/>
        <w:rPr>
          <w:rFonts w:hint="eastAsia" w:ascii="方正仿宋简体" w:hAnsi="仿宋" w:eastAsia="方正仿宋简体"/>
          <w:color w:val="000000"/>
          <w:sz w:val="32"/>
          <w:szCs w:val="32"/>
        </w:rPr>
      </w:pPr>
      <w:r>
        <w:rPr>
          <w:rFonts w:hint="eastAsia" w:ascii="方正仿宋简体" w:hAnsi="仿宋" w:eastAsia="方正仿宋简体"/>
          <w:color w:val="000000"/>
          <w:sz w:val="32"/>
          <w:szCs w:val="32"/>
        </w:rPr>
        <w:t>2018年本年收入合计784.69万元，其中：一般公共预算财政拨款收入784.69万元，占100%；政府性基金预算财政拨款收入0万元，占0%；国有资本经营预算财政拨款收入0万元，占0%；事业收入0万元，占0%；经营收入0万元，占0%；附属单位上缴收入0万元，占0%；其他收入0万元，占0%。</w:t>
      </w:r>
    </w:p>
    <w:p>
      <w:pPr>
        <w:spacing w:line="520" w:lineRule="exact"/>
        <w:ind w:firstLine="640" w:firstLineChars="200"/>
        <w:rPr>
          <w:rFonts w:hint="eastAsia" w:ascii="方正仿宋简体" w:hAnsi="仿宋" w:eastAsia="方正仿宋简体"/>
          <w:color w:val="000000" w:themeColor="text1"/>
          <w:sz w:val="32"/>
          <w:szCs w:val="32"/>
        </w:rPr>
      </w:pPr>
      <w:r>
        <w:rPr>
          <w:rFonts w:hint="eastAsia" w:ascii="方正仿宋简体" w:eastAsia="方正仿宋简体"/>
          <w:color w:val="FF0000"/>
          <w:sz w:val="32"/>
          <w:szCs w:val="32"/>
        </w:rPr>
        <w:pict>
          <v:shape id="对象 2" o:spid="_x0000_s1028" o:spt="75" type="#_x0000_t75" style="position:absolute;left:0pt;margin-left:45.3pt;margin-top:28.25pt;height:133.45pt;width:321.25pt;mso-wrap-distance-bottom:0pt;mso-wrap-distance-top:0pt;z-index:251659264;mso-width-relative:page;mso-height-relative:page;" o:ole="t" filled="f" o:preferrelative="t" stroked="f" coordsize="21600,21600">
            <v:path/>
            <v:fill on="f" focussize="0,0"/>
            <v:stroke on="f" joinstyle="miter"/>
            <v:imagedata r:id="rId9" o:title=""/>
            <o:lock v:ext="edit" aspectratio="t"/>
            <w10:wrap type="topAndBottom"/>
          </v:shape>
          <o:OLEObject Type="Embed" ProgID="Excel.Sheet.8" ShapeID="对象 2" DrawAspect="Content" ObjectID="_1468075726" r:id="rId8">
            <o:LockedField>false</o:LockedField>
          </o:OLEObject>
        </w:pict>
      </w:r>
      <w:r>
        <w:rPr>
          <w:rFonts w:hint="eastAsia" w:ascii="方正仿宋简体" w:hAnsi="仿宋" w:eastAsia="方正仿宋简体"/>
          <w:color w:val="000000" w:themeColor="text1"/>
          <w:sz w:val="32"/>
          <w:szCs w:val="32"/>
        </w:rPr>
        <w:t>（图2：收入决算结构图）（</w:t>
      </w:r>
      <w:r>
        <w:rPr>
          <w:rFonts w:hint="eastAsia" w:ascii="方正仿宋简体" w:hAnsi="仿宋" w:eastAsia="方正仿宋简体"/>
          <w:color w:val="000000"/>
          <w:sz w:val="32"/>
          <w:szCs w:val="32"/>
        </w:rPr>
        <w:t>饼状图</w:t>
      </w:r>
      <w:r>
        <w:rPr>
          <w:rFonts w:hint="eastAsia" w:ascii="方正仿宋简体" w:hAnsi="仿宋" w:eastAsia="方正仿宋简体"/>
          <w:color w:val="000000" w:themeColor="text1"/>
          <w:sz w:val="32"/>
          <w:szCs w:val="32"/>
        </w:rPr>
        <w:t>）</w:t>
      </w: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rPr>
        <w:t>三、支</w:t>
      </w:r>
      <w:r>
        <w:rPr>
          <w:rStyle w:val="25"/>
          <w:rFonts w:hint="eastAsia" w:ascii="黑体" w:hAnsi="黑体" w:eastAsia="黑体"/>
          <w:b w:val="0"/>
        </w:rPr>
        <w:t>出决算情况说明</w:t>
      </w:r>
      <w:bookmarkEnd w:id="28"/>
      <w:bookmarkEnd w:id="29"/>
    </w:p>
    <w:p>
      <w:pPr>
        <w:spacing w:line="600" w:lineRule="exact"/>
        <w:ind w:firstLine="640"/>
        <w:rPr>
          <w:rFonts w:hint="eastAsia" w:ascii="方正仿宋简体" w:hAnsi="仿宋" w:eastAsia="方正仿宋简体"/>
          <w:color w:val="000000"/>
          <w:sz w:val="32"/>
          <w:szCs w:val="32"/>
          <w:shd w:val="pct10" w:color="auto" w:fill="FFFFFF"/>
        </w:rPr>
      </w:pPr>
      <w:r>
        <w:rPr>
          <w:rFonts w:hint="eastAsia" w:ascii="方正仿宋简体" w:hAnsi="仿宋" w:eastAsia="方正仿宋简体"/>
          <w:color w:val="000000"/>
          <w:sz w:val="32"/>
          <w:szCs w:val="32"/>
        </w:rPr>
        <w:t>2018年本年支出合计823.96万元，其中：基本支出731.46万元，占88.77%；项目支出92.50万元，占11.23%；上缴上级支出0万元，占0%；经营支出0万元，占0%；对附属单位补助支出0万元，占0%。</w:t>
      </w:r>
    </w:p>
    <w:p>
      <w:pPr>
        <w:spacing w:line="600" w:lineRule="exact"/>
        <w:ind w:firstLine="640" w:firstLineChars="200"/>
        <w:rPr>
          <w:rFonts w:hint="eastAsia" w:ascii="方正仿宋简体" w:hAnsi="仿宋" w:eastAsia="方正仿宋简体"/>
          <w:color w:val="000000" w:themeColor="text1"/>
          <w:sz w:val="32"/>
          <w:szCs w:val="32"/>
        </w:rPr>
      </w:pPr>
      <w:r>
        <w:rPr>
          <w:rFonts w:hint="eastAsia" w:ascii="方正仿宋简体" w:hAnsi="仿宋" w:eastAsia="方正仿宋简体"/>
          <w:color w:val="000000" w:themeColor="text1"/>
          <w:sz w:val="32"/>
          <w:szCs w:val="32"/>
        </w:rPr>
        <w:t>（图3：支出决算结构图）（</w:t>
      </w:r>
      <w:r>
        <w:rPr>
          <w:rFonts w:hint="eastAsia" w:ascii="方正仿宋简体" w:hAnsi="仿宋" w:eastAsia="方正仿宋简体"/>
          <w:color w:val="000000"/>
          <w:sz w:val="32"/>
          <w:szCs w:val="32"/>
        </w:rPr>
        <w:t>饼状图</w:t>
      </w:r>
      <w:r>
        <w:rPr>
          <w:rFonts w:hint="eastAsia" w:ascii="方正仿宋简体" w:hAnsi="仿宋" w:eastAsia="方正仿宋简体"/>
          <w:color w:val="000000" w:themeColor="text1"/>
          <w:sz w:val="32"/>
          <w:szCs w:val="32"/>
        </w:rPr>
        <w:t>）</w:t>
      </w:r>
    </w:p>
    <w:p>
      <w:pPr>
        <w:spacing w:line="600" w:lineRule="exact"/>
        <w:ind w:firstLine="420" w:firstLineChars="200"/>
        <w:rPr>
          <w:rFonts w:ascii="仿宋" w:hAnsi="仿宋" w:eastAsia="仿宋"/>
          <w:color w:val="000000" w:themeColor="text1"/>
          <w:sz w:val="32"/>
          <w:szCs w:val="32"/>
        </w:rPr>
      </w:pPr>
      <w:r>
        <w:pict>
          <v:shape id="_x0000_s1031" o:spid="_x0000_s1031" o:spt="75" type="#_x0000_t75" style="position:absolute;left:0pt;margin-left:22.5pt;margin-top:2.95pt;height:165.05pt;width:389.2pt;mso-wrap-distance-bottom:0pt;mso-wrap-distance-top:0pt;z-index:251661312;mso-width-relative:page;mso-height-relative:page;" o:ole="t" filled="f" o:preferrelative="t" stroked="f" coordsize="21600,21600">
            <v:path/>
            <v:fill on="f" focussize="0,0"/>
            <v:stroke on="f" joinstyle="miter"/>
            <v:imagedata r:id="rId11" o:title=""/>
            <o:lock v:ext="edit" aspectratio="t"/>
            <w10:wrap type="topAndBottom"/>
          </v:shape>
          <o:OLEObject Type="Embed" ProgID="Excel.Sheet.8" ShapeID="_x0000_s1031" DrawAspect="Content" ObjectID="_1468075727" r:id="rId10">
            <o:LockedField>false</o:LockedField>
          </o:OLEObject>
        </w:pict>
      </w:r>
    </w:p>
    <w:p>
      <w:pPr>
        <w:spacing w:line="600" w:lineRule="exact"/>
        <w:ind w:firstLine="640" w:firstLineChars="200"/>
        <w:outlineLvl w:val="1"/>
        <w:rPr>
          <w:rStyle w:val="25"/>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hint="eastAsia" w:ascii="方正仿宋简体" w:hAnsi="仿宋" w:eastAsia="方正仿宋简体"/>
          <w:color w:val="000000"/>
          <w:sz w:val="32"/>
          <w:szCs w:val="32"/>
        </w:rPr>
      </w:pPr>
      <w:r>
        <w:rPr>
          <w:rFonts w:hint="eastAsia" w:ascii="方正仿宋简体" w:hAnsi="仿宋" w:eastAsia="方正仿宋简体"/>
          <w:color w:val="000000"/>
          <w:sz w:val="32"/>
          <w:szCs w:val="32"/>
        </w:rPr>
        <w:t>2018年财政拨款收入总计784.69万元。与2017年相比（568.71万元），财政拨款收入增加215.98万元，增长37.98%。主要变动原因：一是2018年监察体制改革后，从区检察院转隶17人，人员经费增加；二是新购置执法车辆2辆；三是人员工资增资、调标。</w:t>
      </w:r>
    </w:p>
    <w:p>
      <w:pPr>
        <w:spacing w:line="600" w:lineRule="exact"/>
        <w:ind w:firstLine="640" w:firstLineChars="200"/>
        <w:rPr>
          <w:rFonts w:hint="eastAsia" w:ascii="方正仿宋简体" w:hAnsi="仿宋" w:eastAsia="方正仿宋简体"/>
          <w:color w:val="000000"/>
          <w:sz w:val="32"/>
          <w:szCs w:val="32"/>
        </w:rPr>
      </w:pPr>
      <w:r>
        <w:rPr>
          <w:rFonts w:hint="eastAsia" w:ascii="方正仿宋简体" w:hAnsi="仿宋" w:eastAsia="方正仿宋简体"/>
          <w:color w:val="000000"/>
          <w:sz w:val="32"/>
          <w:szCs w:val="32"/>
        </w:rPr>
        <w:t>2018年度财政拨款支出总计823.96万元。与2017年相比（541.18万元），财政拨款支出增加282.78万元，增长52.25%。主要变动原因：一是2018年监察体制改革，从区检察院转隶17人，人员经费增加；二是新购置执法车辆2辆；三是人员工资增资、调标。</w:t>
      </w:r>
    </w:p>
    <w:p>
      <w:pPr>
        <w:spacing w:line="600" w:lineRule="exact"/>
        <w:ind w:firstLine="640" w:firstLineChars="200"/>
        <w:rPr>
          <w:rFonts w:ascii="仿宋" w:hAnsi="仿宋" w:eastAsia="仿宋"/>
          <w:color w:val="FF0000"/>
          <w:sz w:val="32"/>
          <w:szCs w:val="32"/>
        </w:rPr>
      </w:pPr>
      <w:r>
        <w:rPr>
          <w:rFonts w:ascii="仿宋" w:hAnsi="仿宋" w:eastAsia="仿宋"/>
          <w:color w:val="FF0000"/>
          <w:sz w:val="32"/>
          <w:szCs w:val="32"/>
        </w:rPr>
        <w:pict>
          <v:shape id="对象 4" o:spid="_x0000_s1032" o:spt="75" type="#_x0000_t75" style="position:absolute;left:0pt;margin-left:2.35pt;margin-top:33.65pt;height:231.15pt;width:441.75pt;mso-wrap-distance-bottom:0pt;mso-wrap-distance-left:9pt;mso-wrap-distance-right:9pt;mso-wrap-distance-top:0pt;z-index:251662336;mso-width-relative:page;mso-height-relative:page;" o:ole="t" filled="f" o:preferrelative="t" stroked="f" coordsize="21600,21600" o:gfxdata="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">
            <v:path/>
            <v:fill on="f" focussize="0,0"/>
            <v:stroke on="f" joinstyle="miter"/>
            <v:imagedata r:id="rId13" o:title=""/>
            <o:lock v:ext="edit" aspectratio="t"/>
            <w10:wrap type="square"/>
          </v:shape>
          <o:OLEObject Type="Embed" ProgID="Excel.Sheet.8" ShapeID="对象 4" DrawAspect="Content" ObjectID="_1468075728" r:id="rId12">
            <o:LockedField>false</o:LockedField>
          </o:OLEObject>
        </w:pict>
      </w:r>
      <w:r>
        <w:rPr>
          <w:rFonts w:hint="eastAsia" w:ascii="仿宋" w:hAnsi="仿宋" w:eastAsia="仿宋"/>
          <w:color w:val="000000" w:themeColor="text1"/>
          <w:sz w:val="32"/>
          <w:szCs w:val="32"/>
        </w:rPr>
        <w:t>（图4：财政拨款收、支决算总计变动情况）</w:t>
      </w:r>
      <w:r>
        <w:rPr>
          <w:rFonts w:hint="eastAsia" w:ascii="仿宋" w:hAnsi="仿宋" w:eastAsia="仿宋"/>
          <w:color w:val="000000"/>
          <w:sz w:val="32"/>
          <w:szCs w:val="32"/>
        </w:rPr>
        <w:t>（柱状图）</w:t>
      </w:r>
    </w:p>
    <w:p>
      <w:pPr>
        <w:spacing w:line="600" w:lineRule="exact"/>
        <w:ind w:firstLine="640" w:firstLineChars="200"/>
        <w:outlineLvl w:val="1"/>
        <w:rPr>
          <w:rFonts w:ascii="仿宋" w:hAnsi="仿宋" w:eastAsia="仿宋"/>
          <w:b/>
          <w:color w:val="000000" w:themeColor="text1"/>
          <w:sz w:val="32"/>
          <w:szCs w:val="32"/>
        </w:rPr>
      </w:pPr>
      <w:bookmarkStart w:id="32" w:name="_Toc15396607"/>
      <w:bookmarkStart w:id="33" w:name="_Toc15377209"/>
    </w:p>
    <w:p>
      <w:pPr>
        <w:spacing w:line="600" w:lineRule="exact"/>
        <w:ind w:firstLine="640" w:firstLineChars="200"/>
        <w:outlineLvl w:val="1"/>
        <w:rPr>
          <w:rStyle w:val="25"/>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0" w:firstLineChars="200"/>
        <w:outlineLvl w:val="2"/>
        <w:rPr>
          <w:rFonts w:ascii="楷体" w:hAnsi="楷体" w:eastAsia="楷体"/>
          <w:color w:val="000000"/>
          <w:sz w:val="32"/>
          <w:szCs w:val="32"/>
        </w:rPr>
      </w:pPr>
      <w:bookmarkStart w:id="34" w:name="_Toc15377210"/>
      <w:r>
        <w:rPr>
          <w:rFonts w:hint="eastAsia" w:ascii="楷体" w:hAnsi="楷体" w:eastAsia="楷体"/>
          <w:color w:val="000000"/>
          <w:sz w:val="32"/>
          <w:szCs w:val="32"/>
        </w:rPr>
        <w:t>（一）一般公共预算财政拨款支出决算总体情况</w:t>
      </w:r>
      <w:bookmarkEnd w:id="34"/>
    </w:p>
    <w:p>
      <w:pPr>
        <w:spacing w:line="600" w:lineRule="exact"/>
        <w:ind w:firstLine="640" w:firstLineChars="200"/>
        <w:rPr>
          <w:rFonts w:hint="eastAsia" w:ascii="方正仿宋简体" w:hAnsi="仿宋" w:eastAsia="方正仿宋简体"/>
          <w:color w:val="000000"/>
          <w:sz w:val="32"/>
          <w:szCs w:val="32"/>
        </w:rPr>
      </w:pPr>
      <w:r>
        <w:rPr>
          <w:rFonts w:hint="eastAsia" w:ascii="方正仿宋简体" w:hAnsi="仿宋" w:eastAsia="方正仿宋简体"/>
          <w:color w:val="000000"/>
          <w:sz w:val="32"/>
          <w:szCs w:val="32"/>
        </w:rPr>
        <w:t>2018年一般公共预算财政拨款支出823.96万元，占本年支出合计的100%。与2017年相比（541.18万元），一般公共预算财政拨款支出增加282.78万元，增长52.25%。主要变动原因：一是2018年监察体制改革后，从区检察院转隶17人，人员经费增加；二是新购置执法车辆2辆；三是人员工资增资、调标。</w:t>
      </w:r>
    </w:p>
    <w:p>
      <w:pPr>
        <w:spacing w:line="600" w:lineRule="exact"/>
        <w:ind w:firstLine="640" w:firstLineChars="200"/>
        <w:rPr>
          <w:rFonts w:hint="eastAsia" w:ascii="方正仿宋简体" w:hAnsi="仿宋" w:eastAsia="方正仿宋简体"/>
          <w:color w:val="000000" w:themeColor="text1"/>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hint="eastAsia" w:ascii="方正仿宋简体" w:hAnsi="仿宋" w:eastAsia="方正仿宋简体"/>
          <w:color w:val="FF0000"/>
          <w:sz w:val="32"/>
          <w:szCs w:val="32"/>
        </w:rPr>
      </w:pPr>
      <w:r>
        <w:rPr>
          <w:rFonts w:hint="eastAsia" w:ascii="仿宋" w:hAnsi="仿宋" w:eastAsia="仿宋"/>
          <w:color w:val="000000" w:themeColor="text1"/>
          <w:sz w:val="32"/>
          <w:szCs w:val="32"/>
        </w:rPr>
        <w:t>（</w:t>
      </w:r>
      <w:r>
        <w:rPr>
          <w:rFonts w:hint="eastAsia" w:ascii="方正仿宋简体" w:hAnsi="仿宋" w:eastAsia="方正仿宋简体"/>
          <w:color w:val="000000" w:themeColor="text1"/>
          <w:sz w:val="32"/>
          <w:szCs w:val="32"/>
        </w:rPr>
        <w:t>图5：一般公共预算财政拨款支出决算变动情况）（</w:t>
      </w:r>
      <w:r>
        <w:rPr>
          <w:rFonts w:hint="eastAsia" w:ascii="方正仿宋简体" w:hAnsi="仿宋" w:eastAsia="方正仿宋简体"/>
          <w:color w:val="000000"/>
          <w:sz w:val="32"/>
          <w:szCs w:val="32"/>
        </w:rPr>
        <w:t>柱状图）</w:t>
      </w:r>
    </w:p>
    <w:p>
      <w:pPr>
        <w:spacing w:line="600" w:lineRule="exact"/>
        <w:ind w:firstLine="640" w:firstLineChars="200"/>
        <w:rPr>
          <w:rFonts w:ascii="仿宋" w:hAnsi="仿宋" w:eastAsia="仿宋"/>
          <w:color w:val="FF0000"/>
          <w:sz w:val="32"/>
          <w:szCs w:val="32"/>
        </w:rPr>
      </w:pPr>
      <w:r>
        <w:rPr>
          <w:rFonts w:ascii="仿宋" w:hAnsi="仿宋" w:eastAsia="仿宋"/>
          <w:color w:val="000000"/>
          <w:sz w:val="32"/>
          <w:szCs w:val="32"/>
        </w:rPr>
        <w:pict>
          <v:shape id="对象 5" o:spid="_x0000_s1033" o:spt="75" type="#_x0000_t75" style="position:absolute;left:0pt;margin-left:59.1pt;margin-top:7.65pt;height:136.35pt;width:294.85pt;mso-wrap-distance-bottom:0pt;mso-wrap-distance-left:9pt;mso-wrap-distance-right:9pt;mso-wrap-distance-top:0pt;z-index:251663360;mso-width-relative:page;mso-height-relative:page;" o:ole="t" filled="f" o:preferrelative="t" stroked="f" coordsize="21600,21600" o:gfxdata="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">
            <v:path/>
            <v:fill on="f" focussize="0,0"/>
            <v:stroke on="f" joinstyle="miter"/>
            <v:imagedata r:id="rId15" o:title=""/>
            <o:lock v:ext="edit" aspectratio="t"/>
            <w10:wrap type="square"/>
          </v:shape>
          <o:OLEObject Type="Embed" ProgID="Excel.Sheet.8" ShapeID="对象 5" DrawAspect="Content" ObjectID="_1468075729" r:id="rId14">
            <o:LockedField>false</o:LockedField>
          </o:OLEObject>
        </w:pict>
      </w:r>
    </w:p>
    <w:p>
      <w:pPr>
        <w:spacing w:line="600" w:lineRule="exact"/>
        <w:ind w:firstLine="640" w:firstLineChars="200"/>
        <w:rPr>
          <w:rFonts w:ascii="仿宋" w:hAnsi="仿宋" w:eastAsia="仿宋"/>
          <w:color w:val="FF0000"/>
          <w:sz w:val="32"/>
          <w:szCs w:val="32"/>
        </w:rPr>
      </w:pPr>
    </w:p>
    <w:p>
      <w:pPr>
        <w:spacing w:line="600" w:lineRule="exact"/>
        <w:ind w:firstLine="640" w:firstLineChars="200"/>
        <w:rPr>
          <w:rFonts w:ascii="仿宋" w:hAnsi="仿宋" w:eastAsia="仿宋"/>
          <w:color w:val="FF0000"/>
          <w:sz w:val="32"/>
          <w:szCs w:val="32"/>
        </w:rPr>
      </w:pPr>
    </w:p>
    <w:p>
      <w:pPr>
        <w:spacing w:line="600" w:lineRule="exact"/>
        <w:ind w:firstLine="640" w:firstLineChars="200"/>
        <w:rPr>
          <w:rFonts w:ascii="仿宋" w:hAnsi="仿宋" w:eastAsia="仿宋"/>
          <w:color w:val="FF0000"/>
          <w:sz w:val="32"/>
          <w:szCs w:val="32"/>
        </w:rPr>
      </w:pPr>
    </w:p>
    <w:p>
      <w:pPr>
        <w:spacing w:line="600" w:lineRule="exact"/>
        <w:rPr>
          <w:rFonts w:ascii="仿宋" w:hAnsi="仿宋" w:eastAsia="仿宋"/>
          <w:color w:val="FF0000"/>
          <w:sz w:val="32"/>
          <w:szCs w:val="32"/>
        </w:rPr>
      </w:pPr>
    </w:p>
    <w:p>
      <w:pPr>
        <w:spacing w:line="600" w:lineRule="exact"/>
        <w:ind w:firstLine="640" w:firstLineChars="200"/>
        <w:outlineLvl w:val="2"/>
        <w:rPr>
          <w:rFonts w:ascii="楷体" w:hAnsi="楷体" w:eastAsia="楷体"/>
          <w:color w:val="000000"/>
          <w:sz w:val="32"/>
          <w:szCs w:val="32"/>
        </w:rPr>
      </w:pPr>
      <w:bookmarkStart w:id="35" w:name="_Toc15377211"/>
      <w:r>
        <w:rPr>
          <w:rFonts w:hint="eastAsia" w:ascii="楷体" w:hAnsi="楷体" w:eastAsia="楷体"/>
          <w:color w:val="000000"/>
          <w:sz w:val="32"/>
          <w:szCs w:val="32"/>
        </w:rPr>
        <w:t>（二）一般公共预算财政拨款支出决算结构情况</w:t>
      </w:r>
      <w:bookmarkEnd w:id="35"/>
    </w:p>
    <w:p>
      <w:pPr>
        <w:spacing w:line="600" w:lineRule="exact"/>
        <w:ind w:firstLine="640"/>
        <w:rPr>
          <w:rFonts w:hint="eastAsia" w:ascii="方正仿宋简体" w:hAnsi="仿宋" w:eastAsia="方正仿宋简体"/>
          <w:color w:val="000000" w:themeColor="text1"/>
          <w:sz w:val="32"/>
          <w:szCs w:val="32"/>
        </w:rPr>
      </w:pPr>
      <w:r>
        <w:rPr>
          <w:rFonts w:hint="eastAsia" w:ascii="方正仿宋简体" w:hAnsi="仿宋" w:eastAsia="方正仿宋简体"/>
          <w:color w:val="000000" w:themeColor="text1"/>
          <w:sz w:val="32"/>
          <w:szCs w:val="32"/>
        </w:rPr>
        <w:t>2018年一般公共预算财政拨款支出823.96万元，主要用于以下方面:一般公共服务（类）支出704.62万元，占85.52%；社会保障和就业（类）支出66.45万元，占8.06%；医疗卫生支出18.77万元，占2.28%；住房保障支出32.62万元，占3.96%；农林水（类）支出1.50万元，占0.18%</w:t>
      </w:r>
      <w:r>
        <w:rPr>
          <w:rFonts w:hint="eastAsia" w:ascii="方正仿宋简体" w:hAnsi="仿宋" w:eastAsia="方正仿宋简体"/>
          <w:b/>
          <w:color w:val="000000" w:themeColor="text1"/>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widowControl/>
        <w:jc w:val="left"/>
        <w:rPr>
          <w:rFonts w:ascii="宋体" w:hAnsi="宋体" w:cs="宋体"/>
          <w:kern w:val="0"/>
          <w:sz w:val="24"/>
        </w:rPr>
      </w:pPr>
      <w:bookmarkStart w:id="36" w:name="_Toc15377212"/>
    </w:p>
    <w:p>
      <w:pPr>
        <w:widowControl/>
        <w:jc w:val="left"/>
        <w:rPr>
          <w:rFonts w:ascii="宋体" w:hAnsi="宋体" w:cs="宋体"/>
          <w:kern w:val="0"/>
          <w:sz w:val="24"/>
        </w:rPr>
      </w:pPr>
      <w:r>
        <w:rPr>
          <w:rFonts w:ascii="宋体" w:hAnsi="宋体" w:cs="宋体"/>
          <w:kern w:val="0"/>
          <w:sz w:val="24"/>
        </w:rPr>
        <w:drawing>
          <wp:inline distT="0" distB="0" distL="0" distR="0">
            <wp:extent cx="5471160" cy="3155950"/>
            <wp:effectExtent l="19050" t="0" r="0" b="0"/>
            <wp:docPr id="26" name="图片 19" descr="C:\Users\Administrator\AppData\Roaming\Tencent\Users\1416266154\QQ\WinTemp\RichOle\$HQ0~2TMAL1RT[K{B9LJH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9" descr="C:\Users\Administrator\AppData\Roaming\Tencent\Users\1416266154\QQ\WinTemp\RichOle\$HQ0~2TMAL1RT[K{B9LJHCM.png"/>
                    <pic:cNvPicPr>
                      <a:picLocks noChangeAspect="1" noChangeArrowheads="1"/>
                    </pic:cNvPicPr>
                  </pic:nvPicPr>
                  <pic:blipFill>
                    <a:blip r:embed="rId16"/>
                    <a:srcRect/>
                    <a:stretch>
                      <a:fillRect/>
                    </a:stretch>
                  </pic:blipFill>
                  <pic:spPr>
                    <a:xfrm>
                      <a:off x="0" y="0"/>
                      <a:ext cx="5475347" cy="3158340"/>
                    </a:xfrm>
                    <a:prstGeom prst="rect">
                      <a:avLst/>
                    </a:prstGeom>
                    <a:noFill/>
                    <a:ln w="9525">
                      <a:noFill/>
                      <a:miter lim="800000"/>
                      <a:headEnd/>
                      <a:tailEnd/>
                    </a:ln>
                  </pic:spPr>
                </pic:pic>
              </a:graphicData>
            </a:graphic>
          </wp:inline>
        </w:drawing>
      </w:r>
    </w:p>
    <w:p>
      <w:pPr>
        <w:spacing w:line="600" w:lineRule="exact"/>
        <w:ind w:firstLine="640" w:firstLineChars="200"/>
        <w:outlineLvl w:val="2"/>
        <w:rPr>
          <w:rFonts w:ascii="楷体" w:hAnsi="楷体" w:eastAsia="楷体"/>
          <w:color w:val="000000"/>
          <w:sz w:val="32"/>
          <w:szCs w:val="32"/>
        </w:rPr>
      </w:pPr>
      <w:r>
        <w:rPr>
          <w:rFonts w:hint="eastAsia" w:ascii="楷体" w:hAnsi="楷体" w:eastAsia="楷体"/>
          <w:color w:val="000000"/>
          <w:sz w:val="32"/>
          <w:szCs w:val="32"/>
        </w:rPr>
        <w:t>（三）一般公共预算财政拨款支出决算具体情况</w:t>
      </w:r>
      <w:bookmarkEnd w:id="36"/>
    </w:p>
    <w:p>
      <w:pPr>
        <w:spacing w:line="600" w:lineRule="exact"/>
        <w:ind w:firstLine="640" w:firstLineChars="200"/>
        <w:outlineLvl w:val="2"/>
        <w:rPr>
          <w:rFonts w:hint="eastAsia" w:ascii="方正仿宋简体" w:hAnsi="仿宋" w:eastAsia="方正仿宋简体"/>
          <w:b/>
          <w:color w:val="FF0000"/>
          <w:sz w:val="32"/>
          <w:szCs w:val="32"/>
        </w:rPr>
      </w:pPr>
      <w:bookmarkStart w:id="37" w:name="_Toc15377213"/>
      <w:bookmarkStart w:id="38" w:name="_Toc15377444"/>
      <w:bookmarkStart w:id="39" w:name="_Toc15378460"/>
      <w:r>
        <w:rPr>
          <w:rFonts w:hint="eastAsia" w:ascii="方正仿宋简体" w:hAnsi="仿宋" w:eastAsia="方正仿宋简体"/>
          <w:color w:val="000000" w:themeColor="text1"/>
          <w:sz w:val="32"/>
          <w:szCs w:val="32"/>
        </w:rPr>
        <w:t>2018年一般公共预算支出决算数为823.96，</w:t>
      </w:r>
      <w:r>
        <w:rPr>
          <w:rStyle w:val="14"/>
          <w:rFonts w:hint="eastAsia" w:ascii="方正仿宋简体" w:hAnsi="仿宋" w:eastAsia="方正仿宋简体"/>
          <w:b w:val="0"/>
          <w:bCs/>
          <w:color w:val="000000" w:themeColor="text1"/>
          <w:sz w:val="32"/>
          <w:szCs w:val="32"/>
        </w:rPr>
        <w:t>完成</w:t>
      </w:r>
      <w:r>
        <w:rPr>
          <w:rStyle w:val="14"/>
          <w:rFonts w:hint="eastAsia" w:ascii="方正仿宋简体" w:hAnsi="仿宋" w:eastAsia="方正仿宋简体"/>
          <w:b w:val="0"/>
          <w:bCs/>
          <w:color w:val="000000"/>
          <w:sz w:val="32"/>
          <w:szCs w:val="32"/>
        </w:rPr>
        <w:t>预算96.91%。其中：</w:t>
      </w:r>
      <w:bookmarkEnd w:id="37"/>
      <w:bookmarkEnd w:id="38"/>
      <w:bookmarkEnd w:id="39"/>
    </w:p>
    <w:p>
      <w:pPr>
        <w:spacing w:line="600" w:lineRule="exact"/>
        <w:ind w:firstLine="640" w:firstLineChars="200"/>
        <w:rPr>
          <w:rFonts w:hint="eastAsia" w:ascii="方正仿宋简体" w:hAnsi="仿宋" w:eastAsia="方正仿宋简体"/>
          <w:bCs/>
          <w:color w:val="000000" w:themeColor="text1"/>
          <w:sz w:val="32"/>
          <w:szCs w:val="32"/>
        </w:rPr>
      </w:pPr>
      <w:r>
        <w:rPr>
          <w:rStyle w:val="14"/>
          <w:rFonts w:hint="eastAsia" w:ascii="方正仿宋简体" w:hAnsi="仿宋" w:eastAsia="方正仿宋简体"/>
          <w:b w:val="0"/>
          <w:bCs/>
          <w:color w:val="000000" w:themeColor="text1"/>
          <w:sz w:val="32"/>
          <w:szCs w:val="32"/>
        </w:rPr>
        <w:t>1.一般公共服务（类）纪检监察事务（款）行政运行（项）: 支出决算为613.62万元，完成预算97.46%，决算数小于预算数的主要原因是年末增加的办公费结转下年使用。</w:t>
      </w:r>
    </w:p>
    <w:p>
      <w:pPr>
        <w:spacing w:line="600" w:lineRule="exact"/>
        <w:ind w:firstLine="640" w:firstLineChars="200"/>
        <w:rPr>
          <w:rFonts w:hint="eastAsia" w:ascii="方正仿宋简体" w:hAnsi="仿宋" w:eastAsia="方正仿宋简体"/>
          <w:b/>
          <w:color w:val="000000" w:themeColor="text1"/>
          <w:sz w:val="32"/>
          <w:szCs w:val="32"/>
        </w:rPr>
      </w:pPr>
      <w:r>
        <w:rPr>
          <w:rStyle w:val="14"/>
          <w:rFonts w:hint="eastAsia" w:ascii="方正仿宋简体" w:hAnsi="仿宋" w:eastAsia="方正仿宋简体"/>
          <w:b w:val="0"/>
          <w:bCs/>
          <w:color w:val="000000" w:themeColor="text1"/>
          <w:sz w:val="32"/>
          <w:szCs w:val="32"/>
        </w:rPr>
        <w:t>2. 一般公共服务（类）纪检监察事务（款）一般行政管理事务（项）: 支出决算为30.00万元，完成预算100%。</w:t>
      </w:r>
    </w:p>
    <w:p>
      <w:pPr>
        <w:spacing w:line="600" w:lineRule="exact"/>
        <w:ind w:firstLine="640" w:firstLineChars="200"/>
        <w:rPr>
          <w:rFonts w:hint="eastAsia" w:ascii="方正仿宋简体" w:hAnsi="仿宋" w:eastAsia="方正仿宋简体"/>
          <w:b/>
          <w:color w:val="000000" w:themeColor="text1"/>
          <w:sz w:val="32"/>
          <w:szCs w:val="32"/>
        </w:rPr>
      </w:pPr>
      <w:r>
        <w:rPr>
          <w:rStyle w:val="14"/>
          <w:rFonts w:hint="eastAsia" w:ascii="方正仿宋简体" w:hAnsi="仿宋" w:eastAsia="方正仿宋简体"/>
          <w:b w:val="0"/>
          <w:bCs/>
          <w:color w:val="000000" w:themeColor="text1"/>
          <w:sz w:val="32"/>
          <w:szCs w:val="32"/>
        </w:rPr>
        <w:t>3. 一般公共服务（类）纪检监察事务（款）其他纪检监察事务支出（项）: 支出决算为61.00万元，完成预算100%。</w:t>
      </w:r>
    </w:p>
    <w:p>
      <w:pPr>
        <w:spacing w:line="600" w:lineRule="exact"/>
        <w:ind w:firstLine="640" w:firstLineChars="200"/>
        <w:rPr>
          <w:rStyle w:val="14"/>
          <w:rFonts w:hint="eastAsia" w:ascii="方正仿宋简体" w:hAnsi="仿宋" w:eastAsia="方正仿宋简体"/>
          <w:b w:val="0"/>
          <w:bCs/>
          <w:color w:val="000000" w:themeColor="text1"/>
          <w:sz w:val="32"/>
          <w:szCs w:val="32"/>
        </w:rPr>
      </w:pPr>
      <w:r>
        <w:rPr>
          <w:rStyle w:val="14"/>
          <w:rFonts w:hint="eastAsia" w:ascii="方正仿宋简体" w:hAnsi="仿宋" w:eastAsia="方正仿宋简体"/>
          <w:b w:val="0"/>
          <w:bCs/>
          <w:color w:val="000000" w:themeColor="text1"/>
          <w:sz w:val="32"/>
          <w:szCs w:val="32"/>
        </w:rPr>
        <w:t>4.社会保障和就业（类）行政事业单位离退休（款）机关事业单位基本养老保险缴费支出（项）: 支出决算为45.46万元，完成预算81.52%，决算数小于预算数的主要原因是年末增加的基本养老保险费结转下年使用。</w:t>
      </w:r>
    </w:p>
    <w:p>
      <w:pPr>
        <w:spacing w:line="600" w:lineRule="exact"/>
        <w:ind w:firstLine="640" w:firstLineChars="200"/>
        <w:rPr>
          <w:rFonts w:hint="eastAsia" w:ascii="方正仿宋简体" w:hAnsi="仿宋" w:eastAsia="方正仿宋简体"/>
          <w:b/>
          <w:color w:val="000000" w:themeColor="text1"/>
          <w:sz w:val="32"/>
          <w:szCs w:val="32"/>
        </w:rPr>
      </w:pPr>
      <w:r>
        <w:rPr>
          <w:rStyle w:val="14"/>
          <w:rFonts w:hint="eastAsia" w:ascii="方正仿宋简体" w:hAnsi="仿宋" w:eastAsia="方正仿宋简体"/>
          <w:b w:val="0"/>
          <w:bCs/>
          <w:color w:val="000000" w:themeColor="text1"/>
          <w:sz w:val="32"/>
          <w:szCs w:val="32"/>
        </w:rPr>
        <w:t>5.社会保障和就业（类）行政事业单位离退休（款）机关事业单位职业年金缴费支出（项）: 支出决算为3.46万元，完成预算100%。</w:t>
      </w:r>
    </w:p>
    <w:p>
      <w:pPr>
        <w:spacing w:line="600" w:lineRule="exact"/>
        <w:ind w:firstLine="640" w:firstLineChars="200"/>
        <w:rPr>
          <w:rStyle w:val="14"/>
          <w:rFonts w:hint="eastAsia" w:ascii="方正仿宋简体" w:hAnsi="仿宋" w:eastAsia="方正仿宋简体"/>
          <w:b w:val="0"/>
          <w:bCs/>
          <w:color w:val="000000" w:themeColor="text1"/>
          <w:sz w:val="32"/>
          <w:szCs w:val="32"/>
        </w:rPr>
      </w:pPr>
      <w:r>
        <w:rPr>
          <w:rStyle w:val="14"/>
          <w:rFonts w:hint="eastAsia" w:ascii="方正仿宋简体" w:hAnsi="仿宋" w:eastAsia="方正仿宋简体"/>
          <w:b w:val="0"/>
          <w:bCs/>
          <w:color w:val="000000" w:themeColor="text1"/>
          <w:sz w:val="32"/>
          <w:szCs w:val="32"/>
        </w:rPr>
        <w:t>6.社会保障和就业（类）抚恤（款）死亡抚恤（项）:支出决算数17.53万元，完成预算100%。</w:t>
      </w:r>
    </w:p>
    <w:p>
      <w:pPr>
        <w:spacing w:line="600" w:lineRule="exact"/>
        <w:ind w:firstLine="640" w:firstLineChars="200"/>
        <w:rPr>
          <w:rFonts w:hint="eastAsia" w:ascii="方正仿宋简体" w:hAnsi="仿宋" w:eastAsia="方正仿宋简体"/>
          <w:b/>
          <w:color w:val="000000" w:themeColor="text1"/>
          <w:sz w:val="32"/>
          <w:szCs w:val="32"/>
        </w:rPr>
      </w:pPr>
      <w:r>
        <w:rPr>
          <w:rStyle w:val="14"/>
          <w:rFonts w:hint="eastAsia" w:ascii="方正仿宋简体" w:hAnsi="仿宋" w:eastAsia="方正仿宋简体"/>
          <w:b w:val="0"/>
          <w:bCs/>
          <w:color w:val="000000" w:themeColor="text1"/>
          <w:sz w:val="32"/>
          <w:szCs w:val="32"/>
        </w:rPr>
        <w:t>7.医疗卫生与计划生育（类）行政事业单位医疗（款）行政单位医疗（项）:支出决算为18.77万元，完成预算100%。</w:t>
      </w:r>
    </w:p>
    <w:p>
      <w:pPr>
        <w:spacing w:line="600" w:lineRule="exact"/>
        <w:ind w:firstLine="640" w:firstLineChars="200"/>
        <w:rPr>
          <w:rFonts w:hint="eastAsia" w:ascii="方正仿宋简体" w:hAnsi="仿宋" w:eastAsia="方正仿宋简体"/>
          <w:b/>
          <w:bCs/>
          <w:color w:val="000000" w:themeColor="text1"/>
          <w:sz w:val="32"/>
          <w:szCs w:val="32"/>
        </w:rPr>
      </w:pPr>
      <w:r>
        <w:rPr>
          <w:rFonts w:hint="eastAsia" w:ascii="方正仿宋简体" w:hAnsi="仿宋" w:eastAsia="方正仿宋简体"/>
          <w:color w:val="000000" w:themeColor="text1"/>
          <w:sz w:val="32"/>
          <w:szCs w:val="32"/>
        </w:rPr>
        <w:t>8.农林水</w:t>
      </w:r>
      <w:r>
        <w:rPr>
          <w:rStyle w:val="14"/>
          <w:rFonts w:hint="eastAsia" w:ascii="方正仿宋简体" w:hAnsi="仿宋" w:eastAsia="方正仿宋简体"/>
          <w:b w:val="0"/>
          <w:bCs/>
          <w:color w:val="000000" w:themeColor="text1"/>
          <w:sz w:val="32"/>
          <w:szCs w:val="32"/>
        </w:rPr>
        <w:t>（类）扶贫（款）其他扶贫支出（项）:支出决算数1.50万元，完成预算100%。</w:t>
      </w:r>
    </w:p>
    <w:p>
      <w:pPr>
        <w:spacing w:line="600" w:lineRule="exact"/>
        <w:ind w:firstLine="640" w:firstLineChars="200"/>
        <w:rPr>
          <w:rFonts w:hint="eastAsia" w:ascii="方正仿宋简体" w:hAnsi="仿宋" w:eastAsia="方正仿宋简体"/>
          <w:b/>
          <w:bCs/>
          <w:color w:val="000000" w:themeColor="text1"/>
          <w:sz w:val="32"/>
          <w:szCs w:val="32"/>
        </w:rPr>
      </w:pPr>
      <w:r>
        <w:rPr>
          <w:rFonts w:hint="eastAsia" w:ascii="方正仿宋简体" w:hAnsi="仿宋" w:eastAsia="方正仿宋简体"/>
          <w:color w:val="000000" w:themeColor="text1"/>
          <w:sz w:val="32"/>
          <w:szCs w:val="32"/>
        </w:rPr>
        <w:t>9.住房保障</w:t>
      </w:r>
      <w:r>
        <w:rPr>
          <w:rStyle w:val="14"/>
          <w:rFonts w:hint="eastAsia" w:ascii="方正仿宋简体" w:hAnsi="仿宋" w:eastAsia="方正仿宋简体"/>
          <w:b w:val="0"/>
          <w:bCs/>
          <w:color w:val="000000" w:themeColor="text1"/>
          <w:sz w:val="32"/>
          <w:szCs w:val="32"/>
        </w:rPr>
        <w:t>（类）住房改革（款）住房公积金（项）:支出决算数32.62万元，完成预算100%。</w:t>
      </w:r>
    </w:p>
    <w:p>
      <w:pPr>
        <w:spacing w:line="600" w:lineRule="exact"/>
        <w:ind w:firstLine="640" w:firstLineChars="200"/>
        <w:rPr>
          <w:rFonts w:hint="eastAsia" w:ascii="方正仿宋简体" w:hAnsi="仿宋" w:eastAsia="方正仿宋简体"/>
          <w:color w:val="000000" w:themeColor="text1"/>
          <w:sz w:val="32"/>
          <w:szCs w:val="32"/>
        </w:rPr>
      </w:pPr>
    </w:p>
    <w:p>
      <w:pPr>
        <w:spacing w:line="600" w:lineRule="exact"/>
        <w:ind w:firstLine="640"/>
        <w:rPr>
          <w:rFonts w:ascii="仿宋" w:hAnsi="仿宋" w:eastAsia="仿宋"/>
          <w:b/>
          <w:color w:val="FF0000"/>
          <w:sz w:val="32"/>
          <w:szCs w:val="32"/>
        </w:rPr>
      </w:pPr>
      <w:r>
        <w:rPr>
          <w:rFonts w:hint="eastAsia" w:ascii="仿宋" w:hAnsi="仿宋" w:eastAsia="仿宋"/>
          <w:color w:val="000000"/>
          <w:sz w:val="32"/>
          <w:szCs w:val="32"/>
        </w:rPr>
        <w:t>（图7：一般公共预算财政拨款支出完成比例情况图）</w:t>
      </w:r>
    </w:p>
    <w:p>
      <w:pPr>
        <w:spacing w:line="600" w:lineRule="exact"/>
        <w:ind w:firstLine="640"/>
        <w:rPr>
          <w:rFonts w:ascii="仿宋" w:hAnsi="仿宋" w:eastAsia="仿宋"/>
          <w:b/>
          <w:color w:val="000000"/>
          <w:sz w:val="32"/>
          <w:szCs w:val="32"/>
        </w:rPr>
      </w:pPr>
      <w:r>
        <w:rPr>
          <w:rFonts w:ascii="仿宋" w:hAnsi="仿宋" w:eastAsia="仿宋"/>
          <w:b/>
          <w:color w:val="000000"/>
          <w:sz w:val="32"/>
          <w:szCs w:val="32"/>
        </w:rPr>
        <w:drawing>
          <wp:anchor distT="0" distB="0" distL="114300" distR="114300" simplePos="0" relativeHeight="251665408" behindDoc="0" locked="0" layoutInCell="1" allowOverlap="1">
            <wp:simplePos x="0" y="0"/>
            <wp:positionH relativeFrom="column">
              <wp:posOffset>219075</wp:posOffset>
            </wp:positionH>
            <wp:positionV relativeFrom="paragraph">
              <wp:posOffset>57150</wp:posOffset>
            </wp:positionV>
            <wp:extent cx="5274310" cy="3234690"/>
            <wp:effectExtent l="19050" t="0" r="21590" b="3810"/>
            <wp:wrapTopAndBottom/>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hint="eastAsia" w:ascii="方正仿宋简体" w:hAnsi="仿宋" w:eastAsia="方正仿宋简体"/>
          <w:color w:val="000000" w:themeColor="text1"/>
          <w:sz w:val="32"/>
          <w:szCs w:val="32"/>
        </w:rPr>
      </w:pPr>
      <w:r>
        <w:rPr>
          <w:rFonts w:hint="eastAsia" w:ascii="方正仿宋简体" w:hAnsi="仿宋" w:eastAsia="方正仿宋简体"/>
          <w:color w:val="000000" w:themeColor="text1"/>
          <w:sz w:val="32"/>
          <w:szCs w:val="32"/>
        </w:rPr>
        <w:t>2018年一般公共预算财政拨款基本支出731.46万元，其中：</w:t>
      </w:r>
    </w:p>
    <w:p>
      <w:pPr>
        <w:spacing w:line="600" w:lineRule="exact"/>
        <w:ind w:firstLine="645"/>
        <w:rPr>
          <w:rFonts w:hint="eastAsia" w:ascii="方正仿宋简体" w:hAnsi="仿宋" w:eastAsia="方正仿宋简体"/>
          <w:color w:val="000000"/>
          <w:sz w:val="32"/>
          <w:szCs w:val="32"/>
        </w:rPr>
      </w:pPr>
      <w:r>
        <w:rPr>
          <w:rFonts w:hint="eastAsia" w:ascii="方正仿宋简体" w:hAnsi="仿宋" w:eastAsia="方正仿宋简体"/>
          <w:color w:val="000000" w:themeColor="text1"/>
          <w:sz w:val="32"/>
          <w:szCs w:val="32"/>
        </w:rPr>
        <w:t>人员经费575.86万元，主要包括：基本工资146.14万元、津贴补贴104.03万元、奖金21.22万元、伙食补助费0万元、绩效工资25.59万元、机关事业单位基本养老保险缴费45.45万元、职业年金缴费3.46万元、其他社会保障缴费1.88万元、其他工资福利支出110.00万元、离休费0万元、退休费0万元、抚恤金17.53万元、生活补</w:t>
      </w:r>
      <w:r>
        <w:rPr>
          <w:rFonts w:hint="eastAsia" w:ascii="方正仿宋简体" w:hAnsi="仿宋" w:eastAsia="方正仿宋简体"/>
          <w:color w:val="000000"/>
          <w:sz w:val="32"/>
          <w:szCs w:val="32"/>
        </w:rPr>
        <w:t>助20.64万元、医疗费21.11万元、奖励金0.11万元、住房公积金58.70万元、提租补贴0万元、购房补贴0万元、其他对个人和家庭的补助支出0万元等。</w:t>
      </w:r>
    </w:p>
    <w:p>
      <w:pPr>
        <w:spacing w:line="600" w:lineRule="exact"/>
        <w:ind w:firstLine="645"/>
        <w:rPr>
          <w:rFonts w:hint="eastAsia" w:ascii="方正仿宋简体" w:hAnsi="仿宋" w:eastAsia="方正仿宋简体"/>
          <w:color w:val="000000"/>
          <w:sz w:val="32"/>
          <w:szCs w:val="32"/>
        </w:rPr>
      </w:pPr>
      <w:r>
        <w:rPr>
          <w:rFonts w:hint="eastAsia" w:ascii="方正仿宋简体" w:hAnsi="仿宋" w:eastAsia="方正仿宋简体"/>
          <w:color w:val="000000"/>
          <w:sz w:val="32"/>
          <w:szCs w:val="32"/>
        </w:rPr>
        <w:t>公用经费155.60万元，主要包括：办公费49.15万元、印刷费1.05万元、咨询费0万元、手续费0.03万元、水费0.42万元、电费2.80万元、邮电费14.06万元、取暖费0万元、物业管理费0万元、差旅费17.23万元、因公出国（境）费用0万元、维修（护）费0万元、租赁费0万元、会议费1.33万元、培训费1.77万元、公务接待费4.75万元、劳务费0万元、委托业务费0万元、工会经费7.42万元、福利费8.38万元、公务用车运行维护费12.26万元、其他交通费30.39万元、税金及附加费用0万元、其他商品和服务支出0万元、办公设备购置0万元、专用设备购置0万元、信息网络及软件购置更新0万元、公务用车购置4.56万元等。</w:t>
      </w:r>
    </w:p>
    <w:p>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楷体" w:hAnsi="楷体" w:eastAsia="楷体"/>
          <w:color w:val="000000"/>
          <w:sz w:val="32"/>
          <w:szCs w:val="32"/>
        </w:rPr>
      </w:pPr>
      <w:bookmarkStart w:id="44" w:name="_Toc15377216"/>
      <w:r>
        <w:rPr>
          <w:rFonts w:hint="eastAsia" w:ascii="楷体" w:hAnsi="楷体" w:eastAsia="楷体"/>
          <w:color w:val="000000"/>
          <w:sz w:val="32"/>
          <w:szCs w:val="32"/>
        </w:rPr>
        <w:t>（一）“三公”经费财政拨款支出决算总体情况说明</w:t>
      </w:r>
      <w:bookmarkEnd w:id="44"/>
    </w:p>
    <w:p>
      <w:pPr>
        <w:spacing w:line="600" w:lineRule="exact"/>
        <w:ind w:firstLine="640"/>
        <w:rPr>
          <w:rFonts w:hint="eastAsia" w:ascii="方正仿宋简体" w:hAnsi="仿宋" w:eastAsia="方正仿宋简体"/>
          <w:color w:val="000000"/>
          <w:sz w:val="32"/>
          <w:szCs w:val="32"/>
        </w:rPr>
      </w:pPr>
      <w:r>
        <w:rPr>
          <w:rFonts w:hint="eastAsia" w:ascii="方正仿宋简体" w:hAnsi="仿宋" w:eastAsia="方正仿宋简体"/>
          <w:color w:val="000000"/>
          <w:sz w:val="32"/>
          <w:szCs w:val="32"/>
        </w:rPr>
        <w:t>2018年“三公”经费财政拨款支出决算为82.57万元，完成预算100%，决算数与预算数持平的主要原因是厉行节约，合理安排预算，严格控制公务用车和公务接待事项。</w:t>
      </w:r>
    </w:p>
    <w:p>
      <w:pPr>
        <w:spacing w:line="600" w:lineRule="exact"/>
        <w:ind w:firstLine="640"/>
        <w:outlineLvl w:val="2"/>
        <w:rPr>
          <w:rFonts w:ascii="楷体" w:hAnsi="楷体" w:eastAsia="楷体"/>
          <w:color w:val="000000"/>
          <w:sz w:val="32"/>
          <w:szCs w:val="32"/>
        </w:rPr>
      </w:pPr>
      <w:bookmarkStart w:id="45" w:name="_Toc15377217"/>
      <w:r>
        <w:rPr>
          <w:rFonts w:hint="eastAsia" w:ascii="楷体" w:hAnsi="楷体" w:eastAsia="楷体"/>
          <w:color w:val="000000"/>
          <w:sz w:val="32"/>
          <w:szCs w:val="32"/>
        </w:rPr>
        <w:t>（二）“三公”经费财政拨款支出决算具体情况说明</w:t>
      </w:r>
      <w:bookmarkEnd w:id="45"/>
    </w:p>
    <w:p>
      <w:pPr>
        <w:spacing w:line="600" w:lineRule="exact"/>
        <w:ind w:firstLine="640"/>
        <w:rPr>
          <w:rFonts w:hint="eastAsia" w:ascii="方正仿宋简体" w:hAnsi="仿宋" w:eastAsia="方正仿宋简体"/>
          <w:color w:val="000000"/>
          <w:sz w:val="32"/>
          <w:szCs w:val="32"/>
        </w:rPr>
      </w:pPr>
      <w:r>
        <w:rPr>
          <w:rFonts w:hint="eastAsia" w:ascii="方正仿宋简体" w:hAnsi="仿宋" w:eastAsia="方正仿宋简体"/>
          <w:color w:val="000000"/>
          <w:sz w:val="32"/>
          <w:szCs w:val="32"/>
        </w:rPr>
        <w:t>2018年“三公”经费财政拨款支出决算中，因公出国（境）费支出决算0万元，占0%；公务用车购置及运行维护费支出决算77.82万元，占94.25%；公务接待费支出决算4.75万元，占5.75%。具体情况如下：</w:t>
      </w:r>
    </w:p>
    <w:p>
      <w:pPr>
        <w:spacing w:line="600" w:lineRule="exact"/>
        <w:ind w:firstLine="640"/>
        <w:rPr>
          <w:rFonts w:hint="eastAsia" w:ascii="方正仿宋简体" w:hAnsi="仿宋" w:eastAsia="方正仿宋简体"/>
          <w:color w:val="000000"/>
          <w:sz w:val="32"/>
          <w:szCs w:val="32"/>
        </w:rPr>
      </w:pPr>
      <w:r>
        <w:rPr>
          <w:rFonts w:hint="eastAsia" w:ascii="方正仿宋简体" w:hAnsi="仿宋" w:eastAsia="方正仿宋简体"/>
          <w:color w:val="000000"/>
          <w:sz w:val="32"/>
          <w:szCs w:val="32"/>
        </w:rPr>
        <w:pict>
          <v:shape id="_x0000_s1037" o:spid="_x0000_s1037" o:spt="75" type="#_x0000_t75" style="position:absolute;left:0pt;margin-left:18.4pt;margin-top:36.65pt;height:201.8pt;width:409.05pt;mso-wrap-distance-bottom:0pt;mso-wrap-distance-top:0pt;z-index:251666432;mso-width-relative:page;mso-height-relative:page;" o:ole="t" filled="f" o:preferrelative="t" stroked="f" coordsize="21600,21600" o:allowoverlap="f">
            <v:path/>
            <v:fill on="f" focussize="0,0"/>
            <v:stroke on="f" joinstyle="miter"/>
            <v:imagedata r:id="rId19" o:title=""/>
            <o:lock v:ext="edit" aspectratio="t"/>
            <w10:wrap type="topAndBottom"/>
          </v:shape>
          <o:OLEObject Type="Embed" ProgID="Excel.Sheet.8" ShapeID="_x0000_s1037" DrawAspect="Content" ObjectID="_1468075730" r:id="rId18">
            <o:LockedField>false</o:LockedField>
          </o:OLEObject>
        </w:pict>
      </w:r>
      <w:r>
        <w:rPr>
          <w:rFonts w:hint="eastAsia" w:ascii="方正仿宋简体" w:hAnsi="仿宋" w:eastAsia="方正仿宋简体"/>
          <w:color w:val="000000"/>
          <w:sz w:val="32"/>
          <w:szCs w:val="32"/>
        </w:rPr>
        <w:t>（图8：“三公”经费财政拨款支出结构）（饼状图）</w:t>
      </w:r>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因公出国（境）经费支出0.00万元。</w:t>
      </w:r>
    </w:p>
    <w:p>
      <w:pPr>
        <w:spacing w:line="600" w:lineRule="exact"/>
        <w:ind w:firstLine="640"/>
        <w:rPr>
          <w:rFonts w:ascii="宋体" w:hAnsi="宋体" w:cs="宋体"/>
          <w:b/>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公务用车购置及运行维护费支出77.82万元,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7年（12.19万元）增加65.63万元，增长538.39</w:t>
      </w:r>
      <w:r>
        <w:rPr>
          <w:rFonts w:ascii="仿宋_GB2312" w:eastAsia="仿宋_GB2312"/>
          <w:color w:val="000000"/>
          <w:sz w:val="32"/>
          <w:szCs w:val="32"/>
        </w:rPr>
        <w:t>%</w:t>
      </w:r>
      <w:r>
        <w:rPr>
          <w:rFonts w:hint="eastAsia" w:ascii="仿宋_GB2312" w:eastAsia="仿宋_GB2312"/>
          <w:color w:val="000000"/>
          <w:sz w:val="32"/>
          <w:szCs w:val="32"/>
        </w:rPr>
        <w:t>。主要原因是2018年监察体制</w:t>
      </w:r>
      <w:r>
        <w:rPr>
          <w:rFonts w:hint="eastAsia" w:ascii="宋体" w:hAnsi="宋体" w:cs="宋体"/>
          <w:color w:val="000000"/>
          <w:sz w:val="32"/>
          <w:szCs w:val="32"/>
        </w:rPr>
        <w:t>改革，</w:t>
      </w:r>
      <w:r>
        <w:rPr>
          <w:rFonts w:hint="eastAsia" w:ascii="仿宋" w:hAnsi="仿宋" w:eastAsia="仿宋"/>
          <w:color w:val="000000"/>
          <w:sz w:val="32"/>
          <w:szCs w:val="32"/>
        </w:rPr>
        <w:t>新购置执法车辆2辆。</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其中：公务用车购置支出65.56万元。全年按规定更新购置公务用车2辆，其中：轿车0辆、金额0万元，越野车1辆、金额27.02万元，载客汽车1辆、金额38.54万元，主要用于信访调查、案件外调等。截至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月底，单位共有公务用车5辆，其中：轿车2辆、越野车2辆、载客汽车1辆。</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公务用车运行维护费支出12.26万元。主要用于监督检查和审查调查工作等所需的公务用车燃料费、维修费、过路过桥费、保险费等支出。</w:t>
      </w:r>
    </w:p>
    <w:p>
      <w:pPr>
        <w:spacing w:line="600" w:lineRule="exact"/>
        <w:ind w:firstLine="640"/>
        <w:rPr>
          <w:rFonts w:ascii="仿宋" w:hAnsi="仿宋" w:eastAsia="仿宋"/>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公务接待费支出4.75万元，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7年减少0.03万元，下降0.72</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 w:hAnsi="仿宋" w:eastAsia="仿宋"/>
          <w:color w:val="000000"/>
          <w:sz w:val="32"/>
          <w:szCs w:val="32"/>
        </w:rPr>
        <w:t>厉行节约，严格控制公务接待事项。</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主要用于执行公务、开展业务活动开支的交通费、住宿费、用餐费等。国内公务接待76批次，573人次（不包括陪同人员），共计支出4.75万元,其中：</w:t>
      </w:r>
    </w:p>
    <w:p>
      <w:pPr>
        <w:spacing w:line="600" w:lineRule="exact"/>
        <w:ind w:firstLine="640" w:firstLineChars="200"/>
        <w:rPr>
          <w:rFonts w:ascii="仿宋_GB2312" w:eastAsia="仿宋_GB2312"/>
          <w:color w:val="000000" w:themeColor="text1"/>
          <w:sz w:val="32"/>
          <w:szCs w:val="32"/>
        </w:rPr>
      </w:pPr>
      <w:r>
        <w:rPr>
          <w:rFonts w:hint="eastAsia" w:ascii="仿宋" w:hAnsi="仿宋" w:eastAsia="仿宋"/>
          <w:color w:val="000000"/>
          <w:sz w:val="32"/>
          <w:szCs w:val="32"/>
        </w:rPr>
        <w:t>外事接待支出0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，外事接待0批次，0人。</w:t>
      </w:r>
    </w:p>
    <w:p>
      <w:pPr>
        <w:spacing w:line="600" w:lineRule="exact"/>
        <w:ind w:firstLine="640"/>
        <w:rPr>
          <w:rFonts w:ascii="黑体" w:eastAsia="黑体"/>
          <w:color w:val="000000"/>
          <w:sz w:val="32"/>
          <w:szCs w:val="32"/>
        </w:rPr>
      </w:pPr>
      <w:r>
        <w:rPr>
          <w:rFonts w:hint="eastAsia" w:ascii="仿宋" w:hAnsi="仿宋" w:eastAsia="仿宋"/>
          <w:color w:val="000000"/>
          <w:sz w:val="32"/>
          <w:szCs w:val="32"/>
        </w:rPr>
        <w:t>其他国内公务接待支出4.75</w:t>
      </w:r>
      <w:r>
        <w:rPr>
          <w:rFonts w:hint="eastAsia" w:ascii="仿宋_GB2312" w:eastAsia="仿宋_GB2312"/>
          <w:color w:val="000000"/>
          <w:sz w:val="32"/>
          <w:szCs w:val="32"/>
        </w:rPr>
        <w:t>万元，主要用于</w:t>
      </w:r>
      <w:bookmarkStart w:id="46" w:name="_Toc15396610"/>
      <w:bookmarkStart w:id="47" w:name="_Toc15377218"/>
      <w:r>
        <w:rPr>
          <w:rFonts w:hint="eastAsia" w:ascii="仿宋_GB2312" w:eastAsia="仿宋_GB2312"/>
          <w:color w:val="000000"/>
          <w:sz w:val="32"/>
          <w:szCs w:val="32"/>
        </w:rPr>
        <w:t>接待各地参观川北家风馆用餐。</w:t>
      </w:r>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8年政府性基金预算拨款支出0万元。</w:t>
      </w:r>
    </w:p>
    <w:p>
      <w:pPr>
        <w:numPr>
          <w:ilvl w:val="0"/>
          <w:numId w:val="2"/>
        </w:numPr>
        <w:spacing w:line="600" w:lineRule="exact"/>
        <w:ind w:firstLine="640"/>
        <w:outlineLvl w:val="1"/>
        <w:rPr>
          <w:rStyle w:val="25"/>
          <w:rFonts w:ascii="黑体" w:hAnsi="黑体" w:eastAsia="黑体"/>
          <w:b w:val="0"/>
        </w:rPr>
      </w:pPr>
      <w:bookmarkStart w:id="48" w:name="_Toc15396611"/>
      <w:bookmarkStart w:id="49" w:name="_Toc15377219"/>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8年国有资本经营预算拨款支出0万元。</w:t>
      </w:r>
    </w:p>
    <w:p>
      <w:pPr>
        <w:pStyle w:val="23"/>
        <w:numPr>
          <w:ilvl w:val="0"/>
          <w:numId w:val="3"/>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4"/>
        </w:numPr>
        <w:spacing w:line="580" w:lineRule="exact"/>
        <w:ind w:firstLine="640" w:firstLineChars="200"/>
        <w:rPr>
          <w:rFonts w:ascii="楷体" w:hAnsi="楷体" w:eastAsia="楷体" w:cs="楷体_GB2312"/>
          <w:bCs/>
          <w:sz w:val="32"/>
          <w:szCs w:val="32"/>
        </w:rPr>
      </w:pPr>
      <w:r>
        <w:rPr>
          <w:rFonts w:hint="eastAsia" w:ascii="楷体" w:hAnsi="楷体" w:eastAsia="楷体" w:cs="楷体_GB2312"/>
          <w:bCs/>
          <w:sz w:val="32"/>
          <w:szCs w:val="32"/>
        </w:rPr>
        <w:t>预算绩效管理工作开展情况</w:t>
      </w:r>
    </w:p>
    <w:p>
      <w:pPr>
        <w:spacing w:line="580" w:lineRule="exact"/>
        <w:ind w:firstLine="640" w:firstLineChars="200"/>
        <w:rPr>
          <w:rFonts w:hint="eastAsia" w:ascii="方正仿宋简体" w:hAnsi="仿宋_GB2312" w:eastAsia="方正仿宋简体" w:cs="仿宋_GB2312"/>
          <w:sz w:val="32"/>
          <w:szCs w:val="32"/>
        </w:rPr>
      </w:pPr>
      <w:r>
        <w:rPr>
          <w:rFonts w:hint="eastAsia" w:ascii="方正仿宋简体" w:hAnsi="仿宋_GB2312" w:eastAsia="方正仿宋简体" w:cs="仿宋_GB2312"/>
          <w:sz w:val="32"/>
          <w:szCs w:val="32"/>
        </w:rPr>
        <w:t>根据预算绩效管理要求，本部门（单位）在年初预算编制阶段，组织对党风廉政项目开展了预算事前绩效评估，对1个项目编制了绩效目标，预算执行过程中，选取1个项目开展绩效监控，年终执行完毕后，对1个项目开展了绩效目标完成情况梳理填报。</w:t>
      </w:r>
    </w:p>
    <w:p>
      <w:pPr>
        <w:spacing w:line="580" w:lineRule="exact"/>
        <w:ind w:firstLine="640" w:firstLineChars="200"/>
        <w:rPr>
          <w:rFonts w:hint="eastAsia" w:ascii="方正仿宋简体" w:hAnsi="仿宋_GB2312" w:eastAsia="方正仿宋简体" w:cs="仿宋_GB2312"/>
          <w:sz w:val="32"/>
          <w:szCs w:val="32"/>
        </w:rPr>
      </w:pPr>
      <w:r>
        <w:rPr>
          <w:rFonts w:hint="eastAsia" w:ascii="方正仿宋简体" w:hAnsi="仿宋_GB2312" w:eastAsia="方正仿宋简体" w:cs="仿宋_GB2312"/>
          <w:sz w:val="32"/>
          <w:szCs w:val="32"/>
        </w:rPr>
        <w:t>本部门按要求对2018年部门整体支出开展绩效自评，从评价情况来看绩效完成情况较好，在协助</w:t>
      </w:r>
      <w:r>
        <w:rPr>
          <w:rFonts w:hint="eastAsia" w:ascii="方正仿宋简体" w:hAnsi="宋体" w:eastAsia="方正仿宋简体"/>
          <w:color w:val="000000"/>
          <w:sz w:val="32"/>
          <w:szCs w:val="32"/>
        </w:rPr>
        <w:t>区委推进全面从严治党、加强党风廉政建设和组织协调反腐败工作等方面成绩显著</w:t>
      </w:r>
      <w:r>
        <w:rPr>
          <w:rFonts w:hint="eastAsia" w:ascii="方正仿宋简体" w:hAnsi="仿宋_GB2312" w:eastAsia="方正仿宋简体" w:cs="仿宋_GB2312"/>
          <w:sz w:val="32"/>
          <w:szCs w:val="32"/>
        </w:rPr>
        <w:t>。本部门还自行组织了1个项目绩效评价，从评价情况来看这个项目都已圆满完成，达到预期目标，有效提高反腐败工作成效。</w:t>
      </w:r>
    </w:p>
    <w:p>
      <w:pPr>
        <w:spacing w:line="580" w:lineRule="exact"/>
        <w:ind w:firstLine="640" w:firstLineChars="200"/>
        <w:rPr>
          <w:rFonts w:ascii="仿宋_GB2312" w:hAnsi="仿宋_GB2312" w:eastAsia="仿宋_GB2312" w:cs="仿宋_GB2312"/>
          <w:sz w:val="32"/>
          <w:szCs w:val="32"/>
        </w:rPr>
      </w:pPr>
      <w:r>
        <w:rPr>
          <w:rFonts w:hint="eastAsia" w:ascii="楷体" w:hAnsi="楷体" w:eastAsia="楷体" w:cs="楷体_GB2312"/>
          <w:bCs/>
          <w:sz w:val="32"/>
          <w:szCs w:val="32"/>
        </w:rPr>
        <w:t>（二）项目绩效目标完成情况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本部门在2018年度部门决算中反映“党风廉政</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这个项目绩效目标实际完成情况。</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党风廉政项目绩效目标完成情况综述。项目全年预算数30.00万元，执行数为30.00万元，完成预算的100%。通过项目实施，保障了党风廉政建设社会评价进一步提升，提升了群众满意度、获得感，逐渐形成不敢腐、不能腐、不想腐的良好氛围。发现的主要问题：经费使用过程中，对资金监管不够严格。下一步改进措施：进一步加强项目资金管理，提高资金使用效率。</w:t>
      </w: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212"/>
        <w:gridCol w:w="182"/>
        <w:gridCol w:w="2392"/>
      </w:tblGrid>
      <w:tr>
        <w:tblPrEx>
          <w:tblLayout w:type="fixed"/>
          <w:tblCellMar>
            <w:top w:w="0" w:type="dxa"/>
            <w:left w:w="0" w:type="dxa"/>
            <w:bottom w:w="0" w:type="dxa"/>
            <w:right w:w="0" w:type="dxa"/>
          </w:tblCellMar>
        </w:tblPrEx>
        <w:trPr>
          <w:trHeight w:val="1034" w:hRule="atLeast"/>
        </w:trPr>
        <w:tc>
          <w:tcPr>
            <w:tcW w:w="9960" w:type="dxa"/>
            <w:gridSpan w:val="7"/>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党风廉政</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中共广元市利州区纪委</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30.00万元</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30.00万元</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30.00万元</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30.00万元</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46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力争实现党风廉政建设社会评价进一步提升，不断提升群众满意度、获得感。</w:t>
            </w:r>
          </w:p>
        </w:tc>
        <w:tc>
          <w:tcPr>
            <w:tcW w:w="478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制作廉洁图片、典型案例展板，在各乡镇（街道）进行巡展26次；制作各类廉洁标语、警示标语在交通要道、人口聚集地展示；制作警示教育片2部。逐渐形成不敢腐、不能腐、不想腐的良好氛围，群众满意度、获得感不断提升。</w:t>
            </w:r>
          </w:p>
        </w:tc>
      </w:tr>
      <w:tr>
        <w:tblPrEx>
          <w:tblLayout w:type="fixed"/>
          <w:tblCellMar>
            <w:top w:w="0" w:type="dxa"/>
            <w:left w:w="0" w:type="dxa"/>
            <w:bottom w:w="0" w:type="dxa"/>
            <w:right w:w="0" w:type="dxa"/>
          </w:tblCellMar>
        </w:tblPrEx>
        <w:trPr>
          <w:trHeight w:val="1207"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2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5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237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党风廉政建设宣传</w:t>
            </w:r>
          </w:p>
        </w:tc>
        <w:tc>
          <w:tcPr>
            <w:tcW w:w="22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制作廉洁图片、典型案例展板；制作各类廉洁标语、警示标语；制作警示教育片2部。</w:t>
            </w:r>
          </w:p>
        </w:tc>
        <w:tc>
          <w:tcPr>
            <w:tcW w:w="25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制作廉洁图片、典型案例展板，在各乡镇（街道）进行巡展26次；制作各类廉洁标语、警示标语在交通要道、人口聚集地展示；制作贪腐案例警示教育片2部。</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发挥教育引导作用</w:t>
            </w:r>
          </w:p>
        </w:tc>
        <w:tc>
          <w:tcPr>
            <w:tcW w:w="22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廉洁图片、典型案例具有教育意义，巡展及时；警示教育片并具有较强的震慑力。</w:t>
            </w:r>
          </w:p>
        </w:tc>
        <w:tc>
          <w:tcPr>
            <w:tcW w:w="25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制作廉洁图片、典型案例展板，在各乡镇（街道）进行巡展26次；制作警示教育片2部，并在干部作风建设大会上播放，充分发挥了警示教育作用。</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8"/>
              </w:rPr>
            </w:pPr>
            <w:r>
              <w:rPr>
                <w:rFonts w:hint="eastAsia" w:ascii="宋体" w:hAnsi="宋体" w:cs="宋体"/>
                <w:color w:val="000000"/>
                <w:sz w:val="28"/>
              </w:rPr>
              <w:t>社会效益</w:t>
            </w:r>
          </w:p>
          <w:p>
            <w:pPr>
              <w:widowControl/>
              <w:jc w:val="center"/>
              <w:textAlignment w:val="center"/>
              <w:rPr>
                <w:rFonts w:ascii="宋体" w:hAnsi="宋体" w:cs="宋体"/>
                <w:color w:val="000000"/>
                <w:sz w:val="28"/>
              </w:rPr>
            </w:pPr>
            <w:r>
              <w:rPr>
                <w:rFonts w:hint="eastAsia" w:ascii="宋体" w:hAnsi="宋体" w:cs="宋体"/>
                <w:color w:val="000000"/>
                <w:sz w:val="28"/>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形成良好政治生态环境。</w:t>
            </w:r>
          </w:p>
        </w:tc>
        <w:tc>
          <w:tcPr>
            <w:tcW w:w="22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营造风清气正的良好政治生态环境。</w:t>
            </w:r>
          </w:p>
        </w:tc>
        <w:tc>
          <w:tcPr>
            <w:tcW w:w="25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逐渐形成不敢腐、不能腐、不想腐的良好氛围。</w:t>
            </w: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8"/>
              </w:rPr>
            </w:pPr>
            <w:r>
              <w:rPr>
                <w:rFonts w:hint="eastAsia" w:ascii="宋体" w:hAnsi="宋体" w:cs="宋体"/>
                <w:color w:val="000000"/>
                <w:sz w:val="28"/>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提升群众满意度</w:t>
            </w:r>
          </w:p>
        </w:tc>
        <w:tc>
          <w:tcPr>
            <w:tcW w:w="22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群众有较强的获得感、幸福感。</w:t>
            </w:r>
          </w:p>
        </w:tc>
        <w:tc>
          <w:tcPr>
            <w:tcW w:w="257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群众的获得感、幸福感不断提高。</w:t>
            </w:r>
          </w:p>
        </w:tc>
      </w:tr>
    </w:tbl>
    <w:p>
      <w:pPr>
        <w:rPr>
          <w:rFonts w:ascii="Calibri" w:hAnsi="Calibri"/>
        </w:rPr>
      </w:pPr>
    </w:p>
    <w:p>
      <w:pPr>
        <w:spacing w:line="580" w:lineRule="exact"/>
        <w:rPr>
          <w:rFonts w:ascii="仿宋_GB2312" w:hAnsi="仿宋_GB2312" w:eastAsia="仿宋_GB2312" w:cs="仿宋_GB2312"/>
          <w:sz w:val="32"/>
          <w:szCs w:val="32"/>
        </w:rPr>
      </w:pPr>
    </w:p>
    <w:p>
      <w:pPr>
        <w:numPr>
          <w:ilvl w:val="0"/>
          <w:numId w:val="4"/>
        </w:numPr>
        <w:spacing w:line="580" w:lineRule="exact"/>
        <w:ind w:firstLine="640" w:firstLineChars="200"/>
        <w:rPr>
          <w:rFonts w:ascii="楷体" w:hAnsi="楷体" w:eastAsia="楷体" w:cs="仿宋_GB2312"/>
          <w:sz w:val="32"/>
          <w:szCs w:val="32"/>
        </w:rPr>
      </w:pPr>
      <w:r>
        <w:rPr>
          <w:rFonts w:hint="eastAsia" w:ascii="楷体" w:hAnsi="楷体" w:eastAsia="楷体" w:cs="楷体_GB2312"/>
          <w:bCs/>
          <w:sz w:val="32"/>
          <w:szCs w:val="32"/>
        </w:rPr>
        <w:t>部门开展绩效评价结果</w:t>
      </w:r>
    </w:p>
    <w:p>
      <w:pPr>
        <w:spacing w:line="580" w:lineRule="exact"/>
        <w:ind w:firstLine="640" w:firstLineChars="200"/>
        <w:rPr>
          <w:rFonts w:hint="eastAsia" w:ascii="方正仿宋简体" w:hAnsi="仿宋_GB2312" w:eastAsia="方正仿宋简体" w:cs="仿宋_GB2312"/>
          <w:sz w:val="32"/>
          <w:szCs w:val="32"/>
        </w:rPr>
      </w:pPr>
      <w:r>
        <w:rPr>
          <w:rFonts w:hint="eastAsia" w:ascii="方正仿宋简体" w:hAnsi="仿宋_GB2312" w:eastAsia="方正仿宋简体" w:cs="仿宋_GB2312"/>
          <w:sz w:val="32"/>
          <w:szCs w:val="32"/>
        </w:rPr>
        <w:t>本部门按要求对2018年部门整体支出绩效评价情况开展自评，《中共广元市利州区纪委部门2018年部门整体支出绩效评价报告》见附件。</w:t>
      </w:r>
    </w:p>
    <w:p>
      <w:pPr>
        <w:spacing w:line="580" w:lineRule="exact"/>
        <w:ind w:firstLine="640" w:firstLineChars="200"/>
        <w:rPr>
          <w:rFonts w:hint="eastAsia" w:ascii="方正仿宋简体" w:hAnsi="方正小标宋简体" w:eastAsia="方正仿宋简体" w:cs="方正小标宋简体"/>
          <w:sz w:val="44"/>
          <w:szCs w:val="44"/>
        </w:rPr>
      </w:pPr>
      <w:r>
        <w:rPr>
          <w:rFonts w:hint="eastAsia" w:ascii="方正仿宋简体" w:hAnsi="仿宋_GB2312" w:eastAsia="方正仿宋简体" w:cs="仿宋_GB2312"/>
          <w:sz w:val="32"/>
          <w:szCs w:val="32"/>
        </w:rPr>
        <w:t>本部门自行组织对党风廉政项目开展了绩效评价，《党风廉政项目2018年绩效评价报告》见附件。</w:t>
      </w:r>
    </w:p>
    <w:p>
      <w:pPr>
        <w:spacing w:line="600" w:lineRule="exact"/>
        <w:ind w:firstLine="800" w:firstLineChars="250"/>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pPr>
        <w:spacing w:line="600" w:lineRule="exact"/>
        <w:ind w:firstLine="640" w:firstLineChars="200"/>
        <w:outlineLvl w:val="2"/>
        <w:rPr>
          <w:rFonts w:ascii="楷体" w:hAnsi="楷体" w:eastAsia="楷体"/>
          <w:color w:val="000000"/>
          <w:sz w:val="32"/>
          <w:szCs w:val="32"/>
        </w:rPr>
      </w:pPr>
      <w:bookmarkStart w:id="52" w:name="_Toc15377222"/>
      <w:r>
        <w:rPr>
          <w:rFonts w:hint="eastAsia" w:ascii="楷体" w:hAnsi="楷体" w:eastAsia="楷体"/>
          <w:color w:val="000000"/>
          <w:sz w:val="32"/>
          <w:szCs w:val="32"/>
        </w:rPr>
        <w:t>（一）机关运行经费支出情况</w:t>
      </w:r>
      <w:bookmarkEnd w:id="52"/>
    </w:p>
    <w:p>
      <w:pPr>
        <w:spacing w:line="600" w:lineRule="exact"/>
        <w:ind w:firstLine="640" w:firstLineChars="200"/>
        <w:rPr>
          <w:rFonts w:hint="eastAsia" w:ascii="方正仿宋简体" w:eastAsia="方正仿宋简体"/>
          <w:color w:val="000000" w:themeColor="text1"/>
          <w:sz w:val="32"/>
          <w:szCs w:val="32"/>
        </w:rPr>
      </w:pPr>
      <w:r>
        <w:rPr>
          <w:rFonts w:hint="eastAsia" w:ascii="方正仿宋简体" w:eastAsia="方正仿宋简体"/>
          <w:color w:val="000000"/>
          <w:sz w:val="32"/>
          <w:szCs w:val="32"/>
        </w:rPr>
        <w:t>2018年，利州区纪委机关运行经费支出155.60万元，比2017年(105.67万元)增加49.93万元，增长47.25%。</w:t>
      </w:r>
      <w:r>
        <w:rPr>
          <w:rFonts w:hint="eastAsia" w:ascii="方正仿宋简体" w:eastAsia="方正仿宋简体"/>
          <w:color w:val="000000" w:themeColor="text1"/>
          <w:sz w:val="32"/>
          <w:szCs w:val="32"/>
        </w:rPr>
        <w:t>主要原因是监察体制改革新增人员较多，业务工作量增多，机关运行经费增加。</w:t>
      </w:r>
    </w:p>
    <w:p>
      <w:pPr>
        <w:autoSpaceDE w:val="0"/>
        <w:autoSpaceDN w:val="0"/>
        <w:adjustRightInd w:val="0"/>
        <w:spacing w:line="600" w:lineRule="exact"/>
        <w:ind w:firstLine="640" w:firstLineChars="200"/>
        <w:jc w:val="left"/>
        <w:outlineLvl w:val="2"/>
        <w:rPr>
          <w:rFonts w:ascii="楷体" w:hAnsi="楷体" w:eastAsia="楷体"/>
          <w:color w:val="000000"/>
          <w:sz w:val="32"/>
          <w:szCs w:val="32"/>
        </w:rPr>
      </w:pPr>
      <w:bookmarkStart w:id="53" w:name="_Toc15377223"/>
      <w:r>
        <w:rPr>
          <w:rFonts w:hint="eastAsia" w:ascii="楷体" w:hAnsi="楷体" w:eastAsia="楷体"/>
          <w:color w:val="000000"/>
          <w:sz w:val="32"/>
          <w:szCs w:val="32"/>
        </w:rPr>
        <w:t>（二）政府采购支出情况</w:t>
      </w:r>
      <w:bookmarkEnd w:id="53"/>
    </w:p>
    <w:p>
      <w:pPr>
        <w:spacing w:line="600" w:lineRule="exact"/>
        <w:ind w:firstLine="640" w:firstLineChars="200"/>
        <w:rPr>
          <w:rFonts w:hint="eastAsia" w:ascii="方正仿宋简体" w:eastAsia="方正仿宋简体"/>
          <w:color w:val="000000"/>
          <w:sz w:val="32"/>
          <w:szCs w:val="32"/>
        </w:rPr>
      </w:pPr>
      <w:r>
        <w:rPr>
          <w:rFonts w:hint="eastAsia" w:ascii="方正仿宋简体" w:eastAsia="方正仿宋简体"/>
          <w:color w:val="000000"/>
          <w:sz w:val="32"/>
          <w:szCs w:val="32"/>
        </w:rPr>
        <w:t>2018年，利州区纪委政府采购支出总额0万元，其中：政府采购货物支出0万元、政府采购工程支出0万元、政府采购服务支出0万元。</w:t>
      </w:r>
    </w:p>
    <w:p>
      <w:pPr>
        <w:autoSpaceDE w:val="0"/>
        <w:autoSpaceDN w:val="0"/>
        <w:adjustRightInd w:val="0"/>
        <w:spacing w:line="600" w:lineRule="exact"/>
        <w:ind w:firstLine="640" w:firstLineChars="200"/>
        <w:jc w:val="left"/>
        <w:outlineLvl w:val="2"/>
        <w:rPr>
          <w:rFonts w:ascii="楷体" w:hAnsi="楷体" w:eastAsia="楷体"/>
          <w:color w:val="000000"/>
          <w:sz w:val="32"/>
          <w:szCs w:val="32"/>
        </w:rPr>
      </w:pPr>
      <w:bookmarkStart w:id="54" w:name="_Toc15377224"/>
      <w:r>
        <w:rPr>
          <w:rFonts w:hint="eastAsia" w:ascii="楷体" w:hAnsi="楷体" w:eastAsia="楷体"/>
          <w:color w:val="000000"/>
          <w:sz w:val="32"/>
          <w:szCs w:val="32"/>
        </w:rPr>
        <w:t>（三）国有资产占有使用情况</w:t>
      </w:r>
      <w:bookmarkEnd w:id="54"/>
    </w:p>
    <w:p>
      <w:pPr>
        <w:autoSpaceDE w:val="0"/>
        <w:autoSpaceDN w:val="0"/>
        <w:adjustRightInd w:val="0"/>
        <w:spacing w:line="600" w:lineRule="exact"/>
        <w:ind w:firstLine="640" w:firstLineChars="200"/>
        <w:jc w:val="left"/>
        <w:rPr>
          <w:rFonts w:hint="eastAsia" w:ascii="方正仿宋简体" w:eastAsia="方正仿宋简体"/>
          <w:color w:val="000000"/>
          <w:sz w:val="32"/>
          <w:szCs w:val="32"/>
        </w:rPr>
      </w:pPr>
      <w:r>
        <w:rPr>
          <w:rFonts w:hint="eastAsia" w:ascii="方正仿宋简体" w:eastAsia="方正仿宋简体"/>
          <w:color w:val="000000"/>
          <w:sz w:val="32"/>
          <w:szCs w:val="32"/>
        </w:rPr>
        <w:t>截至2018年12月31日，利州区纪委共有车辆5辆，其中：部级领导干部用车0辆、一般公务用车0辆、一般执法执勤用车5辆、特种专业技术用车0辆、其他用车0辆，</w:t>
      </w:r>
      <w:r>
        <w:rPr>
          <w:rFonts w:hint="eastAsia" w:ascii="方正仿宋简体" w:eastAsia="方正仿宋简体"/>
          <w:color w:val="000000" w:themeColor="text1"/>
          <w:sz w:val="32"/>
          <w:szCs w:val="32"/>
        </w:rPr>
        <w:t>其他用车主要是用于</w:t>
      </w:r>
      <w:r>
        <w:rPr>
          <w:rFonts w:hint="eastAsia" w:ascii="方正仿宋简体" w:eastAsia="方正仿宋简体"/>
          <w:color w:val="000000"/>
          <w:sz w:val="32"/>
          <w:szCs w:val="32"/>
        </w:rPr>
        <w:t>信访调查、案件外调等。</w:t>
      </w:r>
      <w:r>
        <w:rPr>
          <w:rFonts w:hint="eastAsia" w:ascii="方正仿宋简体" w:eastAsia="方正仿宋简体"/>
          <w:color w:val="000000" w:themeColor="text1"/>
          <w:sz w:val="32"/>
          <w:szCs w:val="32"/>
        </w:rPr>
        <w:t>单价50万元以上通用设备0台（套），单价100</w:t>
      </w:r>
      <w:r>
        <w:rPr>
          <w:rFonts w:hint="eastAsia" w:ascii="方正仿宋简体" w:eastAsia="方正仿宋简体"/>
          <w:color w:val="000000"/>
          <w:sz w:val="32"/>
          <w:szCs w:val="32"/>
        </w:rPr>
        <w:t>万元以上专用设备0台（套）。</w:t>
      </w:r>
    </w:p>
    <w:p>
      <w:pPr>
        <w:widowControl/>
        <w:jc w:val="left"/>
        <w:rPr>
          <w:rFonts w:hint="eastAsia" w:ascii="方正仿宋简体" w:eastAsia="方正仿宋简体"/>
          <w:b/>
          <w:color w:val="000000"/>
          <w:sz w:val="32"/>
          <w:szCs w:val="32"/>
        </w:rPr>
      </w:pPr>
      <w:r>
        <w:rPr>
          <w:rFonts w:hint="eastAsia" w:ascii="方正仿宋简体" w:eastAsia="方正仿宋简体"/>
          <w:b/>
          <w:color w:val="000000"/>
          <w:sz w:val="32"/>
          <w:szCs w:val="32"/>
        </w:rPr>
        <w:br w:type="page"/>
      </w:r>
    </w:p>
    <w:p>
      <w:pPr>
        <w:numPr>
          <w:ilvl w:val="0"/>
          <w:numId w:val="6"/>
        </w:numPr>
        <w:spacing w:line="600" w:lineRule="exact"/>
        <w:ind w:firstLine="663" w:firstLineChars="150"/>
        <w:jc w:val="center"/>
        <w:outlineLvl w:val="0"/>
        <w:rPr>
          <w:rStyle w:val="24"/>
          <w:rFonts w:ascii="黑体" w:hAnsi="黑体" w:eastAsia="黑体"/>
          <w:b w:val="0"/>
        </w:rPr>
      </w:pPr>
      <w:bookmarkStart w:id="55" w:name="_Toc15377225"/>
      <w:bookmarkStart w:id="56" w:name="_Toc15396613"/>
      <w:r>
        <w:rPr>
          <w:rFonts w:hint="eastAsia" w:ascii="黑体" w:hAnsi="黑体" w:eastAsia="黑体"/>
          <w:b/>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1.财政拨款收入：指单位从同级财政部门取得的财政预算资金。</w:t>
      </w:r>
    </w:p>
    <w:p>
      <w:pPr>
        <w:pStyle w:val="22"/>
        <w:spacing w:line="56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2.事业收入：指事业单位开展专业业务活动及辅助活动取得的收入。如…（二级预算单位事业收入情况）等。</w:t>
      </w:r>
    </w:p>
    <w:p>
      <w:pPr>
        <w:pStyle w:val="22"/>
        <w:spacing w:line="56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3.经营收入：指事业单位在专业业务活动及其辅助活动之外开展非独立核算经营活动取得的收入。如…（二级预算单位经营收入情况）等。</w:t>
      </w:r>
    </w:p>
    <w:p>
      <w:pPr>
        <w:pStyle w:val="22"/>
        <w:spacing w:line="56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 xml:space="preserve">4.其他收入：指单位取得的除上述收入以外的各项收入。主要是…（收入类型）等。 </w:t>
      </w:r>
    </w:p>
    <w:p>
      <w:pPr>
        <w:pStyle w:val="22"/>
        <w:spacing w:line="56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2"/>
        <w:spacing w:line="56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 xml:space="preserve">6.年初结转和结余：指以前年度尚未完成、结转到本年按有关规定继续使用的资金。 </w:t>
      </w:r>
    </w:p>
    <w:p>
      <w:pPr>
        <w:pStyle w:val="22"/>
        <w:spacing w:line="56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7.结余分配：指事业单位按照事业单位会计制度的规定从非财政补助结余中分配的事业基金和职工福利基金等。</w:t>
      </w:r>
    </w:p>
    <w:p>
      <w:pPr>
        <w:pStyle w:val="22"/>
        <w:spacing w:line="56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8.年末结转和结余：指单位按有关规定结转到下年或以后年度继续使用的资金。</w:t>
      </w:r>
    </w:p>
    <w:p>
      <w:pPr>
        <w:pStyle w:val="22"/>
        <w:spacing w:line="56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9.一般公共服务（类）纪检监察事务（款）行政运行（项）: 指行政单位的基本支出。</w:t>
      </w:r>
    </w:p>
    <w:p>
      <w:pPr>
        <w:pStyle w:val="22"/>
        <w:spacing w:line="56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10. 一般公共服务（类）纪检监察事务（款）一般行政管理事务（项）: 指行政单位未单独设置项级科目的其他项目支出。</w:t>
      </w:r>
    </w:p>
    <w:p>
      <w:pPr>
        <w:spacing w:line="600" w:lineRule="exact"/>
        <w:ind w:firstLine="640" w:firstLineChars="200"/>
        <w:rPr>
          <w:rFonts w:hint="eastAsia" w:ascii="方正仿宋简体" w:hAnsi="Calibri" w:eastAsia="方正仿宋简体" w:cs="仿宋"/>
          <w:color w:val="000000"/>
          <w:kern w:val="0"/>
          <w:sz w:val="32"/>
          <w:szCs w:val="32"/>
        </w:rPr>
      </w:pPr>
      <w:r>
        <w:rPr>
          <w:rFonts w:hint="eastAsia" w:ascii="方正仿宋简体" w:hAnsi="Calibri" w:eastAsia="方正仿宋简体" w:cs="仿宋"/>
          <w:color w:val="000000"/>
          <w:kern w:val="0"/>
          <w:sz w:val="32"/>
          <w:szCs w:val="32"/>
        </w:rPr>
        <w:t>11. 一般公共服务（类）纪检监察事务（款）其他纪检监察事务支出（项）: 指除上述项目以外其他纪检监察事务方面的支出。</w:t>
      </w:r>
    </w:p>
    <w:p>
      <w:pPr>
        <w:spacing w:line="600" w:lineRule="exact"/>
        <w:ind w:firstLine="640" w:firstLineChars="200"/>
        <w:rPr>
          <w:rFonts w:hint="eastAsia" w:ascii="方正仿宋简体" w:hAnsi="Calibri" w:eastAsia="方正仿宋简体" w:cs="仿宋"/>
          <w:color w:val="000000"/>
          <w:kern w:val="0"/>
          <w:sz w:val="32"/>
          <w:szCs w:val="32"/>
        </w:rPr>
      </w:pPr>
      <w:r>
        <w:rPr>
          <w:rFonts w:hint="eastAsia" w:ascii="方正仿宋简体" w:hAnsi="Calibri" w:eastAsia="方正仿宋简体" w:cs="仿宋"/>
          <w:color w:val="000000"/>
          <w:kern w:val="0"/>
          <w:sz w:val="32"/>
          <w:szCs w:val="32"/>
        </w:rPr>
        <w:t>12.社会保障和就业（类）行政事业单位离退休（款）机关事业单位基本养老保险缴费支出（项）: 指机关事业单位实施养老保险制度由单位缴纳的基本养老保险费支出。</w:t>
      </w:r>
    </w:p>
    <w:p>
      <w:pPr>
        <w:spacing w:line="600" w:lineRule="exact"/>
        <w:ind w:firstLine="640" w:firstLineChars="200"/>
        <w:rPr>
          <w:rFonts w:hint="eastAsia" w:ascii="方正仿宋简体" w:hAnsi="Calibri" w:eastAsia="方正仿宋简体" w:cs="仿宋"/>
          <w:color w:val="000000"/>
          <w:kern w:val="0"/>
          <w:sz w:val="32"/>
          <w:szCs w:val="32"/>
        </w:rPr>
      </w:pPr>
      <w:r>
        <w:rPr>
          <w:rFonts w:hint="eastAsia" w:ascii="方正仿宋简体" w:hAnsi="Calibri" w:eastAsia="方正仿宋简体" w:cs="仿宋"/>
          <w:color w:val="000000"/>
          <w:kern w:val="0"/>
          <w:sz w:val="32"/>
          <w:szCs w:val="32"/>
        </w:rPr>
        <w:t>13.社会保障和就业（类）行政事业单位离退休（款）机关事业单位职业年金缴费支出（项）: 指机关事业单位实施养老保险制度由单位实际缴纳的职业年金支出。</w:t>
      </w:r>
    </w:p>
    <w:p>
      <w:pPr>
        <w:spacing w:line="600" w:lineRule="exact"/>
        <w:ind w:firstLine="640" w:firstLineChars="200"/>
        <w:rPr>
          <w:rFonts w:hint="eastAsia" w:ascii="方正仿宋简体" w:hAnsi="Calibri" w:eastAsia="方正仿宋简体" w:cs="仿宋"/>
          <w:color w:val="000000"/>
          <w:kern w:val="0"/>
          <w:sz w:val="32"/>
          <w:szCs w:val="32"/>
        </w:rPr>
      </w:pPr>
      <w:r>
        <w:rPr>
          <w:rFonts w:hint="eastAsia" w:ascii="方正仿宋简体" w:hAnsi="Calibri" w:eastAsia="方正仿宋简体" w:cs="仿宋"/>
          <w:color w:val="000000"/>
          <w:kern w:val="0"/>
          <w:sz w:val="32"/>
          <w:szCs w:val="32"/>
        </w:rPr>
        <w:t>14.社会保障和就业（类）抚恤（款）死亡抚恤（项）:指按规定用于烈士和牺牲、病故人员家属的一次性和定期抚恤金以及丧葬补助费。</w:t>
      </w:r>
    </w:p>
    <w:p>
      <w:pPr>
        <w:ind w:firstLine="640" w:firstLineChars="200"/>
        <w:rPr>
          <w:rFonts w:hint="eastAsia" w:ascii="方正仿宋简体" w:hAnsi="Calibri" w:eastAsia="方正仿宋简体" w:cs="仿宋"/>
          <w:color w:val="000000"/>
          <w:kern w:val="0"/>
          <w:sz w:val="32"/>
          <w:szCs w:val="32"/>
        </w:rPr>
      </w:pPr>
      <w:r>
        <w:rPr>
          <w:rFonts w:hint="eastAsia" w:ascii="方正仿宋简体" w:hAnsi="Calibri" w:eastAsia="方正仿宋简体" w:cs="仿宋"/>
          <w:color w:val="000000"/>
          <w:kern w:val="0"/>
          <w:sz w:val="32"/>
          <w:szCs w:val="32"/>
        </w:rPr>
        <w:t>15.医疗卫生与计划生育（类）行政事业单位医疗（款）行政单位医疗（项）: 指财政部门集中安排的行政单位基本医疗保险缴费经费。</w:t>
      </w:r>
    </w:p>
    <w:p>
      <w:pPr>
        <w:ind w:firstLine="640" w:firstLineChars="200"/>
        <w:rPr>
          <w:rFonts w:hint="eastAsia" w:ascii="方正仿宋简体" w:hAnsi="Calibri" w:eastAsia="方正仿宋简体" w:cs="仿宋"/>
          <w:color w:val="000000"/>
          <w:kern w:val="0"/>
          <w:sz w:val="32"/>
          <w:szCs w:val="32"/>
        </w:rPr>
      </w:pPr>
      <w:r>
        <w:rPr>
          <w:rFonts w:hint="eastAsia" w:ascii="方正仿宋简体" w:hAnsi="Calibri" w:eastAsia="方正仿宋简体" w:cs="仿宋"/>
          <w:color w:val="000000"/>
          <w:kern w:val="0"/>
          <w:sz w:val="32"/>
          <w:szCs w:val="32"/>
        </w:rPr>
        <w:t>16.农林水（类）扶贫（款）其他扶贫支出（项）: 指其他用于扶贫方面的支出。</w:t>
      </w:r>
    </w:p>
    <w:p>
      <w:pPr>
        <w:ind w:firstLine="640" w:firstLineChars="200"/>
        <w:rPr>
          <w:rFonts w:hint="eastAsia" w:ascii="方正仿宋简体" w:hAnsi="Calibri" w:eastAsia="方正仿宋简体" w:cs="仿宋"/>
          <w:color w:val="000000"/>
          <w:kern w:val="0"/>
          <w:sz w:val="32"/>
          <w:szCs w:val="32"/>
        </w:rPr>
      </w:pPr>
      <w:r>
        <w:rPr>
          <w:rFonts w:hint="eastAsia" w:ascii="方正仿宋简体" w:hAnsi="Calibri" w:eastAsia="方正仿宋简体" w:cs="仿宋"/>
          <w:color w:val="000000"/>
          <w:kern w:val="0"/>
          <w:sz w:val="32"/>
          <w:szCs w:val="32"/>
        </w:rPr>
        <w:t>17.住房保障（类）住房改革（款）住房公积金（项）: 指行政事业单位按人力资源和社会保障部、财政部规定的基本工资和津贴补贴以及规定比例为职工缴纳的住房公积金。</w:t>
      </w:r>
    </w:p>
    <w:p>
      <w:pPr>
        <w:ind w:firstLine="640" w:firstLineChars="200"/>
        <w:rPr>
          <w:rFonts w:hint="eastAsia" w:ascii="方正仿宋简体" w:hAnsi="Calibri" w:eastAsia="方正仿宋简体" w:cs="仿宋"/>
          <w:color w:val="000000"/>
          <w:kern w:val="0"/>
          <w:sz w:val="32"/>
          <w:szCs w:val="32"/>
        </w:rPr>
      </w:pPr>
      <w:r>
        <w:rPr>
          <w:rFonts w:hint="eastAsia" w:ascii="方正仿宋简体" w:hAnsi="Calibri" w:eastAsia="方正仿宋简体" w:cs="仿宋"/>
          <w:color w:val="000000"/>
          <w:kern w:val="0"/>
          <w:sz w:val="32"/>
          <w:szCs w:val="32"/>
        </w:rPr>
        <w:t>18.基本支出：指为保障机构正常运转、完成日常工作任务而发生的人员支出和公用支出。</w:t>
      </w:r>
    </w:p>
    <w:p>
      <w:pPr>
        <w:ind w:firstLine="640" w:firstLineChars="200"/>
        <w:rPr>
          <w:rFonts w:hint="eastAsia" w:ascii="方正仿宋简体" w:hAnsi="Calibri" w:eastAsia="方正仿宋简体" w:cs="仿宋"/>
          <w:color w:val="000000"/>
          <w:kern w:val="0"/>
          <w:sz w:val="32"/>
          <w:szCs w:val="32"/>
        </w:rPr>
      </w:pPr>
      <w:r>
        <w:rPr>
          <w:rFonts w:hint="eastAsia" w:ascii="方正仿宋简体" w:hAnsi="Calibri" w:eastAsia="方正仿宋简体" w:cs="仿宋"/>
          <w:color w:val="000000"/>
          <w:kern w:val="0"/>
          <w:sz w:val="32"/>
          <w:szCs w:val="32"/>
        </w:rPr>
        <w:t xml:space="preserve">19.项目支出：指在基本支出之外为完成特定行政任务和事业发展目标所发生的支出。 </w:t>
      </w:r>
    </w:p>
    <w:p>
      <w:pPr>
        <w:ind w:firstLine="640" w:firstLineChars="200"/>
        <w:rPr>
          <w:rFonts w:hint="eastAsia" w:ascii="方正仿宋简体" w:eastAsia="方正仿宋简体"/>
          <w:color w:val="000000"/>
          <w:sz w:val="32"/>
          <w:szCs w:val="32"/>
        </w:rPr>
      </w:pPr>
      <w:r>
        <w:rPr>
          <w:rFonts w:hint="eastAsia" w:ascii="方正仿宋简体" w:hAnsi="Calibri" w:eastAsia="方正仿宋简体" w:cs="仿宋"/>
          <w:color w:val="000000"/>
          <w:kern w:val="0"/>
          <w:sz w:val="32"/>
          <w:szCs w:val="32"/>
        </w:rPr>
        <w:t>20.经营支出：指事业单位在专业业务活动及其辅助活</w:t>
      </w:r>
      <w:r>
        <w:rPr>
          <w:rFonts w:hint="eastAsia" w:ascii="方正仿宋简体" w:eastAsia="方正仿宋简体"/>
          <w:color w:val="000000"/>
          <w:sz w:val="32"/>
          <w:szCs w:val="32"/>
        </w:rPr>
        <w:t>动之外开展非独立核算经营活动发生的支出。</w:t>
      </w:r>
    </w:p>
    <w:p>
      <w:pPr>
        <w:pStyle w:val="22"/>
        <w:spacing w:line="56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21.“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22.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方正仿宋简体" w:hAnsi="黑体" w:eastAsia="方正仿宋简体"/>
          <w:color w:val="000000"/>
          <w:sz w:val="44"/>
          <w:szCs w:val="44"/>
        </w:rPr>
      </w:pPr>
      <w:bookmarkStart w:id="57" w:name="_Toc15396614"/>
      <w:bookmarkStart w:id="58" w:name="_Toc15377226"/>
    </w:p>
    <w:p>
      <w:pPr>
        <w:spacing w:line="600" w:lineRule="exact"/>
        <w:jc w:val="center"/>
        <w:outlineLvl w:val="0"/>
        <w:rPr>
          <w:rFonts w:hint="eastAsia" w:ascii="方正仿宋简体" w:hAnsi="黑体" w:eastAsia="方正仿宋简体"/>
          <w:color w:val="000000"/>
          <w:sz w:val="44"/>
          <w:szCs w:val="44"/>
        </w:rPr>
      </w:pPr>
    </w:p>
    <w:p>
      <w:pPr>
        <w:spacing w:line="600" w:lineRule="exact"/>
        <w:jc w:val="center"/>
        <w:outlineLvl w:val="0"/>
        <w:rPr>
          <w:rFonts w:hint="eastAsia" w:ascii="方正仿宋简体" w:hAnsi="黑体" w:eastAsia="方正仿宋简体"/>
          <w:color w:val="000000"/>
          <w:sz w:val="44"/>
          <w:szCs w:val="44"/>
        </w:rPr>
      </w:pP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四部分 附件</w:t>
      </w:r>
      <w:bookmarkEnd w:id="57"/>
    </w:p>
    <w:p>
      <w:pPr>
        <w:spacing w:line="600" w:lineRule="exact"/>
        <w:jc w:val="center"/>
        <w:outlineLvl w:val="0"/>
        <w:rPr>
          <w:rStyle w:val="24"/>
        </w:rPr>
      </w:pPr>
    </w:p>
    <w:p>
      <w:pPr>
        <w:pStyle w:val="3"/>
        <w:rPr>
          <w:rStyle w:val="24"/>
          <w:rFonts w:ascii="仿宋" w:hAnsi="仿宋" w:eastAsia="仿宋"/>
          <w:b w:val="0"/>
          <w:bCs w:val="0"/>
          <w:sz w:val="32"/>
          <w:szCs w:val="32"/>
        </w:rPr>
      </w:pPr>
      <w:bookmarkStart w:id="59" w:name="_Toc15396615"/>
      <w:r>
        <w:rPr>
          <w:rStyle w:val="24"/>
          <w:rFonts w:hint="eastAsia" w:ascii="仿宋" w:hAnsi="仿宋" w:eastAsia="仿宋"/>
          <w:b w:val="0"/>
          <w:bCs w:val="0"/>
          <w:sz w:val="32"/>
          <w:szCs w:val="32"/>
        </w:rPr>
        <w:t>附件1</w:t>
      </w:r>
      <w:bookmarkEnd w:id="59"/>
    </w:p>
    <w:p>
      <w:pPr>
        <w:spacing w:line="600" w:lineRule="exact"/>
        <w:jc w:val="center"/>
        <w:outlineLvl w:val="0"/>
        <w:rPr>
          <w:rFonts w:ascii="黑体" w:hAnsi="黑体" w:eastAsia="黑体" w:cs="方正小标宋简体"/>
          <w:sz w:val="36"/>
          <w:szCs w:val="36"/>
        </w:rPr>
      </w:pPr>
      <w:bookmarkStart w:id="60" w:name="_Toc15396616"/>
      <w:r>
        <w:rPr>
          <w:rFonts w:hint="eastAsia" w:ascii="黑体" w:hAnsi="黑体" w:eastAsia="黑体" w:cs="方正小标宋简体"/>
          <w:sz w:val="36"/>
          <w:szCs w:val="36"/>
        </w:rPr>
        <w:t>中共广元市利州区纪委</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2018年部门整体支出绩效评价报告</w:t>
      </w:r>
      <w:bookmarkEnd w:id="60"/>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楷体" w:hAnsi="楷体" w:eastAsia="楷体" w:cs="仿宋_GB2312"/>
          <w:sz w:val="32"/>
          <w:szCs w:val="32"/>
        </w:rPr>
      </w:pPr>
      <w:r>
        <w:rPr>
          <w:rFonts w:ascii="楷体" w:hAnsi="楷体" w:eastAsia="楷体" w:cs="仿宋_GB2312"/>
          <w:sz w:val="32"/>
          <w:szCs w:val="32"/>
        </w:rPr>
        <w:t>（一）机构组成</w:t>
      </w:r>
    </w:p>
    <w:p>
      <w:pPr>
        <w:spacing w:line="580" w:lineRule="exact"/>
        <w:ind w:firstLine="640" w:firstLineChars="200"/>
        <w:rPr>
          <w:rFonts w:hint="eastAsia" w:ascii="方正仿宋简体" w:hAnsi="Calibri" w:eastAsia="方正仿宋简体"/>
          <w:sz w:val="30"/>
          <w:szCs w:val="30"/>
        </w:rPr>
      </w:pPr>
      <w:r>
        <w:rPr>
          <w:rFonts w:hint="eastAsia" w:ascii="方正仿宋简体" w:hAnsi="宋体" w:eastAsia="方正仿宋简体"/>
          <w:color w:val="000000"/>
          <w:sz w:val="32"/>
          <w:szCs w:val="32"/>
        </w:rPr>
        <w:t>中共广元市利州区纪委属于</w:t>
      </w:r>
      <w:r>
        <w:rPr>
          <w:rFonts w:hint="eastAsia" w:ascii="方正仿宋简体" w:hAnsi="Calibri" w:eastAsia="方正仿宋简体"/>
          <w:sz w:val="30"/>
          <w:szCs w:val="30"/>
        </w:rPr>
        <w:t>一级预算单位，内设机构14个（分别为办公室、组织部、宣传部、党风政风监督室、信访室、案件监督管理室、第一纪至第七纪检监察室、案件审理室）。</w:t>
      </w:r>
    </w:p>
    <w:p>
      <w:pPr>
        <w:spacing w:line="580" w:lineRule="exact"/>
        <w:ind w:firstLine="640" w:firstLineChars="200"/>
        <w:rPr>
          <w:rFonts w:ascii="楷体" w:hAnsi="楷体" w:eastAsia="楷体" w:cs="仿宋_GB2312"/>
          <w:sz w:val="32"/>
          <w:szCs w:val="32"/>
        </w:rPr>
      </w:pPr>
      <w:r>
        <w:rPr>
          <w:rFonts w:ascii="楷体" w:hAnsi="楷体" w:eastAsia="楷体" w:cs="仿宋_GB2312"/>
          <w:sz w:val="32"/>
          <w:szCs w:val="32"/>
        </w:rPr>
        <w:t>（二）机构职能</w:t>
      </w:r>
    </w:p>
    <w:p>
      <w:pPr>
        <w:ind w:firstLine="640" w:firstLineChars="200"/>
        <w:rPr>
          <w:rFonts w:hint="eastAsia" w:ascii="方正仿宋简体" w:hAnsi="宋体" w:eastAsia="方正仿宋简体"/>
          <w:color w:val="000000"/>
          <w:sz w:val="32"/>
          <w:szCs w:val="32"/>
        </w:rPr>
      </w:pPr>
      <w:r>
        <w:rPr>
          <w:rFonts w:hint="eastAsia" w:ascii="方正仿宋简体" w:hAnsi="宋体" w:eastAsia="方正仿宋简体"/>
          <w:color w:val="000000"/>
          <w:sz w:val="32"/>
          <w:szCs w:val="32"/>
        </w:rPr>
        <w:t>1.负责党的纪律检查工作。贯彻落实党中央关于纪律检查工作的决定，维护党的章程和其他党内法规，检查党的路线方针政策和决议的执行情况，协助区委推进全面从严治党、加强党风建设和组织协调反腐败工作。</w:t>
      </w:r>
    </w:p>
    <w:p>
      <w:pPr>
        <w:ind w:firstLine="640" w:firstLineChars="200"/>
        <w:rPr>
          <w:rFonts w:hint="eastAsia" w:ascii="方正仿宋简体" w:hAnsi="宋体" w:eastAsia="方正仿宋简体"/>
          <w:color w:val="000000"/>
          <w:sz w:val="32"/>
          <w:szCs w:val="32"/>
        </w:rPr>
      </w:pPr>
      <w:r>
        <w:rPr>
          <w:rFonts w:hint="eastAsia" w:ascii="方正仿宋简体" w:hAnsi="宋体" w:eastAsia="方正仿宋简体"/>
          <w:color w:val="000000"/>
          <w:sz w:val="32"/>
          <w:szCs w:val="32"/>
        </w:rPr>
        <w:t>2.依照党的章程和其他党内法规履行监督、执纪、问责职责。负责经常对党员进行遵守纪律的教育，作出关于维护党纪的决定，对区委工作机关、区委批准设立的党组织（党委），各乡镇（街道）党（工）委、纪（工）委等党的组织和区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ind w:firstLine="640" w:firstLineChars="200"/>
        <w:rPr>
          <w:rFonts w:hint="eastAsia" w:ascii="方正仿宋简体" w:hAnsi="宋体" w:eastAsia="方正仿宋简体"/>
          <w:color w:val="000000"/>
          <w:sz w:val="32"/>
          <w:szCs w:val="32"/>
        </w:rPr>
      </w:pPr>
      <w:r>
        <w:rPr>
          <w:rFonts w:hint="eastAsia" w:ascii="方正仿宋简体" w:hAnsi="宋体" w:eastAsia="方正仿宋简体"/>
          <w:color w:val="000000"/>
          <w:sz w:val="32"/>
          <w:szCs w:val="32"/>
        </w:rPr>
        <w:t>3.负责全区监察工作。贯彻落实党中央关于监察工作的决定，维护宪法法律，依法对区委管理的行使公权力的公职人员进行监察，调查职务违法和职务犯罪，开展廉政建设和反腐败工作。</w:t>
      </w:r>
    </w:p>
    <w:p>
      <w:pPr>
        <w:ind w:firstLine="640" w:firstLineChars="200"/>
        <w:rPr>
          <w:rFonts w:hint="eastAsia" w:ascii="方正仿宋简体" w:hAnsi="宋体" w:eastAsia="方正仿宋简体"/>
          <w:color w:val="000000"/>
          <w:sz w:val="32"/>
          <w:szCs w:val="32"/>
        </w:rPr>
      </w:pPr>
      <w:r>
        <w:rPr>
          <w:rFonts w:hint="eastAsia" w:ascii="方正仿宋简体" w:hAnsi="宋体" w:eastAsia="方正仿宋简体"/>
          <w:color w:val="000000"/>
          <w:sz w:val="32"/>
          <w:szCs w:val="32"/>
        </w:rPr>
        <w:t>4.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ind w:firstLine="640" w:firstLineChars="200"/>
        <w:rPr>
          <w:rFonts w:hint="eastAsia" w:ascii="方正仿宋简体" w:hAnsi="宋体" w:eastAsia="方正仿宋简体"/>
          <w:color w:val="000000"/>
          <w:sz w:val="32"/>
          <w:szCs w:val="32"/>
        </w:rPr>
      </w:pPr>
      <w:r>
        <w:rPr>
          <w:rFonts w:hint="eastAsia" w:ascii="方正仿宋简体" w:hAnsi="宋体" w:eastAsia="方正仿宋简体"/>
          <w:color w:val="000000"/>
          <w:sz w:val="32"/>
          <w:szCs w:val="32"/>
        </w:rPr>
        <w:t>5.负责组织协调全面从严治党、党风廉政建设和反腐败宣传教育工作。</w:t>
      </w:r>
    </w:p>
    <w:p>
      <w:pPr>
        <w:ind w:firstLine="640" w:firstLineChars="200"/>
        <w:rPr>
          <w:rFonts w:hint="eastAsia" w:ascii="方正仿宋简体" w:hAnsi="宋体" w:eastAsia="方正仿宋简体"/>
          <w:color w:val="000000"/>
          <w:sz w:val="32"/>
          <w:szCs w:val="32"/>
        </w:rPr>
      </w:pPr>
      <w:r>
        <w:rPr>
          <w:rFonts w:hint="eastAsia" w:ascii="方正仿宋简体" w:hAnsi="宋体" w:eastAsia="方正仿宋简体"/>
          <w:color w:val="000000"/>
          <w:sz w:val="32"/>
          <w:szCs w:val="32"/>
        </w:rPr>
        <w:t>6.负责综合分析全面从严治党、党风廉政建设和反腐败工作情况。对纪检监察工作重要理论及实践问题进行调查研究，制定或者修改全区纪检监察规范性文件，参与起草制定相关法规和规范性文件。</w:t>
      </w:r>
    </w:p>
    <w:p>
      <w:pPr>
        <w:ind w:firstLine="640" w:firstLineChars="200"/>
        <w:rPr>
          <w:rFonts w:hint="eastAsia" w:ascii="方正仿宋简体" w:hAnsi="宋体" w:eastAsia="方正仿宋简体"/>
          <w:color w:val="000000"/>
          <w:sz w:val="32"/>
          <w:szCs w:val="32"/>
        </w:rPr>
      </w:pPr>
      <w:r>
        <w:rPr>
          <w:rFonts w:hint="eastAsia" w:ascii="方正仿宋简体" w:hAnsi="宋体" w:eastAsia="方正仿宋简体"/>
          <w:color w:val="000000"/>
          <w:sz w:val="32"/>
          <w:szCs w:val="32"/>
        </w:rPr>
        <w:t>7.在市纪委监委的领导下，加强对反腐败国际追逃追赃和防逃工作的组织协调，督促有关单位做好相关工作。</w:t>
      </w:r>
    </w:p>
    <w:p>
      <w:pPr>
        <w:ind w:firstLine="640" w:firstLineChars="200"/>
        <w:rPr>
          <w:rFonts w:hint="eastAsia" w:ascii="方正仿宋简体" w:hAnsi="宋体" w:eastAsia="方正仿宋简体"/>
          <w:color w:val="000000"/>
          <w:sz w:val="32"/>
          <w:szCs w:val="32"/>
        </w:rPr>
      </w:pPr>
      <w:r>
        <w:rPr>
          <w:rFonts w:hint="eastAsia" w:ascii="方正仿宋简体" w:hAnsi="宋体" w:eastAsia="方正仿宋简体"/>
          <w:color w:val="000000"/>
          <w:sz w:val="32"/>
          <w:szCs w:val="32"/>
        </w:rPr>
        <w:t>8.根据干部管理权限，负责纪检监察系统领导班子建设、干部队伍建设和组织建设的综合规划、政策研究、制度建设和业务指导。会同有关方面做好区纪委监委派驻（出）机构、乡镇（街道）纪（工）委（监察室）、区管企业和区属学校医院等企事业单位纪检监察机构领导班子建设有关工作，组织和指导全区纪检监察系统教育培训工作等。</w:t>
      </w:r>
    </w:p>
    <w:p>
      <w:pPr>
        <w:ind w:firstLine="640" w:firstLineChars="200"/>
        <w:rPr>
          <w:rFonts w:hint="eastAsia" w:ascii="方正仿宋简体" w:hAnsi="宋体" w:eastAsia="方正仿宋简体"/>
          <w:color w:val="000000"/>
          <w:sz w:val="32"/>
          <w:szCs w:val="32"/>
        </w:rPr>
      </w:pPr>
      <w:r>
        <w:rPr>
          <w:rFonts w:hint="eastAsia" w:ascii="方正仿宋简体" w:hAnsi="宋体" w:eastAsia="方正仿宋简体"/>
          <w:color w:val="000000"/>
          <w:sz w:val="32"/>
          <w:szCs w:val="32"/>
        </w:rPr>
        <w:t>9.完成区委和市纪委监委交办的其他任务。</w:t>
      </w:r>
    </w:p>
    <w:p>
      <w:pPr>
        <w:spacing w:line="580" w:lineRule="exact"/>
        <w:ind w:firstLine="640" w:firstLineChars="200"/>
        <w:rPr>
          <w:rFonts w:ascii="楷体" w:hAnsi="楷体" w:eastAsia="楷体" w:cs="仿宋_GB2312"/>
          <w:sz w:val="32"/>
          <w:szCs w:val="32"/>
        </w:rPr>
      </w:pPr>
      <w:r>
        <w:rPr>
          <w:rFonts w:ascii="楷体" w:hAnsi="楷体" w:eastAsia="楷体" w:cs="仿宋_GB2312"/>
          <w:sz w:val="32"/>
          <w:szCs w:val="32"/>
        </w:rPr>
        <w:t>（三）人员概况</w:t>
      </w:r>
    </w:p>
    <w:p>
      <w:pPr>
        <w:spacing w:line="580" w:lineRule="exact"/>
        <w:ind w:firstLine="640" w:firstLineChars="200"/>
        <w:rPr>
          <w:rFonts w:hint="eastAsia" w:ascii="方正仿宋简体" w:hAnsi="仿宋" w:eastAsia="方正仿宋简体" w:cs="仿宋_GB2312"/>
          <w:sz w:val="32"/>
          <w:szCs w:val="32"/>
        </w:rPr>
      </w:pPr>
      <w:r>
        <w:rPr>
          <w:rFonts w:hint="eastAsia" w:ascii="方正仿宋简体" w:hAnsi="宋体" w:eastAsia="方正仿宋简体"/>
          <w:color w:val="000000"/>
          <w:sz w:val="32"/>
          <w:szCs w:val="32"/>
        </w:rPr>
        <w:t>中共广元市利州区纪委现有编制58个，其中行政编制48名、事业编制7名、机关工勤编制3名。</w:t>
      </w:r>
      <w:r>
        <w:rPr>
          <w:rFonts w:hint="eastAsia" w:ascii="方正仿宋简体" w:hAnsi="Calibri" w:eastAsia="方正仿宋简体"/>
          <w:sz w:val="30"/>
          <w:szCs w:val="30"/>
        </w:rPr>
        <w:t>现有在编人员</w:t>
      </w:r>
      <w:r>
        <w:rPr>
          <w:rFonts w:hint="eastAsia" w:ascii="方正仿宋简体" w:hAnsi="宋体" w:eastAsia="方正仿宋简体"/>
          <w:color w:val="000000"/>
          <w:sz w:val="32"/>
          <w:szCs w:val="32"/>
        </w:rPr>
        <w:t>52人，其中公务员42人、事业人员8人、工勤人员2人。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楷体" w:hAnsi="楷体" w:eastAsia="楷体" w:cs="仿宋_GB2312"/>
          <w:sz w:val="32"/>
          <w:szCs w:val="32"/>
        </w:rPr>
      </w:pPr>
      <w:r>
        <w:rPr>
          <w:rFonts w:ascii="楷体" w:hAnsi="楷体" w:eastAsia="楷体" w:cs="仿宋_GB2312"/>
          <w:sz w:val="32"/>
          <w:szCs w:val="32"/>
        </w:rPr>
        <w:t>（一）部门财政资金收入情况</w:t>
      </w:r>
    </w:p>
    <w:p>
      <w:pPr>
        <w:spacing w:line="520" w:lineRule="exact"/>
        <w:ind w:firstLine="640" w:firstLineChars="200"/>
        <w:outlineLvl w:val="1"/>
        <w:rPr>
          <w:rFonts w:hint="eastAsia" w:ascii="方正仿宋简体" w:hAnsi="仿宋" w:eastAsia="方正仿宋简体"/>
          <w:color w:val="000000"/>
          <w:sz w:val="32"/>
          <w:szCs w:val="32"/>
        </w:rPr>
      </w:pPr>
      <w:r>
        <w:rPr>
          <w:rFonts w:hint="eastAsia" w:ascii="方正仿宋简体" w:hAnsi="仿宋" w:eastAsia="方正仿宋简体"/>
          <w:color w:val="000000"/>
          <w:sz w:val="32"/>
          <w:szCs w:val="32"/>
        </w:rPr>
        <w:t>2018年收入合计784.69万元，其中：一般公共预算财政拨款收入784.69万元，占100%；政府性基金预算财政拨款收入0万元，占0%；国有资本经营预算财政拨款收入0万元，占0%；事业收入0万元，占0%；经营收入0万元，占0%；附属单位上缴收入0万元，占0%；其他收入0万元，占0%。</w:t>
      </w:r>
    </w:p>
    <w:p>
      <w:pPr>
        <w:spacing w:line="580" w:lineRule="exact"/>
        <w:ind w:firstLine="640" w:firstLineChars="200"/>
        <w:rPr>
          <w:rFonts w:hint="eastAsia" w:ascii="方正仿宋简体" w:hAnsi="仿宋" w:eastAsia="方正仿宋简体" w:cs="仿宋_GB2312"/>
          <w:sz w:val="32"/>
          <w:szCs w:val="32"/>
        </w:rPr>
      </w:pPr>
    </w:p>
    <w:p>
      <w:pPr>
        <w:spacing w:line="580" w:lineRule="exact"/>
        <w:ind w:firstLine="640" w:firstLineChars="200"/>
        <w:rPr>
          <w:rFonts w:ascii="楷体" w:hAnsi="楷体" w:eastAsia="楷体" w:cs="仿宋_GB2312"/>
          <w:sz w:val="32"/>
          <w:szCs w:val="32"/>
        </w:rPr>
      </w:pPr>
      <w:r>
        <w:rPr>
          <w:rFonts w:ascii="楷体" w:hAnsi="楷体" w:eastAsia="楷体" w:cs="仿宋_GB2312"/>
          <w:sz w:val="32"/>
          <w:szCs w:val="32"/>
        </w:rPr>
        <w:t>（二）部门财政资金支出情况</w:t>
      </w:r>
    </w:p>
    <w:p>
      <w:pPr>
        <w:spacing w:line="600" w:lineRule="exact"/>
        <w:ind w:firstLine="640"/>
        <w:rPr>
          <w:rFonts w:hint="eastAsia" w:ascii="方正仿宋简体" w:hAnsi="仿宋" w:eastAsia="方正仿宋简体"/>
          <w:color w:val="000000"/>
          <w:sz w:val="32"/>
          <w:szCs w:val="32"/>
          <w:shd w:val="pct10" w:color="auto" w:fill="FFFFFF"/>
        </w:rPr>
      </w:pPr>
      <w:r>
        <w:rPr>
          <w:rFonts w:hint="eastAsia" w:ascii="方正仿宋简体" w:hAnsi="仿宋" w:eastAsia="方正仿宋简体"/>
          <w:color w:val="000000"/>
          <w:sz w:val="32"/>
          <w:szCs w:val="32"/>
        </w:rPr>
        <w:t>2018年本年支出合计823.96万元，其中：基本支出731.46万元，占88.77%；项目支出92.50万元，占11.23%；上缴上级支出0万元，占0%；经营支出0万元，占0%；对附属单位补助支出0万元，占0%。</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hint="eastAsia" w:ascii="楷体" w:hAnsi="楷体" w:eastAsia="楷体" w:cs="仿宋_GB2312"/>
          <w:sz w:val="32"/>
          <w:szCs w:val="32"/>
        </w:rPr>
      </w:pPr>
      <w:r>
        <w:rPr>
          <w:rFonts w:hint="eastAsia" w:ascii="楷体" w:hAnsi="楷体" w:eastAsia="楷体" w:cs="仿宋_GB2312"/>
          <w:sz w:val="32"/>
          <w:szCs w:val="32"/>
        </w:rPr>
        <w:t>（一）部门预算管理</w:t>
      </w:r>
    </w:p>
    <w:p>
      <w:pPr>
        <w:spacing w:line="580" w:lineRule="exact"/>
        <w:ind w:firstLine="640" w:firstLineChars="200"/>
        <w:rPr>
          <w:rFonts w:hint="eastAsia" w:ascii="方正仿宋简体" w:hAnsi="仿宋" w:eastAsia="方正仿宋简体" w:cs="仿宋_GB2312"/>
          <w:sz w:val="32"/>
          <w:szCs w:val="32"/>
        </w:rPr>
      </w:pPr>
      <w:r>
        <w:rPr>
          <w:rFonts w:hint="eastAsia" w:ascii="方正仿宋简体" w:hAnsi="仿宋" w:eastAsia="方正仿宋简体" w:cs="仿宋_GB2312"/>
          <w:sz w:val="32"/>
          <w:szCs w:val="32"/>
        </w:rPr>
        <w:t>区纪委成立了以分管副书记为组长、各室负责人为成员的绩效管理领导小组。年初制定相应的科室绩效目标，分阶段进行相应的对照检查，确保目标的完成。严格按规定，根据实际需要编制预算，各项支出厉行节约，采取先申请后实施的方法，坚决杜绝超预算支出。全年预算支出完成率达</w:t>
      </w:r>
      <w:r>
        <w:rPr>
          <w:rStyle w:val="14"/>
          <w:rFonts w:hint="eastAsia" w:ascii="方正仿宋简体" w:hAnsi="仿宋" w:eastAsia="方正仿宋简体"/>
          <w:b w:val="0"/>
          <w:bCs/>
          <w:color w:val="000000"/>
          <w:sz w:val="32"/>
          <w:szCs w:val="32"/>
        </w:rPr>
        <w:t>96.91%</w:t>
      </w:r>
      <w:r>
        <w:rPr>
          <w:rFonts w:hint="eastAsia" w:ascii="方正仿宋简体" w:hAnsi="仿宋" w:eastAsia="方正仿宋简体" w:cs="仿宋_GB2312"/>
          <w:sz w:val="32"/>
          <w:szCs w:val="32"/>
        </w:rPr>
        <w:t>以上，主要由于人员增加、增资而增加的养老保险、医疗保险、住房公积金、办公费结转下年使用。全年无违纪违规现象发生。</w:t>
      </w:r>
    </w:p>
    <w:p>
      <w:pPr>
        <w:spacing w:line="580" w:lineRule="exact"/>
        <w:ind w:firstLine="640" w:firstLineChars="200"/>
        <w:rPr>
          <w:rFonts w:hint="eastAsia" w:ascii="楷体" w:hAnsi="楷体" w:eastAsia="楷体" w:cs="仿宋_GB2312"/>
          <w:sz w:val="32"/>
          <w:szCs w:val="32"/>
        </w:rPr>
      </w:pPr>
      <w:r>
        <w:rPr>
          <w:rFonts w:hint="eastAsia" w:ascii="楷体" w:hAnsi="楷体" w:eastAsia="楷体" w:cs="仿宋_GB2312"/>
          <w:sz w:val="32"/>
          <w:szCs w:val="32"/>
        </w:rPr>
        <w:t>（二）专项预算管理</w:t>
      </w:r>
    </w:p>
    <w:p>
      <w:pPr>
        <w:spacing w:line="580" w:lineRule="exact"/>
        <w:ind w:firstLine="640" w:firstLineChars="200"/>
        <w:rPr>
          <w:rFonts w:hint="eastAsia" w:ascii="方正仿宋简体" w:hAnsi="仿宋" w:eastAsia="方正仿宋简体" w:cs="仿宋_GB2312"/>
          <w:sz w:val="32"/>
          <w:szCs w:val="32"/>
        </w:rPr>
      </w:pPr>
      <w:r>
        <w:rPr>
          <w:rFonts w:hint="eastAsia" w:ascii="方正仿宋简体" w:hAnsi="仿宋" w:eastAsia="方正仿宋简体" w:cs="仿宋_GB2312"/>
          <w:sz w:val="32"/>
          <w:szCs w:val="32"/>
        </w:rPr>
        <w:t>区纪委在项目管理实施时先制定工作计划、明确责任领导和具体负责人等，严格项目绩效评估，根据工作进度进行资金拨付使用。全年无违纪违规现象发生。</w:t>
      </w:r>
    </w:p>
    <w:p>
      <w:pPr>
        <w:spacing w:line="580" w:lineRule="exact"/>
        <w:ind w:firstLine="640" w:firstLineChars="200"/>
        <w:rPr>
          <w:rFonts w:hint="eastAsia" w:ascii="楷体" w:hAnsi="楷体" w:eastAsia="楷体" w:cs="仿宋_GB2312"/>
          <w:sz w:val="32"/>
          <w:szCs w:val="32"/>
        </w:rPr>
      </w:pPr>
      <w:r>
        <w:rPr>
          <w:rFonts w:hint="eastAsia" w:ascii="楷体" w:hAnsi="楷体" w:eastAsia="楷体" w:cs="仿宋_GB2312"/>
          <w:sz w:val="32"/>
          <w:szCs w:val="32"/>
        </w:rPr>
        <w:t>（三）结果应用情况</w:t>
      </w:r>
    </w:p>
    <w:p>
      <w:pPr>
        <w:ind w:firstLine="640" w:firstLineChars="200"/>
        <w:rPr>
          <w:rFonts w:hint="eastAsia" w:ascii="方正仿宋简体" w:hAnsi="宋体" w:eastAsia="方正仿宋简体"/>
          <w:color w:val="000000"/>
          <w:sz w:val="32"/>
          <w:szCs w:val="32"/>
        </w:rPr>
      </w:pPr>
      <w:r>
        <w:rPr>
          <w:rFonts w:hint="eastAsia" w:ascii="方正仿宋简体" w:hAnsi="仿宋" w:eastAsia="方正仿宋简体" w:cs="仿宋_GB2312"/>
          <w:sz w:val="32"/>
          <w:szCs w:val="32"/>
        </w:rPr>
        <w:t>区纪委整体预算管理情况良好，各种资金使用合理合规，公开公正，无徇私舞弊。全年围绕</w:t>
      </w:r>
      <w:r>
        <w:rPr>
          <w:rFonts w:hint="eastAsia" w:ascii="方正仿宋简体" w:hAnsi="宋体" w:eastAsia="方正仿宋简体"/>
          <w:color w:val="000000"/>
          <w:sz w:val="32"/>
          <w:szCs w:val="32"/>
        </w:rPr>
        <w:t>协助区委推进全面从严治党、加强党风廉政建设和组织协调反腐败工作，</w:t>
      </w:r>
      <w:r>
        <w:rPr>
          <w:rFonts w:hint="eastAsia" w:ascii="方正仿宋简体" w:hAnsi="仿宋" w:eastAsia="方正仿宋简体" w:cs="仿宋_GB2312"/>
          <w:sz w:val="32"/>
          <w:szCs w:val="32"/>
        </w:rPr>
        <w:t>圆满完成各项目标任务。</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hint="eastAsia" w:ascii="方正仿宋简体" w:hAnsi="仿宋" w:eastAsia="方正仿宋简体" w:cs="仿宋_GB2312"/>
          <w:sz w:val="32"/>
          <w:szCs w:val="32"/>
        </w:rPr>
      </w:pPr>
      <w:r>
        <w:rPr>
          <w:rFonts w:hint="eastAsia" w:ascii="方正仿宋简体" w:hAnsi="仿宋" w:eastAsia="方正仿宋简体" w:cs="仿宋_GB2312"/>
          <w:sz w:val="32"/>
          <w:szCs w:val="32"/>
        </w:rPr>
        <w:t>（一）评价结论：2018年区纪委在市纪委和区委的领导下，顺利完成了各项目标任务，通过绩效目标考核，并取得优异成绩。</w:t>
      </w:r>
    </w:p>
    <w:p>
      <w:pPr>
        <w:spacing w:line="580" w:lineRule="exact"/>
        <w:ind w:firstLine="640" w:firstLineChars="200"/>
        <w:rPr>
          <w:rFonts w:hint="eastAsia" w:ascii="方正仿宋简体" w:hAnsi="仿宋" w:eastAsia="方正仿宋简体" w:cs="仿宋_GB2312"/>
          <w:sz w:val="32"/>
          <w:szCs w:val="32"/>
        </w:rPr>
      </w:pPr>
      <w:r>
        <w:rPr>
          <w:rFonts w:hint="eastAsia" w:ascii="方正仿宋简体" w:hAnsi="仿宋" w:eastAsia="方正仿宋简体" w:cs="仿宋_GB2312"/>
          <w:sz w:val="32"/>
          <w:szCs w:val="32"/>
        </w:rPr>
        <w:t>（二）存在问题：全年在资金安排和使用上，还存在不及时、不规范的现象。</w:t>
      </w:r>
    </w:p>
    <w:p>
      <w:pPr>
        <w:spacing w:line="580" w:lineRule="exact"/>
        <w:ind w:firstLine="640" w:firstLineChars="200"/>
        <w:rPr>
          <w:rFonts w:hint="eastAsia" w:ascii="方正仿宋简体" w:hAnsi="仿宋_GB2312" w:eastAsia="方正仿宋简体" w:cs="仿宋_GB2312"/>
          <w:sz w:val="32"/>
          <w:szCs w:val="32"/>
        </w:rPr>
      </w:pPr>
      <w:r>
        <w:rPr>
          <w:rFonts w:hint="eastAsia" w:ascii="方正仿宋简体" w:hAnsi="仿宋" w:eastAsia="方正仿宋简体" w:cs="仿宋_GB2312"/>
          <w:sz w:val="32"/>
          <w:szCs w:val="32"/>
        </w:rPr>
        <w:t>（三）改进建议：一是加强制度建设，健全财务管理制度，严格资金审批程序，加大资金监管力，提高资金使用效益。严格落实资金使用用途，确保无违纪违行为发生；二是加强财务人员法规政策的学习，重点学习与业务工作有关的法规政策并熟悉掌握，不断提高业务水平。</w:t>
      </w:r>
    </w:p>
    <w:p>
      <w:pPr>
        <w:spacing w:line="580" w:lineRule="exact"/>
        <w:ind w:firstLine="640" w:firstLineChars="200"/>
        <w:rPr>
          <w:rFonts w:hint="eastAsia" w:ascii="方正仿宋简体" w:hAnsi="仿宋_GB2312" w:eastAsia="方正仿宋简体"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4"/>
          <w:rFonts w:ascii="仿宋" w:hAnsi="仿宋" w:eastAsia="仿宋"/>
          <w:b w:val="0"/>
          <w:bCs w:val="0"/>
          <w:sz w:val="32"/>
          <w:szCs w:val="32"/>
        </w:rPr>
      </w:pPr>
      <w:bookmarkStart w:id="61" w:name="_Toc15396617"/>
      <w:r>
        <w:rPr>
          <w:rStyle w:val="24"/>
          <w:rFonts w:hint="eastAsia" w:ascii="仿宋" w:hAnsi="仿宋" w:eastAsia="仿宋"/>
          <w:b w:val="0"/>
          <w:bCs w:val="0"/>
          <w:sz w:val="32"/>
          <w:szCs w:val="32"/>
        </w:rPr>
        <w:t>附件2</w:t>
      </w:r>
      <w:bookmarkEnd w:id="61"/>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2018年党风廉政项目支出绩效评价报告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w:t>
      </w:r>
      <w:r>
        <w:rPr>
          <w:rFonts w:ascii="黑体" w:hAnsi="黑体" w:eastAsia="黑体"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党风廉政项目是为提升党风廉政社会评价工作的专项经费，主要涉及制作廉洁图片、典型案例展板，在各乡镇（街道）进行巡展；制作各类廉洁标语、警示标语在交通要道、人口聚集地展示；制作警示教育片2部，对全区党员干部进行警示教育等经费。</w:t>
      </w:r>
    </w:p>
    <w:p>
      <w:pPr>
        <w:spacing w:line="58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w:t>
      </w:r>
      <w:r>
        <w:rPr>
          <w:rFonts w:ascii="黑体" w:hAnsi="黑体" w:eastAsia="黑体" w:cs="仿宋_GB2312"/>
          <w:sz w:val="32"/>
          <w:szCs w:val="32"/>
        </w:rPr>
        <w:t>、评价结论及绩效分析</w:t>
      </w:r>
    </w:p>
    <w:p>
      <w:pPr>
        <w:spacing w:line="580" w:lineRule="exact"/>
        <w:ind w:firstLine="640" w:firstLineChars="200"/>
        <w:rPr>
          <w:rFonts w:ascii="楷体" w:hAnsi="楷体" w:eastAsia="楷体" w:cs="仿宋_GB2312"/>
          <w:sz w:val="32"/>
          <w:szCs w:val="32"/>
        </w:rPr>
      </w:pPr>
      <w:r>
        <w:rPr>
          <w:rFonts w:ascii="楷体" w:hAnsi="楷体" w:eastAsia="楷体" w:cs="仿宋_GB2312"/>
          <w:sz w:val="32"/>
          <w:szCs w:val="32"/>
        </w:rPr>
        <w:t>（一）评价结论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项目全年预算数30.00万元，执行数为30.00万元，完成预算的100%。通过项目实施，保障了党风廉政建设社会评价进一步提升，提升了群众满意度、获得感，逐渐形成不敢腐、不能腐、不想腐的良好氛围。</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p>
    <w:p>
      <w:pPr>
        <w:jc w:val="center"/>
        <w:rPr>
          <w:rFonts w:ascii="黑体" w:hAnsi="黑体" w:eastAsia="黑体"/>
          <w:color w:val="000000"/>
          <w:sz w:val="32"/>
          <w:szCs w:val="32"/>
        </w:rPr>
      </w:pPr>
      <w:r>
        <w:rPr>
          <w:rFonts w:hint="eastAsia" w:ascii="黑体" w:hAnsi="黑体" w:eastAsia="黑体"/>
          <w:color w:val="000000"/>
          <w:sz w:val="32"/>
          <w:szCs w:val="32"/>
        </w:rPr>
        <w:t>党风廉政项目支出绩效评价得分表</w:t>
      </w:r>
    </w:p>
    <w:tbl>
      <w:tblPr>
        <w:tblStyle w:val="12"/>
        <w:tblW w:w="98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2113"/>
        <w:gridCol w:w="3535"/>
        <w:gridCol w:w="1311"/>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项目名称</w:t>
            </w:r>
          </w:p>
        </w:tc>
        <w:tc>
          <w:tcPr>
            <w:tcW w:w="8270"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黑体" w:hAnsi="黑体" w:eastAsia="黑体"/>
                <w:color w:val="000000"/>
                <w:sz w:val="28"/>
                <w:szCs w:val="28"/>
              </w:rPr>
              <w:t>党风廉政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一级</w:t>
            </w:r>
          </w:p>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指标</w:t>
            </w:r>
          </w:p>
        </w:tc>
        <w:tc>
          <w:tcPr>
            <w:tcW w:w="211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二级</w:t>
            </w:r>
          </w:p>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指标</w:t>
            </w:r>
          </w:p>
        </w:tc>
        <w:tc>
          <w:tcPr>
            <w:tcW w:w="353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三级指标</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分值</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18"/>
                <w:szCs w:val="18"/>
              </w:rPr>
            </w:pPr>
            <w:r>
              <w:rPr>
                <w:rFonts w:hint="eastAsia" w:ascii="宋体" w:hAnsi="宋体"/>
                <w:b/>
                <w:bCs/>
                <w:color w:val="000000"/>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618" w:type="dxa"/>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项目完成指标</w:t>
            </w:r>
          </w:p>
        </w:tc>
        <w:tc>
          <w:tcPr>
            <w:tcW w:w="2113" w:type="dxa"/>
            <w:vMerge w:val="restart"/>
            <w:tcBorders>
              <w:top w:val="nil"/>
              <w:left w:val="nil"/>
              <w:bottom w:val="single" w:color="auto" w:sz="4" w:space="0"/>
              <w:right w:val="single" w:color="auto" w:sz="4" w:space="0"/>
            </w:tcBorders>
            <w:vAlign w:val="center"/>
          </w:tcPr>
          <w:p>
            <w:pPr>
              <w:widowControl/>
              <w:jc w:val="center"/>
              <w:textAlignment w:val="center"/>
              <w:rPr>
                <w:rFonts w:ascii="宋体" w:hAnsi="宋体"/>
                <w:color w:val="000000"/>
                <w:kern w:val="0"/>
                <w:sz w:val="20"/>
                <w:szCs w:val="20"/>
              </w:rPr>
            </w:pPr>
            <w:r>
              <w:rPr>
                <w:rFonts w:hint="eastAsia" w:ascii="宋体" w:hAnsi="宋体" w:cs="宋体"/>
                <w:color w:val="000000"/>
                <w:sz w:val="24"/>
              </w:rPr>
              <w:t>数量指标</w:t>
            </w:r>
          </w:p>
        </w:tc>
        <w:tc>
          <w:tcPr>
            <w:tcW w:w="353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olor w:val="000000"/>
                <w:kern w:val="0"/>
                <w:sz w:val="20"/>
                <w:szCs w:val="20"/>
              </w:rPr>
            </w:pPr>
            <w:r>
              <w:rPr>
                <w:rFonts w:hint="eastAsia" w:ascii="宋体" w:hAnsi="宋体" w:cs="宋体"/>
                <w:color w:val="000000"/>
                <w:sz w:val="24"/>
              </w:rPr>
              <w:t>党风廉政建设宣传</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25</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宋体" w:hAnsi="宋体"/>
                <w:color w:val="000000"/>
                <w:kern w:val="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6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353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完成质量</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10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宋体" w:hAnsi="宋体"/>
                <w:color w:val="000000"/>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6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353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完成时效</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10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宋体" w:hAnsi="宋体"/>
                <w:color w:val="000000"/>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8" w:hRule="atLeast"/>
          <w:jc w:val="center"/>
        </w:trPr>
        <w:tc>
          <w:tcPr>
            <w:tcW w:w="16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353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完成成本</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5</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ascii="宋体" w:hAnsi="宋体"/>
                <w:color w:val="000000"/>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16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2113" w:type="dxa"/>
            <w:tcBorders>
              <w:top w:val="nil"/>
              <w:left w:val="nil"/>
              <w:bottom w:val="single" w:color="auto" w:sz="4" w:space="0"/>
              <w:right w:val="single" w:color="auto" w:sz="4" w:space="0"/>
            </w:tcBorders>
            <w:vAlign w:val="center"/>
          </w:tcPr>
          <w:p>
            <w:pPr>
              <w:widowControl/>
              <w:jc w:val="center"/>
              <w:textAlignment w:val="center"/>
              <w:rPr>
                <w:rFonts w:ascii="宋体" w:hAnsi="宋体"/>
                <w:color w:val="000000"/>
                <w:kern w:val="0"/>
                <w:sz w:val="20"/>
                <w:szCs w:val="20"/>
              </w:rPr>
            </w:pPr>
            <w:r>
              <w:rPr>
                <w:rFonts w:hint="eastAsia" w:ascii="宋体" w:hAnsi="宋体" w:cs="宋体"/>
                <w:color w:val="000000"/>
                <w:sz w:val="24"/>
              </w:rPr>
              <w:t>质量指标</w:t>
            </w:r>
          </w:p>
        </w:tc>
        <w:tc>
          <w:tcPr>
            <w:tcW w:w="3535" w:type="dxa"/>
            <w:tcBorders>
              <w:top w:val="single" w:color="auto" w:sz="4" w:space="0"/>
              <w:left w:val="nil"/>
              <w:right w:val="single" w:color="auto" w:sz="4" w:space="0"/>
            </w:tcBorders>
            <w:vAlign w:val="center"/>
          </w:tcPr>
          <w:p>
            <w:pPr>
              <w:widowControl/>
              <w:tabs>
                <w:tab w:val="left" w:pos="533"/>
              </w:tabs>
              <w:jc w:val="center"/>
              <w:textAlignment w:val="center"/>
              <w:rPr>
                <w:rFonts w:ascii="宋体" w:hAnsi="宋体"/>
                <w:color w:val="000000"/>
                <w:kern w:val="0"/>
                <w:sz w:val="20"/>
                <w:szCs w:val="20"/>
              </w:rPr>
            </w:pPr>
            <w:r>
              <w:rPr>
                <w:rFonts w:hint="eastAsia" w:ascii="宋体" w:hAnsi="宋体" w:cs="宋体"/>
                <w:color w:val="000000"/>
                <w:sz w:val="24"/>
              </w:rPr>
              <w:t>发挥教育引导作用</w:t>
            </w:r>
          </w:p>
        </w:tc>
        <w:tc>
          <w:tcPr>
            <w:tcW w:w="1311" w:type="dxa"/>
            <w:tcBorders>
              <w:top w:val="nil"/>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20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宋体" w:hAnsi="宋体"/>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61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211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353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形成良好政治生态环境。</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20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宋体" w:hAnsi="宋体"/>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61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11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353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提升群众满意度</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10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宋体" w:hAnsi="宋体"/>
                <w:color w:val="000000"/>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olor w:val="000000"/>
                <w:kern w:val="0"/>
                <w:sz w:val="20"/>
                <w:szCs w:val="20"/>
              </w:rPr>
            </w:pPr>
            <w:r>
              <w:rPr>
                <w:rFonts w:hint="eastAsia" w:ascii="宋体" w:hAnsi="宋体"/>
                <w:color w:val="000000"/>
                <w:kern w:val="0"/>
                <w:sz w:val="20"/>
                <w:szCs w:val="20"/>
              </w:rPr>
              <w:t>总分</w:t>
            </w:r>
          </w:p>
        </w:tc>
        <w:tc>
          <w:tcPr>
            <w:tcW w:w="8270"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ascii="宋体" w:hAnsi="宋体"/>
                <w:color w:val="000000"/>
                <w:kern w:val="0"/>
              </w:rPr>
            </w:pPr>
            <w:r>
              <w:rPr>
                <w:rFonts w:hint="eastAsia" w:ascii="宋体" w:hAnsi="宋体"/>
                <w:color w:val="000000"/>
                <w:kern w:val="0"/>
              </w:rPr>
              <w:t>100</w:t>
            </w:r>
          </w:p>
        </w:tc>
      </w:tr>
    </w:tbl>
    <w:p>
      <w:pPr>
        <w:spacing w:line="580" w:lineRule="exact"/>
        <w:rPr>
          <w:rFonts w:ascii="仿宋" w:hAnsi="仿宋" w:eastAsia="仿宋" w:cs="仿宋_GB2312"/>
          <w:sz w:val="32"/>
          <w:szCs w:val="32"/>
        </w:rPr>
      </w:pPr>
    </w:p>
    <w:p>
      <w:pPr>
        <w:spacing w:line="580" w:lineRule="exact"/>
        <w:ind w:firstLine="640" w:firstLineChars="200"/>
        <w:rPr>
          <w:rFonts w:ascii="楷体" w:hAnsi="楷体" w:eastAsia="楷体" w:cs="仿宋_GB2312"/>
          <w:sz w:val="32"/>
          <w:szCs w:val="32"/>
        </w:rPr>
      </w:pPr>
      <w:r>
        <w:rPr>
          <w:rFonts w:ascii="楷体" w:hAnsi="楷体" w:eastAsia="楷体"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_GB2312" w:hAnsi="仿宋_GB2312" w:eastAsia="仿宋_GB2312" w:cs="仿宋_GB2312"/>
          <w:sz w:val="32"/>
          <w:szCs w:val="32"/>
        </w:rPr>
      </w:pPr>
      <w:r>
        <w:rPr>
          <w:rFonts w:hint="eastAsia" w:ascii="仿宋" w:hAnsi="仿宋" w:eastAsia="仿宋" w:cs="仿宋_GB2312"/>
          <w:sz w:val="32"/>
          <w:szCs w:val="32"/>
        </w:rPr>
        <w:t>党风廉政项目是为提升</w:t>
      </w:r>
      <w:r>
        <w:rPr>
          <w:rFonts w:hint="eastAsia" w:ascii="仿宋_GB2312" w:hAnsi="仿宋_GB2312" w:eastAsia="仿宋_GB2312" w:cs="仿宋_GB2312"/>
          <w:sz w:val="32"/>
          <w:szCs w:val="32"/>
        </w:rPr>
        <w:t>党风廉政建设社会评价工作，不断增强群众满意度、获得感，逐渐形成不敢腐、不能腐、不想腐的良好氛围的必要项目支出。项目设置了数量指标、质量指标、社会效益指标、满意度指标，分别考核了党风廉政建设宣传、完成质理、完成时效、完成成本、发挥教育引导作用、形成良好政治生态环境以及群众满意度等。</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项目全年预算数30.00万元，分别安排办公费9.68万元、印刷费20.32万元，全年共支出30.00万元。严格按用途按进度拨付项目资金。</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全年制作廉洁图片、典型案例展板，在各乡镇（街道）进行巡展26次；制作各类廉洁标语、警示标语在交通要道、人口聚集地展示；制作警示教育片2部，并在全区干部作风建设大会上播放，充分发挥了警示教育作用。逐渐形成不敢腐、不能腐、不想腐的良好氛围，群众满意度、获得感不断提升。</w:t>
      </w:r>
    </w:p>
    <w:p>
      <w:pPr>
        <w:spacing w:line="58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w:t>
      </w:r>
      <w:r>
        <w:rPr>
          <w:rFonts w:ascii="黑体" w:hAnsi="黑体" w:eastAsia="黑体" w:cs="仿宋_GB2312"/>
          <w:sz w:val="32"/>
          <w:szCs w:val="32"/>
        </w:rPr>
        <w:t>、存在主要问题</w:t>
      </w:r>
      <w:bookmarkStart w:id="62" w:name="_Toc15396618"/>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经费使用过程中，</w:t>
      </w:r>
      <w:r>
        <w:rPr>
          <w:rFonts w:hint="eastAsia" w:ascii="宋体" w:hAnsi="宋体" w:cs="宋体"/>
          <w:sz w:val="32"/>
          <w:szCs w:val="32"/>
        </w:rPr>
        <w:t>存在</w:t>
      </w:r>
      <w:r>
        <w:rPr>
          <w:rFonts w:hint="eastAsia" w:ascii="仿宋_GB2312" w:hAnsi="仿宋_GB2312" w:eastAsia="仿宋_GB2312" w:cs="仿宋_GB2312"/>
          <w:sz w:val="32"/>
          <w:szCs w:val="32"/>
        </w:rPr>
        <w:t>对资金监管不严的现象。</w:t>
      </w:r>
    </w:p>
    <w:p>
      <w:pPr>
        <w:pStyle w:val="23"/>
        <w:numPr>
          <w:ilvl w:val="0"/>
          <w:numId w:val="7"/>
        </w:numPr>
        <w:spacing w:line="580" w:lineRule="exact"/>
        <w:ind w:firstLineChars="0"/>
        <w:rPr>
          <w:rFonts w:ascii="黑体" w:hAnsi="黑体" w:eastAsia="黑体" w:cs="仿宋_GB2312"/>
          <w:sz w:val="32"/>
          <w:szCs w:val="32"/>
        </w:rPr>
      </w:pPr>
      <w:r>
        <w:rPr>
          <w:rFonts w:ascii="黑体" w:hAnsi="黑体" w:eastAsia="黑体" w:cs="仿宋_GB2312"/>
          <w:sz w:val="32"/>
          <w:szCs w:val="32"/>
        </w:rPr>
        <w:t>相关措施建议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进一步加强项目资金管理，提高资金使用效率。</w:t>
      </w:r>
    </w:p>
    <w:p>
      <w:pPr>
        <w:spacing w:line="580" w:lineRule="exact"/>
        <w:rPr>
          <w:rFonts w:ascii="仿宋" w:hAnsi="仿宋" w:eastAsia="仿宋" w:cs="仿宋_GB2312"/>
          <w:sz w:val="32"/>
          <w:szCs w:val="32"/>
        </w:rPr>
      </w:pPr>
    </w:p>
    <w:p>
      <w:pPr>
        <w:spacing w:line="580" w:lineRule="exact"/>
        <w:rPr>
          <w:rFonts w:ascii="仿宋" w:hAnsi="仿宋" w:eastAsia="仿宋" w:cs="仿宋_GB2312"/>
          <w:sz w:val="32"/>
          <w:szCs w:val="32"/>
        </w:rPr>
      </w:pPr>
    </w:p>
    <w:p>
      <w:pPr>
        <w:spacing w:line="580" w:lineRule="exact"/>
        <w:rPr>
          <w:rFonts w:ascii="仿宋" w:hAnsi="仿宋" w:eastAsia="仿宋" w:cs="仿宋_GB2312"/>
          <w:sz w:val="32"/>
          <w:szCs w:val="32"/>
        </w:rPr>
      </w:pPr>
    </w:p>
    <w:p>
      <w:pPr>
        <w:spacing w:line="580" w:lineRule="exact"/>
        <w:rPr>
          <w:rFonts w:ascii="仿宋" w:hAnsi="仿宋" w:eastAsia="仿宋" w:cs="仿宋_GB2312"/>
          <w:sz w:val="32"/>
          <w:szCs w:val="32"/>
        </w:rPr>
      </w:pPr>
    </w:p>
    <w:p>
      <w:pPr>
        <w:spacing w:line="580" w:lineRule="exact"/>
        <w:rPr>
          <w:rFonts w:ascii="仿宋" w:hAnsi="仿宋" w:eastAsia="仿宋" w:cs="仿宋_GB2312"/>
          <w:sz w:val="32"/>
          <w:szCs w:val="32"/>
        </w:rPr>
      </w:pPr>
    </w:p>
    <w:p>
      <w:pPr>
        <w:spacing w:line="580" w:lineRule="exact"/>
        <w:rPr>
          <w:rFonts w:ascii="仿宋" w:hAnsi="仿宋" w:eastAsia="仿宋" w:cs="仿宋_GB2312"/>
          <w:sz w:val="32"/>
          <w:szCs w:val="32"/>
        </w:rPr>
      </w:pPr>
    </w:p>
    <w:p>
      <w:pPr>
        <w:spacing w:line="580" w:lineRule="exact"/>
        <w:rPr>
          <w:rFonts w:ascii="仿宋" w:hAnsi="仿宋" w:eastAsia="仿宋" w:cs="仿宋_GB2312"/>
          <w:sz w:val="32"/>
          <w:szCs w:val="32"/>
        </w:rPr>
      </w:pPr>
    </w:p>
    <w:p>
      <w:pPr>
        <w:spacing w:line="580" w:lineRule="exact"/>
        <w:rPr>
          <w:rFonts w:ascii="仿宋" w:hAnsi="仿宋" w:eastAsia="仿宋" w:cs="仿宋_GB2312"/>
          <w:sz w:val="32"/>
          <w:szCs w:val="32"/>
        </w:rPr>
      </w:pPr>
    </w:p>
    <w:p>
      <w:pPr>
        <w:spacing w:line="580" w:lineRule="exact"/>
        <w:rPr>
          <w:rFonts w:ascii="仿宋" w:hAnsi="仿宋" w:eastAsia="仿宋" w:cs="仿宋_GB2312"/>
          <w:sz w:val="32"/>
          <w:szCs w:val="32"/>
        </w:rPr>
      </w:pPr>
    </w:p>
    <w:p>
      <w:pPr>
        <w:spacing w:line="580" w:lineRule="exact"/>
        <w:rPr>
          <w:rFonts w:ascii="仿宋" w:hAnsi="仿宋" w:eastAsia="仿宋" w:cs="仿宋_GB2312"/>
          <w:sz w:val="32"/>
          <w:szCs w:val="32"/>
        </w:rPr>
      </w:pPr>
    </w:p>
    <w:p>
      <w:pPr>
        <w:spacing w:line="580" w:lineRule="exact"/>
        <w:rPr>
          <w:rFonts w:ascii="仿宋" w:hAnsi="仿宋" w:eastAsia="仿宋" w:cs="仿宋_GB2312"/>
          <w:sz w:val="32"/>
          <w:szCs w:val="32"/>
        </w:rPr>
      </w:pPr>
    </w:p>
    <w:p>
      <w:pPr>
        <w:spacing w:line="580" w:lineRule="exact"/>
        <w:ind w:firstLine="880" w:firstLineChars="20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五部分 附表</w:t>
      </w:r>
      <w:bookmarkEnd w:id="58"/>
      <w:bookmarkEnd w:id="62"/>
    </w:p>
    <w:p>
      <w:pPr>
        <w:pStyle w:val="3"/>
        <w:rPr>
          <w:rFonts w:ascii="仿宋" w:hAnsi="仿宋" w:eastAsia="仿宋"/>
          <w:color w:val="000000"/>
        </w:rPr>
      </w:pPr>
      <w:bookmarkStart w:id="63"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3"/>
    </w:p>
    <w:p>
      <w:pPr>
        <w:pStyle w:val="3"/>
        <w:rPr>
          <w:rFonts w:ascii="仿宋" w:hAnsi="仿宋" w:eastAsia="仿宋"/>
          <w:color w:val="000000"/>
        </w:rPr>
      </w:pPr>
      <w:bookmarkStart w:id="64"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4"/>
    </w:p>
    <w:p>
      <w:pPr>
        <w:pStyle w:val="3"/>
        <w:rPr>
          <w:rFonts w:ascii="仿宋" w:hAnsi="仿宋" w:eastAsia="仿宋"/>
          <w:color w:val="000000"/>
        </w:rPr>
      </w:pPr>
      <w:bookmarkStart w:id="65"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5"/>
    </w:p>
    <w:p>
      <w:pPr>
        <w:pStyle w:val="3"/>
        <w:rPr>
          <w:rFonts w:ascii="仿宋" w:hAnsi="仿宋" w:eastAsia="仿宋"/>
          <w:b w:val="0"/>
          <w:color w:val="000000"/>
        </w:rPr>
      </w:pPr>
      <w:bookmarkStart w:id="66"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6"/>
    </w:p>
    <w:p>
      <w:pPr>
        <w:pStyle w:val="3"/>
        <w:rPr>
          <w:rFonts w:ascii="仿宋" w:hAnsi="仿宋" w:eastAsia="仿宋"/>
          <w:color w:val="000000"/>
        </w:rPr>
      </w:pPr>
      <w:bookmarkStart w:id="67"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7"/>
    </w:p>
    <w:p>
      <w:pPr>
        <w:pStyle w:val="3"/>
        <w:rPr>
          <w:rFonts w:ascii="仿宋" w:hAnsi="仿宋" w:eastAsia="仿宋"/>
          <w:color w:val="000000"/>
        </w:rPr>
      </w:pPr>
      <w:bookmarkStart w:id="68"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8"/>
    </w:p>
    <w:p>
      <w:pPr>
        <w:pStyle w:val="3"/>
        <w:rPr>
          <w:rFonts w:ascii="仿宋" w:hAnsi="仿宋" w:eastAsia="仿宋"/>
          <w:color w:val="000000"/>
        </w:rPr>
      </w:pPr>
      <w:bookmarkStart w:id="69"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9"/>
    </w:p>
    <w:p>
      <w:pPr>
        <w:pStyle w:val="3"/>
        <w:rPr>
          <w:rFonts w:ascii="仿宋" w:hAnsi="仿宋" w:eastAsia="仿宋"/>
          <w:color w:val="000000"/>
        </w:rPr>
      </w:pPr>
      <w:bookmarkStart w:id="70"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70"/>
    </w:p>
    <w:p>
      <w:pPr>
        <w:pStyle w:val="3"/>
        <w:rPr>
          <w:rFonts w:ascii="仿宋" w:hAnsi="仿宋" w:eastAsia="仿宋"/>
          <w:color w:val="000000"/>
        </w:rPr>
      </w:pPr>
      <w:bookmarkStart w:id="71"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1"/>
    </w:p>
    <w:p>
      <w:pPr>
        <w:pStyle w:val="3"/>
        <w:rPr>
          <w:rFonts w:ascii="仿宋" w:hAnsi="仿宋" w:eastAsia="仿宋"/>
          <w:color w:val="000000"/>
        </w:rPr>
      </w:pPr>
      <w:bookmarkStart w:id="72"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2"/>
    </w:p>
    <w:p>
      <w:pPr>
        <w:pStyle w:val="3"/>
        <w:rPr>
          <w:rFonts w:ascii="仿宋" w:hAnsi="仿宋" w:eastAsia="仿宋"/>
          <w:color w:val="000000"/>
        </w:rPr>
      </w:pPr>
      <w:bookmarkStart w:id="73"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3"/>
    </w:p>
    <w:p>
      <w:pPr>
        <w:pStyle w:val="3"/>
        <w:rPr>
          <w:rFonts w:ascii="仿宋" w:hAnsi="仿宋" w:eastAsia="仿宋"/>
          <w:color w:val="000000"/>
        </w:rPr>
      </w:pPr>
      <w:bookmarkStart w:id="74"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4"/>
    </w:p>
    <w:p>
      <w:pPr>
        <w:pStyle w:val="3"/>
        <w:rPr>
          <w:rStyle w:val="25"/>
          <w:rFonts w:ascii="仿宋" w:hAnsi="仿宋" w:eastAsia="仿宋"/>
          <w:b w:val="0"/>
          <w:bCs w:val="0"/>
        </w:rPr>
      </w:pPr>
      <w:bookmarkStart w:id="75"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5"/>
    </w:p>
    <w:p/>
    <w:p/>
    <w:p/>
    <w:p/>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小标宋简体">
    <w:altName w:val="黑体"/>
    <w:panose1 w:val="02010601030101010101"/>
    <w:charset w:val="86"/>
    <w:family w:val="script"/>
    <w:pitch w:val="default"/>
    <w:sig w:usb0="00000000" w:usb1="00000000" w:usb2="0000001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28</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 w:hAnsi="楷体" w:eastAsia="楷体" w:cs="楷体_GB2312"/>
        <w:b w:val="0"/>
        <w:bCs/>
        <w:sz w:val="32"/>
        <w:szCs w:val="32"/>
      </w:rPr>
    </w:lvl>
  </w:abstractNum>
  <w:abstractNum w:abstractNumId="4">
    <w:nsid w:val="0F4B58BD"/>
    <w:multiLevelType w:val="multilevel"/>
    <w:tmpl w:val="0F4B58BD"/>
    <w:lvl w:ilvl="0" w:tentative="0">
      <w:start w:val="1"/>
      <w:numFmt w:val="japaneseCounting"/>
      <w:lvlText w:val="%1、"/>
      <w:lvlJc w:val="left"/>
      <w:pPr>
        <w:ind w:left="1440" w:hanging="720"/>
      </w:pPr>
      <w:rPr>
        <w:rFonts w:hint="default" w:cs="Times New Roman"/>
        <w:color w:val="000000"/>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6">
    <w:nsid w:val="2D3E51DE"/>
    <w:multiLevelType w:val="multilevel"/>
    <w:tmpl w:val="2D3E51DE"/>
    <w:lvl w:ilvl="0" w:tentative="0">
      <w:start w:val="4"/>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4"/>
  </w:num>
  <w:num w:numId="2">
    <w:abstractNumId w:val="1"/>
  </w:num>
  <w:num w:numId="3">
    <w:abstractNumId w:val="5"/>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03E7D"/>
    <w:rsid w:val="000222C6"/>
    <w:rsid w:val="0002549F"/>
    <w:rsid w:val="000302C7"/>
    <w:rsid w:val="0005393D"/>
    <w:rsid w:val="0006487A"/>
    <w:rsid w:val="00065F8F"/>
    <w:rsid w:val="0007628A"/>
    <w:rsid w:val="000768F2"/>
    <w:rsid w:val="0009184B"/>
    <w:rsid w:val="0009593C"/>
    <w:rsid w:val="000A0545"/>
    <w:rsid w:val="000A3DD6"/>
    <w:rsid w:val="000B047F"/>
    <w:rsid w:val="000B0CB4"/>
    <w:rsid w:val="000B5923"/>
    <w:rsid w:val="000B5A48"/>
    <w:rsid w:val="000B6FF3"/>
    <w:rsid w:val="000B7669"/>
    <w:rsid w:val="000C3467"/>
    <w:rsid w:val="000C3CA6"/>
    <w:rsid w:val="000D1267"/>
    <w:rsid w:val="000D1D50"/>
    <w:rsid w:val="000D4B93"/>
    <w:rsid w:val="000D5782"/>
    <w:rsid w:val="000E43B6"/>
    <w:rsid w:val="000E6613"/>
    <w:rsid w:val="000E7119"/>
    <w:rsid w:val="000F1F39"/>
    <w:rsid w:val="001000E5"/>
    <w:rsid w:val="00114E9B"/>
    <w:rsid w:val="00142851"/>
    <w:rsid w:val="0014729F"/>
    <w:rsid w:val="00157BAB"/>
    <w:rsid w:val="001606B2"/>
    <w:rsid w:val="001606BC"/>
    <w:rsid w:val="001654D1"/>
    <w:rsid w:val="00180942"/>
    <w:rsid w:val="0018106D"/>
    <w:rsid w:val="001877A7"/>
    <w:rsid w:val="00191536"/>
    <w:rsid w:val="00196687"/>
    <w:rsid w:val="001A46DC"/>
    <w:rsid w:val="001C0962"/>
    <w:rsid w:val="001D7077"/>
    <w:rsid w:val="001D7531"/>
    <w:rsid w:val="001E737D"/>
    <w:rsid w:val="001F0592"/>
    <w:rsid w:val="001F7506"/>
    <w:rsid w:val="002006CD"/>
    <w:rsid w:val="00202B36"/>
    <w:rsid w:val="00204B7A"/>
    <w:rsid w:val="0021101A"/>
    <w:rsid w:val="00212841"/>
    <w:rsid w:val="00220536"/>
    <w:rsid w:val="0022175D"/>
    <w:rsid w:val="00235629"/>
    <w:rsid w:val="00250978"/>
    <w:rsid w:val="00260C38"/>
    <w:rsid w:val="002616C0"/>
    <w:rsid w:val="00262929"/>
    <w:rsid w:val="002662AA"/>
    <w:rsid w:val="00273CB7"/>
    <w:rsid w:val="002764F3"/>
    <w:rsid w:val="00276C43"/>
    <w:rsid w:val="00280496"/>
    <w:rsid w:val="002824A3"/>
    <w:rsid w:val="00290DFA"/>
    <w:rsid w:val="00295495"/>
    <w:rsid w:val="002A0244"/>
    <w:rsid w:val="002B2613"/>
    <w:rsid w:val="002C57F3"/>
    <w:rsid w:val="002F1818"/>
    <w:rsid w:val="002F567B"/>
    <w:rsid w:val="002F672E"/>
    <w:rsid w:val="00306608"/>
    <w:rsid w:val="003216A9"/>
    <w:rsid w:val="00327BA4"/>
    <w:rsid w:val="00336035"/>
    <w:rsid w:val="00366ED5"/>
    <w:rsid w:val="0037013F"/>
    <w:rsid w:val="0037031C"/>
    <w:rsid w:val="00380C92"/>
    <w:rsid w:val="003860CE"/>
    <w:rsid w:val="00394A2E"/>
    <w:rsid w:val="003A457F"/>
    <w:rsid w:val="003A484F"/>
    <w:rsid w:val="003B0BE0"/>
    <w:rsid w:val="003B0C1B"/>
    <w:rsid w:val="003B688C"/>
    <w:rsid w:val="003C0291"/>
    <w:rsid w:val="003C11BD"/>
    <w:rsid w:val="003C39AE"/>
    <w:rsid w:val="003C7B60"/>
    <w:rsid w:val="003D1FB2"/>
    <w:rsid w:val="003D5C9E"/>
    <w:rsid w:val="003D66DA"/>
    <w:rsid w:val="003E1310"/>
    <w:rsid w:val="003E6F55"/>
    <w:rsid w:val="004009D9"/>
    <w:rsid w:val="00406254"/>
    <w:rsid w:val="004223DE"/>
    <w:rsid w:val="00434489"/>
    <w:rsid w:val="00437085"/>
    <w:rsid w:val="00443880"/>
    <w:rsid w:val="004464F4"/>
    <w:rsid w:val="00447DDF"/>
    <w:rsid w:val="00464C0A"/>
    <w:rsid w:val="00466930"/>
    <w:rsid w:val="00471401"/>
    <w:rsid w:val="00473F31"/>
    <w:rsid w:val="0048263A"/>
    <w:rsid w:val="00487E5D"/>
    <w:rsid w:val="00494158"/>
    <w:rsid w:val="004A711F"/>
    <w:rsid w:val="004B0C84"/>
    <w:rsid w:val="004B199D"/>
    <w:rsid w:val="004B4690"/>
    <w:rsid w:val="004C4930"/>
    <w:rsid w:val="004E0A2D"/>
    <w:rsid w:val="004E206B"/>
    <w:rsid w:val="004E588B"/>
    <w:rsid w:val="004E6DF7"/>
    <w:rsid w:val="004F0FBD"/>
    <w:rsid w:val="004F7952"/>
    <w:rsid w:val="00505A47"/>
    <w:rsid w:val="00512FDA"/>
    <w:rsid w:val="00520DA0"/>
    <w:rsid w:val="00530F6D"/>
    <w:rsid w:val="005440DA"/>
    <w:rsid w:val="005664BB"/>
    <w:rsid w:val="0057481D"/>
    <w:rsid w:val="0058486E"/>
    <w:rsid w:val="005850EB"/>
    <w:rsid w:val="0059343A"/>
    <w:rsid w:val="005B781E"/>
    <w:rsid w:val="005C098E"/>
    <w:rsid w:val="005C0C64"/>
    <w:rsid w:val="005D1C8B"/>
    <w:rsid w:val="005D2AF7"/>
    <w:rsid w:val="005D2C95"/>
    <w:rsid w:val="005D5CED"/>
    <w:rsid w:val="005E2D23"/>
    <w:rsid w:val="005F1A4C"/>
    <w:rsid w:val="006035E2"/>
    <w:rsid w:val="00605688"/>
    <w:rsid w:val="006070AF"/>
    <w:rsid w:val="00607E6C"/>
    <w:rsid w:val="006101B1"/>
    <w:rsid w:val="00614E44"/>
    <w:rsid w:val="00622830"/>
    <w:rsid w:val="006253A5"/>
    <w:rsid w:val="00630AEF"/>
    <w:rsid w:val="006325F8"/>
    <w:rsid w:val="00634C9A"/>
    <w:rsid w:val="00641500"/>
    <w:rsid w:val="006440E4"/>
    <w:rsid w:val="0066343B"/>
    <w:rsid w:val="00664777"/>
    <w:rsid w:val="006663F5"/>
    <w:rsid w:val="006748A4"/>
    <w:rsid w:val="00683E73"/>
    <w:rsid w:val="00684257"/>
    <w:rsid w:val="0069082B"/>
    <w:rsid w:val="006A0649"/>
    <w:rsid w:val="006A3141"/>
    <w:rsid w:val="006A5E34"/>
    <w:rsid w:val="006A6229"/>
    <w:rsid w:val="006B2422"/>
    <w:rsid w:val="006B2B9A"/>
    <w:rsid w:val="006C1937"/>
    <w:rsid w:val="006D6FFC"/>
    <w:rsid w:val="006F020C"/>
    <w:rsid w:val="006F55C8"/>
    <w:rsid w:val="00705C40"/>
    <w:rsid w:val="0071108B"/>
    <w:rsid w:val="007127B7"/>
    <w:rsid w:val="007416B6"/>
    <w:rsid w:val="00744F37"/>
    <w:rsid w:val="00745231"/>
    <w:rsid w:val="00746F48"/>
    <w:rsid w:val="0075404D"/>
    <w:rsid w:val="0076182A"/>
    <w:rsid w:val="00767B7E"/>
    <w:rsid w:val="007770C3"/>
    <w:rsid w:val="00784D24"/>
    <w:rsid w:val="00785FBA"/>
    <w:rsid w:val="00786E4A"/>
    <w:rsid w:val="007875EB"/>
    <w:rsid w:val="0079426B"/>
    <w:rsid w:val="0079483F"/>
    <w:rsid w:val="00795EBD"/>
    <w:rsid w:val="007A5185"/>
    <w:rsid w:val="007B06BA"/>
    <w:rsid w:val="007B082C"/>
    <w:rsid w:val="007D312A"/>
    <w:rsid w:val="007D3F19"/>
    <w:rsid w:val="007E1997"/>
    <w:rsid w:val="007E23B0"/>
    <w:rsid w:val="007F1991"/>
    <w:rsid w:val="007F2C2F"/>
    <w:rsid w:val="007F55FC"/>
    <w:rsid w:val="007F5665"/>
    <w:rsid w:val="00800112"/>
    <w:rsid w:val="008253BB"/>
    <w:rsid w:val="0083706E"/>
    <w:rsid w:val="008423A5"/>
    <w:rsid w:val="00850625"/>
    <w:rsid w:val="008517DD"/>
    <w:rsid w:val="00853718"/>
    <w:rsid w:val="00855221"/>
    <w:rsid w:val="00860645"/>
    <w:rsid w:val="0086607E"/>
    <w:rsid w:val="0087041F"/>
    <w:rsid w:val="00871F71"/>
    <w:rsid w:val="00884699"/>
    <w:rsid w:val="00885AF4"/>
    <w:rsid w:val="008939CD"/>
    <w:rsid w:val="008B67CD"/>
    <w:rsid w:val="008B768C"/>
    <w:rsid w:val="008C4DB1"/>
    <w:rsid w:val="008C4EAF"/>
    <w:rsid w:val="008C5176"/>
    <w:rsid w:val="008C7FD0"/>
    <w:rsid w:val="008E06A9"/>
    <w:rsid w:val="008E1DE7"/>
    <w:rsid w:val="008E707C"/>
    <w:rsid w:val="00900B08"/>
    <w:rsid w:val="00902155"/>
    <w:rsid w:val="00902FA3"/>
    <w:rsid w:val="00923564"/>
    <w:rsid w:val="0092392E"/>
    <w:rsid w:val="009315F9"/>
    <w:rsid w:val="00946945"/>
    <w:rsid w:val="0095056F"/>
    <w:rsid w:val="00951248"/>
    <w:rsid w:val="0095152F"/>
    <w:rsid w:val="00953E90"/>
    <w:rsid w:val="00954C49"/>
    <w:rsid w:val="0097099F"/>
    <w:rsid w:val="00971997"/>
    <w:rsid w:val="00971FFC"/>
    <w:rsid w:val="0098660A"/>
    <w:rsid w:val="009874B8"/>
    <w:rsid w:val="009931C3"/>
    <w:rsid w:val="009B2C43"/>
    <w:rsid w:val="009B36ED"/>
    <w:rsid w:val="009B4DA1"/>
    <w:rsid w:val="009B4EAE"/>
    <w:rsid w:val="009B7573"/>
    <w:rsid w:val="009C22F4"/>
    <w:rsid w:val="009C2E98"/>
    <w:rsid w:val="009D0622"/>
    <w:rsid w:val="009D2B5C"/>
    <w:rsid w:val="009D3447"/>
    <w:rsid w:val="009D4359"/>
    <w:rsid w:val="009D4711"/>
    <w:rsid w:val="009E3BED"/>
    <w:rsid w:val="009F1185"/>
    <w:rsid w:val="009F155D"/>
    <w:rsid w:val="009F18CD"/>
    <w:rsid w:val="009F2A13"/>
    <w:rsid w:val="009F4AB8"/>
    <w:rsid w:val="009F7909"/>
    <w:rsid w:val="00A04EB0"/>
    <w:rsid w:val="00A13CC1"/>
    <w:rsid w:val="00A14923"/>
    <w:rsid w:val="00A16847"/>
    <w:rsid w:val="00A237D8"/>
    <w:rsid w:val="00A268C4"/>
    <w:rsid w:val="00A307CD"/>
    <w:rsid w:val="00A35ED9"/>
    <w:rsid w:val="00A40A00"/>
    <w:rsid w:val="00A4142F"/>
    <w:rsid w:val="00A41769"/>
    <w:rsid w:val="00A47311"/>
    <w:rsid w:val="00A556A1"/>
    <w:rsid w:val="00A56DF2"/>
    <w:rsid w:val="00A56FB9"/>
    <w:rsid w:val="00A67AB5"/>
    <w:rsid w:val="00A74DA5"/>
    <w:rsid w:val="00A91760"/>
    <w:rsid w:val="00A917FB"/>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36F7C"/>
    <w:rsid w:val="00B425E0"/>
    <w:rsid w:val="00B440AA"/>
    <w:rsid w:val="00B44B70"/>
    <w:rsid w:val="00B53C56"/>
    <w:rsid w:val="00B56471"/>
    <w:rsid w:val="00B77A58"/>
    <w:rsid w:val="00B77EA6"/>
    <w:rsid w:val="00B80B5E"/>
    <w:rsid w:val="00B812C2"/>
    <w:rsid w:val="00B81598"/>
    <w:rsid w:val="00B841F1"/>
    <w:rsid w:val="00B9253C"/>
    <w:rsid w:val="00B944D6"/>
    <w:rsid w:val="00BB10C0"/>
    <w:rsid w:val="00BB4DF0"/>
    <w:rsid w:val="00BB562D"/>
    <w:rsid w:val="00BC289F"/>
    <w:rsid w:val="00BC5361"/>
    <w:rsid w:val="00BC5460"/>
    <w:rsid w:val="00BC6B50"/>
    <w:rsid w:val="00BD0E25"/>
    <w:rsid w:val="00BD6CA5"/>
    <w:rsid w:val="00BE1C0E"/>
    <w:rsid w:val="00BF17A6"/>
    <w:rsid w:val="00BF5BD6"/>
    <w:rsid w:val="00C02D21"/>
    <w:rsid w:val="00C03E31"/>
    <w:rsid w:val="00C12D8D"/>
    <w:rsid w:val="00C14D85"/>
    <w:rsid w:val="00C30A43"/>
    <w:rsid w:val="00C33E72"/>
    <w:rsid w:val="00C354B2"/>
    <w:rsid w:val="00C35554"/>
    <w:rsid w:val="00C36CA9"/>
    <w:rsid w:val="00C42709"/>
    <w:rsid w:val="00C43732"/>
    <w:rsid w:val="00C533CC"/>
    <w:rsid w:val="00C5751C"/>
    <w:rsid w:val="00C61BFC"/>
    <w:rsid w:val="00C62B85"/>
    <w:rsid w:val="00C64616"/>
    <w:rsid w:val="00C65438"/>
    <w:rsid w:val="00C91CBB"/>
    <w:rsid w:val="00CC09B6"/>
    <w:rsid w:val="00CC0BE8"/>
    <w:rsid w:val="00CC2BA3"/>
    <w:rsid w:val="00CC666F"/>
    <w:rsid w:val="00CD1E3F"/>
    <w:rsid w:val="00CD6D6A"/>
    <w:rsid w:val="00CE0EFB"/>
    <w:rsid w:val="00CE44F6"/>
    <w:rsid w:val="00CE49DA"/>
    <w:rsid w:val="00CE7B61"/>
    <w:rsid w:val="00D00095"/>
    <w:rsid w:val="00D20620"/>
    <w:rsid w:val="00D26091"/>
    <w:rsid w:val="00D34E7C"/>
    <w:rsid w:val="00D35489"/>
    <w:rsid w:val="00D42A56"/>
    <w:rsid w:val="00D50A10"/>
    <w:rsid w:val="00D50F08"/>
    <w:rsid w:val="00D51276"/>
    <w:rsid w:val="00D66B83"/>
    <w:rsid w:val="00D7035F"/>
    <w:rsid w:val="00D70DCB"/>
    <w:rsid w:val="00D81FD1"/>
    <w:rsid w:val="00D8442A"/>
    <w:rsid w:val="00DA0A6C"/>
    <w:rsid w:val="00DA65AC"/>
    <w:rsid w:val="00DB1913"/>
    <w:rsid w:val="00DC410D"/>
    <w:rsid w:val="00DC68CA"/>
    <w:rsid w:val="00DC7CBA"/>
    <w:rsid w:val="00DD5128"/>
    <w:rsid w:val="00DD73B7"/>
    <w:rsid w:val="00DF28BC"/>
    <w:rsid w:val="00DF34B9"/>
    <w:rsid w:val="00E01053"/>
    <w:rsid w:val="00E02CD0"/>
    <w:rsid w:val="00E07ACF"/>
    <w:rsid w:val="00E16ECF"/>
    <w:rsid w:val="00E331A1"/>
    <w:rsid w:val="00E33202"/>
    <w:rsid w:val="00E336A9"/>
    <w:rsid w:val="00E50624"/>
    <w:rsid w:val="00E568DF"/>
    <w:rsid w:val="00E61640"/>
    <w:rsid w:val="00E64269"/>
    <w:rsid w:val="00E709DC"/>
    <w:rsid w:val="00E74F32"/>
    <w:rsid w:val="00E754A2"/>
    <w:rsid w:val="00E82267"/>
    <w:rsid w:val="00EA010F"/>
    <w:rsid w:val="00EA01CF"/>
    <w:rsid w:val="00EA2B36"/>
    <w:rsid w:val="00EB0EBD"/>
    <w:rsid w:val="00ED1B63"/>
    <w:rsid w:val="00ED31F7"/>
    <w:rsid w:val="00ED3C1F"/>
    <w:rsid w:val="00ED4085"/>
    <w:rsid w:val="00ED420E"/>
    <w:rsid w:val="00EE2F57"/>
    <w:rsid w:val="00EE6E01"/>
    <w:rsid w:val="00EF4C34"/>
    <w:rsid w:val="00EF7075"/>
    <w:rsid w:val="00EF77C6"/>
    <w:rsid w:val="00F03609"/>
    <w:rsid w:val="00F05438"/>
    <w:rsid w:val="00F13261"/>
    <w:rsid w:val="00F1361C"/>
    <w:rsid w:val="00F160C7"/>
    <w:rsid w:val="00F24D6B"/>
    <w:rsid w:val="00F36D8F"/>
    <w:rsid w:val="00F417B1"/>
    <w:rsid w:val="00F51BF3"/>
    <w:rsid w:val="00F602DF"/>
    <w:rsid w:val="00F81FD9"/>
    <w:rsid w:val="00F841AA"/>
    <w:rsid w:val="00F9393E"/>
    <w:rsid w:val="00F972B7"/>
    <w:rsid w:val="00FA23E8"/>
    <w:rsid w:val="00FA48E0"/>
    <w:rsid w:val="00FC1127"/>
    <w:rsid w:val="00FD3CC1"/>
    <w:rsid w:val="00FE1F92"/>
    <w:rsid w:val="00FF1E02"/>
    <w:rsid w:val="00FF30B4"/>
    <w:rsid w:val="00FF4872"/>
    <w:rsid w:val="00FF5AD4"/>
    <w:rsid w:val="10C055FF"/>
    <w:rsid w:val="16BB723D"/>
    <w:rsid w:val="240371BF"/>
    <w:rsid w:val="29FD04D3"/>
    <w:rsid w:val="2E08567F"/>
    <w:rsid w:val="319F7F4E"/>
    <w:rsid w:val="4B2560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21"/>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uiPriority w:val="99"/>
    <w:rPr>
      <w:rFonts w:ascii="Times New Roman" w:hAnsi="Times New Roman"/>
      <w:sz w:val="18"/>
      <w:szCs w:val="18"/>
    </w:rPr>
  </w:style>
  <w:style w:type="character" w:customStyle="1" w:styleId="17">
    <w:name w:val="页眉 Char"/>
    <w:link w:val="9"/>
    <w:semiHidden/>
    <w:locked/>
    <w:uiPriority w:val="99"/>
    <w:rPr>
      <w:sz w:val="18"/>
    </w:rPr>
  </w:style>
  <w:style w:type="character" w:customStyle="1" w:styleId="18">
    <w:name w:val="Footer Char"/>
    <w:basedOn w:val="13"/>
    <w:semiHidden/>
    <w:uiPriority w:val="99"/>
    <w:rPr>
      <w:rFonts w:ascii="Times New Roman" w:hAnsi="Times New Roman"/>
      <w:sz w:val="18"/>
      <w:szCs w:val="18"/>
    </w:rPr>
  </w:style>
  <w:style w:type="character" w:customStyle="1" w:styleId="19">
    <w:name w:val="页脚 Char"/>
    <w:link w:val="8"/>
    <w:locked/>
    <w:uiPriority w:val="99"/>
    <w:rPr>
      <w:sz w:val="18"/>
    </w:rPr>
  </w:style>
  <w:style w:type="character" w:customStyle="1" w:styleId="20">
    <w:name w:val="Body Text Char"/>
    <w:basedOn w:val="13"/>
    <w:semiHidden/>
    <w:uiPriority w:val="99"/>
    <w:rPr>
      <w:rFonts w:ascii="Times New Roman" w:hAnsi="Times New Roman"/>
      <w:szCs w:val="24"/>
    </w:rPr>
  </w:style>
  <w:style w:type="character" w:customStyle="1" w:styleId="21">
    <w:name w:val="正文文本 Char"/>
    <w:link w:val="5"/>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uiPriority w:val="99"/>
    <w:rPr>
      <w:rFonts w:ascii="Times New Roman" w:hAnsi="Times New Roman"/>
      <w:kern w:val="2"/>
      <w:sz w:val="18"/>
      <w:szCs w:val="18"/>
    </w:rPr>
  </w:style>
  <w:style w:type="character" w:customStyle="1" w:styleId="28">
    <w:name w:val="标题 3 Char"/>
    <w:basedOn w:val="13"/>
    <w:link w:val="4"/>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6.bin"/><Relationship Id="rId17" Type="http://schemas.openxmlformats.org/officeDocument/2006/relationships/chart" Target="charts/chart1.xml"/><Relationship Id="rId16" Type="http://schemas.openxmlformats.org/officeDocument/2006/relationships/image" Target="media/image6.png"/><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Book13"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已完成预算额</c:v>
                </c:pt>
              </c:strCache>
            </c:strRef>
          </c:tx>
          <c:invertIfNegative val="0"/>
          <c:dLbls>
            <c:delete val="1"/>
          </c:dLbls>
          <c:cat>
            <c:strRef>
              <c:f>Sheet1!$A$2:$A$11</c:f>
              <c:strCache>
                <c:ptCount val="10"/>
                <c:pt idx="0">
                  <c:v>一般公共服务（类）纪检监察事务（款）行政运行（项）</c:v>
                </c:pt>
                <c:pt idx="1">
                  <c:v>一般公共服务（类）纪检监察事务（款）一般行政管理事务（项）</c:v>
                </c:pt>
                <c:pt idx="2">
                  <c:v>一般公共服务（类）纪检监察事务（款）其他纪检监察事务支出（项）</c:v>
                </c:pt>
                <c:pt idx="3">
                  <c:v>社会保障和就业（类）行政事业单位离退休（款）机关事业单位基本养老保险缴费支出（项）</c:v>
                </c:pt>
                <c:pt idx="4">
                  <c:v>社会保障和就业（类）行政事业单位离退休（款）机关事业单位职业年金缴费支出（项）</c:v>
                </c:pt>
                <c:pt idx="5">
                  <c:v>社会保障和就业（类）抚恤（款）死亡抚恤（项）</c:v>
                </c:pt>
                <c:pt idx="6">
                  <c:v>社会保障和就业（类）残疾人事业（款）行政运行（项）</c:v>
                </c:pt>
                <c:pt idx="7">
                  <c:v>医疗卫生与计划生育（类）行政事业单位医疗（款）行政单位医疗（项）</c:v>
                </c:pt>
                <c:pt idx="8">
                  <c:v>农林水（类）扶贫（款）其他扶贫支出（项）</c:v>
                </c:pt>
                <c:pt idx="9">
                  <c:v>住房保障（类）住房改革（款）住房公积金（项）</c:v>
                </c:pt>
              </c:strCache>
            </c:strRef>
          </c:cat>
          <c:val>
            <c:numRef>
              <c:f>Sheet1!$B$2:$B$11</c:f>
              <c:numCache>
                <c:formatCode>#,##0.00</c:formatCode>
                <c:ptCount val="10"/>
                <c:pt idx="0">
                  <c:v>593.17</c:v>
                </c:pt>
                <c:pt idx="1">
                  <c:v>30</c:v>
                </c:pt>
                <c:pt idx="2">
                  <c:v>61</c:v>
                </c:pt>
                <c:pt idx="3">
                  <c:v>45.46</c:v>
                </c:pt>
                <c:pt idx="4">
                  <c:v>3.46</c:v>
                </c:pt>
                <c:pt idx="5">
                  <c:v>17.53</c:v>
                </c:pt>
                <c:pt idx="6">
                  <c:v>20.45</c:v>
                </c:pt>
                <c:pt idx="7">
                  <c:v>18.77</c:v>
                </c:pt>
                <c:pt idx="8">
                  <c:v>1.5</c:v>
                </c:pt>
                <c:pt idx="9">
                  <c:v>32.62</c:v>
                </c:pt>
              </c:numCache>
            </c:numRef>
          </c:val>
        </c:ser>
        <c:ser>
          <c:idx val="1"/>
          <c:order val="1"/>
          <c:tx>
            <c:strRef>
              <c:f>Sheet1!$C$1</c:f>
              <c:strCache>
                <c:ptCount val="1"/>
                <c:pt idx="0">
                  <c:v>未完成预算额</c:v>
                </c:pt>
              </c:strCache>
            </c:strRef>
          </c:tx>
          <c:invertIfNegative val="0"/>
          <c:dLbls>
            <c:delete val="1"/>
          </c:dLbls>
          <c:cat>
            <c:strRef>
              <c:f>Sheet1!$A$2:$A$11</c:f>
              <c:strCache>
                <c:ptCount val="10"/>
                <c:pt idx="0">
                  <c:v>一般公共服务（类）纪检监察事务（款）行政运行（项）</c:v>
                </c:pt>
                <c:pt idx="1">
                  <c:v>一般公共服务（类）纪检监察事务（款）一般行政管理事务（项）</c:v>
                </c:pt>
                <c:pt idx="2">
                  <c:v>一般公共服务（类）纪检监察事务（款）其他纪检监察事务支出（项）</c:v>
                </c:pt>
                <c:pt idx="3">
                  <c:v>社会保障和就业（类）行政事业单位离退休（款）机关事业单位基本养老保险缴费支出（项）</c:v>
                </c:pt>
                <c:pt idx="4">
                  <c:v>社会保障和就业（类）行政事业单位离退休（款）机关事业单位职业年金缴费支出（项）</c:v>
                </c:pt>
                <c:pt idx="5">
                  <c:v>社会保障和就业（类）抚恤（款）死亡抚恤（项）</c:v>
                </c:pt>
                <c:pt idx="6">
                  <c:v>社会保障和就业（类）残疾人事业（款）行政运行（项）</c:v>
                </c:pt>
                <c:pt idx="7">
                  <c:v>医疗卫生与计划生育（类）行政事业单位医疗（款）行政单位医疗（项）</c:v>
                </c:pt>
                <c:pt idx="8">
                  <c:v>农林水（类）扶贫（款）其他扶贫支出（项）</c:v>
                </c:pt>
                <c:pt idx="9">
                  <c:v>住房保障（类）住房改革（款）住房公积金（项）</c:v>
                </c:pt>
              </c:strCache>
            </c:strRef>
          </c:cat>
          <c:val>
            <c:numRef>
              <c:f>Sheet1!$C$2:$C$11</c:f>
              <c:numCache>
                <c:formatCode>#,##0.00_ </c:formatCode>
                <c:ptCount val="10"/>
                <c:pt idx="0">
                  <c:v>15.959</c:v>
                </c:pt>
                <c:pt idx="1">
                  <c:v>0</c:v>
                </c:pt>
                <c:pt idx="2">
                  <c:v>0</c:v>
                </c:pt>
                <c:pt idx="3">
                  <c:v>10.31</c:v>
                </c:pt>
                <c:pt idx="4">
                  <c:v>0</c:v>
                </c:pt>
                <c:pt idx="5">
                  <c:v>0</c:v>
                </c:pt>
                <c:pt idx="6">
                  <c:v>0</c:v>
                </c:pt>
                <c:pt idx="7">
                  <c:v>0</c:v>
                </c:pt>
                <c:pt idx="8">
                  <c:v>0</c:v>
                </c:pt>
                <c:pt idx="9">
                  <c:v>0</c:v>
                </c:pt>
              </c:numCache>
            </c:numRef>
          </c:val>
        </c:ser>
        <c:dLbls>
          <c:showLegendKey val="0"/>
          <c:showVal val="0"/>
          <c:showCatName val="0"/>
          <c:showSerName val="0"/>
          <c:showPercent val="0"/>
          <c:showBubbleSize val="0"/>
        </c:dLbls>
        <c:gapWidth val="150"/>
        <c:overlap val="100"/>
        <c:axId val="104808832"/>
        <c:axId val="107447040"/>
      </c:barChart>
      <c:catAx>
        <c:axId val="104808832"/>
        <c:scaling>
          <c:orientation val="minMax"/>
        </c:scaling>
        <c:delete val="0"/>
        <c:axPos val="l"/>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7447040"/>
        <c:crosses val="autoZero"/>
        <c:auto val="1"/>
        <c:lblAlgn val="ctr"/>
        <c:lblOffset val="100"/>
        <c:noMultiLvlLbl val="0"/>
      </c:catAx>
      <c:valAx>
        <c:axId val="107447040"/>
        <c:scaling>
          <c:orientation val="minMax"/>
        </c:scaling>
        <c:delete val="0"/>
        <c:axPos val="b"/>
        <c:majorGridlines/>
        <c:numFmt formatCode="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480883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9"/>
    <customShpInfo spid="_x0000_s1028"/>
    <customShpInfo spid="_x0000_s1031"/>
    <customShpInfo spid="_x0000_s1032"/>
    <customShpInfo spid="_x0000_s1033"/>
    <customShpInfo spid="_x0000_s103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B35FE7-8A0A-4DF6-A36C-3513467C6023}">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32</Pages>
  <Words>2240</Words>
  <Characters>12774</Characters>
  <Lines>106</Lines>
  <Paragraphs>29</Paragraphs>
  <TotalTime>617</TotalTime>
  <ScaleCrop>false</ScaleCrop>
  <LinksUpToDate>false</LinksUpToDate>
  <CharactersWithSpaces>14985</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风语</cp:lastModifiedBy>
  <cp:lastPrinted>2019-09-17T01:59:00Z</cp:lastPrinted>
  <dcterms:modified xsi:type="dcterms:W3CDTF">2019-09-17T02:30:00Z</dcterms:modified>
  <dc:title>四川省***</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