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7193"/>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96598"/>
      <w:bookmarkStart w:id="9" w:name="_Toc15377194"/>
      <w:bookmarkStart w:id="10" w:name="_Toc15378442"/>
      <w:r>
        <w:rPr>
          <w:rFonts w:hint="eastAsia" w:ascii="方正小标宋简体" w:hAnsi="宋体" w:eastAsia="方正小标宋简体"/>
          <w:color w:val="000000"/>
          <w:sz w:val="72"/>
          <w:szCs w:val="72"/>
        </w:rPr>
        <w:t>四川省</w:t>
      </w:r>
      <w:r>
        <w:rPr>
          <w:rFonts w:hint="eastAsia" w:ascii="方正小标宋简体" w:hAnsi="宋体" w:eastAsia="方正小标宋简体"/>
          <w:color w:val="000000"/>
          <w:sz w:val="72"/>
          <w:szCs w:val="72"/>
          <w:lang w:eastAsia="zh-CN"/>
        </w:rPr>
        <w:t>广元市利州区</w:t>
      </w:r>
      <w:bookmarkEnd w:id="0"/>
      <w:bookmarkStart w:id="11" w:name="_Toc15306268"/>
      <w:r>
        <w:rPr>
          <w:rFonts w:hint="eastAsia" w:ascii="方正小标宋简体" w:hAnsi="宋体" w:eastAsia="方正小标宋简体"/>
          <w:color w:val="000000"/>
          <w:sz w:val="72"/>
          <w:szCs w:val="72"/>
          <w:lang w:eastAsia="zh-CN"/>
        </w:rPr>
        <w:t>人社局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2"/>
      </w:pPr>
      <w:r>
        <w:rPr>
          <w:rFonts w:hint="eastAsia"/>
        </w:rPr>
        <w:t>公开时间：2019年8月29日</w:t>
      </w:r>
    </w:p>
    <w:p/>
    <w:p>
      <w:pPr>
        <w:pStyle w:val="12"/>
        <w:rPr>
          <w:rFonts w:cstheme="minorBidi"/>
        </w:rPr>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rPr>
          <w:rFonts w:hint="eastAsia"/>
        </w:rPr>
        <w:fldChar w:fldCharType="end"/>
      </w:r>
    </w:p>
    <w:p>
      <w:pPr>
        <w:pStyle w:val="13"/>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2"/>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3"/>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2"/>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3"/>
        <w:rPr>
          <w:rFonts w:ascii="仿宋" w:hAnsi="仿宋" w:eastAsia="仿宋" w:cstheme="minorBidi"/>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3"/>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4"/>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5"/>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spacing w:line="560" w:lineRule="exact"/>
        <w:ind w:firstLine="640" w:firstLineChars="200"/>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w:t>
      </w:r>
      <w:r>
        <w:rPr>
          <w:rFonts w:hint="eastAsia" w:ascii="仿宋_GB2312" w:eastAsia="仿宋_GB2312"/>
          <w:sz w:val="32"/>
          <w:szCs w:val="32"/>
        </w:rPr>
        <w:t>贯彻执行国家人力资源和社会保障工作的相关法律、法规、规章和政策，拟订全区人力资源和社会保障事业发展规划、政策规定并组织实施和监督检查。</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（2）</w:t>
      </w:r>
      <w:r>
        <w:rPr>
          <w:rFonts w:hint="eastAsia" w:ascii="仿宋_GB2312" w:eastAsia="仿宋_GB2312"/>
          <w:sz w:val="32"/>
          <w:szCs w:val="32"/>
          <w:lang w:val="en-US" w:eastAsia="zh-CN"/>
        </w:rPr>
        <w:t>、</w:t>
      </w:r>
      <w:r>
        <w:rPr>
          <w:rFonts w:hint="eastAsia" w:ascii="仿宋_GB2312" w:eastAsia="仿宋_GB2312"/>
          <w:sz w:val="32"/>
          <w:szCs w:val="32"/>
        </w:rPr>
        <w:t>拟订全区人力资源市场发展规划和人力资源流动政策并组织实施，建立全区统一规范的人力资源市场，促进人力资源合理流动、有效配置。</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（3）</w:t>
      </w:r>
      <w:r>
        <w:rPr>
          <w:rFonts w:hint="eastAsia" w:ascii="仿宋_GB2312" w:eastAsia="仿宋_GB2312"/>
          <w:sz w:val="32"/>
          <w:szCs w:val="32"/>
          <w:lang w:val="en-US" w:eastAsia="zh-CN"/>
        </w:rPr>
        <w:t>、</w:t>
      </w:r>
      <w:r>
        <w:rPr>
          <w:rFonts w:hint="eastAsia" w:ascii="仿宋_GB2312" w:eastAsia="仿宋_GB2312"/>
          <w:sz w:val="32"/>
          <w:szCs w:val="32"/>
        </w:rPr>
        <w:t>负责促进就业工作。拟订统筹城乡的就业发展规划和政策，完善公共就业服务体系，拟订并组织落实创业、就业援助制度，完善职业资格制度，统筹建立面向城乡劳动者的职业培训制度，牵头实施高校毕业生就业政策，会同有关部门实施高技能人才、农村实用人才培养和激励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（4）</w:t>
      </w:r>
      <w:r>
        <w:rPr>
          <w:rFonts w:hint="eastAsia" w:ascii="仿宋_GB2312" w:eastAsia="仿宋_GB2312"/>
          <w:sz w:val="32"/>
          <w:szCs w:val="32"/>
          <w:lang w:val="en-US" w:eastAsia="zh-CN"/>
        </w:rPr>
        <w:t>、</w:t>
      </w:r>
      <w:r>
        <w:rPr>
          <w:rFonts w:hint="eastAsia" w:ascii="仿宋_GB2312" w:eastAsia="仿宋_GB2312"/>
          <w:sz w:val="32"/>
          <w:szCs w:val="32"/>
        </w:rPr>
        <w:t>统筹建立覆盖城乡的社会保障体系。贯彻执行全区城乡居民社会保险及其补充保险政策和标准，贯彻执行全国统一的社会保险关系转续办法，贯彻执行机关企事业单位基本养老保险政策并逐步提高基金统筹层次。会同有关部门拟订社会保险及其补充保险基金管理和监督办法，编制全区社会保险基金预决算草案，参与制定全区社会保障基金投资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（5）</w:t>
      </w:r>
      <w:r>
        <w:rPr>
          <w:rFonts w:hint="eastAsia" w:ascii="仿宋_GB2312" w:eastAsia="仿宋_GB2312"/>
          <w:sz w:val="32"/>
          <w:szCs w:val="32"/>
          <w:lang w:val="en-US" w:eastAsia="zh-CN"/>
        </w:rPr>
        <w:t>、</w:t>
      </w:r>
      <w:r>
        <w:rPr>
          <w:rFonts w:hint="eastAsia" w:ascii="仿宋_GB2312" w:eastAsia="仿宋_GB2312"/>
          <w:sz w:val="32"/>
          <w:szCs w:val="32"/>
        </w:rPr>
        <w:t>负责就业、失业、社会保险基金预测预警和信息引导，拟订应对预案，实施预防、调节和控制，保持就业形势稳定和社会保险基金总体收支平衡。</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（6）</w:t>
      </w:r>
      <w:r>
        <w:rPr>
          <w:rFonts w:hint="eastAsia" w:ascii="仿宋_GB2312" w:eastAsia="仿宋_GB2312"/>
          <w:sz w:val="32"/>
          <w:szCs w:val="32"/>
          <w:lang w:val="en-US" w:eastAsia="zh-CN"/>
        </w:rPr>
        <w:t>、</w:t>
      </w:r>
      <w:r>
        <w:rPr>
          <w:rFonts w:hint="eastAsia" w:ascii="仿宋_GB2312" w:eastAsia="仿宋_GB2312"/>
          <w:sz w:val="32"/>
          <w:szCs w:val="32"/>
        </w:rPr>
        <w:t>贯彻执行机关、事业单位人员工资收入分配政策和企业职工工资收入分配调控政策，建立机关企事业单位人员工资正常增长和支付保障机制，贯彻执行机关企事业单位人员福利和有关离退休政策。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（7）</w:t>
      </w:r>
      <w:r>
        <w:rPr>
          <w:rFonts w:hint="eastAsia" w:ascii="仿宋_GB2312" w:eastAsia="仿宋_GB2312"/>
          <w:sz w:val="32"/>
          <w:szCs w:val="32"/>
          <w:lang w:val="en-US" w:eastAsia="zh-CN"/>
        </w:rPr>
        <w:t>、</w:t>
      </w:r>
      <w:r>
        <w:rPr>
          <w:rFonts w:hint="eastAsia" w:ascii="仿宋_GB2312" w:eastAsia="仿宋_GB2312"/>
          <w:sz w:val="32"/>
          <w:szCs w:val="32"/>
        </w:rPr>
        <w:t>会同有关部门指导事业单位人事制度改革，拟订事业单位人员和机关工勤人员管理政策，参与人才管理工作，落实专业技术人员管理和继续教育政策，牵头推进深化职称制度改革工作，负责高层次专业技术人才选拔和培养工作，拟订吸引国（境）外专家、留学人员来利州区（回利州区）工作或定居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（8）</w:t>
      </w:r>
      <w:r>
        <w:rPr>
          <w:rFonts w:hint="eastAsia" w:ascii="仿宋_GB2312" w:eastAsia="仿宋_GB2312"/>
          <w:sz w:val="32"/>
          <w:szCs w:val="32"/>
          <w:lang w:val="en-US" w:eastAsia="zh-CN"/>
        </w:rPr>
        <w:t>、</w:t>
      </w:r>
      <w:r>
        <w:rPr>
          <w:rFonts w:hint="eastAsia" w:ascii="仿宋_GB2312" w:eastAsia="仿宋_GB2312"/>
          <w:sz w:val="32"/>
          <w:szCs w:val="32"/>
        </w:rPr>
        <w:t>贯彻执行军队转业干部安置政策，拟订军队转业干部安置计划，负责军队转业干部教育培训工作，贯彻执行企业军队转业干部解困和稳定政策，负责自主择业军队转业干部管理服务工作。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（9）</w:t>
      </w:r>
      <w:r>
        <w:rPr>
          <w:rFonts w:hint="eastAsia" w:ascii="仿宋_GB2312" w:eastAsia="仿宋_GB2312"/>
          <w:sz w:val="32"/>
          <w:szCs w:val="32"/>
          <w:lang w:val="en-US" w:eastAsia="zh-CN"/>
        </w:rPr>
        <w:t>、</w:t>
      </w:r>
      <w:r>
        <w:rPr>
          <w:rFonts w:hint="eastAsia" w:ascii="仿宋_GB2312" w:eastAsia="仿宋_GB2312"/>
          <w:sz w:val="32"/>
          <w:szCs w:val="32"/>
        </w:rPr>
        <w:t>贯彻执行国家有关公务员分类、录用、考核、奖惩、任用、交流、培训、辞退等法律、法规、规章和政策；贯彻执行事业单位工作人员参照《公务员法》管理和聘任制公务员管理的具体办法；负责行政机关公务员综合管理，贯彻执行有关人员调配政策和特殊人员安置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（10）</w:t>
      </w:r>
      <w:r>
        <w:rPr>
          <w:rFonts w:hint="eastAsia" w:ascii="仿宋_GB2312" w:eastAsia="仿宋_GB2312"/>
          <w:sz w:val="32"/>
          <w:szCs w:val="32"/>
          <w:lang w:val="en-US" w:eastAsia="zh-CN"/>
        </w:rPr>
        <w:t>、</w:t>
      </w:r>
      <w:r>
        <w:rPr>
          <w:rFonts w:hint="eastAsia" w:ascii="仿宋_GB2312" w:eastAsia="仿宋_GB2312"/>
          <w:sz w:val="32"/>
          <w:szCs w:val="32"/>
        </w:rPr>
        <w:t>贯彻落实公务员行为规范、职业道德建设和能力建设政策，组织实施公务员职位分类标准和管理办法，依法对公务员实施监督，负责公务员信息统计管理工作。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（11）</w:t>
      </w:r>
      <w:r>
        <w:rPr>
          <w:rFonts w:hint="eastAsia" w:ascii="仿宋_GB2312" w:eastAsia="仿宋_GB2312"/>
          <w:sz w:val="32"/>
          <w:szCs w:val="32"/>
          <w:lang w:val="en-US" w:eastAsia="zh-CN"/>
        </w:rPr>
        <w:t>、</w:t>
      </w:r>
      <w:r>
        <w:rPr>
          <w:rFonts w:hint="eastAsia" w:ascii="仿宋_GB2312" w:eastAsia="仿宋_GB2312"/>
          <w:sz w:val="32"/>
          <w:szCs w:val="32"/>
        </w:rPr>
        <w:t>组织实施全区机关公务员、参照《公务员法》管理单位工作人员的考试录用的申报、体检、考核、审核、报批等工作。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（12）</w:t>
      </w:r>
      <w:r>
        <w:rPr>
          <w:rFonts w:hint="eastAsia" w:ascii="仿宋_GB2312" w:eastAsia="仿宋_GB2312"/>
          <w:sz w:val="32"/>
          <w:szCs w:val="32"/>
          <w:lang w:val="en-US" w:eastAsia="zh-CN"/>
        </w:rPr>
        <w:t>、</w:t>
      </w:r>
      <w:r>
        <w:rPr>
          <w:rFonts w:hint="eastAsia" w:ascii="仿宋_GB2312" w:eastAsia="仿宋_GB2312"/>
          <w:sz w:val="32"/>
          <w:szCs w:val="32"/>
        </w:rPr>
        <w:t>拟订全区公务员培训规划、计划和标准，负责组织区级机关公务员培训工作。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（13）</w:t>
      </w:r>
      <w:r>
        <w:rPr>
          <w:rFonts w:hint="eastAsia" w:ascii="仿宋_GB2312" w:eastAsia="仿宋_GB2312"/>
          <w:sz w:val="32"/>
          <w:szCs w:val="32"/>
          <w:lang w:val="en-US" w:eastAsia="zh-CN"/>
        </w:rPr>
        <w:t>、</w:t>
      </w:r>
      <w:r>
        <w:rPr>
          <w:rFonts w:hint="eastAsia" w:ascii="仿宋_GB2312" w:eastAsia="仿宋_GB2312"/>
          <w:sz w:val="32"/>
          <w:szCs w:val="32"/>
        </w:rPr>
        <w:t>贯彻执行公务员申诉控告制度和聘任制公务员人事争议仲裁制度，保障公务员合法权益。</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（14）</w:t>
      </w:r>
      <w:r>
        <w:rPr>
          <w:rFonts w:hint="eastAsia" w:ascii="仿宋_GB2312" w:eastAsia="仿宋_GB2312"/>
          <w:sz w:val="32"/>
          <w:szCs w:val="32"/>
          <w:lang w:val="en-US" w:eastAsia="zh-CN"/>
        </w:rPr>
        <w:t>、</w:t>
      </w:r>
      <w:r>
        <w:rPr>
          <w:rFonts w:hint="eastAsia" w:ascii="仿宋_GB2312" w:eastAsia="仿宋_GB2312"/>
          <w:sz w:val="32"/>
          <w:szCs w:val="32"/>
        </w:rPr>
        <w:t xml:space="preserve">综合管理政府奖励表彰工作，实施国家荣誉制度、政府奖励制度，组织实施以区政府名义奖励表彰的活动，审核区级各部门（单位）的全区性评选表彰工作方案和表彰对象。 </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（15）</w:t>
      </w:r>
      <w:r>
        <w:rPr>
          <w:rFonts w:hint="eastAsia" w:ascii="仿宋_GB2312" w:eastAsia="仿宋_GB2312"/>
          <w:sz w:val="32"/>
          <w:szCs w:val="32"/>
          <w:lang w:val="en-US" w:eastAsia="zh-CN"/>
        </w:rPr>
        <w:t>、</w:t>
      </w:r>
      <w:r>
        <w:rPr>
          <w:rFonts w:hint="eastAsia" w:ascii="仿宋_GB2312" w:eastAsia="仿宋_GB2312"/>
          <w:sz w:val="32"/>
          <w:szCs w:val="32"/>
        </w:rPr>
        <w:t>承办提请区人大常委会和区政府决定的人事任免事项。</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（16）</w:t>
      </w:r>
      <w:r>
        <w:rPr>
          <w:rFonts w:hint="eastAsia" w:ascii="仿宋_GB2312" w:eastAsia="仿宋_GB2312"/>
          <w:sz w:val="32"/>
          <w:szCs w:val="32"/>
          <w:lang w:val="en-US" w:eastAsia="zh-CN"/>
        </w:rPr>
        <w:t>、</w:t>
      </w:r>
      <w:r>
        <w:rPr>
          <w:rFonts w:hint="eastAsia" w:ascii="仿宋_GB2312" w:eastAsia="仿宋_GB2312"/>
          <w:sz w:val="32"/>
          <w:szCs w:val="32"/>
        </w:rPr>
        <w:t>贯彻执行劳务开发及农民工工作相关政策，协调解决重点难点问题，维护农民工合法权益。</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（17）</w:t>
      </w:r>
      <w:r>
        <w:rPr>
          <w:rFonts w:hint="eastAsia" w:ascii="仿宋_GB2312" w:eastAsia="仿宋_GB2312"/>
          <w:sz w:val="32"/>
          <w:szCs w:val="32"/>
          <w:lang w:val="en-US" w:eastAsia="zh-CN"/>
        </w:rPr>
        <w:t>、</w:t>
      </w:r>
      <w:r>
        <w:rPr>
          <w:rFonts w:hint="eastAsia" w:ascii="仿宋_GB2312" w:eastAsia="仿宋_GB2312"/>
          <w:sz w:val="32"/>
          <w:szCs w:val="32"/>
        </w:rPr>
        <w:t>统筹拟订劳动、人事争议调解仲裁制度和劳动关系政策，完善劳动关系协调机制，拟订消除非法使用童工政策和女工、未成年工的特殊劳动保护政策，组织实施劳动监察，协调劳动者维权工作，依法查处重大案件。</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（18）</w:t>
      </w:r>
      <w:r>
        <w:rPr>
          <w:rFonts w:hint="eastAsia" w:ascii="仿宋_GB2312" w:eastAsia="仿宋_GB2312"/>
          <w:sz w:val="32"/>
          <w:szCs w:val="32"/>
          <w:lang w:val="en-US" w:eastAsia="zh-CN"/>
        </w:rPr>
        <w:t>、</w:t>
      </w:r>
      <w:r>
        <w:rPr>
          <w:rFonts w:hint="eastAsia" w:ascii="仿宋_GB2312" w:eastAsia="仿宋_GB2312"/>
          <w:sz w:val="32"/>
          <w:szCs w:val="32"/>
        </w:rPr>
        <w:t>负责国（境）外人才、智力引进以及人力资源和社会保障领域的国际交流与合作，负责相关涉外业务技术合作和人才交流，负责出国（境）培训工作。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（19）</w:t>
      </w:r>
      <w:r>
        <w:rPr>
          <w:rFonts w:hint="eastAsia" w:ascii="仿宋_GB2312" w:eastAsia="仿宋_GB2312"/>
          <w:sz w:val="32"/>
          <w:szCs w:val="32"/>
          <w:lang w:val="en-US" w:eastAsia="zh-CN"/>
        </w:rPr>
        <w:t>、</w:t>
      </w:r>
      <w:r>
        <w:rPr>
          <w:rFonts w:hint="eastAsia" w:ascii="仿宋_GB2312" w:eastAsia="仿宋_GB2312"/>
          <w:sz w:val="32"/>
          <w:szCs w:val="32"/>
        </w:rPr>
        <w:t>承担区政府公布的有关行政审批事项。</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（20）</w:t>
      </w:r>
      <w:r>
        <w:rPr>
          <w:rFonts w:hint="eastAsia" w:ascii="仿宋_GB2312" w:eastAsia="仿宋_GB2312"/>
          <w:sz w:val="32"/>
          <w:szCs w:val="32"/>
          <w:lang w:val="en-US" w:eastAsia="zh-CN"/>
        </w:rPr>
        <w:t>、</w:t>
      </w:r>
      <w:r>
        <w:rPr>
          <w:rFonts w:hint="eastAsia" w:ascii="仿宋_GB2312" w:eastAsia="仿宋_GB2312"/>
          <w:sz w:val="32"/>
          <w:szCs w:val="32"/>
        </w:rPr>
        <w:t>承办区政府交办的其他事项。</w:t>
      </w: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创业培训482人，完成目标任务400人的120.5%；青年培训1210人，完成目标任务1000人的121%；技能培训3170人，完成目标任务900人的352%；库区移民培训491人，完成目标任务400人的123%；品牌培训246人，完成目标任务200人的123%；返乡创业培训180人，完成目标任务130人的138%；定向培训964人，完成目标任务800人的120.5%；高级工、技师（含高级技师）培训270人，完成目标任务220人的122.7%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2.促进库区移民转移就业2416人，完成目标任务1700人的141%。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3.建立就业基地（车间）32个，完成目标任务数25个的128%。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4.城镇职工基本养老保险覆盖7.5万人，参保4.7万人（其中新增扩面8015人），完成目标任务4.68万人的100.43%；征缴基金40123.25万元，完成目标任务39000万元的102.88%。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5.城乡居民养老保险参保9.11万人，完成目标任务8.7万人的105%；缴费5.6万人，完成目标任务3.9万人的144%。</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6.城镇职工基本医疗保险参保3.6万人，完成目标任务3.25万人的110.8%；征缴基金14970.54万元，完成目标任务13500万元的110.89%。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7.城乡居民医疗保险参保31万人，完成目标任务30.6万人的101%；征缴基金6720.9万元（包括终身享受人员），完成目标任务6410万元的104.8%。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8.工伤保险参保2.27万人，完成目标任务1.79万人的126.82%；征缴基金1310.16万元，完成目标任务1100万元的119.11%。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9.生育保险参保1.99万人，完成目标任务1.51万人的131.79%；征缴基金882万元，完成目标任务800万元的110.25%。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10.失业保险参保2.02万人，完成目标任务1.58万人的127.85%；征缴基金930.13万元，完成目标任务800万元的116.27%。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机关事业单位养老保险参保7900人，征缴基金1.36亿元，完成目标任务1.2269亿元的110%；征缴职业年金2800万元，完成目标任务2586万元的108%。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12.企业劳动合同签订率为92%。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13.劳动保障监察举报投诉案件到期结案率为100%。</w:t>
      </w:r>
    </w:p>
    <w:p>
      <w:pPr>
        <w:keepNext w:val="0"/>
        <w:keepLines w:val="0"/>
        <w:widowControl/>
        <w:suppressLineNumbers w:val="0"/>
        <w:spacing w:before="0" w:beforeAutospacing="0" w:after="0" w:afterAutospacing="0"/>
        <w:ind w:left="0" w:right="0" w:firstLine="480"/>
        <w:jc w:val="both"/>
        <w:rPr>
          <w:rFonts w:hint="eastAsia" w:ascii="仿宋" w:hAnsi="仿宋" w:eastAsia="仿宋"/>
          <w:bCs/>
          <w:color w:val="000000"/>
          <w:sz w:val="32"/>
          <w:szCs w:val="32"/>
        </w:rPr>
      </w:pPr>
      <w:r>
        <w:rPr>
          <w:rFonts w:hint="default" w:ascii="Times New Roman" w:hAnsi="Times New Roman" w:eastAsia="仿宋_GB2312" w:cs="Times New Roman"/>
          <w:sz w:val="32"/>
          <w:szCs w:val="32"/>
          <w:lang w:val="en-US" w:eastAsia="zh-CN"/>
        </w:rPr>
        <w:t>14.劳动人事争议案件到期结案率为100%。</w:t>
      </w:r>
    </w:p>
    <w:p>
      <w:pPr>
        <w:pStyle w:val="5"/>
        <w:rPr>
          <w:rStyle w:val="2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ind w:firstLine="800" w:firstLineChars="250"/>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sz w:val="32"/>
          <w:szCs w:val="32"/>
          <w:lang w:eastAsia="zh-CN"/>
        </w:rPr>
        <w:t>利州区人社局</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下属</w:t>
      </w:r>
      <w:r>
        <w:rPr>
          <w:rFonts w:hint="eastAsia" w:ascii="仿宋_GB2312" w:hAnsi="仿宋_GB2312" w:eastAsia="仿宋_GB2312" w:cs="仿宋_GB2312"/>
          <w:sz w:val="32"/>
          <w:szCs w:val="32"/>
        </w:rPr>
        <w:t>参照公务员法管理的事业单位</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w:t>
      </w:r>
      <w:bookmarkStart w:id="22" w:name="_Toc15396602"/>
      <w:bookmarkStart w:id="23" w:name="_Toc15377204"/>
    </w:p>
    <w:p>
      <w:pPr>
        <w:pStyle w:val="4"/>
        <w:ind w:right="440"/>
        <w:jc w:val="right"/>
        <w:rPr>
          <w:rFonts w:hint="eastAsia" w:ascii="黑体" w:hAnsi="黑体" w:eastAsia="黑体"/>
          <w:b w:val="0"/>
          <w:color w:val="000000"/>
        </w:rPr>
      </w:pPr>
    </w:p>
    <w:p>
      <w:pPr>
        <w:pStyle w:val="4"/>
        <w:ind w:right="440"/>
        <w:jc w:val="right"/>
        <w:rPr>
          <w:rStyle w:val="26"/>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2018年度部门决算情况说明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2018年度收入总计</w:t>
      </w:r>
      <w:r>
        <w:rPr>
          <w:rFonts w:hint="eastAsia" w:ascii="仿宋_GB2312" w:hAnsi="仿宋_GB2312" w:eastAsia="仿宋_GB2312" w:cs="仿宋_GB2312"/>
          <w:color w:val="000000"/>
          <w:sz w:val="32"/>
          <w:szCs w:val="32"/>
          <w:lang w:val="en-US" w:eastAsia="zh-CN"/>
        </w:rPr>
        <w:t>3945.16</w:t>
      </w:r>
      <w:r>
        <w:rPr>
          <w:rFonts w:hint="eastAsia" w:ascii="仿宋_GB2312" w:hAnsi="仿宋_GB2312" w:eastAsia="仿宋_GB2312" w:cs="仿宋_GB2312"/>
          <w:color w:val="000000"/>
          <w:sz w:val="32"/>
          <w:szCs w:val="32"/>
        </w:rPr>
        <w:t>万元。与2017年</w:t>
      </w:r>
      <w:r>
        <w:rPr>
          <w:rFonts w:hint="eastAsia" w:ascii="仿宋_GB2312" w:hAnsi="仿宋_GB2312" w:eastAsia="仿宋_GB2312" w:cs="仿宋_GB2312"/>
          <w:color w:val="000000"/>
          <w:sz w:val="32"/>
          <w:szCs w:val="32"/>
          <w:lang w:val="en-US" w:eastAsia="zh-CN"/>
        </w:rPr>
        <w:t>4648.7</w:t>
      </w:r>
      <w:r>
        <w:rPr>
          <w:rFonts w:hint="eastAsia" w:ascii="仿宋_GB2312" w:hAnsi="仿宋_GB2312" w:eastAsia="仿宋_GB2312" w:cs="仿宋_GB2312"/>
          <w:color w:val="000000"/>
          <w:sz w:val="32"/>
          <w:szCs w:val="32"/>
        </w:rPr>
        <w:t>万元相比，收入减少</w:t>
      </w:r>
      <w:r>
        <w:rPr>
          <w:rFonts w:hint="eastAsia" w:ascii="仿宋_GB2312" w:hAnsi="仿宋_GB2312" w:eastAsia="仿宋_GB2312" w:cs="仿宋_GB2312"/>
          <w:color w:val="000000"/>
          <w:sz w:val="32"/>
          <w:szCs w:val="32"/>
          <w:lang w:val="en-US" w:eastAsia="zh-CN"/>
        </w:rPr>
        <w:t>703.54</w:t>
      </w:r>
      <w:r>
        <w:rPr>
          <w:rFonts w:hint="eastAsia" w:ascii="仿宋_GB2312" w:hAnsi="仿宋_GB2312" w:eastAsia="仿宋_GB2312" w:cs="仿宋_GB2312"/>
          <w:color w:val="000000"/>
          <w:sz w:val="32"/>
          <w:szCs w:val="32"/>
        </w:rPr>
        <w:t>万元，减少</w:t>
      </w:r>
      <w:r>
        <w:rPr>
          <w:rFonts w:hint="eastAsia" w:ascii="仿宋_GB2312" w:hAnsi="仿宋_GB2312" w:eastAsia="仿宋_GB2312" w:cs="仿宋_GB2312"/>
          <w:color w:val="000000"/>
          <w:sz w:val="32"/>
          <w:szCs w:val="32"/>
          <w:lang w:val="en-US" w:eastAsia="zh-CN"/>
        </w:rPr>
        <w:t>15.13</w:t>
      </w:r>
      <w:r>
        <w:rPr>
          <w:rFonts w:hint="eastAsia" w:ascii="仿宋_GB2312" w:hAnsi="仿宋_GB2312" w:eastAsia="仿宋_GB2312" w:cs="仿宋_GB2312"/>
          <w:color w:val="000000"/>
          <w:sz w:val="32"/>
          <w:szCs w:val="32"/>
        </w:rPr>
        <w:t>%，原因是根据</w:t>
      </w:r>
      <w:r>
        <w:rPr>
          <w:rFonts w:hint="eastAsia" w:ascii="仿宋_GB2312" w:hAnsi="仿宋_GB2312" w:eastAsia="仿宋_GB2312" w:cs="仿宋_GB2312"/>
          <w:color w:val="000000"/>
          <w:sz w:val="32"/>
          <w:szCs w:val="32"/>
          <w:lang w:eastAsia="zh-CN"/>
        </w:rPr>
        <w:t>就业</w:t>
      </w:r>
      <w:r>
        <w:rPr>
          <w:rFonts w:hint="eastAsia" w:ascii="仿宋_GB2312" w:hAnsi="仿宋_GB2312" w:eastAsia="仿宋_GB2312" w:cs="仿宋_GB2312"/>
          <w:color w:val="000000"/>
          <w:sz w:val="32"/>
          <w:szCs w:val="32"/>
        </w:rPr>
        <w:t>项目建设需求安排资金,2018年</w:t>
      </w:r>
      <w:r>
        <w:rPr>
          <w:rFonts w:hint="eastAsia" w:ascii="仿宋_GB2312" w:hAnsi="仿宋_GB2312" w:eastAsia="仿宋_GB2312" w:cs="仿宋_GB2312"/>
          <w:color w:val="000000"/>
          <w:sz w:val="32"/>
          <w:szCs w:val="32"/>
          <w:lang w:eastAsia="zh-CN"/>
        </w:rPr>
        <w:t>创建创业型城市</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减少。</w:t>
      </w:r>
    </w:p>
    <w:p>
      <w:pPr>
        <w:spacing w:line="600" w:lineRule="exact"/>
        <w:ind w:firstLine="420" w:firstLineChars="200"/>
        <w:rPr>
          <w:rFonts w:hint="eastAsia" w:ascii="仿宋_GB2312" w:hAnsi="仿宋_GB2312" w:eastAsia="仿宋_GB2312" w:cs="仿宋_GB2312"/>
          <w:color w:val="000000"/>
          <w:sz w:val="32"/>
          <w:szCs w:val="32"/>
        </w:rPr>
      </w:pPr>
      <w:r>
        <w:drawing>
          <wp:anchor distT="0" distB="0" distL="114300" distR="114300" simplePos="0" relativeHeight="251658240" behindDoc="0" locked="0" layoutInCell="1" allowOverlap="1">
            <wp:simplePos x="0" y="0"/>
            <wp:positionH relativeFrom="column">
              <wp:posOffset>513715</wp:posOffset>
            </wp:positionH>
            <wp:positionV relativeFrom="paragraph">
              <wp:posOffset>1395730</wp:posOffset>
            </wp:positionV>
            <wp:extent cx="3490595" cy="1952625"/>
            <wp:effectExtent l="4445" t="4445" r="10160" b="508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color w:val="000000"/>
          <w:sz w:val="32"/>
          <w:szCs w:val="32"/>
        </w:rPr>
        <w:t>2018年度支出总计</w:t>
      </w:r>
      <w:r>
        <w:rPr>
          <w:rFonts w:hint="eastAsia" w:ascii="仿宋_GB2312" w:hAnsi="仿宋_GB2312" w:eastAsia="仿宋_GB2312" w:cs="仿宋_GB2312"/>
          <w:color w:val="000000"/>
          <w:sz w:val="32"/>
          <w:szCs w:val="32"/>
          <w:lang w:val="en-US" w:eastAsia="zh-CN"/>
        </w:rPr>
        <w:t>3712.4</w:t>
      </w:r>
      <w:r>
        <w:rPr>
          <w:rFonts w:hint="eastAsia" w:ascii="仿宋_GB2312" w:hAnsi="仿宋_GB2312" w:eastAsia="仿宋_GB2312" w:cs="仿宋_GB2312"/>
          <w:color w:val="000000"/>
          <w:sz w:val="32"/>
          <w:szCs w:val="32"/>
        </w:rPr>
        <w:t>万元。与2017年</w:t>
      </w:r>
      <w:r>
        <w:rPr>
          <w:rFonts w:hint="eastAsia" w:ascii="仿宋_GB2312" w:hAnsi="仿宋_GB2312" w:eastAsia="仿宋_GB2312" w:cs="仿宋_GB2312"/>
          <w:color w:val="000000"/>
          <w:sz w:val="32"/>
          <w:szCs w:val="32"/>
          <w:lang w:val="en-US" w:eastAsia="zh-CN"/>
        </w:rPr>
        <w:t>4494.49</w:t>
      </w:r>
      <w:r>
        <w:rPr>
          <w:rFonts w:hint="eastAsia" w:ascii="仿宋_GB2312" w:hAnsi="仿宋_GB2312" w:eastAsia="仿宋_GB2312" w:cs="仿宋_GB2312"/>
          <w:color w:val="000000"/>
          <w:sz w:val="32"/>
          <w:szCs w:val="32"/>
        </w:rPr>
        <w:t>万元相比，支出减少</w:t>
      </w:r>
      <w:r>
        <w:rPr>
          <w:rFonts w:hint="eastAsia" w:ascii="仿宋_GB2312" w:hAnsi="仿宋_GB2312" w:eastAsia="仿宋_GB2312" w:cs="仿宋_GB2312"/>
          <w:color w:val="000000"/>
          <w:sz w:val="32"/>
          <w:szCs w:val="32"/>
          <w:lang w:val="en-US" w:eastAsia="zh-CN"/>
        </w:rPr>
        <w:t>782.09</w:t>
      </w:r>
      <w:r>
        <w:rPr>
          <w:rFonts w:hint="eastAsia" w:ascii="仿宋_GB2312" w:hAnsi="仿宋_GB2312" w:eastAsia="仿宋_GB2312" w:cs="仿宋_GB2312"/>
          <w:color w:val="000000"/>
          <w:sz w:val="32"/>
          <w:szCs w:val="32"/>
        </w:rPr>
        <w:t>万元，减少</w:t>
      </w:r>
      <w:r>
        <w:rPr>
          <w:rFonts w:hint="eastAsia" w:ascii="仿宋_GB2312" w:hAnsi="仿宋_GB2312" w:eastAsia="仿宋_GB2312" w:cs="仿宋_GB2312"/>
          <w:color w:val="000000"/>
          <w:sz w:val="32"/>
          <w:szCs w:val="32"/>
          <w:lang w:val="en-US" w:eastAsia="zh-CN"/>
        </w:rPr>
        <w:t>17.4</w:t>
      </w:r>
      <w:r>
        <w:rPr>
          <w:rFonts w:hint="eastAsia" w:ascii="仿宋_GB2312" w:hAnsi="仿宋_GB2312" w:eastAsia="仿宋_GB2312" w:cs="仿宋_GB2312"/>
          <w:color w:val="000000"/>
          <w:sz w:val="32"/>
          <w:szCs w:val="32"/>
        </w:rPr>
        <w:t>%，原因是根据</w:t>
      </w:r>
      <w:r>
        <w:rPr>
          <w:rFonts w:hint="eastAsia" w:ascii="仿宋_GB2312" w:hAnsi="仿宋_GB2312" w:eastAsia="仿宋_GB2312" w:cs="仿宋_GB2312"/>
          <w:color w:val="000000"/>
          <w:sz w:val="32"/>
          <w:szCs w:val="32"/>
          <w:lang w:eastAsia="zh-CN"/>
        </w:rPr>
        <w:t>就业</w:t>
      </w:r>
      <w:r>
        <w:rPr>
          <w:rFonts w:hint="eastAsia" w:ascii="仿宋_GB2312" w:hAnsi="仿宋_GB2312" w:eastAsia="仿宋_GB2312" w:cs="仿宋_GB2312"/>
          <w:color w:val="000000"/>
          <w:sz w:val="32"/>
          <w:szCs w:val="32"/>
        </w:rPr>
        <w:t>项目建设需求安排资金,2018年</w:t>
      </w:r>
      <w:r>
        <w:rPr>
          <w:rFonts w:hint="eastAsia" w:ascii="仿宋_GB2312" w:hAnsi="仿宋_GB2312" w:eastAsia="仿宋_GB2312" w:cs="仿宋_GB2312"/>
          <w:color w:val="000000"/>
          <w:sz w:val="32"/>
          <w:szCs w:val="32"/>
          <w:lang w:eastAsia="zh-CN"/>
        </w:rPr>
        <w:t>创建创业型城市</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减少。</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5"/>
        <w:numPr>
          <w:ilvl w:val="0"/>
          <w:numId w:val="1"/>
        </w:numPr>
        <w:spacing w:line="600" w:lineRule="exact"/>
        <w:ind w:firstLineChars="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rPr>
        <w:t>2018年本年收入合计</w:t>
      </w:r>
      <w:r>
        <w:rPr>
          <w:rFonts w:hint="eastAsia" w:ascii="仿宋_GB2312" w:hAnsi="仿宋_GB2312" w:eastAsia="仿宋_GB2312" w:cs="仿宋_GB2312"/>
          <w:color w:val="000000"/>
          <w:sz w:val="32"/>
          <w:szCs w:val="32"/>
          <w:lang w:val="en-US" w:eastAsia="zh-CN"/>
        </w:rPr>
        <w:t>3945.16</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3854.6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其他收入</w:t>
      </w:r>
      <w:r>
        <w:rPr>
          <w:rFonts w:hint="eastAsia" w:ascii="仿宋_GB2312" w:hAnsi="仿宋_GB2312" w:eastAsia="仿宋_GB2312" w:cs="仿宋_GB2312"/>
          <w:color w:val="000000"/>
          <w:sz w:val="32"/>
          <w:szCs w:val="32"/>
          <w:lang w:val="en-US" w:eastAsia="zh-CN"/>
        </w:rPr>
        <w:t>90.56万元，占2%。</w:t>
      </w:r>
    </w:p>
    <w:p>
      <w:pPr>
        <w:spacing w:line="600" w:lineRule="exact"/>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926465</wp:posOffset>
            </wp:positionH>
            <wp:positionV relativeFrom="paragraph">
              <wp:posOffset>43180</wp:posOffset>
            </wp:positionV>
            <wp:extent cx="3039745" cy="1713230"/>
            <wp:effectExtent l="4445" t="4445" r="22860" b="1587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5"/>
        <w:numPr>
          <w:ilvl w:val="0"/>
          <w:numId w:val="1"/>
        </w:numPr>
        <w:spacing w:line="600" w:lineRule="exact"/>
        <w:ind w:firstLineChars="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2018年本年支出合计</w:t>
      </w:r>
      <w:r>
        <w:rPr>
          <w:rFonts w:hint="eastAsia" w:ascii="仿宋_GB2312" w:hAnsi="仿宋_GB2312" w:eastAsia="仿宋_GB2312" w:cs="仿宋_GB2312"/>
          <w:color w:val="000000"/>
          <w:sz w:val="32"/>
          <w:szCs w:val="32"/>
          <w:lang w:val="en-US" w:eastAsia="zh-CN"/>
        </w:rPr>
        <w:t>3712.4</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2364.03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64</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1248.36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drawing>
          <wp:anchor distT="0" distB="0" distL="114300" distR="114300" simplePos="0" relativeHeight="251661312" behindDoc="0" locked="0" layoutInCell="1" allowOverlap="1">
            <wp:simplePos x="0" y="0"/>
            <wp:positionH relativeFrom="column">
              <wp:posOffset>427990</wp:posOffset>
            </wp:positionH>
            <wp:positionV relativeFrom="paragraph">
              <wp:posOffset>297180</wp:posOffset>
            </wp:positionV>
            <wp:extent cx="3002280" cy="2176145"/>
            <wp:effectExtent l="4445" t="4445" r="22225" b="10160"/>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（图3：支出决算结构图）</w:t>
      </w: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2018年度收入总计</w:t>
      </w:r>
      <w:r>
        <w:rPr>
          <w:rFonts w:hint="eastAsia" w:ascii="仿宋_GB2312" w:hAnsi="仿宋_GB2312" w:eastAsia="仿宋_GB2312" w:cs="仿宋_GB2312"/>
          <w:color w:val="000000"/>
          <w:sz w:val="32"/>
          <w:szCs w:val="32"/>
          <w:lang w:val="en-US" w:eastAsia="zh-CN"/>
        </w:rPr>
        <w:t>3945.16</w:t>
      </w:r>
      <w:r>
        <w:rPr>
          <w:rFonts w:hint="eastAsia" w:ascii="仿宋_GB2312" w:hAnsi="仿宋_GB2312" w:eastAsia="仿宋_GB2312" w:cs="仿宋_GB2312"/>
          <w:color w:val="000000"/>
          <w:sz w:val="32"/>
          <w:szCs w:val="32"/>
        </w:rPr>
        <w:t>万元。与2017年</w:t>
      </w:r>
      <w:r>
        <w:rPr>
          <w:rFonts w:hint="eastAsia" w:ascii="仿宋_GB2312" w:hAnsi="仿宋_GB2312" w:eastAsia="仿宋_GB2312" w:cs="仿宋_GB2312"/>
          <w:color w:val="000000"/>
          <w:sz w:val="32"/>
          <w:szCs w:val="32"/>
          <w:lang w:val="en-US" w:eastAsia="zh-CN"/>
        </w:rPr>
        <w:t>4648.7</w:t>
      </w:r>
      <w:r>
        <w:rPr>
          <w:rFonts w:hint="eastAsia" w:ascii="仿宋_GB2312" w:hAnsi="仿宋_GB2312" w:eastAsia="仿宋_GB2312" w:cs="仿宋_GB2312"/>
          <w:color w:val="000000"/>
          <w:sz w:val="32"/>
          <w:szCs w:val="32"/>
        </w:rPr>
        <w:t>万元相比，收入减少</w:t>
      </w:r>
      <w:r>
        <w:rPr>
          <w:rFonts w:hint="eastAsia" w:ascii="仿宋_GB2312" w:hAnsi="仿宋_GB2312" w:eastAsia="仿宋_GB2312" w:cs="仿宋_GB2312"/>
          <w:color w:val="000000"/>
          <w:sz w:val="32"/>
          <w:szCs w:val="32"/>
          <w:lang w:val="en-US" w:eastAsia="zh-CN"/>
        </w:rPr>
        <w:t>703.54</w:t>
      </w:r>
      <w:r>
        <w:rPr>
          <w:rFonts w:hint="eastAsia" w:ascii="仿宋_GB2312" w:hAnsi="仿宋_GB2312" w:eastAsia="仿宋_GB2312" w:cs="仿宋_GB2312"/>
          <w:color w:val="000000"/>
          <w:sz w:val="32"/>
          <w:szCs w:val="32"/>
        </w:rPr>
        <w:t>万元，减少</w:t>
      </w:r>
      <w:r>
        <w:rPr>
          <w:rFonts w:hint="eastAsia" w:ascii="仿宋_GB2312" w:hAnsi="仿宋_GB2312" w:eastAsia="仿宋_GB2312" w:cs="仿宋_GB2312"/>
          <w:color w:val="000000"/>
          <w:sz w:val="32"/>
          <w:szCs w:val="32"/>
          <w:lang w:val="en-US" w:eastAsia="zh-CN"/>
        </w:rPr>
        <w:t>15.13</w:t>
      </w:r>
      <w:r>
        <w:rPr>
          <w:rFonts w:hint="eastAsia" w:ascii="仿宋_GB2312" w:hAnsi="仿宋_GB2312" w:eastAsia="仿宋_GB2312" w:cs="仿宋_GB2312"/>
          <w:color w:val="000000"/>
          <w:sz w:val="32"/>
          <w:szCs w:val="32"/>
        </w:rPr>
        <w:t>%，原因是根据</w:t>
      </w:r>
      <w:r>
        <w:rPr>
          <w:rFonts w:hint="eastAsia" w:ascii="仿宋_GB2312" w:hAnsi="仿宋_GB2312" w:eastAsia="仿宋_GB2312" w:cs="仿宋_GB2312"/>
          <w:color w:val="000000"/>
          <w:sz w:val="32"/>
          <w:szCs w:val="32"/>
          <w:lang w:eastAsia="zh-CN"/>
        </w:rPr>
        <w:t>就业</w:t>
      </w:r>
      <w:r>
        <w:rPr>
          <w:rFonts w:hint="eastAsia" w:ascii="仿宋_GB2312" w:hAnsi="仿宋_GB2312" w:eastAsia="仿宋_GB2312" w:cs="仿宋_GB2312"/>
          <w:color w:val="000000"/>
          <w:sz w:val="32"/>
          <w:szCs w:val="32"/>
        </w:rPr>
        <w:t>项目建设需求安排资金,2018年</w:t>
      </w:r>
      <w:r>
        <w:rPr>
          <w:rFonts w:hint="eastAsia" w:ascii="仿宋_GB2312" w:hAnsi="仿宋_GB2312" w:eastAsia="仿宋_GB2312" w:cs="仿宋_GB2312"/>
          <w:color w:val="000000"/>
          <w:sz w:val="32"/>
          <w:szCs w:val="32"/>
          <w:lang w:eastAsia="zh-CN"/>
        </w:rPr>
        <w:t>创建创业型城市</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减少。</w:t>
      </w:r>
    </w:p>
    <w:p>
      <w:pPr>
        <w:spacing w:line="600" w:lineRule="exact"/>
        <w:ind w:firstLine="640" w:firstLineChars="200"/>
        <w:rPr>
          <w:rFonts w:hint="eastAsia" w:ascii="仿宋" w:hAnsi="仿宋" w:eastAsia="仿宋"/>
          <w:color w:val="000000"/>
          <w:sz w:val="32"/>
          <w:szCs w:val="32"/>
        </w:rPr>
      </w:pPr>
      <w:r>
        <w:rPr>
          <w:rFonts w:hint="eastAsia" w:ascii="仿宋_GB2312" w:hAnsi="仿宋_GB2312" w:eastAsia="仿宋_GB2312" w:cs="仿宋_GB2312"/>
          <w:color w:val="000000"/>
          <w:sz w:val="32"/>
          <w:szCs w:val="32"/>
        </w:rPr>
        <w:t>2018年度支出总计</w:t>
      </w:r>
      <w:r>
        <w:rPr>
          <w:rFonts w:hint="eastAsia" w:ascii="仿宋_GB2312" w:hAnsi="仿宋_GB2312" w:eastAsia="仿宋_GB2312" w:cs="仿宋_GB2312"/>
          <w:color w:val="000000"/>
          <w:sz w:val="32"/>
          <w:szCs w:val="32"/>
          <w:lang w:val="en-US" w:eastAsia="zh-CN"/>
        </w:rPr>
        <w:t>3712.4</w:t>
      </w:r>
      <w:r>
        <w:rPr>
          <w:rFonts w:hint="eastAsia" w:ascii="仿宋_GB2312" w:hAnsi="仿宋_GB2312" w:eastAsia="仿宋_GB2312" w:cs="仿宋_GB2312"/>
          <w:color w:val="000000"/>
          <w:sz w:val="32"/>
          <w:szCs w:val="32"/>
        </w:rPr>
        <w:t>万元。与2017年</w:t>
      </w:r>
      <w:r>
        <w:rPr>
          <w:rFonts w:hint="eastAsia" w:ascii="仿宋_GB2312" w:hAnsi="仿宋_GB2312" w:eastAsia="仿宋_GB2312" w:cs="仿宋_GB2312"/>
          <w:color w:val="000000"/>
          <w:sz w:val="32"/>
          <w:szCs w:val="32"/>
          <w:lang w:val="en-US" w:eastAsia="zh-CN"/>
        </w:rPr>
        <w:t>4494.49</w:t>
      </w:r>
      <w:r>
        <w:rPr>
          <w:rFonts w:hint="eastAsia" w:ascii="仿宋_GB2312" w:hAnsi="仿宋_GB2312" w:eastAsia="仿宋_GB2312" w:cs="仿宋_GB2312"/>
          <w:color w:val="000000"/>
          <w:sz w:val="32"/>
          <w:szCs w:val="32"/>
        </w:rPr>
        <w:t>万</w:t>
      </w:r>
      <w:r>
        <w:drawing>
          <wp:anchor distT="0" distB="0" distL="114300" distR="114300" simplePos="0" relativeHeight="251662336" behindDoc="0" locked="0" layoutInCell="1" allowOverlap="1">
            <wp:simplePos x="0" y="0"/>
            <wp:positionH relativeFrom="column">
              <wp:posOffset>-23495</wp:posOffset>
            </wp:positionH>
            <wp:positionV relativeFrom="paragraph">
              <wp:posOffset>1532255</wp:posOffset>
            </wp:positionV>
            <wp:extent cx="4410710" cy="2924175"/>
            <wp:effectExtent l="4445" t="4445" r="23495" b="5080"/>
            <wp:wrapTopAndBottom/>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color w:val="000000"/>
          <w:sz w:val="32"/>
          <w:szCs w:val="32"/>
        </w:rPr>
        <w:t>元相比，支出减少</w:t>
      </w:r>
      <w:r>
        <w:rPr>
          <w:rFonts w:hint="eastAsia" w:ascii="仿宋_GB2312" w:hAnsi="仿宋_GB2312" w:eastAsia="仿宋_GB2312" w:cs="仿宋_GB2312"/>
          <w:color w:val="000000"/>
          <w:sz w:val="32"/>
          <w:szCs w:val="32"/>
          <w:lang w:val="en-US" w:eastAsia="zh-CN"/>
        </w:rPr>
        <w:t>782.09</w:t>
      </w:r>
      <w:r>
        <w:rPr>
          <w:rFonts w:hint="eastAsia" w:ascii="仿宋_GB2312" w:hAnsi="仿宋_GB2312" w:eastAsia="仿宋_GB2312" w:cs="仿宋_GB2312"/>
          <w:color w:val="000000"/>
          <w:sz w:val="32"/>
          <w:szCs w:val="32"/>
        </w:rPr>
        <w:t>万元，减少</w:t>
      </w:r>
      <w:r>
        <w:rPr>
          <w:rFonts w:hint="eastAsia" w:ascii="仿宋_GB2312" w:hAnsi="仿宋_GB2312" w:eastAsia="仿宋_GB2312" w:cs="仿宋_GB2312"/>
          <w:color w:val="000000"/>
          <w:sz w:val="32"/>
          <w:szCs w:val="32"/>
          <w:lang w:val="en-US" w:eastAsia="zh-CN"/>
        </w:rPr>
        <w:t>17.4</w:t>
      </w:r>
      <w:r>
        <w:rPr>
          <w:rFonts w:hint="eastAsia" w:ascii="仿宋_GB2312" w:hAnsi="仿宋_GB2312" w:eastAsia="仿宋_GB2312" w:cs="仿宋_GB2312"/>
          <w:color w:val="000000"/>
          <w:sz w:val="32"/>
          <w:szCs w:val="32"/>
        </w:rPr>
        <w:t>%，原因是根据</w:t>
      </w:r>
      <w:r>
        <w:rPr>
          <w:rFonts w:hint="eastAsia" w:ascii="仿宋_GB2312" w:hAnsi="仿宋_GB2312" w:eastAsia="仿宋_GB2312" w:cs="仿宋_GB2312"/>
          <w:color w:val="000000"/>
          <w:sz w:val="32"/>
          <w:szCs w:val="32"/>
          <w:lang w:eastAsia="zh-CN"/>
        </w:rPr>
        <w:t>就业</w:t>
      </w:r>
      <w:r>
        <w:rPr>
          <w:rFonts w:hint="eastAsia" w:ascii="仿宋_GB2312" w:hAnsi="仿宋_GB2312" w:eastAsia="仿宋_GB2312" w:cs="仿宋_GB2312"/>
          <w:color w:val="000000"/>
          <w:sz w:val="32"/>
          <w:szCs w:val="32"/>
        </w:rPr>
        <w:t>项目建设需求安排资金,2018年</w:t>
      </w:r>
      <w:r>
        <w:rPr>
          <w:rFonts w:hint="eastAsia" w:ascii="仿宋_GB2312" w:hAnsi="仿宋_GB2312" w:eastAsia="仿宋_GB2312" w:cs="仿宋_GB2312"/>
          <w:color w:val="000000"/>
          <w:sz w:val="32"/>
          <w:szCs w:val="32"/>
          <w:lang w:eastAsia="zh-CN"/>
        </w:rPr>
        <w:t>创建创业型城市</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减少。</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2018年一般公共预算财政拨款支出</w:t>
      </w:r>
      <w:r>
        <w:rPr>
          <w:rFonts w:hint="eastAsia" w:ascii="仿宋_GB2312" w:hAnsi="仿宋_GB2312" w:eastAsia="仿宋_GB2312" w:cs="仿宋_GB2312"/>
          <w:color w:val="000000"/>
          <w:sz w:val="32"/>
          <w:szCs w:val="32"/>
          <w:lang w:val="en-US" w:eastAsia="zh-CN"/>
        </w:rPr>
        <w:t>3621.84</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97.56</w:t>
      </w:r>
      <w:r>
        <w:rPr>
          <w:rFonts w:hint="eastAsia" w:ascii="仿宋_GB2312" w:hAnsi="仿宋_GB2312" w:eastAsia="仿宋_GB2312" w:cs="仿宋_GB2312"/>
          <w:color w:val="000000"/>
          <w:sz w:val="32"/>
          <w:szCs w:val="32"/>
        </w:rPr>
        <w:t>%。与2017年相比，一般公共预算财政拨款减少</w:t>
      </w:r>
      <w:r>
        <w:rPr>
          <w:rFonts w:hint="eastAsia" w:ascii="仿宋_GB2312" w:hAnsi="仿宋_GB2312" w:eastAsia="仿宋_GB2312" w:cs="仿宋_GB2312"/>
          <w:color w:val="000000"/>
          <w:sz w:val="32"/>
          <w:szCs w:val="32"/>
          <w:lang w:val="en-US" w:eastAsia="zh-CN"/>
        </w:rPr>
        <w:t>748.68</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17.13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原因是项目减少。</w:t>
      </w:r>
    </w:p>
    <w:p>
      <w:pPr>
        <w:spacing w:line="600" w:lineRule="exact"/>
        <w:ind w:firstLine="420" w:firstLineChars="200"/>
        <w:rPr>
          <w:rFonts w:hint="eastAsia" w:ascii="仿宋_GB2312" w:hAnsi="仿宋_GB2312" w:eastAsia="仿宋_GB2312" w:cs="仿宋_GB2312"/>
          <w:color w:val="000000"/>
          <w:sz w:val="32"/>
          <w:szCs w:val="32"/>
          <w:lang w:eastAsia="zh-CN"/>
        </w:rPr>
      </w:pPr>
      <w:r>
        <w:drawing>
          <wp:anchor distT="0" distB="0" distL="114300" distR="114300" simplePos="0" relativeHeight="251673600" behindDoc="0" locked="0" layoutInCell="1" allowOverlap="1">
            <wp:simplePos x="0" y="0"/>
            <wp:positionH relativeFrom="column">
              <wp:posOffset>294640</wp:posOffset>
            </wp:positionH>
            <wp:positionV relativeFrom="paragraph">
              <wp:posOffset>165735</wp:posOffset>
            </wp:positionV>
            <wp:extent cx="3587115" cy="1764665"/>
            <wp:effectExtent l="4445" t="4445" r="8890" b="2159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2018年一般公共预算财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3621.84</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一般公共服务（类）支出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82.6</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22.8</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3169.73</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87.52</w:t>
      </w:r>
      <w:r>
        <w:rPr>
          <w:rFonts w:hint="eastAsia" w:ascii="仿宋_GB2312" w:hAnsi="仿宋_GB2312" w:eastAsia="仿宋_GB2312" w:cs="仿宋_GB2312"/>
          <w:color w:val="000000" w:themeColor="text1"/>
          <w:sz w:val="32"/>
          <w:szCs w:val="32"/>
          <w14:textFill>
            <w14:solidFill>
              <w14:schemeClr w14:val="tx1"/>
            </w14:solidFill>
          </w14:textFill>
        </w:rPr>
        <w:t>%；医疗卫生支出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94.57</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155.38</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住房保障支出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119.58</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74624" behindDoc="0" locked="0" layoutInCell="1" allowOverlap="1">
            <wp:simplePos x="0" y="0"/>
            <wp:positionH relativeFrom="column">
              <wp:posOffset>133985</wp:posOffset>
            </wp:positionH>
            <wp:positionV relativeFrom="paragraph">
              <wp:posOffset>91440</wp:posOffset>
            </wp:positionV>
            <wp:extent cx="4323715" cy="2477135"/>
            <wp:effectExtent l="4445" t="5080" r="15240" b="13335"/>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_GB2312" w:hAnsi="仿宋_GB2312" w:eastAsia="仿宋_GB2312" w:cs="仿宋_GB2312"/>
          <w:color w:val="000000"/>
          <w:sz w:val="32"/>
          <w:szCs w:val="32"/>
        </w:rPr>
        <w:t>（图6：一般公共预算财政拨款支出决算结构）</w:t>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6" w:name="_Toc15377212"/>
      <w:r>
        <w:rPr>
          <w:rFonts w:hint="eastAsia" w:ascii="仿宋_GB2312" w:hAnsi="仿宋_GB2312" w:eastAsia="仿宋_GB2312" w:cs="仿宋_GB2312"/>
          <w:b/>
          <w:color w:val="000000"/>
          <w:sz w:val="32"/>
          <w:szCs w:val="32"/>
        </w:rPr>
        <w:t>（三）一般公共预算财政拨款支出决算具体情况</w:t>
      </w:r>
      <w:bookmarkEnd w:id="36"/>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37" w:name="_Toc15378460"/>
      <w:bookmarkStart w:id="38" w:name="_Toc15377213"/>
      <w:bookmarkStart w:id="39" w:name="_Toc15377444"/>
      <w:r>
        <w:rPr>
          <w:rFonts w:hint="eastAsia" w:ascii="仿宋_GB2312" w:hAnsi="仿宋_GB2312" w:eastAsia="仿宋_GB2312" w:cs="仿宋_GB2312"/>
          <w:color w:val="000000" w:themeColor="text1"/>
          <w:sz w:val="32"/>
          <w:szCs w:val="32"/>
          <w:lang w:eastAsia="zh-CN"/>
          <w14:textFill>
            <w14:solidFill>
              <w14:schemeClr w14:val="tx1"/>
            </w14:solidFill>
          </w14:textFill>
        </w:rPr>
        <w:t>2018年般公共预算支出决算数为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3621.84</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84.74</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w:t>
      </w:r>
      <w:bookmarkEnd w:id="37"/>
      <w:bookmarkEnd w:id="38"/>
      <w:bookmarkEnd w:id="39"/>
    </w:p>
    <w:p>
      <w:pPr>
        <w:spacing w:line="600" w:lineRule="exact"/>
        <w:ind w:firstLine="640"/>
        <w:rPr>
          <w:rFonts w:ascii="仿宋" w:hAnsi="仿宋" w:eastAsia="仿宋"/>
          <w:b/>
          <w:color w:val="000000"/>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1.一般公共服务（类）人力资源服务（款）军队转业干部安置（项）: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25.05</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52.13</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%，决算数小于预算数的主要原因是军转干部春节慰问尚未支出。</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.一般公共服务（类）人力资源服务（款） 其他人力资源事务支出（项）: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57.55</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%，决算数小于预算数的主要原因是年末财政资金紧张，结转到下年支付。</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.社会保障和就业支出（类）人力资源和社会保障管理事务（款）行政运行（项）: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1888.11</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.社会保障和就业支出（类）人力资源和社会保障管理事务（款）一般行政管理事务（项）: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705.86</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%。决算数小于预算数的主要原因是项目建设未完工，结转到下年支付。</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.社会保障和就业支出（类）人力资源和社会保障管理事务（款）综合业务管理（项）: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3.57</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%，决算数小于预算数的主要原因是项目建设未完工，结转到下年支付。</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.社会保障和就业支出（类）人力资源和社会保障管理事务（款）劳动保障监察（项）: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.社会保障和就业支出（类）人力资源和社会保障管理事务（款）就业管理事务（项）: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%，决算数小于预算数的主要原因是项目建设未完工，结转到下年支付。</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.社会保障和就业支出（类）人力资源和社会保障管理事务（款）信息化建设（项）: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39.24</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%，决算数小于预算数的主要原因是项目建设未完工，结转到下年支付。</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.社会保障和就业支出（类）人力资源和社会保障管理事务（款）社会保险经办机构（项）: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.社会保障和就业支出（类）行政事业单位离退休（款）机关事业单位基本养老保险缴费支出（项）: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202.84</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.社会保障和就业支出（类）就业补助（款）其他就业补助支出（项）: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310.44</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.社会保障和就业支出（类）抚恤（款）死亡抚恤（项）: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18.87</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.医疗卫生与计划生育支出（类）行政事业单位医疗（款）行政单位医疗（项）: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94.57</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.医疗卫生与计划生育支出（类）优抚对象医疗（款）  优抚对象医疗补助（项）: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%。指标年底下达，未来得及本年度支付，结转下年支付。</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.农林水支出（类）扶贫（款）社会发展（项）: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26.38</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.农林水支出（类）扶贫（款）其他扶贫支出（项）: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.农林水支出（类）普惠金融发展支出（款）创业担保贷款贴息（项）: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lang w:eastAsia="zh-CN"/>
          <w14:textFill>
            <w14:solidFill>
              <w14:schemeClr w14:val="tx1"/>
            </w14:solidFill>
          </w14:textFill>
        </w:rPr>
        <w:t>.住房保障支出（类）住房改革支出（款）住房公积金（项）: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119.58</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2018年一般公共预算财政拨款基本支出</w:t>
      </w:r>
      <w:r>
        <w:rPr>
          <w:rFonts w:hint="eastAsia" w:ascii="仿宋_GB2312" w:hAnsi="仿宋_GB2312" w:eastAsia="仿宋_GB2312" w:cs="仿宋_GB2312"/>
          <w:color w:val="000000"/>
          <w:sz w:val="32"/>
          <w:szCs w:val="32"/>
          <w:lang w:val="en-US" w:eastAsia="zh-CN"/>
        </w:rPr>
        <w:t>2323.96</w:t>
      </w:r>
      <w:r>
        <w:rPr>
          <w:rFonts w:hint="eastAsia" w:ascii="仿宋_GB2312" w:hAnsi="仿宋_GB2312" w:eastAsia="仿宋_GB2312" w:cs="仿宋_GB2312"/>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2070.21</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公用经费</w:t>
      </w:r>
      <w:r>
        <w:rPr>
          <w:rFonts w:hint="eastAsia" w:ascii="仿宋_GB2312" w:hAnsi="仿宋_GB2312" w:eastAsia="仿宋_GB2312" w:cs="仿宋_GB2312"/>
          <w:color w:val="000000"/>
          <w:sz w:val="32"/>
          <w:szCs w:val="32"/>
          <w:lang w:val="en-US" w:eastAsia="zh-CN"/>
        </w:rPr>
        <w:t>253.75</w:t>
      </w:r>
      <w:r>
        <w:rPr>
          <w:rFonts w:hint="eastAsia" w:ascii="仿宋_GB2312" w:hAns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2018年“三公”经费财政拨款支出决算为</w:t>
      </w:r>
      <w:r>
        <w:rPr>
          <w:rFonts w:hint="eastAsia" w:ascii="仿宋_GB2312" w:hAnsi="仿宋_GB2312" w:eastAsia="仿宋_GB2312" w:cs="仿宋_GB2312"/>
          <w:color w:val="000000"/>
          <w:sz w:val="32"/>
          <w:szCs w:val="32"/>
          <w:lang w:val="en-US" w:eastAsia="zh-CN"/>
        </w:rPr>
        <w:t>7.07</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决算数与预算数一致</w:t>
      </w:r>
      <w:r>
        <w:rPr>
          <w:rFonts w:hint="eastAsia" w:ascii="仿宋_GB2312" w:hAnsi="仿宋_GB2312" w:eastAsia="仿宋_GB2312" w:cs="仿宋_GB2312"/>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7.07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75648" behindDoc="0" locked="0" layoutInCell="1" allowOverlap="1">
            <wp:simplePos x="0" y="0"/>
            <wp:positionH relativeFrom="column">
              <wp:posOffset>307340</wp:posOffset>
            </wp:positionH>
            <wp:positionV relativeFrom="paragraph">
              <wp:posOffset>113030</wp:posOffset>
            </wp:positionV>
            <wp:extent cx="3695700" cy="2429510"/>
            <wp:effectExtent l="4445" t="4445" r="14605" b="23495"/>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numPr>
          <w:ilvl w:val="0"/>
          <w:numId w:val="2"/>
        </w:num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2017年数据一致。</w:t>
      </w:r>
    </w:p>
    <w:p>
      <w:pPr>
        <w:numPr>
          <w:ilvl w:val="0"/>
          <w:numId w:val="0"/>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hint="eastAsia" w:ascii="仿宋_GB2312" w:eastAsia="仿宋_GB2312"/>
          <w:color w:val="000000"/>
          <w:sz w:val="32"/>
          <w:szCs w:val="32"/>
        </w:rPr>
        <w:t>2017年</w:t>
      </w:r>
      <w:r>
        <w:rPr>
          <w:rFonts w:hint="eastAsia" w:ascii="仿宋_GB2312" w:eastAsia="仿宋_GB2312"/>
          <w:color w:val="000000"/>
          <w:sz w:val="32"/>
          <w:szCs w:val="32"/>
          <w:lang w:eastAsia="zh-CN"/>
        </w:rPr>
        <w:t>数据一致</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numPr>
          <w:ilvl w:val="0"/>
          <w:numId w:val="0"/>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3.公务接待费支出</w:t>
      </w:r>
      <w:r>
        <w:rPr>
          <w:rFonts w:hint="eastAsia" w:ascii="仿宋_GB2312" w:eastAsia="仿宋_GB2312"/>
          <w:color w:val="000000"/>
          <w:sz w:val="32"/>
          <w:szCs w:val="32"/>
          <w:lang w:val="en-US" w:eastAsia="zh-CN"/>
        </w:rPr>
        <w:t>7.07</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%。公务接待费支出决算与2017年相比持平，无增减变化。主要原因是厉行节约，缩减开支。</w:t>
      </w:r>
    </w:p>
    <w:p>
      <w:pPr>
        <w:spacing w:line="600" w:lineRule="exact"/>
        <w:ind w:firstLine="640"/>
        <w:outlineLvl w:val="1"/>
        <w:rPr>
          <w:rFonts w:hint="eastAsia" w:ascii="黑体" w:eastAsia="黑体"/>
          <w:color w:val="000000"/>
          <w:sz w:val="32"/>
          <w:szCs w:val="32"/>
        </w:rPr>
      </w:pPr>
      <w:bookmarkStart w:id="46" w:name="_Toc15396610"/>
      <w:bookmarkStart w:id="47" w:name="_Toc15377218"/>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75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690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7.07</w:t>
      </w:r>
      <w:r>
        <w:rPr>
          <w:rFonts w:hint="eastAsia" w:ascii="仿宋_GB2312" w:eastAsia="仿宋_GB2312"/>
          <w:color w:val="000000"/>
          <w:sz w:val="32"/>
          <w:szCs w:val="32"/>
        </w:rPr>
        <w:t>万元，具体内容包括：接待上级党校、相关部门及兄弟党校来人来客接待中所发生的用餐费。其中：外事接待支出0万元，外事接待0批次，0人，共计支出0万元。其他国内公务接待支出</w:t>
      </w:r>
      <w:r>
        <w:rPr>
          <w:rFonts w:hint="eastAsia" w:ascii="仿宋_GB2312" w:eastAsia="仿宋_GB2312"/>
          <w:color w:val="000000"/>
          <w:sz w:val="32"/>
          <w:szCs w:val="32"/>
          <w:lang w:val="en-US" w:eastAsia="zh-CN"/>
        </w:rPr>
        <w:t>7.07</w:t>
      </w:r>
      <w:r>
        <w:rPr>
          <w:rFonts w:hint="eastAsia" w:ascii="仿宋_GB2312" w:eastAsia="仿宋_GB2312"/>
          <w:color w:val="000000"/>
          <w:sz w:val="32"/>
          <w:szCs w:val="32"/>
        </w:rPr>
        <w:t>万元，主要用于接待上级</w:t>
      </w:r>
      <w:r>
        <w:rPr>
          <w:rFonts w:hint="eastAsia" w:ascii="仿宋_GB2312" w:eastAsia="仿宋_GB2312"/>
          <w:color w:val="000000"/>
          <w:sz w:val="32"/>
          <w:szCs w:val="32"/>
          <w:lang w:eastAsia="zh-CN"/>
        </w:rPr>
        <w:t>检查等</w:t>
      </w:r>
      <w:r>
        <w:rPr>
          <w:rFonts w:hint="eastAsia" w:ascii="仿宋_GB2312" w:eastAsia="仿宋_GB2312"/>
          <w:color w:val="000000"/>
          <w:sz w:val="32"/>
          <w:szCs w:val="32"/>
        </w:rPr>
        <w:t>用餐费。</w:t>
      </w:r>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5"/>
        <w:numPr>
          <w:ilvl w:val="0"/>
          <w:numId w:val="4"/>
        </w:numPr>
        <w:spacing w:line="580" w:lineRule="exact"/>
        <w:ind w:firstLineChars="0"/>
        <w:rPr>
          <w:rStyle w:val="27"/>
          <w:rFonts w:ascii="黑体" w:hAnsi="黑体" w:eastAsia="黑体"/>
          <w:b w:val="0"/>
        </w:rPr>
      </w:pPr>
      <w:r>
        <w:rPr>
          <w:rStyle w:val="27"/>
          <w:rFonts w:hint="eastAsia" w:ascii="黑体" w:hAnsi="黑体" w:eastAsia="黑体"/>
          <w:b w:val="0"/>
        </w:rPr>
        <w:t>预算绩效情况说明</w:t>
      </w:r>
    </w:p>
    <w:p>
      <w:pPr>
        <w:numPr>
          <w:ilvl w:val="0"/>
          <w:numId w:val="5"/>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较好地执行了2018年部门整体支出绩效目标，民生工程、社会治理、财税金融、项目建设、党风廉政建设等工作按年初计划稳步推进。我单位严格执行财务制度，按时发放在职人员的工资，保障了干部队伍的稳定，按时支付各项费用，按部门预算科学合理使用财政资金，充分发挥资金利用效率，保证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机关的正常运转。同时强化内部管理，提高工作效率，积极发挥预算、计划的导向作用。本部门还自行组织了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基本完成了项目预期目标</w:t>
      </w:r>
      <w:r>
        <w:rPr>
          <w:rFonts w:hint="eastAsia" w:ascii="仿宋_GB2312" w:hAnsi="仿宋_GB2312" w:eastAsia="仿宋_GB2312" w:cs="仿宋_GB2312"/>
          <w:sz w:val="32"/>
          <w:szCs w:val="32"/>
        </w:rPr>
        <w:t>。</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劳动监察办案经费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“军转干部解困资金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自主择业军转干部医疗费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“劳动人事仲裁办案经费”“人事代理和移交教师退休人员待遇补差”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劳动监察办案经费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劳动监察</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所需宣传费、办公设备购置费、工作服购买以及劳动监察日常办案开销。发现的主要问题：</w:t>
      </w:r>
      <w:r>
        <w:rPr>
          <w:rFonts w:hint="eastAsia" w:ascii="仿宋_GB2312" w:hAnsi="仿宋_GB2312" w:eastAsia="仿宋_GB2312" w:cs="仿宋_GB2312"/>
          <w:sz w:val="32"/>
          <w:szCs w:val="32"/>
          <w:lang w:eastAsia="zh-CN"/>
        </w:rPr>
        <w:t>项目资金预算不够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加大资金投入。</w:t>
      </w:r>
    </w:p>
    <w:p>
      <w:pPr>
        <w:numPr>
          <w:ilvl w:val="0"/>
          <w:numId w:val="0"/>
        </w:num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军转干部解困资金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9.24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9.24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en-US" w:eastAsia="zh-CN"/>
        </w:rPr>
        <w:t>8名</w:t>
      </w:r>
      <w:r>
        <w:rPr>
          <w:rFonts w:hint="eastAsia" w:ascii="仿宋_GB2312" w:hAnsi="仿宋_GB2312" w:eastAsia="仿宋_GB2312" w:cs="仿宋_GB2312"/>
          <w:sz w:val="32"/>
          <w:szCs w:val="32"/>
        </w:rPr>
        <w:t>企业军转干部生活困难补助正常发放，发现的主要问题：</w:t>
      </w:r>
      <w:r>
        <w:rPr>
          <w:rFonts w:hint="eastAsia" w:ascii="仿宋_GB2312" w:hAnsi="仿宋_GB2312" w:eastAsia="仿宋_GB2312" w:cs="仿宋_GB2312"/>
          <w:sz w:val="32"/>
          <w:szCs w:val="32"/>
          <w:lang w:eastAsia="zh-CN"/>
        </w:rPr>
        <w:t>军转干部每年中途涨生活补助，项目按上年末补助标准预算</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按生活补助的全口径纳入。</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自主择业军转干部医疗费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自主择业军转干部财政代缴单位部分医疗费，发现的主要问题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无。</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劳动人事仲裁办案经费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保障劳动仲裁日常办案开销，发现的主要问题</w:t>
      </w:r>
      <w:r>
        <w:rPr>
          <w:rFonts w:hint="eastAsia" w:ascii="仿宋_GB2312" w:hAnsi="仿宋_GB2312" w:eastAsia="仿宋_GB2312" w:cs="仿宋_GB2312"/>
          <w:sz w:val="32"/>
          <w:szCs w:val="32"/>
          <w:lang w:eastAsia="zh-CN"/>
        </w:rPr>
        <w:t>：此项资金未纳入年初预算为</w:t>
      </w:r>
      <w:r>
        <w:rPr>
          <w:rFonts w:hint="eastAsia" w:ascii="仿宋_GB2312" w:hAnsi="仿宋_GB2312" w:eastAsia="仿宋_GB2312" w:cs="仿宋_GB2312"/>
          <w:sz w:val="32"/>
          <w:szCs w:val="32"/>
          <w:lang w:val="en-US" w:eastAsia="zh-CN"/>
        </w:rPr>
        <w:t>2万元，不够实际开支</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建议将劳动人事仲裁办案经费年初预算从</w:t>
      </w:r>
      <w:r>
        <w:rPr>
          <w:rFonts w:hint="eastAsia" w:ascii="仿宋_GB2312" w:hAnsi="仿宋_GB2312" w:eastAsia="仿宋_GB2312" w:cs="仿宋_GB2312"/>
          <w:sz w:val="32"/>
          <w:szCs w:val="32"/>
          <w:lang w:val="en-US" w:eastAsia="zh-CN"/>
        </w:rPr>
        <w:t>2万提高到12万元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人事代理和移交教师退休人员待遇补差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439.8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439.8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为化解历史遗留问题，积极衔接协调财政、社保对移交教师、人事代理等人员的待遇补差，确保社会的和谐稳定。</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：本项目为长期，应纳入年初预算</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建议纳入年初预算。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Calibri" w:hAnsi="Calibri"/>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Calibri" w:hAnsi="Calibri"/>
        </w:rPr>
      </w:pPr>
    </w:p>
    <w:tbl>
      <w:tblPr>
        <w:tblStyle w:val="14"/>
        <w:tblpPr w:leftFromText="180" w:rightFromText="180" w:vertAnchor="text" w:horzAnchor="page" w:tblpX="863" w:tblpY="4311"/>
        <w:tblOverlap w:val="never"/>
        <w:tblW w:w="9960" w:type="dxa"/>
        <w:tblInd w:w="0" w:type="dxa"/>
        <w:tblLayout w:type="fixed"/>
        <w:tblCellMar>
          <w:top w:w="0" w:type="dxa"/>
          <w:left w:w="0" w:type="dxa"/>
          <w:bottom w:w="0" w:type="dxa"/>
          <w:right w:w="0" w:type="dxa"/>
        </w:tblCellMar>
      </w:tblPr>
      <w:tblGrid>
        <w:gridCol w:w="763"/>
        <w:gridCol w:w="1173"/>
        <w:gridCol w:w="1364"/>
        <w:gridCol w:w="1922"/>
        <w:gridCol w:w="2346"/>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479"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lang w:eastAsia="zh-CN"/>
              </w:rPr>
              <w:t>劳动监察办案经费</w:t>
            </w:r>
          </w:p>
        </w:tc>
      </w:tr>
      <w:tr>
        <w:tblPrEx>
          <w:tblLayout w:type="fixed"/>
          <w:tblCellMar>
            <w:top w:w="0" w:type="dxa"/>
            <w:left w:w="0" w:type="dxa"/>
            <w:bottom w:w="0" w:type="dxa"/>
            <w:right w:w="0" w:type="dxa"/>
          </w:tblCellMar>
        </w:tblPrEx>
        <w:trPr>
          <w:trHeight w:val="276"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利州区人社局</w:t>
            </w: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Layout w:type="fixed"/>
          <w:tblCellMar>
            <w:top w:w="0" w:type="dxa"/>
            <w:left w:w="0" w:type="dxa"/>
            <w:bottom w:w="0" w:type="dxa"/>
            <w:right w:w="0" w:type="dxa"/>
          </w:tblCellMar>
        </w:tblPrEx>
        <w:trPr>
          <w:trHeight w:val="276"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Layout w:type="fixed"/>
          <w:tblCellMar>
            <w:top w:w="0" w:type="dxa"/>
            <w:left w:w="0" w:type="dxa"/>
            <w:bottom w:w="0" w:type="dxa"/>
            <w:right w:w="0" w:type="dxa"/>
          </w:tblCellMar>
        </w:tblPrEx>
        <w:trPr>
          <w:trHeight w:val="43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74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保障劳动监察</w:t>
            </w:r>
            <w:r>
              <w:rPr>
                <w:rFonts w:hint="eastAsia" w:ascii="宋体" w:hAnsi="宋体" w:cs="宋体"/>
                <w:color w:val="000000"/>
                <w:sz w:val="24"/>
                <w:lang w:eastAsia="zh-CN"/>
              </w:rPr>
              <w:t>大队</w:t>
            </w:r>
            <w:r>
              <w:rPr>
                <w:rFonts w:hint="eastAsia" w:ascii="宋体" w:hAnsi="宋体" w:cs="宋体"/>
                <w:color w:val="000000"/>
                <w:sz w:val="24"/>
              </w:rPr>
              <w:t>需宣传费、办公设备购置费、工作服购买以及劳动监察日常办案开销。</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保障了劳动监察大队日常运行</w:t>
            </w:r>
          </w:p>
        </w:tc>
      </w:tr>
      <w:tr>
        <w:tblPrEx>
          <w:tblLayout w:type="fixed"/>
          <w:tblCellMar>
            <w:top w:w="0" w:type="dxa"/>
            <w:left w:w="0" w:type="dxa"/>
            <w:bottom w:w="0" w:type="dxa"/>
            <w:right w:w="0" w:type="dxa"/>
          </w:tblCellMar>
        </w:tblPrEx>
        <w:trPr>
          <w:trHeight w:val="842"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56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日常办案检查</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45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w:t>
            </w:r>
          </w:p>
        </w:tc>
      </w:tr>
      <w:tr>
        <w:tblPrEx>
          <w:tblLayout w:type="fixed"/>
          <w:tblCellMar>
            <w:top w:w="0" w:type="dxa"/>
            <w:left w:w="0" w:type="dxa"/>
            <w:bottom w:w="0" w:type="dxa"/>
            <w:right w:w="0" w:type="dxa"/>
          </w:tblCellMar>
        </w:tblPrEx>
        <w:trPr>
          <w:trHeight w:val="1239"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对各类案件按照规定时间、规定程序完成结案，做到100%结案率。</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67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完成时限</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本年度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本年度</w:t>
            </w:r>
          </w:p>
        </w:tc>
      </w:tr>
      <w:tr>
        <w:tblPrEx>
          <w:tblLayout w:type="fixed"/>
        </w:tblPrEx>
        <w:trPr>
          <w:trHeight w:val="1042"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讲究办案的及时性，统筹安排，控制办案成本，确保执法经费不浪费</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hint="eastAsia"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保障社会稳定</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已完成</w:t>
            </w:r>
          </w:p>
        </w:tc>
      </w:tr>
      <w:tr>
        <w:tblPrEx>
          <w:tblLayout w:type="fixed"/>
        </w:tblPrEx>
        <w:trPr>
          <w:trHeight w:val="83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95%</w:t>
            </w:r>
          </w:p>
        </w:tc>
      </w:tr>
    </w:tbl>
    <w:p>
      <w:pPr>
        <w:rPr>
          <w:rFonts w:ascii="Calibri" w:hAnsi="Calibri"/>
        </w:rPr>
      </w:pPr>
    </w:p>
    <w:p>
      <w:pPr>
        <w:rPr>
          <w:rFonts w:ascii="Calibri" w:hAnsi="Calibri"/>
        </w:rPr>
      </w:pPr>
    </w:p>
    <w:p>
      <w:pPr>
        <w:rPr>
          <w:rFonts w:ascii="Calibri" w:hAnsi="Calibri"/>
        </w:rPr>
      </w:pPr>
    </w:p>
    <w:tbl>
      <w:tblPr>
        <w:tblStyle w:val="14"/>
        <w:tblpPr w:leftFromText="180" w:rightFromText="180" w:vertAnchor="text" w:horzAnchor="page" w:tblpX="863" w:tblpY="4311"/>
        <w:tblOverlap w:val="never"/>
        <w:tblW w:w="9960" w:type="dxa"/>
        <w:tblInd w:w="0" w:type="dxa"/>
        <w:tblLayout w:type="fixed"/>
        <w:tblCellMar>
          <w:top w:w="0" w:type="dxa"/>
          <w:left w:w="0" w:type="dxa"/>
          <w:bottom w:w="0" w:type="dxa"/>
          <w:right w:w="0" w:type="dxa"/>
        </w:tblCellMar>
      </w:tblPr>
      <w:tblGrid>
        <w:gridCol w:w="763"/>
        <w:gridCol w:w="1173"/>
        <w:gridCol w:w="1364"/>
        <w:gridCol w:w="1922"/>
        <w:gridCol w:w="2346"/>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479"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lang w:eastAsia="zh-CN"/>
              </w:rPr>
              <w:t>军转干部解困资金</w:t>
            </w:r>
          </w:p>
        </w:tc>
      </w:tr>
      <w:tr>
        <w:tblPrEx>
          <w:tblLayout w:type="fixed"/>
          <w:tblCellMar>
            <w:top w:w="0" w:type="dxa"/>
            <w:left w:w="0" w:type="dxa"/>
            <w:bottom w:w="0" w:type="dxa"/>
            <w:right w:w="0" w:type="dxa"/>
          </w:tblCellMar>
        </w:tblPrEx>
        <w:trPr>
          <w:trHeight w:val="276"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利州区人社局</w:t>
            </w: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9.24</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9.24</w:t>
            </w:r>
          </w:p>
        </w:tc>
      </w:tr>
      <w:tr>
        <w:tblPrEx>
          <w:tblLayout w:type="fixed"/>
          <w:tblCellMar>
            <w:top w:w="0" w:type="dxa"/>
            <w:left w:w="0" w:type="dxa"/>
            <w:bottom w:w="0" w:type="dxa"/>
            <w:right w:w="0" w:type="dxa"/>
          </w:tblCellMar>
        </w:tblPrEx>
        <w:trPr>
          <w:trHeight w:val="276"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9.24</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9.24</w:t>
            </w:r>
          </w:p>
        </w:tc>
      </w:tr>
      <w:tr>
        <w:tblPrEx>
          <w:tblLayout w:type="fixed"/>
          <w:tblCellMar>
            <w:top w:w="0" w:type="dxa"/>
            <w:left w:w="0" w:type="dxa"/>
            <w:bottom w:w="0" w:type="dxa"/>
            <w:right w:w="0" w:type="dxa"/>
          </w:tblCellMar>
        </w:tblPrEx>
        <w:trPr>
          <w:trHeight w:val="43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74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保障企业军转干部生活困难补助正常发放</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保障企业军转干部生活困难补助正常发放</w:t>
            </w:r>
          </w:p>
        </w:tc>
      </w:tr>
      <w:tr>
        <w:tblPrEx>
          <w:tblLayout w:type="fixed"/>
          <w:tblCellMar>
            <w:top w:w="0" w:type="dxa"/>
            <w:left w:w="0" w:type="dxa"/>
            <w:bottom w:w="0" w:type="dxa"/>
            <w:right w:w="0" w:type="dxa"/>
          </w:tblCellMar>
        </w:tblPrEx>
        <w:trPr>
          <w:trHeight w:val="842"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56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享受人数</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8人</w:t>
            </w:r>
          </w:p>
        </w:tc>
      </w:tr>
      <w:tr>
        <w:tblPrEx>
          <w:tblLayout w:type="fixed"/>
          <w:tblCellMar>
            <w:top w:w="0" w:type="dxa"/>
            <w:left w:w="0" w:type="dxa"/>
            <w:bottom w:w="0" w:type="dxa"/>
            <w:right w:w="0" w:type="dxa"/>
          </w:tblCellMar>
        </w:tblPrEx>
        <w:trPr>
          <w:trHeight w:val="99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企业军转干部生活保障</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67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资金按月支付</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每月及时兑付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每月及时兑付</w:t>
            </w:r>
          </w:p>
        </w:tc>
      </w:tr>
      <w:tr>
        <w:tblPrEx>
          <w:tblLayout w:type="fixed"/>
          <w:tblCellMar>
            <w:top w:w="0" w:type="dxa"/>
            <w:left w:w="0" w:type="dxa"/>
            <w:bottom w:w="0" w:type="dxa"/>
            <w:right w:w="0" w:type="dxa"/>
          </w:tblCellMar>
        </w:tblPrEx>
        <w:trPr>
          <w:trHeight w:val="842"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每月支付费用</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7700/月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7700/月</w:t>
            </w:r>
          </w:p>
        </w:tc>
      </w:tr>
      <w:tr>
        <w:tblPrEx>
          <w:tblLayout w:type="fixed"/>
          <w:tblCellMar>
            <w:top w:w="0" w:type="dxa"/>
            <w:left w:w="0" w:type="dxa"/>
            <w:bottom w:w="0" w:type="dxa"/>
            <w:right w:w="0" w:type="dxa"/>
          </w:tblCellMar>
        </w:tblPrEx>
        <w:trPr>
          <w:trHeight w:val="829"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hint="eastAsia"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保障企业军转干部基本生活</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保障社会稳定</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r>
      <w:tr>
        <w:tblPrEx>
          <w:tblLayout w:type="fixed"/>
          <w:tblCellMar>
            <w:top w:w="0" w:type="dxa"/>
            <w:left w:w="0" w:type="dxa"/>
            <w:bottom w:w="0" w:type="dxa"/>
            <w:right w:w="0" w:type="dxa"/>
          </w:tblCellMar>
        </w:tblPrEx>
        <w:trPr>
          <w:trHeight w:val="83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863" w:tblpY="4311"/>
        <w:tblOverlap w:val="never"/>
        <w:tblW w:w="9960" w:type="dxa"/>
        <w:tblInd w:w="0" w:type="dxa"/>
        <w:tblLayout w:type="fixed"/>
        <w:tblCellMar>
          <w:top w:w="0" w:type="dxa"/>
          <w:left w:w="0" w:type="dxa"/>
          <w:bottom w:w="0" w:type="dxa"/>
          <w:right w:w="0" w:type="dxa"/>
        </w:tblCellMar>
      </w:tblPr>
      <w:tblGrid>
        <w:gridCol w:w="763"/>
        <w:gridCol w:w="1173"/>
        <w:gridCol w:w="1364"/>
        <w:gridCol w:w="1922"/>
        <w:gridCol w:w="2346"/>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479"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lang w:eastAsia="zh-CN"/>
              </w:rPr>
              <w:t>军转干部医疗费</w:t>
            </w:r>
          </w:p>
        </w:tc>
      </w:tr>
      <w:tr>
        <w:tblPrEx>
          <w:tblLayout w:type="fixed"/>
          <w:tblCellMar>
            <w:top w:w="0" w:type="dxa"/>
            <w:left w:w="0" w:type="dxa"/>
            <w:bottom w:w="0" w:type="dxa"/>
            <w:right w:w="0" w:type="dxa"/>
          </w:tblCellMar>
        </w:tblPrEx>
        <w:trPr>
          <w:trHeight w:val="276"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利州区人社局</w:t>
            </w: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5.67</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5.67</w:t>
            </w:r>
          </w:p>
        </w:tc>
      </w:tr>
      <w:tr>
        <w:tblPrEx>
          <w:tblLayout w:type="fixed"/>
          <w:tblCellMar>
            <w:top w:w="0" w:type="dxa"/>
            <w:left w:w="0" w:type="dxa"/>
            <w:bottom w:w="0" w:type="dxa"/>
            <w:right w:w="0" w:type="dxa"/>
          </w:tblCellMar>
        </w:tblPrEx>
        <w:trPr>
          <w:trHeight w:val="276"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5.67</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5.67</w:t>
            </w:r>
          </w:p>
        </w:tc>
      </w:tr>
      <w:tr>
        <w:tblPrEx>
          <w:tblLayout w:type="fixed"/>
          <w:tblCellMar>
            <w:top w:w="0" w:type="dxa"/>
            <w:left w:w="0" w:type="dxa"/>
            <w:bottom w:w="0" w:type="dxa"/>
            <w:right w:w="0" w:type="dxa"/>
          </w:tblCellMar>
        </w:tblPrEx>
        <w:trPr>
          <w:trHeight w:val="43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74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自主择业军转干部财政代缴单位部分医疗费</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自主择业军转干部财政代缴单位部分医疗费</w:t>
            </w:r>
          </w:p>
        </w:tc>
      </w:tr>
      <w:tr>
        <w:tblPrEx>
          <w:tblLayout w:type="fixed"/>
          <w:tblCellMar>
            <w:top w:w="0" w:type="dxa"/>
            <w:left w:w="0" w:type="dxa"/>
            <w:bottom w:w="0" w:type="dxa"/>
            <w:right w:w="0" w:type="dxa"/>
          </w:tblCellMar>
        </w:tblPrEx>
        <w:trPr>
          <w:trHeight w:val="842"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56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享受人数</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6人</w:t>
            </w:r>
          </w:p>
        </w:tc>
      </w:tr>
      <w:tr>
        <w:tblPrEx>
          <w:tblLayout w:type="fixed"/>
          <w:tblCellMar>
            <w:top w:w="0" w:type="dxa"/>
            <w:left w:w="0" w:type="dxa"/>
            <w:bottom w:w="0" w:type="dxa"/>
            <w:right w:w="0" w:type="dxa"/>
          </w:tblCellMar>
        </w:tblPrEx>
        <w:trPr>
          <w:trHeight w:val="99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保障自主择业军转干部医保缴费不断保</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67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201</w:t>
            </w:r>
            <w:r>
              <w:rPr>
                <w:rFonts w:hint="eastAsia" w:ascii="宋体" w:hAnsi="宋体" w:cs="宋体"/>
                <w:color w:val="000000"/>
                <w:sz w:val="24"/>
                <w:lang w:val="en-US" w:eastAsia="zh-CN"/>
              </w:rPr>
              <w:t>8</w:t>
            </w:r>
            <w:r>
              <w:rPr>
                <w:rFonts w:hint="eastAsia" w:ascii="宋体" w:hAnsi="宋体" w:cs="宋体"/>
                <w:color w:val="000000"/>
                <w:sz w:val="24"/>
                <w:lang w:eastAsia="zh-CN"/>
              </w:rPr>
              <w:t>年1月至12月</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本年度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本年度</w:t>
            </w:r>
          </w:p>
        </w:tc>
      </w:tr>
      <w:tr>
        <w:tblPrEx>
          <w:tblLayout w:type="fixed"/>
          <w:tblCellMar>
            <w:top w:w="0" w:type="dxa"/>
            <w:left w:w="0" w:type="dxa"/>
            <w:bottom w:w="0" w:type="dxa"/>
            <w:right w:w="0" w:type="dxa"/>
          </w:tblCellMar>
        </w:tblPrEx>
        <w:trPr>
          <w:trHeight w:val="842"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支付费用</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5.67万元</w:t>
            </w:r>
          </w:p>
        </w:tc>
      </w:tr>
      <w:tr>
        <w:tblPrEx>
          <w:tblLayout w:type="fixed"/>
          <w:tblCellMar>
            <w:top w:w="0" w:type="dxa"/>
            <w:left w:w="0" w:type="dxa"/>
            <w:bottom w:w="0" w:type="dxa"/>
            <w:right w:w="0" w:type="dxa"/>
          </w:tblCellMar>
        </w:tblPrEx>
        <w:trPr>
          <w:trHeight w:val="829"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hint="eastAsia"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保障自主择业军转干部医保缴费不断保</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为自主择业军转干部提供医疗保障</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r>
      <w:tr>
        <w:tblPrEx>
          <w:tblLayout w:type="fixed"/>
          <w:tblCellMar>
            <w:top w:w="0" w:type="dxa"/>
            <w:left w:w="0" w:type="dxa"/>
            <w:bottom w:w="0" w:type="dxa"/>
            <w:right w:w="0" w:type="dxa"/>
          </w:tblCellMar>
        </w:tblPrEx>
        <w:trPr>
          <w:trHeight w:val="83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849" w:tblpY="2707"/>
        <w:tblOverlap w:val="never"/>
        <w:tblW w:w="9960" w:type="dxa"/>
        <w:tblInd w:w="0" w:type="dxa"/>
        <w:tblLayout w:type="fixed"/>
        <w:tblCellMar>
          <w:top w:w="0" w:type="dxa"/>
          <w:left w:w="0" w:type="dxa"/>
          <w:bottom w:w="0" w:type="dxa"/>
          <w:right w:w="0" w:type="dxa"/>
        </w:tblCellMar>
      </w:tblPr>
      <w:tblGrid>
        <w:gridCol w:w="763"/>
        <w:gridCol w:w="1173"/>
        <w:gridCol w:w="1364"/>
        <w:gridCol w:w="1922"/>
        <w:gridCol w:w="2346"/>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479"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lang w:eastAsia="zh-CN"/>
              </w:rPr>
              <w:t>劳动人事仲裁办案经费</w:t>
            </w:r>
          </w:p>
        </w:tc>
      </w:tr>
      <w:tr>
        <w:tblPrEx>
          <w:tblLayout w:type="fixed"/>
          <w:tblCellMar>
            <w:top w:w="0" w:type="dxa"/>
            <w:left w:w="0" w:type="dxa"/>
            <w:bottom w:w="0" w:type="dxa"/>
            <w:right w:w="0" w:type="dxa"/>
          </w:tblCellMar>
        </w:tblPrEx>
        <w:trPr>
          <w:trHeight w:val="276"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利州区人社局</w:t>
            </w: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r>
      <w:tr>
        <w:tblPrEx>
          <w:tblLayout w:type="fixed"/>
          <w:tblCellMar>
            <w:top w:w="0" w:type="dxa"/>
            <w:left w:w="0" w:type="dxa"/>
            <w:bottom w:w="0" w:type="dxa"/>
            <w:right w:w="0" w:type="dxa"/>
          </w:tblCellMar>
        </w:tblPrEx>
        <w:trPr>
          <w:trHeight w:val="276"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r>
      <w:tr>
        <w:tblPrEx>
          <w:tblLayout w:type="fixed"/>
          <w:tblCellMar>
            <w:top w:w="0" w:type="dxa"/>
            <w:left w:w="0" w:type="dxa"/>
            <w:bottom w:w="0" w:type="dxa"/>
            <w:right w:w="0" w:type="dxa"/>
          </w:tblCellMar>
        </w:tblPrEx>
        <w:trPr>
          <w:trHeight w:val="43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74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保障劳动仲裁日常办案开销</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保障劳动仲裁日常办案开销</w:t>
            </w:r>
          </w:p>
        </w:tc>
      </w:tr>
      <w:tr>
        <w:tblPrEx>
          <w:tblLayout w:type="fixed"/>
          <w:tblCellMar>
            <w:top w:w="0" w:type="dxa"/>
            <w:left w:w="0" w:type="dxa"/>
            <w:bottom w:w="0" w:type="dxa"/>
            <w:right w:w="0" w:type="dxa"/>
          </w:tblCellMar>
        </w:tblPrEx>
        <w:trPr>
          <w:trHeight w:val="842"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56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日常接办案子</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≧400件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450件</w:t>
            </w:r>
          </w:p>
        </w:tc>
      </w:tr>
      <w:tr>
        <w:tblPrEx>
          <w:tblLayout w:type="fixed"/>
          <w:tblCellMar>
            <w:top w:w="0" w:type="dxa"/>
            <w:left w:w="0" w:type="dxa"/>
            <w:bottom w:w="0" w:type="dxa"/>
            <w:right w:w="0" w:type="dxa"/>
          </w:tblCellMar>
        </w:tblPrEx>
        <w:trPr>
          <w:trHeight w:val="99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对各类案件按照规定时间、规定程序完成结案，做到100%结案率。</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67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201</w:t>
            </w:r>
            <w:r>
              <w:rPr>
                <w:rFonts w:hint="eastAsia" w:ascii="宋体" w:hAnsi="宋体" w:cs="宋体"/>
                <w:color w:val="000000"/>
                <w:sz w:val="24"/>
                <w:lang w:val="en-US" w:eastAsia="zh-CN"/>
              </w:rPr>
              <w:t>8</w:t>
            </w:r>
            <w:r>
              <w:rPr>
                <w:rFonts w:hint="eastAsia" w:ascii="宋体" w:hAnsi="宋体" w:cs="宋体"/>
                <w:color w:val="000000"/>
                <w:sz w:val="24"/>
                <w:lang w:eastAsia="zh-CN"/>
              </w:rPr>
              <w:t>年1月至12月</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本年度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本年度</w:t>
            </w:r>
          </w:p>
        </w:tc>
      </w:tr>
      <w:tr>
        <w:tblPrEx>
          <w:tblLayout w:type="fixed"/>
          <w:tblCellMar>
            <w:top w:w="0" w:type="dxa"/>
            <w:left w:w="0" w:type="dxa"/>
            <w:bottom w:w="0" w:type="dxa"/>
            <w:right w:w="0" w:type="dxa"/>
          </w:tblCellMar>
        </w:tblPrEx>
        <w:trPr>
          <w:trHeight w:val="842"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讲究办案的及时性，统筹安排，控制办案成本，确保执法经费不浪费</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12万元</w:t>
            </w:r>
          </w:p>
        </w:tc>
      </w:tr>
      <w:tr>
        <w:tblPrEx>
          <w:tblLayout w:type="fixed"/>
          <w:tblCellMar>
            <w:top w:w="0" w:type="dxa"/>
            <w:left w:w="0" w:type="dxa"/>
            <w:bottom w:w="0" w:type="dxa"/>
            <w:right w:w="0" w:type="dxa"/>
          </w:tblCellMar>
        </w:tblPrEx>
        <w:trPr>
          <w:trHeight w:val="829"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hint="eastAsia"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维护劳动者合法权益</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保障社会稳定和谐</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r>
      <w:tr>
        <w:tblPrEx>
          <w:tblLayout w:type="fixed"/>
          <w:tblCellMar>
            <w:top w:w="0" w:type="dxa"/>
            <w:left w:w="0" w:type="dxa"/>
            <w:bottom w:w="0" w:type="dxa"/>
            <w:right w:w="0" w:type="dxa"/>
          </w:tblCellMar>
        </w:tblPrEx>
        <w:trPr>
          <w:trHeight w:val="83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849" w:tblpY="2707"/>
        <w:tblOverlap w:val="never"/>
        <w:tblW w:w="9960" w:type="dxa"/>
        <w:tblInd w:w="0" w:type="dxa"/>
        <w:tblLayout w:type="fixed"/>
        <w:tblCellMar>
          <w:top w:w="0" w:type="dxa"/>
          <w:left w:w="0" w:type="dxa"/>
          <w:bottom w:w="0" w:type="dxa"/>
          <w:right w:w="0" w:type="dxa"/>
        </w:tblCellMar>
      </w:tblPr>
      <w:tblGrid>
        <w:gridCol w:w="763"/>
        <w:gridCol w:w="1173"/>
        <w:gridCol w:w="1364"/>
        <w:gridCol w:w="1922"/>
        <w:gridCol w:w="2346"/>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479"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8"/>
                <w:szCs w:val="28"/>
                <w:lang w:eastAsia="zh-CN"/>
              </w:rPr>
              <w:t>人事代理和移交教师退休人员待遇补差</w:t>
            </w:r>
          </w:p>
        </w:tc>
      </w:tr>
      <w:tr>
        <w:tblPrEx>
          <w:tblLayout w:type="fixed"/>
          <w:tblCellMar>
            <w:top w:w="0" w:type="dxa"/>
            <w:left w:w="0" w:type="dxa"/>
            <w:bottom w:w="0" w:type="dxa"/>
            <w:right w:w="0" w:type="dxa"/>
          </w:tblCellMar>
        </w:tblPrEx>
        <w:trPr>
          <w:trHeight w:val="276" w:hRule="atLeast"/>
        </w:trPr>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6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利州区人社局</w:t>
            </w: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439.8</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439.8</w:t>
            </w:r>
          </w:p>
        </w:tc>
      </w:tr>
      <w:tr>
        <w:tblPrEx>
          <w:tblLayout w:type="fixed"/>
          <w:tblCellMar>
            <w:top w:w="0" w:type="dxa"/>
            <w:left w:w="0" w:type="dxa"/>
            <w:bottom w:w="0" w:type="dxa"/>
            <w:right w:w="0" w:type="dxa"/>
          </w:tblCellMar>
        </w:tblPrEx>
        <w:trPr>
          <w:trHeight w:val="276"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439.8</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439.8</w:t>
            </w:r>
          </w:p>
        </w:tc>
      </w:tr>
      <w:tr>
        <w:tblPrEx>
          <w:tblLayout w:type="fixed"/>
          <w:tblCellMar>
            <w:top w:w="0" w:type="dxa"/>
            <w:left w:w="0" w:type="dxa"/>
            <w:bottom w:w="0" w:type="dxa"/>
            <w:right w:w="0" w:type="dxa"/>
          </w:tblCellMar>
        </w:tblPrEx>
        <w:trPr>
          <w:trHeight w:val="43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74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cs="宋体"/>
                <w:color w:val="000000"/>
                <w:sz w:val="24"/>
              </w:rPr>
            </w:pPr>
          </w:p>
          <w:p>
            <w:pPr>
              <w:widowControl/>
              <w:jc w:val="both"/>
              <w:textAlignment w:val="center"/>
              <w:rPr>
                <w:rFonts w:ascii="宋体" w:hAnsi="宋体" w:cs="宋体"/>
                <w:color w:val="000000"/>
                <w:sz w:val="24"/>
              </w:rPr>
            </w:pPr>
            <w:r>
              <w:rPr>
                <w:rFonts w:hint="eastAsia" w:ascii="宋体" w:hAnsi="宋体" w:cs="宋体"/>
                <w:color w:val="000000"/>
                <w:sz w:val="24"/>
              </w:rPr>
              <w:t>为化解历史遗留问题，积极衔接协调财政、社保对移交教师、人事代理等人员的待遇补差，确保社会的和谐稳定。</w:t>
            </w:r>
          </w:p>
        </w:tc>
        <w:tc>
          <w:tcPr>
            <w:tcW w:w="47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保证了</w:t>
            </w:r>
            <w:r>
              <w:rPr>
                <w:rFonts w:hint="eastAsia" w:ascii="宋体" w:hAnsi="宋体" w:cs="宋体"/>
                <w:color w:val="000000"/>
                <w:sz w:val="24"/>
                <w:lang w:val="en-US" w:eastAsia="zh-CN"/>
              </w:rPr>
              <w:t>2018年人事代理人员工资发放</w:t>
            </w:r>
          </w:p>
        </w:tc>
      </w:tr>
      <w:tr>
        <w:tblPrEx>
          <w:tblLayout w:type="fixed"/>
          <w:tblCellMar>
            <w:top w:w="0" w:type="dxa"/>
            <w:left w:w="0" w:type="dxa"/>
            <w:bottom w:w="0" w:type="dxa"/>
            <w:right w:w="0" w:type="dxa"/>
          </w:tblCellMar>
        </w:tblPrEx>
        <w:trPr>
          <w:trHeight w:val="842"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56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享受人数</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287人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287人</w:t>
            </w:r>
          </w:p>
        </w:tc>
      </w:tr>
      <w:tr>
        <w:tblPrEx>
          <w:tblLayout w:type="fixed"/>
          <w:tblCellMar>
            <w:top w:w="0" w:type="dxa"/>
            <w:left w:w="0" w:type="dxa"/>
            <w:bottom w:w="0" w:type="dxa"/>
            <w:right w:w="0" w:type="dxa"/>
          </w:tblCellMar>
        </w:tblPrEx>
        <w:trPr>
          <w:trHeight w:val="99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保证享受人员工资正常发放</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已完成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已完成</w:t>
            </w:r>
          </w:p>
        </w:tc>
      </w:tr>
      <w:tr>
        <w:tblPrEx>
          <w:tblLayout w:type="fixed"/>
          <w:tblCellMar>
            <w:top w:w="0" w:type="dxa"/>
            <w:left w:w="0" w:type="dxa"/>
            <w:bottom w:w="0" w:type="dxa"/>
            <w:right w:w="0" w:type="dxa"/>
          </w:tblCellMar>
        </w:tblPrEx>
        <w:trPr>
          <w:trHeight w:val="678"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201</w:t>
            </w:r>
            <w:r>
              <w:rPr>
                <w:rFonts w:hint="eastAsia" w:ascii="宋体" w:hAnsi="宋体" w:cs="宋体"/>
                <w:color w:val="000000"/>
                <w:sz w:val="24"/>
                <w:lang w:val="en-US" w:eastAsia="zh-CN"/>
              </w:rPr>
              <w:t>8</w:t>
            </w:r>
            <w:r>
              <w:rPr>
                <w:rFonts w:hint="eastAsia" w:ascii="宋体" w:hAnsi="宋体" w:cs="宋体"/>
                <w:color w:val="000000"/>
                <w:sz w:val="24"/>
                <w:lang w:eastAsia="zh-CN"/>
              </w:rPr>
              <w:t>年1月至12月</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本年度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本年度</w:t>
            </w:r>
          </w:p>
        </w:tc>
      </w:tr>
      <w:tr>
        <w:tblPrEx>
          <w:tblLayout w:type="fixed"/>
          <w:tblCellMar>
            <w:top w:w="0" w:type="dxa"/>
            <w:left w:w="0" w:type="dxa"/>
            <w:bottom w:w="0" w:type="dxa"/>
            <w:right w:w="0" w:type="dxa"/>
          </w:tblCellMar>
        </w:tblPrEx>
        <w:trPr>
          <w:trHeight w:val="842"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专款专用</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微软雅黑" w:cs="宋体"/>
                <w:color w:val="000000"/>
                <w:sz w:val="24"/>
                <w:lang w:val="en-US" w:eastAsia="zh-CN"/>
              </w:rPr>
            </w:pPr>
            <w:r>
              <w:rPr>
                <w:rFonts w:hint="eastAsia" w:ascii="宋体" w:hAnsi="宋体" w:cs="宋体"/>
                <w:color w:val="000000"/>
                <w:sz w:val="24"/>
                <w:lang w:val="en-US" w:eastAsia="zh-CN"/>
              </w:rPr>
              <w:t>≤439.8万元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439.8万元</w:t>
            </w:r>
          </w:p>
        </w:tc>
      </w:tr>
      <w:tr>
        <w:tblPrEx>
          <w:tblLayout w:type="fixed"/>
          <w:tblCellMar>
            <w:top w:w="0" w:type="dxa"/>
            <w:left w:w="0" w:type="dxa"/>
            <w:bottom w:w="0" w:type="dxa"/>
            <w:right w:w="0" w:type="dxa"/>
          </w:tblCellMar>
        </w:tblPrEx>
        <w:trPr>
          <w:trHeight w:val="829"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hint="eastAsia"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对移交教师、人事代理等人员的待遇补差</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长期</w:t>
            </w:r>
          </w:p>
        </w:tc>
      </w:tr>
      <w:tr>
        <w:tblPrEx>
          <w:tblLayout w:type="fixed"/>
          <w:tblCellMar>
            <w:top w:w="0" w:type="dxa"/>
            <w:left w:w="0" w:type="dxa"/>
            <w:bottom w:w="0" w:type="dxa"/>
            <w:right w:w="0" w:type="dxa"/>
          </w:tblCellMar>
        </w:tblPrEx>
        <w:trPr>
          <w:trHeight w:val="74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保障社会稳定和谐</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r>
      <w:tr>
        <w:tblPrEx>
          <w:tblLayout w:type="fixed"/>
          <w:tblCellMar>
            <w:top w:w="0" w:type="dxa"/>
            <w:left w:w="0" w:type="dxa"/>
            <w:bottom w:w="0" w:type="dxa"/>
            <w:right w:w="0" w:type="dxa"/>
          </w:tblCellMar>
        </w:tblPrEx>
        <w:trPr>
          <w:trHeight w:val="83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5"/>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利州区人社局</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劳动监察办案经费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“军转干部解困资金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自主择业军转干部医疗费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“劳动人事仲裁办案经费”“人事代理和移交教师退休人员待遇补差”</w:t>
      </w:r>
      <w:r>
        <w:rPr>
          <w:rFonts w:hint="eastAsia" w:ascii="仿宋_GB2312" w:hAnsi="仿宋_GB2312" w:eastAsia="仿宋_GB2312" w:cs="仿宋_GB2312"/>
          <w:sz w:val="32"/>
          <w:szCs w:val="32"/>
        </w:rPr>
        <w:t>开展了绩效评价，《项目2018年绩效评价报告》见附件。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利州区人社局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2537.49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48.79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1.96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2018年新农合合并医保局，人员增加，机关运行经费增加。</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利州区人社局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利州区人社局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6"/>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一般公共服务（类）人力资源服务（款）军队转业干部安置（项）: 反映企业军转干部和自主择业军转干部支出</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.一般公共服务（类）人力资源服务（款） 其他人力资源事务支出（项）: 反映村官、三支一扶等其他人力资源项目。</w:t>
      </w:r>
    </w:p>
    <w:p>
      <w:pPr>
        <w:spacing w:line="60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.社会保障和就业支出（类）人力资源和社会保障管理事务（款）行政运行（项）: 反映行政单位的基本支出。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12.社会保障和就业支出（类）人力资源和社会保障管理事务（款）一般行政管理事务（项）: 反映行政单位未单独设置项级科目的其他项目支出。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13.社会保障和就业支出（类）人力资源和社会保障管理事务（款）综合业务管理（项）: 反映人力资源和社会保障管理方面综合性管理事务支出。</w:t>
      </w:r>
    </w:p>
    <w:p>
      <w:pPr>
        <w:spacing w:line="600" w:lineRule="exact"/>
        <w:ind w:firstLine="64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.社会保障和就业支出（类）人力资源和社会保障管理事务（款）劳动保障监察（项）: 反映劳动保障监察事务支出。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15.社会保障和就业支出（类）人力资源和社会保障管理事务（款）就业管理事务（项）:反映就业和职业技能鉴定管理方面的支出。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社会保障和就业支出（类）人力资源和社会保障管理事务（款）信息化建设（项）:反映人力资源和社会保障部门用于信息化建设、运行维护和数据分析等方面的支出，如金保工程、社会保障卡建设和运行维护、人力资源市场信息化等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17.社会保障和就业支出（类）人力资源和社会保障管理事务（款）社会保险经办机构（项）: 反映社会保险经办机构开展业务工作的支出。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18.社会保障和就业支出（类）行政事业单位离退休（款）机关事业单位基本养老保险缴费支出（项）:反映机关事业单位实施养老保险制度由单位缴纳的基本养老保险费支出。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19.社会保障和就业支出（类）就业补助（款）其他就业补助支出（项）: 反映除上述项目以外按规定确定的其他用于促进就业的补助支出。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20.社会保障和就业支出（类）抚恤（款）死亡抚恤（项）: 反映按规定用于烈士和牺牲、病故人员家属的一次性和定期抚恤金以及丧葬补助费。</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21.医疗卫生与计划生育支出（类）行政事业单位医疗（款）行政单位医疗（项）: 反映财政部门集中安排的行政单位基本养老保险缴费经费，未参加医疗保险的行政单位的公费医疗经费，按国家规定享受离休人员、红军老战士待遇人员的医疗经费。</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22.医疗卫生与计划生育支出（类）优抚对象医疗（款）  优抚对象医疗补助（项）:反映按规定补助优抚对象的医疗经费。</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23.农林水支出（类）扶贫（款）社会发展（项）: 反映用于农村贫困地区中小学教育、文化、广播、电视、医疗、卫生等反面的项目支出。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24.农林水支出（类）扶贫（款）其他扶贫支出（项）: 反映除上述项目以外其他用于扶贫方面的支出。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25.农林水支出（类）普惠金融发展支出（款）创业担保贷款贴息（项）: 反映财政用于符合条件的人员从事微利项目创业担保贷款的贴息支出。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sz w:val="32"/>
          <w:szCs w:val="32"/>
        </w:rPr>
      </w:pP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center"/>
        <w:outlineLvl w:val="0"/>
        <w:rPr>
          <w:rStyle w:val="26"/>
        </w:rPr>
      </w:pPr>
    </w:p>
    <w:p>
      <w:pPr>
        <w:pStyle w:val="5"/>
        <w:rPr>
          <w:rStyle w:val="26"/>
          <w:rFonts w:ascii="仿宋" w:hAnsi="仿宋" w:eastAsia="仿宋"/>
          <w:b w:val="0"/>
          <w:bCs w:val="0"/>
          <w:sz w:val="32"/>
          <w:szCs w:val="32"/>
        </w:rPr>
      </w:pPr>
      <w:bookmarkStart w:id="59" w:name="_Toc15396615"/>
      <w:r>
        <w:rPr>
          <w:rStyle w:val="26"/>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利州区人社局</w:t>
      </w:r>
      <w:r>
        <w:rPr>
          <w:rFonts w:hint="eastAsia" w:ascii="黑体" w:hAnsi="黑体" w:eastAsia="黑体" w:cs="方正小标宋简体"/>
          <w:sz w:val="36"/>
          <w:szCs w:val="36"/>
        </w:rPr>
        <w:t>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eastAsia="zh-CN"/>
        </w:rPr>
        <w:t>利州区人社局</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下属</w:t>
      </w:r>
      <w:r>
        <w:rPr>
          <w:rFonts w:hint="eastAsia" w:ascii="仿宋_GB2312" w:hAnsi="仿宋_GB2312" w:eastAsia="仿宋_GB2312" w:cs="仿宋_GB2312"/>
          <w:sz w:val="32"/>
          <w:szCs w:val="32"/>
        </w:rPr>
        <w:t>参照公务员法管理的事业单位</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2"/>
      </w:pP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w:t>
      </w:r>
      <w:r>
        <w:rPr>
          <w:rFonts w:hint="eastAsia" w:ascii="仿宋_GB2312" w:eastAsia="仿宋_GB2312"/>
          <w:sz w:val="32"/>
          <w:szCs w:val="32"/>
        </w:rPr>
        <w:t>贯彻执行国家人力资源和社会保障工作的相关法律、法规、规章和政策，拟订全区人力资源和社会保障事业发展规划、政策规定并组织实施和监督检查。</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（2）</w:t>
      </w:r>
      <w:r>
        <w:rPr>
          <w:rFonts w:hint="eastAsia" w:ascii="仿宋_GB2312" w:eastAsia="仿宋_GB2312"/>
          <w:sz w:val="32"/>
          <w:szCs w:val="32"/>
          <w:lang w:val="en-US" w:eastAsia="zh-CN"/>
        </w:rPr>
        <w:t>、</w:t>
      </w:r>
      <w:r>
        <w:rPr>
          <w:rFonts w:hint="eastAsia" w:ascii="仿宋_GB2312" w:eastAsia="仿宋_GB2312"/>
          <w:sz w:val="32"/>
          <w:szCs w:val="32"/>
        </w:rPr>
        <w:t>拟订全区人力资源市场发展规划和人力资源流动政策并组织实施，建立全区统一规范的人力资源市场，促进人力资源合理流动、有效配置。</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（3）</w:t>
      </w:r>
      <w:r>
        <w:rPr>
          <w:rFonts w:hint="eastAsia" w:ascii="仿宋_GB2312" w:eastAsia="仿宋_GB2312"/>
          <w:sz w:val="32"/>
          <w:szCs w:val="32"/>
          <w:lang w:val="en-US" w:eastAsia="zh-CN"/>
        </w:rPr>
        <w:t>、</w:t>
      </w:r>
      <w:r>
        <w:rPr>
          <w:rFonts w:hint="eastAsia" w:ascii="仿宋_GB2312" w:eastAsia="仿宋_GB2312"/>
          <w:sz w:val="32"/>
          <w:szCs w:val="32"/>
        </w:rPr>
        <w:t>负责促进就业工作。拟订统筹城乡的就业发展规划和政策，完善公共就业服务体系，拟订并组织落实创业、就业援助制度，完善职业资格制度，统筹建立面向城乡劳动者的职业培训制度，牵头实施高校毕业生就业政策，会同有关部门实施高技能人才、农村实用人才培养和激励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（4）</w:t>
      </w:r>
      <w:r>
        <w:rPr>
          <w:rFonts w:hint="eastAsia" w:ascii="仿宋_GB2312" w:eastAsia="仿宋_GB2312"/>
          <w:sz w:val="32"/>
          <w:szCs w:val="32"/>
          <w:lang w:val="en-US" w:eastAsia="zh-CN"/>
        </w:rPr>
        <w:t>、</w:t>
      </w:r>
      <w:r>
        <w:rPr>
          <w:rFonts w:hint="eastAsia" w:ascii="仿宋_GB2312" w:eastAsia="仿宋_GB2312"/>
          <w:sz w:val="32"/>
          <w:szCs w:val="32"/>
        </w:rPr>
        <w:t>统筹建立覆盖城乡的社会保障体系。贯彻执行全区城乡居民社会保险及其补充保险政策和标准，贯彻执行全国统一的社会保险关系转续办法，贯彻执行机关企事业单位基本养老保险政策并逐步提高基金统筹层次。会同有关部门拟订社会保险及其补充保险基金管理和监督办法，编制全区社会保险基金预决算草案，参与制定全区社会保障基金投资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（5）</w:t>
      </w:r>
      <w:r>
        <w:rPr>
          <w:rFonts w:hint="eastAsia" w:ascii="仿宋_GB2312" w:eastAsia="仿宋_GB2312"/>
          <w:sz w:val="32"/>
          <w:szCs w:val="32"/>
          <w:lang w:val="en-US" w:eastAsia="zh-CN"/>
        </w:rPr>
        <w:t>、</w:t>
      </w:r>
      <w:r>
        <w:rPr>
          <w:rFonts w:hint="eastAsia" w:ascii="仿宋_GB2312" w:eastAsia="仿宋_GB2312"/>
          <w:sz w:val="32"/>
          <w:szCs w:val="32"/>
        </w:rPr>
        <w:t>负责就业、失业、社会保险基金预测预警和信息引导，拟订应对预案，实施预防、调节和控制，保持就业形势稳定和社会保险基金总体收支平衡。</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（6）</w:t>
      </w:r>
      <w:r>
        <w:rPr>
          <w:rFonts w:hint="eastAsia" w:ascii="仿宋_GB2312" w:eastAsia="仿宋_GB2312"/>
          <w:sz w:val="32"/>
          <w:szCs w:val="32"/>
          <w:lang w:val="en-US" w:eastAsia="zh-CN"/>
        </w:rPr>
        <w:t>、</w:t>
      </w:r>
      <w:r>
        <w:rPr>
          <w:rFonts w:hint="eastAsia" w:ascii="仿宋_GB2312" w:eastAsia="仿宋_GB2312"/>
          <w:sz w:val="32"/>
          <w:szCs w:val="32"/>
        </w:rPr>
        <w:t>贯彻执行机关、事业单位人员工资收入分配政策和企业职工工资收入分配调控政策，建立机关企事业单位人员工资正常增长和支付保障机制，贯彻执行机关企事业单位人员福利和有关离退休政策。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（7）</w:t>
      </w:r>
      <w:r>
        <w:rPr>
          <w:rFonts w:hint="eastAsia" w:ascii="仿宋_GB2312" w:eastAsia="仿宋_GB2312"/>
          <w:sz w:val="32"/>
          <w:szCs w:val="32"/>
          <w:lang w:val="en-US" w:eastAsia="zh-CN"/>
        </w:rPr>
        <w:t>、</w:t>
      </w:r>
      <w:r>
        <w:rPr>
          <w:rFonts w:hint="eastAsia" w:ascii="仿宋_GB2312" w:eastAsia="仿宋_GB2312"/>
          <w:sz w:val="32"/>
          <w:szCs w:val="32"/>
        </w:rPr>
        <w:t>会同有关部门指导事业单位人事制度改革，拟订事业单位人员和机关工勤人员管理政策，参与人才管理工作，落实专业技术人员管理和继续教育政策，牵头推进深化职称制度改革工作，负责高层次专业技术人才选拔和培养工作，拟订吸引国（境）外专家、留学人员来利州区（回利州区）工作或定居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（8）</w:t>
      </w:r>
      <w:r>
        <w:rPr>
          <w:rFonts w:hint="eastAsia" w:ascii="仿宋_GB2312" w:eastAsia="仿宋_GB2312"/>
          <w:sz w:val="32"/>
          <w:szCs w:val="32"/>
          <w:lang w:val="en-US" w:eastAsia="zh-CN"/>
        </w:rPr>
        <w:t>、</w:t>
      </w:r>
      <w:r>
        <w:rPr>
          <w:rFonts w:hint="eastAsia" w:ascii="仿宋_GB2312" w:eastAsia="仿宋_GB2312"/>
          <w:sz w:val="32"/>
          <w:szCs w:val="32"/>
        </w:rPr>
        <w:t>贯彻执行军队转业干部安置政策，拟订军队转业干部安置计划，负责军队转业干部教育培训工作，贯彻执行企业军队转业干部解困和稳定政策，负责自主择业军队转业干部管理服务工作。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（9）</w:t>
      </w:r>
      <w:r>
        <w:rPr>
          <w:rFonts w:hint="eastAsia" w:ascii="仿宋_GB2312" w:eastAsia="仿宋_GB2312"/>
          <w:sz w:val="32"/>
          <w:szCs w:val="32"/>
          <w:lang w:val="en-US" w:eastAsia="zh-CN"/>
        </w:rPr>
        <w:t>、</w:t>
      </w:r>
      <w:r>
        <w:rPr>
          <w:rFonts w:hint="eastAsia" w:ascii="仿宋_GB2312" w:eastAsia="仿宋_GB2312"/>
          <w:sz w:val="32"/>
          <w:szCs w:val="32"/>
        </w:rPr>
        <w:t>贯彻执行国家有关公务员分类、录用、考核、奖惩、任用、交流、培训、辞退等法律、法规、规章和政策；贯彻执行事业单位工作人员参照《公务员法》管理和聘任制公务员管理的具体办法；负责行政机关公务员综合管理，贯彻执行有关人员调配政策和特殊人员安置政策。</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（10）</w:t>
      </w:r>
      <w:r>
        <w:rPr>
          <w:rFonts w:hint="eastAsia" w:ascii="仿宋_GB2312" w:eastAsia="仿宋_GB2312"/>
          <w:sz w:val="32"/>
          <w:szCs w:val="32"/>
          <w:lang w:val="en-US" w:eastAsia="zh-CN"/>
        </w:rPr>
        <w:t>、</w:t>
      </w:r>
      <w:r>
        <w:rPr>
          <w:rFonts w:hint="eastAsia" w:ascii="仿宋_GB2312" w:eastAsia="仿宋_GB2312"/>
          <w:sz w:val="32"/>
          <w:szCs w:val="32"/>
        </w:rPr>
        <w:t>贯彻落实公务员行为规范、职业道德建设和能力建设政策，组织实施公务员职位分类标准和管理办法，依法对公务员实施监督，负责公务员信息统计管理工作。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（11）</w:t>
      </w:r>
      <w:r>
        <w:rPr>
          <w:rFonts w:hint="eastAsia" w:ascii="仿宋_GB2312" w:eastAsia="仿宋_GB2312"/>
          <w:sz w:val="32"/>
          <w:szCs w:val="32"/>
          <w:lang w:val="en-US" w:eastAsia="zh-CN"/>
        </w:rPr>
        <w:t>、</w:t>
      </w:r>
      <w:r>
        <w:rPr>
          <w:rFonts w:hint="eastAsia" w:ascii="仿宋_GB2312" w:eastAsia="仿宋_GB2312"/>
          <w:sz w:val="32"/>
          <w:szCs w:val="32"/>
        </w:rPr>
        <w:t>组织实施全区机关公务员、参照《公务员法》管理单位工作人员的考试录用的申报、体检、考核、审核、报批等工作。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（12）</w:t>
      </w:r>
      <w:r>
        <w:rPr>
          <w:rFonts w:hint="eastAsia" w:ascii="仿宋_GB2312" w:eastAsia="仿宋_GB2312"/>
          <w:sz w:val="32"/>
          <w:szCs w:val="32"/>
          <w:lang w:val="en-US" w:eastAsia="zh-CN"/>
        </w:rPr>
        <w:t>、</w:t>
      </w:r>
      <w:r>
        <w:rPr>
          <w:rFonts w:hint="eastAsia" w:ascii="仿宋_GB2312" w:eastAsia="仿宋_GB2312"/>
          <w:sz w:val="32"/>
          <w:szCs w:val="32"/>
        </w:rPr>
        <w:t>拟订全区公务员培训规划、计划和标准，负责组织区级机关公务员培训工作。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（13）</w:t>
      </w:r>
      <w:r>
        <w:rPr>
          <w:rFonts w:hint="eastAsia" w:ascii="仿宋_GB2312" w:eastAsia="仿宋_GB2312"/>
          <w:sz w:val="32"/>
          <w:szCs w:val="32"/>
          <w:lang w:val="en-US" w:eastAsia="zh-CN"/>
        </w:rPr>
        <w:t>、</w:t>
      </w:r>
      <w:r>
        <w:rPr>
          <w:rFonts w:hint="eastAsia" w:ascii="仿宋_GB2312" w:eastAsia="仿宋_GB2312"/>
          <w:sz w:val="32"/>
          <w:szCs w:val="32"/>
        </w:rPr>
        <w:t>贯彻执行公务员申诉控告制度和聘任制公务员人事争议仲裁制度，保障公务员合法权益。</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（14）</w:t>
      </w:r>
      <w:r>
        <w:rPr>
          <w:rFonts w:hint="eastAsia" w:ascii="仿宋_GB2312" w:eastAsia="仿宋_GB2312"/>
          <w:sz w:val="32"/>
          <w:szCs w:val="32"/>
          <w:lang w:val="en-US" w:eastAsia="zh-CN"/>
        </w:rPr>
        <w:t>、</w:t>
      </w:r>
      <w:r>
        <w:rPr>
          <w:rFonts w:hint="eastAsia" w:ascii="仿宋_GB2312" w:eastAsia="仿宋_GB2312"/>
          <w:sz w:val="32"/>
          <w:szCs w:val="32"/>
        </w:rPr>
        <w:t xml:space="preserve">综合管理政府奖励表彰工作，实施国家荣誉制度、政府奖励制度，组织实施以区政府名义奖励表彰的活动，审核区级各部门（单位）的全区性评选表彰工作方案和表彰对象。 </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（15）</w:t>
      </w:r>
      <w:r>
        <w:rPr>
          <w:rFonts w:hint="eastAsia" w:ascii="仿宋_GB2312" w:eastAsia="仿宋_GB2312"/>
          <w:sz w:val="32"/>
          <w:szCs w:val="32"/>
          <w:lang w:val="en-US" w:eastAsia="zh-CN"/>
        </w:rPr>
        <w:t>、</w:t>
      </w:r>
      <w:r>
        <w:rPr>
          <w:rFonts w:hint="eastAsia" w:ascii="仿宋_GB2312" w:eastAsia="仿宋_GB2312"/>
          <w:sz w:val="32"/>
          <w:szCs w:val="32"/>
        </w:rPr>
        <w:t>承办提请区人大常委会和区政府决定的人事任免事项。</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（16）</w:t>
      </w:r>
      <w:r>
        <w:rPr>
          <w:rFonts w:hint="eastAsia" w:ascii="仿宋_GB2312" w:eastAsia="仿宋_GB2312"/>
          <w:sz w:val="32"/>
          <w:szCs w:val="32"/>
          <w:lang w:val="en-US" w:eastAsia="zh-CN"/>
        </w:rPr>
        <w:t>、</w:t>
      </w:r>
      <w:r>
        <w:rPr>
          <w:rFonts w:hint="eastAsia" w:ascii="仿宋_GB2312" w:eastAsia="仿宋_GB2312"/>
          <w:sz w:val="32"/>
          <w:szCs w:val="32"/>
        </w:rPr>
        <w:t>贯彻执行劳务开发及农民工工作相关政策，协调解决重点难点问题，维护农民工合法权益。</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（17）</w:t>
      </w:r>
      <w:r>
        <w:rPr>
          <w:rFonts w:hint="eastAsia" w:ascii="仿宋_GB2312" w:eastAsia="仿宋_GB2312"/>
          <w:sz w:val="32"/>
          <w:szCs w:val="32"/>
          <w:lang w:val="en-US" w:eastAsia="zh-CN"/>
        </w:rPr>
        <w:t>、</w:t>
      </w:r>
      <w:r>
        <w:rPr>
          <w:rFonts w:hint="eastAsia" w:ascii="仿宋_GB2312" w:eastAsia="仿宋_GB2312"/>
          <w:sz w:val="32"/>
          <w:szCs w:val="32"/>
        </w:rPr>
        <w:t>统筹拟订劳动、人事争议调解仲裁制度和劳动关系政策，完善劳动关系协调机制，拟订消除非法使用童工政策和女工、未成年工的特殊劳动保护政策，组织实施劳动监察，协调劳动者维权工作，依法查处重大案件。</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（18）</w:t>
      </w:r>
      <w:r>
        <w:rPr>
          <w:rFonts w:hint="eastAsia" w:ascii="仿宋_GB2312" w:eastAsia="仿宋_GB2312"/>
          <w:sz w:val="32"/>
          <w:szCs w:val="32"/>
          <w:lang w:val="en-US" w:eastAsia="zh-CN"/>
        </w:rPr>
        <w:t>、</w:t>
      </w:r>
      <w:r>
        <w:rPr>
          <w:rFonts w:hint="eastAsia" w:ascii="仿宋_GB2312" w:eastAsia="仿宋_GB2312"/>
          <w:sz w:val="32"/>
          <w:szCs w:val="32"/>
        </w:rPr>
        <w:t>负责国（境）外人才、智力引进以及人力资源和社会保障领域的国际交流与合作，负责相关涉外业务技术合作和人才交流，负责出国（境）培训工作。</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（19）</w:t>
      </w:r>
      <w:r>
        <w:rPr>
          <w:rFonts w:hint="eastAsia" w:ascii="仿宋_GB2312" w:eastAsia="仿宋_GB2312"/>
          <w:sz w:val="32"/>
          <w:szCs w:val="32"/>
          <w:lang w:val="en-US" w:eastAsia="zh-CN"/>
        </w:rPr>
        <w:t>、</w:t>
      </w:r>
      <w:r>
        <w:rPr>
          <w:rFonts w:hint="eastAsia" w:ascii="仿宋_GB2312" w:eastAsia="仿宋_GB2312"/>
          <w:sz w:val="32"/>
          <w:szCs w:val="32"/>
        </w:rPr>
        <w:t>承担区政府公布的有关行政审批事项。</w:t>
      </w:r>
    </w:p>
    <w:p>
      <w:pPr>
        <w:spacing w:line="560" w:lineRule="exact"/>
        <w:ind w:firstLine="640" w:firstLineChars="200"/>
        <w:rPr>
          <w:rFonts w:hint="eastAsia" w:ascii="仿宋_GB2312" w:eastAsia="仿宋_GB2312"/>
          <w:sz w:val="32"/>
          <w:szCs w:val="32"/>
        </w:rPr>
      </w:pPr>
      <w:r>
        <w:rPr>
          <w:rFonts w:hint="eastAsia" w:eastAsia="仿宋_GB2312"/>
          <w:bCs/>
          <w:color w:val="000000"/>
          <w:sz w:val="32"/>
          <w:szCs w:val="32"/>
          <w:lang w:val="en-US" w:eastAsia="zh-CN"/>
        </w:rPr>
        <w:t>（20）</w:t>
      </w:r>
      <w:r>
        <w:rPr>
          <w:rFonts w:hint="eastAsia" w:ascii="仿宋_GB2312" w:eastAsia="仿宋_GB2312"/>
          <w:sz w:val="32"/>
          <w:szCs w:val="32"/>
          <w:lang w:val="en-US" w:eastAsia="zh-CN"/>
        </w:rPr>
        <w:t>、</w:t>
      </w:r>
      <w:r>
        <w:rPr>
          <w:rFonts w:hint="eastAsia" w:ascii="仿宋_GB2312" w:eastAsia="仿宋_GB2312"/>
          <w:sz w:val="32"/>
          <w:szCs w:val="32"/>
        </w:rPr>
        <w:t>承办区政府交办的其他事项。</w:t>
      </w:r>
    </w:p>
    <w:p>
      <w:pPr>
        <w:numPr>
          <w:ilvl w:val="0"/>
          <w:numId w:val="0"/>
        </w:numPr>
        <w:spacing w:line="580" w:lineRule="exact"/>
        <w:rPr>
          <w:rFonts w:ascii="仿宋" w:hAnsi="仿宋" w:eastAsia="仿宋" w:cs="仿宋_GB2312"/>
          <w:sz w:val="32"/>
          <w:szCs w:val="32"/>
        </w:rPr>
      </w:pP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hint="eastAsia" w:ascii="仿宋_GB2312" w:hAnsi="仿宋_GB2312" w:eastAsia="仿宋_GB2312" w:cs="仿宋_GB2312"/>
          <w:sz w:val="30"/>
          <w:szCs w:val="30"/>
          <w:lang w:val="en-US" w:eastAsia="zh-CN"/>
        </w:rPr>
        <w:t>全局共有编制176人，其中18个行政编、57个参公编、96个事业编、1个工勤编、4个控编；实有在职职工166人，其中行政人员17人、工勤人员1人、参公人员48人、全额事业人员96人、控编人员4人。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000000"/>
          <w:sz w:val="32"/>
          <w:szCs w:val="32"/>
        </w:rPr>
        <w:t>2018年本年收入合计</w:t>
      </w:r>
      <w:r>
        <w:rPr>
          <w:rFonts w:hint="eastAsia" w:ascii="仿宋_GB2312" w:hAnsi="仿宋_GB2312" w:eastAsia="仿宋_GB2312" w:cs="仿宋_GB2312"/>
          <w:color w:val="000000"/>
          <w:sz w:val="32"/>
          <w:szCs w:val="32"/>
          <w:lang w:val="en-US" w:eastAsia="zh-CN"/>
        </w:rPr>
        <w:t>3945.16</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3854.6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其他收入</w:t>
      </w:r>
      <w:r>
        <w:rPr>
          <w:rFonts w:hint="eastAsia" w:ascii="仿宋_GB2312" w:hAnsi="仿宋_GB2312" w:eastAsia="仿宋_GB2312" w:cs="仿宋_GB2312"/>
          <w:color w:val="000000"/>
          <w:sz w:val="32"/>
          <w:szCs w:val="32"/>
          <w:lang w:val="en-US" w:eastAsia="zh-CN"/>
        </w:rPr>
        <w:t>90.56万元，占2%。</w:t>
      </w: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numPr>
          <w:ilvl w:val="0"/>
          <w:numId w:val="0"/>
        </w:numPr>
        <w:spacing w:line="580" w:lineRule="exact"/>
        <w:ind w:leftChars="200" w:firstLine="640" w:firstLineChars="200"/>
        <w:rPr>
          <w:rFonts w:ascii="仿宋" w:hAnsi="仿宋" w:eastAsia="仿宋" w:cs="仿宋_GB2312"/>
          <w:sz w:val="32"/>
          <w:szCs w:val="32"/>
        </w:rPr>
      </w:pPr>
      <w:r>
        <w:rPr>
          <w:rFonts w:hint="eastAsia" w:ascii="仿宋_GB2312" w:hAnsi="仿宋_GB2312" w:eastAsia="仿宋_GB2312" w:cs="仿宋_GB2312"/>
          <w:color w:val="000000"/>
          <w:sz w:val="32"/>
          <w:szCs w:val="32"/>
        </w:rPr>
        <w:t>2018年本年支出合计</w:t>
      </w:r>
      <w:r>
        <w:rPr>
          <w:rFonts w:hint="eastAsia" w:ascii="仿宋_GB2312" w:hAnsi="仿宋_GB2312" w:eastAsia="仿宋_GB2312" w:cs="仿宋_GB2312"/>
          <w:color w:val="000000"/>
          <w:sz w:val="32"/>
          <w:szCs w:val="32"/>
          <w:lang w:val="en-US" w:eastAsia="zh-CN"/>
        </w:rPr>
        <w:t>3712.4</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2364.03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64</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1248.36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numPr>
          <w:ilvl w:val="0"/>
          <w:numId w:val="0"/>
        </w:numPr>
        <w:spacing w:line="580" w:lineRule="exact"/>
        <w:ind w:left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018年</w:t>
      </w:r>
      <w:r>
        <w:rPr>
          <w:rFonts w:hint="eastAsia" w:ascii="仿宋_GB2312" w:hAnsi="仿宋_GB2312" w:eastAsia="仿宋_GB2312" w:cs="仿宋_GB2312"/>
          <w:color w:val="000000"/>
          <w:sz w:val="32"/>
          <w:szCs w:val="32"/>
          <w:lang w:eastAsia="zh-CN"/>
        </w:rPr>
        <w:t>利州区人社局</w:t>
      </w:r>
      <w:r>
        <w:rPr>
          <w:rFonts w:hint="eastAsia" w:ascii="仿宋_GB2312" w:hAnsi="仿宋_GB2312" w:eastAsia="仿宋_GB2312" w:cs="仿宋_GB2312"/>
          <w:color w:val="000000"/>
          <w:sz w:val="32"/>
          <w:szCs w:val="32"/>
        </w:rPr>
        <w:t>部门整体支出资金绩效评价总体良好，主要体现在：预算编制及时，认真执行各项财经纪律，财务管理内控制度健全，资金使用规范，无乱发津补贴、奖金现象。</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（二）专项预算管理。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局专项资金按照文件规定申请申报；所提交的文件、材料符合相关要求，事前经过了内部控制领导小组审核，分管财务领导审核、局长审批，并达到预期效果。同时，我局严格按照上级部门及本级财政专项工作资金的相关规定办法进行开支，做到专款专用，无挪用、占用、套取的现象发生。</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根据自评结果，2018年度部门整体预算绩效质量好，既保障了本单位职工正常办公和生活秩序，又顺利完成各项统计工作任务，严格履行法定职责，圆满完成了</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政府部署的工作任务，准确评价了各项指标的完成情况</w:t>
      </w:r>
      <w:r>
        <w:rPr>
          <w:rFonts w:hint="eastAsia" w:ascii="仿宋_GB2312" w:hAnsi="仿宋_GB2312" w:eastAsia="仿宋_GB2312" w:cs="仿宋_GB2312"/>
          <w:color w:val="000000"/>
          <w:sz w:val="32"/>
          <w:szCs w:val="32"/>
          <w:lang w:eastAsia="zh-CN"/>
        </w:rPr>
        <w:t>，群众满意度高。</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及时、准确、优质地完成了预算编制；预算执行情况良好，支出管理规范，资金管理制度较为完善，会计核算和账务处理规范，会计资料完整。</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（二）存在问题。</w:t>
      </w:r>
    </w:p>
    <w:p>
      <w:pPr>
        <w:spacing w:line="600" w:lineRule="exact"/>
        <w:ind w:firstLine="640" w:firstLineChars="200"/>
        <w:rPr>
          <w:rFonts w:hint="eastAsia" w:ascii="仿宋" w:hAnsi="仿宋" w:eastAsia="仿宋" w:cs="仿宋_GB2312"/>
          <w:sz w:val="32"/>
          <w:szCs w:val="32"/>
        </w:rPr>
      </w:pPr>
      <w:r>
        <w:rPr>
          <w:rFonts w:hint="eastAsia" w:ascii="仿宋_GB2312" w:hAnsi="仿宋_GB2312" w:eastAsia="仿宋_GB2312" w:cs="仿宋_GB2312"/>
          <w:color w:val="000000"/>
          <w:sz w:val="32"/>
          <w:szCs w:val="32"/>
        </w:rPr>
        <w:t>在资金使用计划上有待进一步加强,要进一步细化预算编制,编制范围尽可能全面，不漏项。进一步提高预算编制的科学性、合理性、严谨性和可控性。</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（三）改进建议。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加强预算编制的前瞻性，进一步优化预算编制，避免项目支出与基本支出划分不准或预算支出与实际执行出现较大偏差的情况，执行中确需调剂预算的，按规定程序报经批准。</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5"/>
        <w:rPr>
          <w:rFonts w:hint="default" w:ascii="黑体" w:hAnsi="黑体" w:eastAsia="仿宋" w:cs="方正小标宋简体"/>
          <w:b w:val="0"/>
          <w:bCs w:val="0"/>
          <w:kern w:val="2"/>
          <w:sz w:val="44"/>
          <w:szCs w:val="44"/>
          <w:lang w:val="en-US" w:eastAsia="zh-CN" w:bidi="ar-SA"/>
        </w:rPr>
      </w:pPr>
      <w:bookmarkStart w:id="61" w:name="_Toc15396617"/>
      <w:r>
        <w:rPr>
          <w:rStyle w:val="26"/>
          <w:rFonts w:hint="eastAsia" w:ascii="仿宋" w:hAnsi="仿宋" w:eastAsia="仿宋"/>
          <w:b w:val="0"/>
          <w:bCs w:val="0"/>
          <w:sz w:val="32"/>
          <w:szCs w:val="32"/>
        </w:rPr>
        <w:t>附件2</w:t>
      </w:r>
      <w:bookmarkEnd w:id="61"/>
      <w:r>
        <w:rPr>
          <w:rStyle w:val="26"/>
          <w:rFonts w:hint="eastAsia" w:ascii="仿宋" w:hAnsi="仿宋" w:eastAsia="仿宋"/>
          <w:b w:val="0"/>
          <w:bCs w:val="0"/>
          <w:sz w:val="32"/>
          <w:szCs w:val="32"/>
          <w:lang w:val="en-US" w:eastAsia="zh-CN"/>
        </w:rPr>
        <w:t>-1</w:t>
      </w:r>
    </w:p>
    <w:p>
      <w:pPr>
        <w:spacing w:line="580" w:lineRule="exact"/>
        <w:jc w:val="center"/>
        <w:rPr>
          <w:rFonts w:ascii="黑体" w:hAnsi="黑体" w:eastAsia="黑体" w:cs="方正小标宋简体"/>
          <w:sz w:val="44"/>
          <w:szCs w:val="44"/>
        </w:rPr>
      </w:pPr>
      <w:r>
        <w:rPr>
          <w:rFonts w:hint="eastAsia" w:ascii="黑体" w:hAnsi="黑体" w:eastAsia="黑体" w:cs="方正小标宋简体"/>
          <w:b w:val="0"/>
          <w:bCs w:val="0"/>
          <w:kern w:val="2"/>
          <w:sz w:val="44"/>
          <w:szCs w:val="44"/>
          <w:lang w:val="en-US" w:eastAsia="zh-CN" w:bidi="ar-SA"/>
        </w:rPr>
        <w:t>2018年劳动监察办案经费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劳动监察办案经费项目经费来源于财政拨款，该项目投资2万元，主要用于监察大队执法所发生的</w:t>
      </w:r>
      <w:r>
        <w:rPr>
          <w:rFonts w:hint="eastAsia" w:ascii="仿宋_GB2312" w:hAnsi="仿宋_GB2312" w:eastAsia="仿宋_GB2312" w:cs="仿宋_GB2312"/>
          <w:sz w:val="32"/>
          <w:szCs w:val="32"/>
        </w:rPr>
        <w:t>宣传费、办公设备购置费、工作服购买以及劳动监察日常办案开销</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（一）评价结论</w:t>
      </w:r>
      <w:r>
        <w:rPr>
          <w:rFonts w:hint="eastAsia" w:ascii="仿宋" w:hAnsi="仿宋" w:eastAsia="仿宋"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该项目严格按照年初制定的评价指标实施，按时保质保量完成项目，通过项目实施，保障了监察大队执法的专项开销。</w:t>
      </w:r>
      <w:r>
        <w:rPr>
          <w:rFonts w:hint="eastAsia" w:ascii="仿宋_GB2312" w:eastAsia="仿宋_GB2312"/>
          <w:sz w:val="32"/>
          <w:szCs w:val="32"/>
        </w:rPr>
        <w:t>该经费资金到位及时，支出合理合规，设立依据充分，并且目标明确，符合我</w:t>
      </w:r>
      <w:r>
        <w:rPr>
          <w:rFonts w:hint="eastAsia" w:ascii="仿宋_GB2312" w:eastAsia="仿宋_GB2312"/>
          <w:sz w:val="32"/>
          <w:szCs w:val="32"/>
          <w:lang w:eastAsia="zh-CN"/>
        </w:rPr>
        <w:t>局</w:t>
      </w:r>
      <w:r>
        <w:rPr>
          <w:rFonts w:hint="eastAsia" w:ascii="仿宋_GB2312" w:eastAsia="仿宋_GB2312"/>
          <w:sz w:val="32"/>
          <w:szCs w:val="32"/>
        </w:rPr>
        <w:t>要求。</w:t>
      </w:r>
    </w:p>
    <w:p>
      <w:pPr>
        <w:spacing w:line="580" w:lineRule="exact"/>
        <w:ind w:firstLine="960" w:firstLineChars="3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为提高工作质量和效率，明确规范管理、强化责任、稳中求进的指导思想，严格经费使用程序，加强监督管理。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2018年</w:t>
      </w:r>
      <w:r>
        <w:rPr>
          <w:rFonts w:hint="eastAsia" w:ascii="仿宋_GB2312" w:hAnsi="仿宋_GB2312" w:eastAsia="仿宋_GB2312" w:cs="仿宋_GB2312"/>
          <w:color w:val="000000"/>
          <w:sz w:val="32"/>
          <w:szCs w:val="32"/>
          <w:lang w:val="en-US" w:eastAsia="zh-CN"/>
        </w:rPr>
        <w:t>劳动监察办案经费项目</w:t>
      </w:r>
      <w:r>
        <w:rPr>
          <w:rFonts w:hint="eastAsia" w:ascii="仿宋_GB2312" w:eastAsia="仿宋_GB2312"/>
          <w:sz w:val="32"/>
          <w:szCs w:val="32"/>
        </w:rPr>
        <w:t>专项经费计划批复资金</w:t>
      </w:r>
      <w:r>
        <w:rPr>
          <w:rFonts w:hint="eastAsia" w:ascii="仿宋_GB2312" w:eastAsia="仿宋_GB2312"/>
          <w:sz w:val="32"/>
          <w:szCs w:val="32"/>
          <w:lang w:val="en-US" w:eastAsia="zh-CN"/>
        </w:rPr>
        <w:t>2</w:t>
      </w:r>
      <w:r>
        <w:rPr>
          <w:rFonts w:hint="eastAsia" w:ascii="仿宋_GB2312" w:eastAsia="仿宋_GB2312"/>
          <w:sz w:val="32"/>
          <w:szCs w:val="32"/>
        </w:rPr>
        <w:t>.00万元，实际到位资金</w:t>
      </w:r>
      <w:r>
        <w:rPr>
          <w:rFonts w:hint="eastAsia" w:ascii="仿宋_GB2312" w:eastAsia="仿宋_GB2312"/>
          <w:sz w:val="32"/>
          <w:szCs w:val="32"/>
          <w:lang w:val="en-US" w:eastAsia="zh-CN"/>
        </w:rPr>
        <w:t>2</w:t>
      </w:r>
      <w:r>
        <w:rPr>
          <w:rFonts w:hint="eastAsia" w:ascii="仿宋_GB2312" w:eastAsia="仿宋_GB2312"/>
          <w:sz w:val="32"/>
          <w:szCs w:val="32"/>
        </w:rPr>
        <w:t>.00万元，总共支出资金</w:t>
      </w:r>
      <w:r>
        <w:rPr>
          <w:rFonts w:hint="eastAsia" w:ascii="仿宋_GB2312" w:eastAsia="仿宋_GB2312"/>
          <w:sz w:val="32"/>
          <w:szCs w:val="32"/>
          <w:lang w:val="en-US" w:eastAsia="zh-CN"/>
        </w:rPr>
        <w:t>2</w:t>
      </w:r>
      <w:r>
        <w:rPr>
          <w:rFonts w:hint="eastAsia" w:ascii="仿宋_GB2312" w:eastAsia="仿宋_GB2312"/>
          <w:sz w:val="32"/>
          <w:szCs w:val="32"/>
        </w:rPr>
        <w:t>.00万元，完成预算的100%。主要用于</w:t>
      </w:r>
      <w:r>
        <w:rPr>
          <w:rFonts w:hint="eastAsia" w:ascii="仿宋_GB2312" w:hAnsi="仿宋_GB2312" w:eastAsia="仿宋_GB2312" w:cs="仿宋_GB2312"/>
          <w:color w:val="000000"/>
          <w:sz w:val="32"/>
          <w:szCs w:val="32"/>
          <w:lang w:val="en-US" w:eastAsia="zh-CN"/>
        </w:rPr>
        <w:t>监察大队执法所发生的</w:t>
      </w:r>
      <w:r>
        <w:rPr>
          <w:rFonts w:hint="eastAsia" w:ascii="仿宋_GB2312" w:hAnsi="仿宋_GB2312" w:eastAsia="仿宋_GB2312" w:cs="仿宋_GB2312"/>
          <w:sz w:val="32"/>
          <w:szCs w:val="32"/>
        </w:rPr>
        <w:t>宣传费、办公设备购置费、工作服购买以及劳动监察日常办案开销</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项目目标完成情况良好，数量指标、质量指标、时效指标、成本指标、社会效益指标、可持续影响指标、满意度指标，均已达标，项目取得了良好的社会效益</w:t>
      </w:r>
      <w:r>
        <w:rPr>
          <w:rFonts w:hint="eastAsia" w:ascii="仿宋_GB2312" w:eastAsia="仿宋_GB2312"/>
          <w:sz w:val="32"/>
          <w:szCs w:val="32"/>
          <w:lang w:eastAsia="zh-CN"/>
        </w:rPr>
        <w:t>。</w:t>
      </w:r>
    </w:p>
    <w:p>
      <w:pPr>
        <w:spacing w:line="58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color w:val="000000"/>
          <w:sz w:val="32"/>
          <w:szCs w:val="32"/>
          <w:lang w:val="en-US" w:eastAsia="zh-CN"/>
        </w:rPr>
        <w:t>通过项目实施，保障了监察大队执法的专项开销。使监察大队有经费保证，</w:t>
      </w:r>
      <w:r>
        <w:rPr>
          <w:rFonts w:hint="eastAsia" w:ascii="仿宋_GB2312" w:eastAsia="仿宋_GB2312"/>
          <w:sz w:val="32"/>
          <w:szCs w:val="32"/>
          <w:lang w:eastAsia="zh-CN"/>
        </w:rPr>
        <w:t>使监察大队</w:t>
      </w:r>
      <w:r>
        <w:rPr>
          <w:rFonts w:hint="eastAsia" w:ascii="仿宋_GB2312" w:eastAsia="仿宋_GB2312"/>
          <w:sz w:val="32"/>
          <w:szCs w:val="32"/>
        </w:rPr>
        <w:t>高效运转，促进了经济社会健康发展，提升了为民服务的能力，维护了社会稳定。</w:t>
      </w:r>
    </w:p>
    <w:p>
      <w:pPr>
        <w:numPr>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pStyle w:val="2"/>
        <w:numPr>
          <w:ilvl w:val="0"/>
          <w:numId w:val="0"/>
        </w:numPr>
        <w:ind w:firstLine="640" w:firstLineChars="200"/>
      </w:pPr>
      <w:r>
        <w:rPr>
          <w:rFonts w:hint="eastAsia" w:ascii="仿宋_GB2312" w:hAnsi="仿宋_GB2312" w:eastAsia="仿宋_GB2312" w:cs="仿宋_GB2312"/>
          <w:sz w:val="32"/>
          <w:szCs w:val="32"/>
          <w:lang w:eastAsia="zh-CN"/>
        </w:rPr>
        <w:t>项目资金预算不够，支出远远大于预算收入，机关经费补贴严重。</w:t>
      </w:r>
    </w:p>
    <w:p>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pStyle w:val="2"/>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建议增加预算资金</w:t>
      </w:r>
    </w:p>
    <w:p>
      <w:pPr>
        <w:spacing w:line="600" w:lineRule="exact"/>
        <w:jc w:val="center"/>
        <w:outlineLvl w:val="0"/>
        <w:rPr>
          <w:rFonts w:hint="eastAsia" w:ascii="黑体" w:hAnsi="黑体" w:eastAsia="黑体"/>
          <w:color w:val="000000"/>
          <w:sz w:val="44"/>
          <w:szCs w:val="44"/>
        </w:rPr>
      </w:pPr>
      <w:bookmarkStart w:id="62"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5"/>
        <w:rPr>
          <w:rFonts w:hint="default" w:ascii="黑体" w:hAnsi="黑体" w:eastAsia="仿宋" w:cs="方正小标宋简体"/>
          <w:b w:val="0"/>
          <w:bCs w:val="0"/>
          <w:kern w:val="2"/>
          <w:sz w:val="44"/>
          <w:szCs w:val="44"/>
          <w:lang w:val="en-US" w:eastAsia="zh-CN" w:bidi="ar-SA"/>
        </w:rPr>
      </w:pPr>
      <w:r>
        <w:rPr>
          <w:rStyle w:val="26"/>
          <w:rFonts w:hint="eastAsia" w:ascii="仿宋" w:hAnsi="仿宋" w:eastAsia="仿宋"/>
          <w:b w:val="0"/>
          <w:bCs w:val="0"/>
          <w:sz w:val="32"/>
          <w:szCs w:val="32"/>
        </w:rPr>
        <w:t>附件2</w:t>
      </w:r>
      <w:r>
        <w:rPr>
          <w:rStyle w:val="26"/>
          <w:rFonts w:hint="eastAsia" w:ascii="仿宋" w:hAnsi="仿宋" w:eastAsia="仿宋"/>
          <w:b w:val="0"/>
          <w:bCs w:val="0"/>
          <w:sz w:val="32"/>
          <w:szCs w:val="32"/>
          <w:lang w:val="en-US" w:eastAsia="zh-CN"/>
        </w:rPr>
        <w:t>-2</w:t>
      </w:r>
    </w:p>
    <w:p>
      <w:pPr>
        <w:spacing w:line="580" w:lineRule="exact"/>
        <w:jc w:val="center"/>
        <w:rPr>
          <w:rFonts w:ascii="黑体" w:hAnsi="黑体" w:eastAsia="黑体" w:cs="方正小标宋简体"/>
          <w:sz w:val="44"/>
          <w:szCs w:val="44"/>
        </w:rPr>
      </w:pPr>
      <w:r>
        <w:rPr>
          <w:rFonts w:hint="eastAsia" w:ascii="黑体" w:hAnsi="黑体" w:eastAsia="黑体" w:cs="方正小标宋简体"/>
          <w:b w:val="0"/>
          <w:bCs w:val="0"/>
          <w:kern w:val="2"/>
          <w:sz w:val="44"/>
          <w:szCs w:val="44"/>
          <w:lang w:val="en-US" w:eastAsia="zh-CN" w:bidi="ar-SA"/>
        </w:rPr>
        <w:t>201</w:t>
      </w:r>
      <w:r>
        <w:rPr>
          <w:rFonts w:hint="eastAsia" w:ascii="黑体" w:hAnsi="黑体" w:eastAsia="黑体" w:cs="方正小标宋简体"/>
          <w:sz w:val="44"/>
          <w:szCs w:val="44"/>
          <w:lang w:val="en-US" w:eastAsia="zh-CN"/>
        </w:rPr>
        <w:t>8年</w:t>
      </w:r>
      <w:r>
        <w:rPr>
          <w:rFonts w:hint="eastAsia" w:ascii="黑体" w:hAnsi="黑体" w:eastAsia="黑体" w:cs="方正小标宋简体"/>
          <w:sz w:val="44"/>
          <w:szCs w:val="44"/>
          <w:lang w:eastAsia="zh-CN"/>
        </w:rPr>
        <w:t>军转干部解困资金</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军转干部解困资金</w:t>
      </w:r>
      <w:r>
        <w:rPr>
          <w:rFonts w:hint="eastAsia" w:ascii="仿宋_GB2312" w:hAnsi="仿宋_GB2312" w:eastAsia="仿宋_GB2312" w:cs="仿宋_GB2312"/>
          <w:color w:val="000000"/>
          <w:sz w:val="32"/>
          <w:szCs w:val="32"/>
          <w:lang w:val="en-US" w:eastAsia="zh-CN"/>
        </w:rPr>
        <w:t>项目经费来源于财政拨款，该项目投资9.24万元，主要用于保障企业军转干部生活困难补助正常发放.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（一）评价结论</w:t>
      </w:r>
      <w:r>
        <w:rPr>
          <w:rFonts w:hint="eastAsia" w:ascii="仿宋" w:hAnsi="仿宋" w:eastAsia="仿宋"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该项目严格按照年初制定的评价指标实施，按时保质保量完成项目，通过项目实施，保障了8名企业军转干部生活困难补助正常发放。</w:t>
      </w:r>
      <w:r>
        <w:rPr>
          <w:rFonts w:hint="eastAsia" w:ascii="仿宋_GB2312" w:eastAsia="仿宋_GB2312"/>
          <w:sz w:val="32"/>
          <w:szCs w:val="32"/>
        </w:rPr>
        <w:t>该经费资金到位及时，支出合理合规，设立依据充分，并且目标明确，符合我</w:t>
      </w:r>
      <w:r>
        <w:rPr>
          <w:rFonts w:hint="eastAsia" w:ascii="仿宋_GB2312" w:eastAsia="仿宋_GB2312"/>
          <w:sz w:val="32"/>
          <w:szCs w:val="32"/>
          <w:lang w:eastAsia="zh-CN"/>
        </w:rPr>
        <w:t>局</w:t>
      </w:r>
      <w:r>
        <w:rPr>
          <w:rFonts w:hint="eastAsia" w:ascii="仿宋_GB2312" w:eastAsia="仿宋_GB2312"/>
          <w:sz w:val="32"/>
          <w:szCs w:val="32"/>
        </w:rPr>
        <w:t>要求。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此项目是我区</w:t>
      </w:r>
      <w:r>
        <w:rPr>
          <w:rFonts w:hint="eastAsia" w:ascii="仿宋_GB2312" w:eastAsia="仿宋_GB2312"/>
          <w:sz w:val="32"/>
          <w:szCs w:val="32"/>
          <w:lang w:val="en-US" w:eastAsia="zh-CN"/>
        </w:rPr>
        <w:t>8名企业军转干部生活补助的主要来源，根据相关文件规定，8名企业军转干部生活补助由我单位承担，此项目保障了企业军转干部生活补助的正常发放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军转干部解困资金</w:t>
      </w:r>
      <w:r>
        <w:rPr>
          <w:rFonts w:hint="eastAsia" w:ascii="仿宋_GB2312" w:eastAsia="仿宋_GB2312"/>
          <w:sz w:val="32"/>
          <w:szCs w:val="32"/>
        </w:rPr>
        <w:t>项目专项经费计划批复资金</w:t>
      </w:r>
      <w:r>
        <w:rPr>
          <w:rFonts w:hint="eastAsia" w:ascii="仿宋_GB2312" w:eastAsia="仿宋_GB2312"/>
          <w:sz w:val="32"/>
          <w:szCs w:val="32"/>
          <w:lang w:val="en-US" w:eastAsia="zh-CN"/>
        </w:rPr>
        <w:t>9.24</w:t>
      </w:r>
      <w:r>
        <w:rPr>
          <w:rFonts w:hint="eastAsia" w:ascii="仿宋_GB2312" w:eastAsia="仿宋_GB2312"/>
          <w:sz w:val="32"/>
          <w:szCs w:val="32"/>
        </w:rPr>
        <w:t>万元，实际到位资金</w:t>
      </w:r>
      <w:r>
        <w:rPr>
          <w:rFonts w:hint="eastAsia" w:ascii="仿宋_GB2312" w:eastAsia="仿宋_GB2312"/>
          <w:sz w:val="32"/>
          <w:szCs w:val="32"/>
          <w:lang w:val="en-US" w:eastAsia="zh-CN"/>
        </w:rPr>
        <w:t>9.24</w:t>
      </w:r>
      <w:r>
        <w:rPr>
          <w:rFonts w:hint="eastAsia" w:ascii="仿宋_GB2312" w:eastAsia="仿宋_GB2312"/>
          <w:sz w:val="32"/>
          <w:szCs w:val="32"/>
        </w:rPr>
        <w:t>万元，总共支出资金</w:t>
      </w:r>
      <w:r>
        <w:rPr>
          <w:rFonts w:hint="eastAsia" w:ascii="仿宋_GB2312" w:eastAsia="仿宋_GB2312"/>
          <w:sz w:val="32"/>
          <w:szCs w:val="32"/>
          <w:lang w:val="en-US" w:eastAsia="zh-CN"/>
        </w:rPr>
        <w:t>9.24</w:t>
      </w:r>
      <w:r>
        <w:rPr>
          <w:rFonts w:hint="eastAsia" w:ascii="仿宋_GB2312" w:eastAsia="仿宋_GB2312"/>
          <w:sz w:val="32"/>
          <w:szCs w:val="32"/>
        </w:rPr>
        <w:t>万元，完成预算的100%。主要用于</w:t>
      </w:r>
      <w:r>
        <w:rPr>
          <w:rFonts w:hint="eastAsia" w:ascii="仿宋_GB2312" w:eastAsia="仿宋_GB2312"/>
          <w:sz w:val="32"/>
          <w:szCs w:val="32"/>
          <w:lang w:val="en-US" w:eastAsia="zh-CN"/>
        </w:rPr>
        <w:t>8名企业军转干部生活补助</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项目目标完成情况良好，数量指标、质量指标、时效指标、成本指标、社会效益指标、可持续影响指标、满意度指标，均已达标，项目取得了良好的社会效益</w:t>
      </w:r>
      <w:r>
        <w:rPr>
          <w:rFonts w:hint="eastAsia" w:ascii="仿宋_GB2312" w:eastAsia="仿宋_GB2312"/>
          <w:sz w:val="32"/>
          <w:szCs w:val="32"/>
          <w:lang w:eastAsia="zh-CN"/>
        </w:rPr>
        <w:t>。</w:t>
      </w:r>
    </w:p>
    <w:p>
      <w:pPr>
        <w:spacing w:line="580" w:lineRule="exact"/>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000000"/>
          <w:sz w:val="32"/>
          <w:szCs w:val="32"/>
          <w:lang w:val="en-US" w:eastAsia="zh-CN"/>
        </w:rPr>
        <w:t>通过项目实施，保障了</w:t>
      </w:r>
      <w:r>
        <w:rPr>
          <w:rFonts w:hint="eastAsia" w:ascii="仿宋_GB2312" w:eastAsia="仿宋_GB2312"/>
          <w:sz w:val="32"/>
          <w:szCs w:val="32"/>
          <w:lang w:val="en-US" w:eastAsia="zh-CN"/>
        </w:rPr>
        <w:t>8名企业军转干部生活补助按月按时正常发放，解决了企业军转干部最关心的问题，使其满意度达100%。</w:t>
      </w:r>
    </w:p>
    <w:p>
      <w:pPr>
        <w:numPr>
          <w:numId w:val="0"/>
        </w:numPr>
        <w:spacing w:line="580" w:lineRule="exact"/>
        <w:ind w:left="640" w:leftChars="0" w:firstLine="320" w:firstLineChars="1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暂无</w:t>
      </w:r>
    </w:p>
    <w:p>
      <w:pPr>
        <w:numPr>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p>
    <w:p>
      <w:pPr>
        <w:spacing w:line="600" w:lineRule="exact"/>
        <w:ind w:firstLine="640" w:firstLineChars="200"/>
        <w:jc w:val="both"/>
        <w:outlineLvl w:val="0"/>
        <w:rPr>
          <w:rFonts w:hint="eastAsia" w:ascii="黑体" w:hAnsi="黑体" w:eastAsia="黑体"/>
          <w:color w:val="000000"/>
          <w:sz w:val="44"/>
          <w:szCs w:val="44"/>
        </w:rPr>
      </w:pPr>
      <w:r>
        <w:rPr>
          <w:rFonts w:hint="eastAsia" w:ascii="仿宋_GB2312" w:hAnsi="仿宋_GB2312" w:eastAsia="仿宋_GB2312" w:cs="仿宋_GB2312"/>
          <w:sz w:val="32"/>
          <w:szCs w:val="32"/>
          <w:lang w:eastAsia="zh-CN"/>
        </w:rPr>
        <w:t>暂无</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5"/>
        <w:rPr>
          <w:rFonts w:hint="default" w:ascii="黑体" w:hAnsi="黑体" w:eastAsia="仿宋" w:cs="方正小标宋简体"/>
          <w:b w:val="0"/>
          <w:bCs w:val="0"/>
          <w:kern w:val="2"/>
          <w:sz w:val="44"/>
          <w:szCs w:val="44"/>
          <w:lang w:val="en-US" w:eastAsia="zh-CN" w:bidi="ar-SA"/>
        </w:rPr>
      </w:pPr>
      <w:r>
        <w:rPr>
          <w:rStyle w:val="26"/>
          <w:rFonts w:hint="eastAsia" w:ascii="仿宋" w:hAnsi="仿宋" w:eastAsia="仿宋"/>
          <w:b w:val="0"/>
          <w:bCs w:val="0"/>
          <w:sz w:val="32"/>
          <w:szCs w:val="32"/>
        </w:rPr>
        <w:t>附件2</w:t>
      </w:r>
      <w:r>
        <w:rPr>
          <w:rStyle w:val="26"/>
          <w:rFonts w:hint="eastAsia" w:ascii="仿宋" w:hAnsi="仿宋" w:eastAsia="仿宋"/>
          <w:b w:val="0"/>
          <w:bCs w:val="0"/>
          <w:sz w:val="32"/>
          <w:szCs w:val="32"/>
          <w:lang w:val="en-US" w:eastAsia="zh-CN"/>
        </w:rPr>
        <w:t>-3</w:t>
      </w:r>
    </w:p>
    <w:p>
      <w:pPr>
        <w:spacing w:line="580" w:lineRule="exact"/>
        <w:jc w:val="center"/>
        <w:rPr>
          <w:rFonts w:ascii="黑体" w:hAnsi="黑体" w:eastAsia="黑体" w:cs="方正小标宋简体"/>
          <w:sz w:val="44"/>
          <w:szCs w:val="44"/>
        </w:rPr>
      </w:pPr>
      <w:r>
        <w:rPr>
          <w:rFonts w:hint="eastAsia" w:ascii="黑体" w:hAnsi="黑体" w:eastAsia="黑体" w:cs="方正小标宋简体"/>
          <w:b w:val="0"/>
          <w:bCs w:val="0"/>
          <w:kern w:val="2"/>
          <w:sz w:val="44"/>
          <w:szCs w:val="44"/>
          <w:lang w:val="en-US" w:eastAsia="zh-CN" w:bidi="ar-SA"/>
        </w:rPr>
        <w:t>201</w:t>
      </w:r>
      <w:r>
        <w:rPr>
          <w:rFonts w:hint="eastAsia" w:ascii="黑体" w:hAnsi="黑体" w:eastAsia="黑体" w:cs="方正小标宋简体"/>
          <w:sz w:val="44"/>
          <w:szCs w:val="44"/>
          <w:lang w:val="en-US" w:eastAsia="zh-CN"/>
        </w:rPr>
        <w:t>8年军转干部医疗费</w:t>
      </w:r>
      <w:r>
        <w:rPr>
          <w:rFonts w:hint="eastAsia" w:ascii="黑体" w:hAnsi="黑体" w:eastAsia="黑体" w:cs="方正小标宋简体"/>
          <w:sz w:val="44"/>
          <w:szCs w:val="44"/>
          <w:lang w:eastAsia="zh-CN"/>
        </w:rPr>
        <w:t>资金</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军转干部解困资金</w:t>
      </w:r>
      <w:r>
        <w:rPr>
          <w:rFonts w:hint="eastAsia" w:ascii="仿宋_GB2312" w:hAnsi="仿宋_GB2312" w:eastAsia="仿宋_GB2312" w:cs="仿宋_GB2312"/>
          <w:color w:val="000000"/>
          <w:sz w:val="32"/>
          <w:szCs w:val="32"/>
          <w:lang w:val="en-US" w:eastAsia="zh-CN"/>
        </w:rPr>
        <w:t>项目经费来源于财政拨款，该项目投资5.67万元，主要用于自主择业军转干部财政代缴单位部分医疗费。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（一）评价结论</w:t>
      </w:r>
      <w:r>
        <w:rPr>
          <w:rFonts w:hint="eastAsia" w:ascii="仿宋" w:hAnsi="仿宋" w:eastAsia="仿宋"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该项目严格按照年初制定的评价指标实施，按时保质保量完成项目，通过项目实施，保障了6名自主择业军转干部财政代缴单位部分医疗费。</w:t>
      </w:r>
      <w:r>
        <w:rPr>
          <w:rFonts w:hint="eastAsia" w:ascii="仿宋_GB2312" w:eastAsia="仿宋_GB2312"/>
          <w:sz w:val="32"/>
          <w:szCs w:val="32"/>
        </w:rPr>
        <w:t>该经费资金到位及时，支出合理合规，设立依据充分，并且目标明确，符合我</w:t>
      </w:r>
      <w:r>
        <w:rPr>
          <w:rFonts w:hint="eastAsia" w:ascii="仿宋_GB2312" w:eastAsia="仿宋_GB2312"/>
          <w:sz w:val="32"/>
          <w:szCs w:val="32"/>
          <w:lang w:eastAsia="zh-CN"/>
        </w:rPr>
        <w:t>局</w:t>
      </w:r>
      <w:r>
        <w:rPr>
          <w:rFonts w:hint="eastAsia" w:ascii="仿宋_GB2312" w:eastAsia="仿宋_GB2312"/>
          <w:sz w:val="32"/>
          <w:szCs w:val="32"/>
        </w:rPr>
        <w:t>要求。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此项目是我区</w:t>
      </w:r>
      <w:r>
        <w:rPr>
          <w:rFonts w:hint="eastAsia" w:ascii="仿宋_GB2312" w:eastAsia="仿宋_GB2312"/>
          <w:sz w:val="32"/>
          <w:szCs w:val="32"/>
          <w:lang w:val="en-US" w:eastAsia="zh-CN"/>
        </w:rPr>
        <w:t>6名</w:t>
      </w:r>
      <w:r>
        <w:rPr>
          <w:rFonts w:hint="eastAsia" w:ascii="仿宋_GB2312" w:hAnsi="仿宋_GB2312" w:eastAsia="仿宋_GB2312" w:cs="仿宋_GB2312"/>
          <w:color w:val="000000"/>
          <w:sz w:val="32"/>
          <w:szCs w:val="32"/>
          <w:lang w:val="en-US" w:eastAsia="zh-CN"/>
        </w:rPr>
        <w:t>自主择业军转干部财政代缴单位部分医疗费</w:t>
      </w:r>
      <w:r>
        <w:rPr>
          <w:rFonts w:hint="eastAsia" w:ascii="仿宋_GB2312" w:eastAsia="仿宋_GB2312"/>
          <w:sz w:val="32"/>
          <w:szCs w:val="32"/>
          <w:lang w:val="en-US" w:eastAsia="zh-CN"/>
        </w:rPr>
        <w:t>主要来源，根据相关文件规定，6名</w:t>
      </w:r>
      <w:r>
        <w:rPr>
          <w:rFonts w:hint="eastAsia" w:ascii="仿宋_GB2312" w:hAnsi="仿宋_GB2312" w:eastAsia="仿宋_GB2312" w:cs="仿宋_GB2312"/>
          <w:color w:val="000000"/>
          <w:sz w:val="32"/>
          <w:szCs w:val="32"/>
          <w:lang w:val="en-US" w:eastAsia="zh-CN"/>
        </w:rPr>
        <w:t>自主择业军转干部医疗费单位部分</w:t>
      </w:r>
      <w:r>
        <w:rPr>
          <w:rFonts w:hint="eastAsia" w:ascii="仿宋_GB2312" w:eastAsia="仿宋_GB2312"/>
          <w:sz w:val="32"/>
          <w:szCs w:val="32"/>
          <w:lang w:val="en-US" w:eastAsia="zh-CN"/>
        </w:rPr>
        <w:t>由我单位承担，此项目保障了自住择业军转干部医疗保险不断保。</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军转干部解困资金</w:t>
      </w:r>
      <w:r>
        <w:rPr>
          <w:rFonts w:hint="eastAsia" w:ascii="仿宋_GB2312" w:eastAsia="仿宋_GB2312"/>
          <w:sz w:val="32"/>
          <w:szCs w:val="32"/>
        </w:rPr>
        <w:t>项目专项经费计划批复资金</w:t>
      </w:r>
      <w:r>
        <w:rPr>
          <w:rFonts w:hint="eastAsia" w:ascii="仿宋_GB2312" w:eastAsia="仿宋_GB2312"/>
          <w:sz w:val="32"/>
          <w:szCs w:val="32"/>
          <w:lang w:val="en-US" w:eastAsia="zh-CN"/>
        </w:rPr>
        <w:t>5.67</w:t>
      </w:r>
      <w:r>
        <w:rPr>
          <w:rFonts w:hint="eastAsia" w:ascii="仿宋_GB2312" w:eastAsia="仿宋_GB2312"/>
          <w:sz w:val="32"/>
          <w:szCs w:val="32"/>
        </w:rPr>
        <w:t>万元，实际到位资金</w:t>
      </w:r>
      <w:r>
        <w:rPr>
          <w:rFonts w:hint="eastAsia" w:ascii="仿宋_GB2312" w:eastAsia="仿宋_GB2312"/>
          <w:sz w:val="32"/>
          <w:szCs w:val="32"/>
          <w:lang w:val="en-US" w:eastAsia="zh-CN"/>
        </w:rPr>
        <w:t>5.67</w:t>
      </w:r>
      <w:r>
        <w:rPr>
          <w:rFonts w:hint="eastAsia" w:ascii="仿宋_GB2312" w:eastAsia="仿宋_GB2312"/>
          <w:sz w:val="32"/>
          <w:szCs w:val="32"/>
        </w:rPr>
        <w:t>万元，总共支出资金</w:t>
      </w:r>
      <w:r>
        <w:rPr>
          <w:rFonts w:hint="eastAsia" w:ascii="仿宋_GB2312" w:eastAsia="仿宋_GB2312"/>
          <w:sz w:val="32"/>
          <w:szCs w:val="32"/>
          <w:lang w:val="en-US" w:eastAsia="zh-CN"/>
        </w:rPr>
        <w:t>5.67</w:t>
      </w:r>
      <w:r>
        <w:rPr>
          <w:rFonts w:hint="eastAsia" w:ascii="仿宋_GB2312" w:eastAsia="仿宋_GB2312"/>
          <w:sz w:val="32"/>
          <w:szCs w:val="32"/>
        </w:rPr>
        <w:t>万元，完成预算的100%。</w:t>
      </w:r>
      <w:r>
        <w:rPr>
          <w:rFonts w:hint="eastAsia" w:ascii="仿宋_GB2312" w:eastAsia="仿宋_GB2312"/>
          <w:sz w:val="32"/>
          <w:szCs w:val="32"/>
          <w:lang w:eastAsia="zh-CN"/>
        </w:rPr>
        <w:t>此项目为一次性缴纳</w:t>
      </w:r>
      <w:r>
        <w:rPr>
          <w:rFonts w:hint="eastAsia" w:ascii="仿宋_GB2312" w:eastAsia="仿宋_GB2312"/>
          <w:sz w:val="32"/>
          <w:szCs w:val="32"/>
          <w:lang w:val="en-US" w:eastAsia="zh-CN"/>
        </w:rPr>
        <w:t>6名企业军转干部2018年医疗费。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项目目标完成情况良好，数量指标、质量指标、时效指标、成本指标、社会效益指标、可持续影响指标、满意度指标，均已达标，项目取得了良好的社会效益</w:t>
      </w:r>
      <w:r>
        <w:rPr>
          <w:rFonts w:hint="eastAsia" w:ascii="仿宋_GB2312" w:eastAsia="仿宋_GB2312"/>
          <w:sz w:val="32"/>
          <w:szCs w:val="32"/>
          <w:lang w:eastAsia="zh-CN"/>
        </w:rPr>
        <w:t>。</w:t>
      </w:r>
    </w:p>
    <w:p>
      <w:pPr>
        <w:spacing w:line="580" w:lineRule="exact"/>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000000"/>
          <w:sz w:val="32"/>
          <w:szCs w:val="32"/>
          <w:lang w:val="en-US" w:eastAsia="zh-CN"/>
        </w:rPr>
        <w:t>通过项目实施，缴纳了</w:t>
      </w:r>
      <w:r>
        <w:rPr>
          <w:rFonts w:hint="eastAsia" w:ascii="仿宋_GB2312" w:eastAsia="仿宋_GB2312"/>
          <w:sz w:val="32"/>
          <w:szCs w:val="32"/>
          <w:lang w:val="en-US" w:eastAsia="zh-CN"/>
        </w:rPr>
        <w:t>6名自主择业军转干部2018年医疗费，解决了自主择业军转干部最关心的问题，使其满意度达100%。</w:t>
      </w:r>
    </w:p>
    <w:p>
      <w:pPr>
        <w:numPr>
          <w:numId w:val="0"/>
        </w:numPr>
        <w:spacing w:line="580" w:lineRule="exact"/>
        <w:ind w:left="640" w:leftChars="0" w:firstLine="320" w:firstLineChars="1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暂无</w:t>
      </w:r>
    </w:p>
    <w:p>
      <w:pPr>
        <w:numPr>
          <w:numId w:val="0"/>
        </w:numPr>
        <w:spacing w:line="580" w:lineRule="exact"/>
        <w:ind w:left="640" w:leftChars="0" w:firstLine="320" w:firstLineChars="100"/>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p>
    <w:p>
      <w:pPr>
        <w:spacing w:line="600" w:lineRule="exact"/>
        <w:ind w:firstLine="640" w:firstLineChars="200"/>
        <w:jc w:val="both"/>
        <w:outlineLvl w:val="0"/>
        <w:rPr>
          <w:rFonts w:hint="eastAsia" w:ascii="黑体" w:hAnsi="黑体" w:eastAsia="黑体"/>
          <w:color w:val="000000"/>
          <w:sz w:val="44"/>
          <w:szCs w:val="44"/>
        </w:rPr>
      </w:pPr>
      <w:r>
        <w:rPr>
          <w:rFonts w:hint="eastAsia" w:ascii="仿宋_GB2312" w:hAnsi="仿宋_GB2312" w:eastAsia="仿宋_GB2312" w:cs="仿宋_GB2312"/>
          <w:sz w:val="32"/>
          <w:szCs w:val="32"/>
          <w:lang w:eastAsia="zh-CN"/>
        </w:rPr>
        <w:t>暂无</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5"/>
        <w:rPr>
          <w:rFonts w:hint="default" w:ascii="黑体" w:hAnsi="黑体" w:eastAsia="仿宋" w:cs="方正小标宋简体"/>
          <w:b w:val="0"/>
          <w:bCs w:val="0"/>
          <w:kern w:val="2"/>
          <w:sz w:val="44"/>
          <w:szCs w:val="44"/>
          <w:lang w:val="en-US" w:eastAsia="zh-CN" w:bidi="ar-SA"/>
        </w:rPr>
      </w:pPr>
      <w:r>
        <w:rPr>
          <w:rStyle w:val="26"/>
          <w:rFonts w:hint="eastAsia" w:ascii="仿宋" w:hAnsi="仿宋" w:eastAsia="仿宋"/>
          <w:b w:val="0"/>
          <w:bCs w:val="0"/>
          <w:sz w:val="32"/>
          <w:szCs w:val="32"/>
        </w:rPr>
        <w:t>附件2</w:t>
      </w:r>
      <w:r>
        <w:rPr>
          <w:rStyle w:val="26"/>
          <w:rFonts w:hint="eastAsia" w:ascii="仿宋" w:hAnsi="仿宋" w:eastAsia="仿宋"/>
          <w:b w:val="0"/>
          <w:bCs w:val="0"/>
          <w:sz w:val="32"/>
          <w:szCs w:val="32"/>
          <w:lang w:val="en-US" w:eastAsia="zh-CN"/>
        </w:rPr>
        <w:t>-4</w:t>
      </w:r>
    </w:p>
    <w:p>
      <w:pPr>
        <w:spacing w:line="580" w:lineRule="exact"/>
        <w:jc w:val="center"/>
        <w:rPr>
          <w:rFonts w:ascii="黑体" w:hAnsi="黑体" w:eastAsia="黑体" w:cs="方正小标宋简体"/>
          <w:sz w:val="44"/>
          <w:szCs w:val="44"/>
        </w:rPr>
      </w:pPr>
      <w:r>
        <w:rPr>
          <w:rFonts w:hint="eastAsia" w:ascii="黑体" w:hAnsi="黑体" w:eastAsia="黑体" w:cs="方正小标宋简体"/>
          <w:b w:val="0"/>
          <w:bCs w:val="0"/>
          <w:kern w:val="2"/>
          <w:sz w:val="44"/>
          <w:szCs w:val="44"/>
          <w:lang w:val="en-US" w:eastAsia="zh-CN" w:bidi="ar-SA"/>
        </w:rPr>
        <w:t>2018年劳动人事仲裁办案经费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劳动人事仲裁办案经费</w:t>
      </w:r>
      <w:r>
        <w:rPr>
          <w:rFonts w:hint="eastAsia" w:ascii="仿宋_GB2312" w:hAnsi="仿宋_GB2312" w:eastAsia="仿宋_GB2312" w:cs="仿宋_GB2312"/>
          <w:color w:val="000000"/>
          <w:sz w:val="32"/>
          <w:szCs w:val="32"/>
        </w:rPr>
        <w:t>项目经费来源为财政拨款，该项目投资</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万元，主要实施内容解决</w:t>
      </w:r>
      <w:r>
        <w:rPr>
          <w:rFonts w:hint="eastAsia" w:ascii="仿宋_GB2312" w:hAnsi="仿宋_GB2312" w:eastAsia="仿宋_GB2312" w:cs="仿宋_GB2312"/>
          <w:color w:val="000000"/>
          <w:sz w:val="32"/>
          <w:szCs w:val="32"/>
          <w:lang w:eastAsia="zh-CN"/>
        </w:rPr>
        <w:t>仲裁院</w:t>
      </w:r>
      <w:r>
        <w:rPr>
          <w:rFonts w:hint="eastAsia" w:ascii="仿宋_GB2312" w:hAnsi="仿宋_GB2312" w:eastAsia="仿宋_GB2312" w:cs="仿宋_GB2312"/>
          <w:color w:val="000000"/>
          <w:sz w:val="32"/>
          <w:szCs w:val="32"/>
          <w:lang w:val="en-US" w:eastAsia="zh-CN"/>
        </w:rPr>
        <w:t>执法所发生的印刷费、</w:t>
      </w:r>
      <w:r>
        <w:rPr>
          <w:rFonts w:hint="eastAsia" w:ascii="仿宋_GB2312" w:hAnsi="仿宋_GB2312" w:eastAsia="仿宋_GB2312" w:cs="仿宋_GB2312"/>
          <w:sz w:val="32"/>
          <w:szCs w:val="32"/>
        </w:rPr>
        <w:t>宣传费、办公设备购置费、工作服购买以及劳动监察日常办案开销</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经费严格按照项目支出的范围、用途控制，坚持专款专用，不挤占挪用。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（一）评价结论</w:t>
      </w:r>
      <w:r>
        <w:rPr>
          <w:rFonts w:hint="eastAsia" w:ascii="仿宋" w:hAnsi="仿宋" w:eastAsia="仿宋"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该项目严格按照年初制定的评价指标实施，按时保质保量完成项目，通过项目实施，保障了仲裁院执法的专项开销。</w:t>
      </w:r>
      <w:r>
        <w:rPr>
          <w:rFonts w:hint="eastAsia" w:ascii="仿宋_GB2312" w:eastAsia="仿宋_GB2312"/>
          <w:sz w:val="32"/>
          <w:szCs w:val="32"/>
        </w:rPr>
        <w:t>该经费资金到位及时，支出合理合规，设立依据充分，并且目标明确，符合我</w:t>
      </w:r>
      <w:r>
        <w:rPr>
          <w:rFonts w:hint="eastAsia" w:ascii="仿宋_GB2312" w:eastAsia="仿宋_GB2312"/>
          <w:sz w:val="32"/>
          <w:szCs w:val="32"/>
          <w:lang w:eastAsia="zh-CN"/>
        </w:rPr>
        <w:t>局</w:t>
      </w:r>
      <w:r>
        <w:rPr>
          <w:rFonts w:hint="eastAsia" w:ascii="仿宋_GB2312" w:eastAsia="仿宋_GB2312"/>
          <w:sz w:val="32"/>
          <w:szCs w:val="32"/>
        </w:rPr>
        <w:t>要求。</w:t>
      </w:r>
    </w:p>
    <w:p>
      <w:pPr>
        <w:spacing w:line="580" w:lineRule="exact"/>
        <w:ind w:firstLine="960" w:firstLineChars="3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为提高工作质量和效率，明确规范管理、强化责任、稳中求进的指导思想，严格经费使用程序，加强监督管理。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eastAsia="仿宋_GB2312"/>
          <w:sz w:val="32"/>
          <w:szCs w:val="32"/>
        </w:rPr>
        <w:t>2018年</w:t>
      </w:r>
      <w:r>
        <w:rPr>
          <w:rFonts w:hint="eastAsia" w:ascii="仿宋_GB2312" w:hAnsi="仿宋_GB2312" w:eastAsia="仿宋_GB2312" w:cs="仿宋_GB2312"/>
          <w:color w:val="000000"/>
          <w:sz w:val="32"/>
          <w:szCs w:val="32"/>
          <w:lang w:eastAsia="zh-CN"/>
        </w:rPr>
        <w:t>劳动人事仲裁办案经费</w:t>
      </w:r>
      <w:r>
        <w:rPr>
          <w:rFonts w:hint="eastAsia" w:ascii="仿宋_GB2312" w:hAnsi="仿宋_GB2312" w:eastAsia="仿宋_GB2312" w:cs="仿宋_GB2312"/>
          <w:color w:val="000000"/>
          <w:sz w:val="32"/>
          <w:szCs w:val="32"/>
          <w:lang w:val="en-US" w:eastAsia="zh-CN"/>
        </w:rPr>
        <w:t>项目</w:t>
      </w:r>
      <w:r>
        <w:rPr>
          <w:rFonts w:hint="eastAsia" w:ascii="仿宋_GB2312" w:eastAsia="仿宋_GB2312"/>
          <w:sz w:val="32"/>
          <w:szCs w:val="32"/>
        </w:rPr>
        <w:t>专项经费计划批复资金</w:t>
      </w:r>
      <w:r>
        <w:rPr>
          <w:rFonts w:hint="eastAsia" w:ascii="仿宋_GB2312" w:eastAsia="仿宋_GB2312"/>
          <w:sz w:val="32"/>
          <w:szCs w:val="32"/>
          <w:lang w:val="en-US" w:eastAsia="zh-CN"/>
        </w:rPr>
        <w:t>12</w:t>
      </w:r>
      <w:r>
        <w:rPr>
          <w:rFonts w:hint="eastAsia" w:ascii="仿宋_GB2312" w:eastAsia="仿宋_GB2312"/>
          <w:sz w:val="32"/>
          <w:szCs w:val="32"/>
        </w:rPr>
        <w:t>.00万元，实际到位资金</w:t>
      </w:r>
      <w:r>
        <w:rPr>
          <w:rFonts w:hint="eastAsia" w:ascii="仿宋_GB2312" w:eastAsia="仿宋_GB2312"/>
          <w:sz w:val="32"/>
          <w:szCs w:val="32"/>
          <w:lang w:val="en-US" w:eastAsia="zh-CN"/>
        </w:rPr>
        <w:t>12</w:t>
      </w:r>
      <w:r>
        <w:rPr>
          <w:rFonts w:hint="eastAsia" w:ascii="仿宋_GB2312" w:eastAsia="仿宋_GB2312"/>
          <w:sz w:val="32"/>
          <w:szCs w:val="32"/>
        </w:rPr>
        <w:t>.00万元，总共支出资金</w:t>
      </w:r>
      <w:r>
        <w:rPr>
          <w:rFonts w:hint="eastAsia" w:ascii="仿宋_GB2312" w:eastAsia="仿宋_GB2312"/>
          <w:sz w:val="32"/>
          <w:szCs w:val="32"/>
          <w:lang w:val="en-US" w:eastAsia="zh-CN"/>
        </w:rPr>
        <w:t>12</w:t>
      </w:r>
      <w:r>
        <w:rPr>
          <w:rFonts w:hint="eastAsia" w:ascii="仿宋_GB2312" w:eastAsia="仿宋_GB2312"/>
          <w:sz w:val="32"/>
          <w:szCs w:val="32"/>
        </w:rPr>
        <w:t>.00万元，完成预算的100%。主要用于</w:t>
      </w:r>
      <w:r>
        <w:rPr>
          <w:rFonts w:hint="eastAsia" w:ascii="仿宋_GB2312" w:hAnsi="仿宋_GB2312" w:eastAsia="仿宋_GB2312" w:cs="仿宋_GB2312"/>
          <w:color w:val="000000"/>
          <w:sz w:val="32"/>
          <w:szCs w:val="32"/>
          <w:lang w:eastAsia="zh-CN"/>
        </w:rPr>
        <w:t>仲裁院</w:t>
      </w:r>
      <w:r>
        <w:rPr>
          <w:rFonts w:hint="eastAsia" w:ascii="仿宋_GB2312" w:hAnsi="仿宋_GB2312" w:eastAsia="仿宋_GB2312" w:cs="仿宋_GB2312"/>
          <w:color w:val="000000"/>
          <w:sz w:val="32"/>
          <w:szCs w:val="32"/>
          <w:lang w:val="en-US" w:eastAsia="zh-CN"/>
        </w:rPr>
        <w:t>执法所发生的印刷费、</w:t>
      </w:r>
      <w:r>
        <w:rPr>
          <w:rFonts w:hint="eastAsia" w:ascii="仿宋_GB2312" w:hAnsi="仿宋_GB2312" w:eastAsia="仿宋_GB2312" w:cs="仿宋_GB2312"/>
          <w:sz w:val="32"/>
          <w:szCs w:val="32"/>
        </w:rPr>
        <w:t>宣传费、办公设备购置费、工作服购买以及劳动监察日常办案开销</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项目目标完成情况良好，数量指标、质量指标、时效指标、成本指标、社会效益指标、可持续影响指标、满意度指标，均已达标，项目取得了良好的社会效益</w:t>
      </w:r>
      <w:r>
        <w:rPr>
          <w:rFonts w:hint="eastAsia" w:ascii="仿宋_GB2312" w:eastAsia="仿宋_GB2312"/>
          <w:sz w:val="32"/>
          <w:szCs w:val="32"/>
          <w:lang w:eastAsia="zh-CN"/>
        </w:rPr>
        <w:t>。</w:t>
      </w:r>
    </w:p>
    <w:p>
      <w:pPr>
        <w:spacing w:line="58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color w:val="000000"/>
          <w:sz w:val="32"/>
          <w:szCs w:val="32"/>
          <w:lang w:val="en-US" w:eastAsia="zh-CN"/>
        </w:rPr>
        <w:t>通过项目实施，保障了仲裁院执法的专项开销。使仲裁院执法有经费保证，</w:t>
      </w:r>
      <w:r>
        <w:rPr>
          <w:rFonts w:hint="eastAsia" w:ascii="仿宋_GB2312" w:eastAsia="仿宋_GB2312"/>
          <w:sz w:val="32"/>
          <w:szCs w:val="32"/>
          <w:lang w:eastAsia="zh-CN"/>
        </w:rPr>
        <w:t>使仲裁院</w:t>
      </w:r>
      <w:r>
        <w:rPr>
          <w:rFonts w:hint="eastAsia" w:ascii="仿宋_GB2312" w:eastAsia="仿宋_GB2312"/>
          <w:sz w:val="32"/>
          <w:szCs w:val="32"/>
        </w:rPr>
        <w:t>高效运转，促进了经济社会健康发展，提升了为民服务的能力，维护了社会稳定。</w:t>
      </w:r>
    </w:p>
    <w:p>
      <w:pPr>
        <w:numPr>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pStyle w:val="2"/>
        <w:rPr>
          <w:rFonts w:ascii="仿宋" w:hAnsi="仿宋" w:eastAsia="仿宋" w:cs="仿宋_GB2312"/>
          <w:sz w:val="32"/>
          <w:szCs w:val="32"/>
        </w:rPr>
      </w:pPr>
      <w:r>
        <w:rPr>
          <w:rFonts w:hint="eastAsia" w:ascii="仿宋_GB2312" w:hAnsi="Times New Roman" w:eastAsia="仿宋_GB2312" w:cs="Times New Roman"/>
          <w:kern w:val="2"/>
          <w:sz w:val="32"/>
          <w:szCs w:val="32"/>
          <w:lang w:val="en-US" w:eastAsia="zh-CN" w:bidi="ar-SA"/>
        </w:rPr>
        <w:t>本项目</w:t>
      </w:r>
      <w:r>
        <w:rPr>
          <w:rFonts w:hint="eastAsia" w:ascii="仿宋_GB2312" w:eastAsia="仿宋_GB2312" w:cs="Times New Roman"/>
          <w:kern w:val="2"/>
          <w:sz w:val="32"/>
          <w:szCs w:val="32"/>
          <w:lang w:val="en-US" w:eastAsia="zh-CN" w:bidi="ar-SA"/>
        </w:rPr>
        <w:t>资金</w:t>
      </w:r>
      <w:r>
        <w:rPr>
          <w:rFonts w:hint="eastAsia" w:ascii="仿宋_GB2312" w:hAnsi="Times New Roman" w:eastAsia="仿宋_GB2312" w:cs="Times New Roman"/>
          <w:kern w:val="2"/>
          <w:sz w:val="32"/>
          <w:szCs w:val="32"/>
          <w:lang w:val="en-US" w:eastAsia="zh-CN" w:bidi="ar-SA"/>
        </w:rPr>
        <w:t>为今年</w:t>
      </w:r>
      <w:r>
        <w:rPr>
          <w:rFonts w:hint="eastAsia" w:ascii="仿宋_GB2312" w:eastAsia="仿宋_GB2312" w:cs="Times New Roman"/>
          <w:kern w:val="2"/>
          <w:sz w:val="32"/>
          <w:szCs w:val="32"/>
          <w:lang w:val="en-US" w:eastAsia="zh-CN" w:bidi="ar-SA"/>
        </w:rPr>
        <w:t>我局争取资金，</w:t>
      </w:r>
      <w:r>
        <w:rPr>
          <w:rFonts w:hint="eastAsia" w:ascii="仿宋_GB2312" w:hAnsi="仿宋_GB2312" w:eastAsia="仿宋_GB2312" w:cs="仿宋_GB2312"/>
          <w:sz w:val="32"/>
          <w:szCs w:val="32"/>
          <w:lang w:eastAsia="zh-CN"/>
        </w:rPr>
        <w:t>此项资金纳入年初预算为</w:t>
      </w:r>
      <w:r>
        <w:rPr>
          <w:rFonts w:hint="eastAsia" w:ascii="仿宋_GB2312" w:hAnsi="仿宋_GB2312" w:eastAsia="仿宋_GB2312" w:cs="仿宋_GB2312"/>
          <w:sz w:val="32"/>
          <w:szCs w:val="32"/>
          <w:lang w:val="en-US" w:eastAsia="zh-CN"/>
        </w:rPr>
        <w:t>2万元，不够实际开支。</w:t>
      </w:r>
    </w:p>
    <w:p>
      <w:pPr>
        <w:numPr>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建议将劳动人事仲裁办案经费年初预算从</w:t>
      </w:r>
      <w:r>
        <w:rPr>
          <w:rFonts w:hint="eastAsia" w:ascii="仿宋_GB2312" w:hAnsi="仿宋_GB2312" w:eastAsia="仿宋_GB2312" w:cs="仿宋_GB2312"/>
          <w:sz w:val="32"/>
          <w:szCs w:val="32"/>
          <w:lang w:val="en-US" w:eastAsia="zh-CN"/>
        </w:rPr>
        <w:t>2万提高到12万元</w:t>
      </w:r>
      <w:r>
        <w:rPr>
          <w:rFonts w:hint="eastAsia" w:ascii="仿宋_GB2312" w:hAnsi="仿宋_GB2312" w:eastAsia="仿宋_GB2312" w:cs="仿宋_GB2312"/>
          <w:sz w:val="32"/>
          <w:szCs w:val="32"/>
          <w:lang w:eastAsia="zh-CN"/>
        </w:rPr>
        <w:t>。</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5"/>
        <w:rPr>
          <w:rFonts w:hint="default" w:ascii="黑体" w:hAnsi="黑体" w:eastAsia="仿宋" w:cs="方正小标宋简体"/>
          <w:b w:val="0"/>
          <w:bCs w:val="0"/>
          <w:kern w:val="2"/>
          <w:sz w:val="44"/>
          <w:szCs w:val="44"/>
          <w:lang w:val="en-US" w:eastAsia="zh-CN" w:bidi="ar-SA"/>
        </w:rPr>
      </w:pPr>
      <w:r>
        <w:rPr>
          <w:rStyle w:val="26"/>
          <w:rFonts w:hint="eastAsia" w:ascii="仿宋" w:hAnsi="仿宋" w:eastAsia="仿宋"/>
          <w:b w:val="0"/>
          <w:bCs w:val="0"/>
          <w:sz w:val="32"/>
          <w:szCs w:val="32"/>
        </w:rPr>
        <w:t>附件2</w:t>
      </w:r>
      <w:r>
        <w:rPr>
          <w:rStyle w:val="26"/>
          <w:rFonts w:hint="eastAsia" w:ascii="仿宋" w:hAnsi="仿宋" w:eastAsia="仿宋"/>
          <w:b w:val="0"/>
          <w:bCs w:val="0"/>
          <w:sz w:val="32"/>
          <w:szCs w:val="32"/>
          <w:lang w:val="en-US" w:eastAsia="zh-CN"/>
        </w:rPr>
        <w:t>-5</w:t>
      </w:r>
    </w:p>
    <w:p>
      <w:pPr>
        <w:spacing w:line="580" w:lineRule="exact"/>
        <w:jc w:val="center"/>
        <w:rPr>
          <w:rFonts w:ascii="黑体" w:hAnsi="黑体" w:eastAsia="黑体" w:cs="方正小标宋简体"/>
          <w:sz w:val="44"/>
          <w:szCs w:val="44"/>
        </w:rPr>
      </w:pPr>
      <w:r>
        <w:rPr>
          <w:rFonts w:hint="eastAsia" w:ascii="黑体" w:hAnsi="黑体" w:eastAsia="黑体" w:cs="方正小标宋简体"/>
          <w:b w:val="0"/>
          <w:bCs w:val="0"/>
          <w:kern w:val="2"/>
          <w:sz w:val="44"/>
          <w:szCs w:val="44"/>
          <w:lang w:val="en-US" w:eastAsia="zh-CN" w:bidi="ar-SA"/>
        </w:rPr>
        <w:t>201</w:t>
      </w:r>
      <w:r>
        <w:rPr>
          <w:rFonts w:hint="eastAsia" w:ascii="黑体" w:hAnsi="黑体" w:eastAsia="黑体" w:cs="方正小标宋简体"/>
          <w:sz w:val="44"/>
          <w:szCs w:val="44"/>
          <w:lang w:val="en-US" w:eastAsia="zh-CN"/>
        </w:rPr>
        <w:t>8年</w:t>
      </w:r>
      <w:r>
        <w:rPr>
          <w:rFonts w:hint="eastAsia" w:ascii="黑体" w:hAnsi="黑体" w:eastAsia="黑体" w:cs="方正小标宋简体"/>
          <w:b w:val="0"/>
          <w:bCs w:val="0"/>
          <w:kern w:val="2"/>
          <w:sz w:val="44"/>
          <w:szCs w:val="44"/>
          <w:lang w:val="en-US" w:eastAsia="zh-CN" w:bidi="ar-SA"/>
        </w:rPr>
        <w:t>人事代理和移交教师退休人员待遇补差项目</w:t>
      </w: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人事代理和移交教师退休人员待遇补差项目</w:t>
      </w:r>
      <w:r>
        <w:rPr>
          <w:rFonts w:hint="eastAsia" w:ascii="仿宋_GB2312" w:hAnsi="仿宋_GB2312" w:eastAsia="仿宋_GB2312" w:cs="仿宋_GB2312"/>
          <w:color w:val="000000"/>
          <w:sz w:val="32"/>
          <w:szCs w:val="32"/>
          <w:lang w:val="en-US" w:eastAsia="zh-CN"/>
        </w:rPr>
        <w:t>经费来源于财政拨款，该项目投资</w:t>
      </w:r>
      <w:r>
        <w:rPr>
          <w:rFonts w:hint="eastAsia" w:ascii="仿宋_GB2312" w:eastAsia="仿宋_GB2312"/>
          <w:sz w:val="32"/>
          <w:szCs w:val="32"/>
          <w:lang w:val="en-US" w:eastAsia="zh-CN"/>
        </w:rPr>
        <w:t>439.8</w:t>
      </w:r>
      <w:r>
        <w:rPr>
          <w:rFonts w:hint="eastAsia" w:ascii="仿宋_GB2312" w:hAnsi="仿宋_GB2312" w:eastAsia="仿宋_GB2312" w:cs="仿宋_GB2312"/>
          <w:color w:val="000000"/>
          <w:sz w:val="32"/>
          <w:szCs w:val="32"/>
          <w:lang w:val="en-US" w:eastAsia="zh-CN"/>
        </w:rPr>
        <w:t>万元，主要财政、社保对移交教师、人事代理等人员的待遇补差。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（一）评价结论</w:t>
      </w:r>
      <w:r>
        <w:rPr>
          <w:rFonts w:hint="eastAsia" w:ascii="仿宋" w:hAnsi="仿宋" w:eastAsia="仿宋"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该项目严格按照年初制定的评价指标实施，按时保质保量完成项目，通过项目实施，保障了287名人事代理工资正常发放。</w:t>
      </w:r>
      <w:r>
        <w:rPr>
          <w:rFonts w:hint="eastAsia" w:ascii="仿宋_GB2312" w:eastAsia="仿宋_GB2312"/>
          <w:sz w:val="32"/>
          <w:szCs w:val="32"/>
        </w:rPr>
        <w:t>该经费资金到位及时，支出合理合规，设立依据充分，并且目标明确，符合我</w:t>
      </w:r>
      <w:r>
        <w:rPr>
          <w:rFonts w:hint="eastAsia" w:ascii="仿宋_GB2312" w:eastAsia="仿宋_GB2312"/>
          <w:sz w:val="32"/>
          <w:szCs w:val="32"/>
          <w:lang w:eastAsia="zh-CN"/>
        </w:rPr>
        <w:t>局</w:t>
      </w:r>
      <w:r>
        <w:rPr>
          <w:rFonts w:hint="eastAsia" w:ascii="仿宋_GB2312" w:eastAsia="仿宋_GB2312"/>
          <w:sz w:val="32"/>
          <w:szCs w:val="32"/>
        </w:rPr>
        <w:t>要求。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人事代理和移交教师退休人员待遇补差项目项目实施，按照相关文件政策规定，按照工作任务安排，合理设置项目内容，细化绩效目标考核，按照绩效目标进行监督实施，操作性强。该项目保障了</w:t>
      </w:r>
      <w:r>
        <w:rPr>
          <w:rFonts w:hint="eastAsia" w:ascii="仿宋_GB2312" w:eastAsia="仿宋_GB2312"/>
          <w:sz w:val="32"/>
          <w:szCs w:val="32"/>
          <w:lang w:val="en-US" w:eastAsia="zh-CN"/>
        </w:rPr>
        <w:t>287名人事代理退休人员正常养老金的发放。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人事代理和移交教师退休人员待遇补差项目</w:t>
      </w:r>
      <w:r>
        <w:rPr>
          <w:rFonts w:hint="eastAsia" w:ascii="仿宋_GB2312" w:eastAsia="仿宋_GB2312"/>
          <w:sz w:val="32"/>
          <w:szCs w:val="32"/>
          <w:lang w:eastAsia="zh-CN"/>
        </w:rPr>
        <w:t>，上级拨付资金为</w:t>
      </w:r>
      <w:r>
        <w:rPr>
          <w:rFonts w:hint="eastAsia" w:ascii="仿宋_GB2312" w:eastAsia="仿宋_GB2312"/>
          <w:sz w:val="32"/>
          <w:szCs w:val="32"/>
          <w:lang w:val="en-US" w:eastAsia="zh-CN"/>
        </w:rPr>
        <w:t>439.8</w:t>
      </w:r>
      <w:r>
        <w:rPr>
          <w:rFonts w:hint="eastAsia" w:ascii="仿宋_GB2312" w:eastAsia="仿宋_GB2312"/>
          <w:sz w:val="32"/>
          <w:szCs w:val="32"/>
          <w:lang w:eastAsia="zh-CN"/>
        </w:rPr>
        <w:t>万元，财政直接支付</w:t>
      </w:r>
      <w:r>
        <w:rPr>
          <w:rFonts w:hint="eastAsia" w:ascii="仿宋_GB2312" w:eastAsia="仿宋_GB2312"/>
          <w:sz w:val="32"/>
          <w:szCs w:val="32"/>
          <w:lang w:val="en-US" w:eastAsia="zh-CN"/>
        </w:rPr>
        <w:t>439.8</w:t>
      </w:r>
      <w:r>
        <w:rPr>
          <w:rFonts w:hint="eastAsia" w:ascii="仿宋_GB2312" w:eastAsia="仿宋_GB2312"/>
          <w:sz w:val="32"/>
          <w:szCs w:val="32"/>
          <w:lang w:eastAsia="zh-CN"/>
        </w:rPr>
        <w:t>万。专项资金实行规范化管理，专款专用，按规定程序拨付使用，严格执行政策，手续完备。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项目目标完成情况良好，数量指标、质量指标、时效指标、成本指标、社会效益指标、可持续影响指标、满意度指标，均已达标，项目取得了良好的社会效益</w:t>
      </w:r>
      <w:r>
        <w:rPr>
          <w:rFonts w:hint="eastAsia" w:ascii="仿宋_GB2312" w:eastAsia="仿宋_GB2312"/>
          <w:sz w:val="32"/>
          <w:szCs w:val="32"/>
          <w:lang w:eastAsia="zh-CN"/>
        </w:rPr>
        <w:t>。</w:t>
      </w:r>
    </w:p>
    <w:p>
      <w:pPr>
        <w:spacing w:line="580" w:lineRule="exact"/>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000000"/>
          <w:sz w:val="32"/>
          <w:szCs w:val="32"/>
          <w:lang w:val="en-US" w:eastAsia="zh-CN"/>
        </w:rPr>
        <w:t>通过项目实施，保障了83名人事代理退休人员财政补差和204移交教师退休人员财政补差</w:t>
      </w:r>
      <w:r>
        <w:rPr>
          <w:rFonts w:hint="eastAsia" w:ascii="仿宋_GB2312" w:eastAsia="仿宋_GB2312"/>
          <w:sz w:val="32"/>
          <w:szCs w:val="32"/>
          <w:lang w:val="en-US" w:eastAsia="zh-CN"/>
        </w:rPr>
        <w:t>，解决了人事代理退休人员最关心的问题，使其满意度达100%。</w:t>
      </w:r>
    </w:p>
    <w:p>
      <w:pPr>
        <w:numPr>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本项目为长期固定项目，此项目本年度为我单位打报告争取资金，应纳入年初预算。</w:t>
      </w:r>
    </w:p>
    <w:p>
      <w:pPr>
        <w:numPr>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四、</w:t>
      </w:r>
      <w:bookmarkStart w:id="76" w:name="_GoBack"/>
      <w:bookmarkEnd w:id="76"/>
      <w:r>
        <w:rPr>
          <w:rFonts w:ascii="仿宋" w:hAnsi="仿宋" w:eastAsia="仿宋" w:cs="仿宋_GB2312"/>
          <w:sz w:val="32"/>
          <w:szCs w:val="32"/>
        </w:rPr>
        <w:t>相关措施建议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建议纳入年初预算。</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2"/>
        <w:rPr>
          <w:rFonts w:hint="eastAsia"/>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5"/>
        <w:rPr>
          <w:rFonts w:ascii="仿宋" w:hAnsi="仿宋" w:eastAsia="仿宋"/>
          <w:color w:val="000000"/>
        </w:rPr>
      </w:pPr>
      <w:bookmarkStart w:id="6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pPr>
        <w:pStyle w:val="5"/>
        <w:rPr>
          <w:rFonts w:ascii="仿宋" w:hAnsi="仿宋" w:eastAsia="仿宋"/>
          <w:color w:val="000000"/>
        </w:rPr>
      </w:pPr>
      <w:bookmarkStart w:id="64"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4"/>
    </w:p>
    <w:p>
      <w:pPr>
        <w:pStyle w:val="5"/>
        <w:rPr>
          <w:rFonts w:ascii="仿宋" w:hAnsi="仿宋" w:eastAsia="仿宋"/>
          <w:color w:val="000000"/>
        </w:rPr>
      </w:pPr>
      <w:bookmarkStart w:id="6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5"/>
    </w:p>
    <w:p>
      <w:pPr>
        <w:pStyle w:val="5"/>
        <w:rPr>
          <w:rFonts w:ascii="仿宋" w:hAnsi="仿宋" w:eastAsia="仿宋"/>
          <w:b w:val="0"/>
          <w:color w:val="000000"/>
        </w:rPr>
      </w:pPr>
      <w:bookmarkStart w:id="66"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pPr>
        <w:pStyle w:val="5"/>
        <w:rPr>
          <w:rFonts w:ascii="仿宋" w:hAnsi="仿宋" w:eastAsia="仿宋"/>
          <w:color w:val="000000"/>
        </w:rPr>
      </w:pPr>
      <w:bookmarkStart w:id="6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7"/>
    </w:p>
    <w:p>
      <w:pPr>
        <w:pStyle w:val="5"/>
        <w:rPr>
          <w:rFonts w:ascii="仿宋" w:hAnsi="仿宋" w:eastAsia="仿宋"/>
          <w:color w:val="000000"/>
        </w:rPr>
      </w:pPr>
      <w:bookmarkStart w:id="68"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pPr>
        <w:pStyle w:val="5"/>
        <w:rPr>
          <w:rFonts w:ascii="仿宋" w:hAnsi="仿宋" w:eastAsia="仿宋"/>
          <w:color w:val="000000"/>
        </w:rPr>
      </w:pPr>
      <w:bookmarkStart w:id="69"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pPr>
        <w:pStyle w:val="5"/>
        <w:rPr>
          <w:rFonts w:ascii="仿宋" w:hAnsi="仿宋" w:eastAsia="仿宋"/>
          <w:color w:val="000000"/>
        </w:rPr>
      </w:pPr>
      <w:bookmarkStart w:id="7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pPr>
        <w:pStyle w:val="5"/>
        <w:rPr>
          <w:rFonts w:ascii="仿宋" w:hAnsi="仿宋" w:eastAsia="仿宋"/>
          <w:color w:val="000000"/>
        </w:rPr>
      </w:pPr>
      <w:bookmarkStart w:id="7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pPr>
        <w:pStyle w:val="5"/>
        <w:rPr>
          <w:rFonts w:ascii="仿宋" w:hAnsi="仿宋" w:eastAsia="仿宋"/>
          <w:color w:val="000000"/>
        </w:rPr>
      </w:pPr>
      <w:bookmarkStart w:id="72"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pPr>
        <w:pStyle w:val="5"/>
        <w:rPr>
          <w:rFonts w:ascii="仿宋" w:hAnsi="仿宋" w:eastAsia="仿宋"/>
          <w:color w:val="000000"/>
        </w:rPr>
      </w:pPr>
      <w:bookmarkStart w:id="73"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3"/>
    </w:p>
    <w:p>
      <w:pPr>
        <w:pStyle w:val="5"/>
        <w:rPr>
          <w:rFonts w:ascii="仿宋" w:hAnsi="仿宋" w:eastAsia="仿宋"/>
          <w:color w:val="000000"/>
        </w:rPr>
      </w:pPr>
      <w:bookmarkStart w:id="74"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4"/>
    </w:p>
    <w:p>
      <w:pPr>
        <w:pStyle w:val="5"/>
        <w:rPr>
          <w:rFonts w:ascii="仿宋" w:hAnsi="仿宋" w:eastAsia="仿宋"/>
          <w:color w:val="000000" w:themeColor="text1"/>
          <w14:textFill>
            <w14:solidFill>
              <w14:schemeClr w14:val="tx1"/>
            </w14:solidFill>
          </w14:textFill>
        </w:rPr>
      </w:pPr>
      <w:bookmarkStart w:id="75"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10</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40F5"/>
    <w:multiLevelType w:val="singleLevel"/>
    <w:tmpl w:val="AC3840F5"/>
    <w:lvl w:ilvl="0" w:tentative="0">
      <w:start w:val="2"/>
      <w:numFmt w:val="chineseCounting"/>
      <w:suff w:val="nothing"/>
      <w:lvlText w:val="（%1）"/>
      <w:lvlJc w:val="left"/>
      <w:rPr>
        <w:rFonts w:hint="eastAsia"/>
      </w:rPr>
    </w:lvl>
  </w:abstractNum>
  <w:abstractNum w:abstractNumId="1">
    <w:nsid w:val="BE6AA684"/>
    <w:multiLevelType w:val="singleLevel"/>
    <w:tmpl w:val="BE6AA684"/>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117964"/>
    <w:rsid w:val="0D26413D"/>
    <w:rsid w:val="0D9976DB"/>
    <w:rsid w:val="0EE16267"/>
    <w:rsid w:val="10C055FF"/>
    <w:rsid w:val="11515402"/>
    <w:rsid w:val="16BB723D"/>
    <w:rsid w:val="16C44D9C"/>
    <w:rsid w:val="207910FB"/>
    <w:rsid w:val="240371BF"/>
    <w:rsid w:val="24554276"/>
    <w:rsid w:val="252F15BB"/>
    <w:rsid w:val="269D459A"/>
    <w:rsid w:val="26B1515B"/>
    <w:rsid w:val="29FD04D3"/>
    <w:rsid w:val="2A8D6D4B"/>
    <w:rsid w:val="2B5515A2"/>
    <w:rsid w:val="2F730555"/>
    <w:rsid w:val="319F7F4E"/>
    <w:rsid w:val="35373CC0"/>
    <w:rsid w:val="359C6B54"/>
    <w:rsid w:val="3C677B5D"/>
    <w:rsid w:val="414138BB"/>
    <w:rsid w:val="44274269"/>
    <w:rsid w:val="448D267C"/>
    <w:rsid w:val="453D74B2"/>
    <w:rsid w:val="48C90E8C"/>
    <w:rsid w:val="4BA743AE"/>
    <w:rsid w:val="4F2D2DBF"/>
    <w:rsid w:val="53436BC1"/>
    <w:rsid w:val="535761CF"/>
    <w:rsid w:val="58694B2A"/>
    <w:rsid w:val="59440C75"/>
    <w:rsid w:val="671E6A87"/>
    <w:rsid w:val="6E91211E"/>
    <w:rsid w:val="71A95A8C"/>
    <w:rsid w:val="73045322"/>
    <w:rsid w:val="76E2064D"/>
    <w:rsid w:val="77F02FB6"/>
    <w:rsid w:val="7F6B79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unhideWhenUsed/>
    <w:qFormat/>
    <w:uiPriority w:val="99"/>
    <w:rPr>
      <w:sz w:val="18"/>
      <w:szCs w:val="18"/>
    </w:rPr>
  </w:style>
  <w:style w:type="paragraph" w:styleId="10">
    <w:name w:val="footer"/>
    <w:basedOn w:val="1"/>
    <w:link w:val="21"/>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Documents%20and%20Settings\Administrator\&#26700;&#38754;\2017&#21150;&#20844;\&#39044;&#20915;&#31639;\2018&#24180;&#20915;&#31639;\2018&#20915;&#31639;\&#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Documents%20and%20Settings\Administrator\&#26700;&#38754;\2017&#21150;&#20844;\&#39044;&#20915;&#31639;\2018&#24180;&#20915;&#31639;\2018&#20915;&#31639;\&#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Documents%20and%20Settings\Administrator\&#26700;&#38754;\2017&#21150;&#20844;\&#39044;&#20915;&#31639;\2018&#24180;&#20915;&#31639;\2018&#20915;&#31639;\&#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Documents%20and%20Settings\Administrator\&#26700;&#38754;\2017&#21150;&#20844;\&#39044;&#20915;&#31639;\2018&#24180;&#20915;&#31639;\2018&#20915;&#31639;\&#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2017&#21150;&#20844;\&#39044;&#20915;&#31639;\2018&#24180;&#20915;&#31639;\2018&#20915;&#31639;\&#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2017&#21150;&#20844;\&#39044;&#20915;&#31639;\2018&#24180;&#20915;&#31639;\2018&#20915;&#31639;\&#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Documents%20and%20Settings\Administrator\&#26700;&#38754;\2017&#21150;&#20844;\&#39044;&#20915;&#31639;\2018&#24180;&#20915;&#31639;\2018&#20915;&#31639;\&#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工作表.xls]Sheet2'!$H$11</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工作表.xls]Sheet2'!$I$10:$J$10</c:f>
              <c:strCache>
                <c:ptCount val="2"/>
                <c:pt idx="0">
                  <c:v>收入</c:v>
                </c:pt>
                <c:pt idx="1">
                  <c:v>支出</c:v>
                </c:pt>
              </c:strCache>
            </c:strRef>
          </c:cat>
          <c:val>
            <c:numRef>
              <c:f>'[新建 XLS 工作表.xls]Sheet2'!$I$11:$J$11</c:f>
              <c:numCache>
                <c:formatCode>General</c:formatCode>
                <c:ptCount val="2"/>
                <c:pt idx="0">
                  <c:v>4648.7</c:v>
                </c:pt>
                <c:pt idx="1">
                  <c:v>4494.49</c:v>
                </c:pt>
              </c:numCache>
            </c:numRef>
          </c:val>
        </c:ser>
        <c:ser>
          <c:idx val="1"/>
          <c:order val="1"/>
          <c:tx>
            <c:strRef>
              <c:f>'[新建 XLS 工作表.xls]Sheet2'!$H$12</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工作表.xls]Sheet2'!$I$10:$J$10</c:f>
              <c:strCache>
                <c:ptCount val="2"/>
                <c:pt idx="0">
                  <c:v>收入</c:v>
                </c:pt>
                <c:pt idx="1">
                  <c:v>支出</c:v>
                </c:pt>
              </c:strCache>
            </c:strRef>
          </c:cat>
          <c:val>
            <c:numRef>
              <c:f>'[新建 XLS 工作表.xls]Sheet2'!$I$12:$J$12</c:f>
              <c:numCache>
                <c:formatCode>General</c:formatCode>
                <c:ptCount val="2"/>
                <c:pt idx="0">
                  <c:v>3945.16</c:v>
                </c:pt>
                <c:pt idx="1">
                  <c:v>3712.4</c:v>
                </c:pt>
              </c:numCache>
            </c:numRef>
          </c:val>
        </c:ser>
        <c:dLbls>
          <c:showLegendKey val="0"/>
          <c:showVal val="1"/>
          <c:showCatName val="0"/>
          <c:showSerName val="0"/>
          <c:showPercent val="0"/>
          <c:showBubbleSize val="0"/>
        </c:dLbls>
        <c:gapWidth val="150"/>
        <c:overlap val="0"/>
        <c:axId val="898451525"/>
        <c:axId val="308531680"/>
      </c:barChart>
      <c:catAx>
        <c:axId val="898451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531680"/>
        <c:crosses val="autoZero"/>
        <c:auto val="1"/>
        <c:lblAlgn val="ctr"/>
        <c:lblOffset val="100"/>
        <c:noMultiLvlLbl val="0"/>
      </c:catAx>
      <c:valAx>
        <c:axId val="30853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451525"/>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年收入</a:t>
            </a:r>
            <a:endParaRPr altLang="en-US"/>
          </a:p>
        </c:rich>
      </c:tx>
      <c:layout/>
      <c:overlay val="0"/>
      <c:spPr>
        <a:noFill/>
        <a:ln>
          <a:noFill/>
        </a:ln>
        <a:effectLst/>
      </c:spPr>
    </c:title>
    <c:autoTitleDeleted val="0"/>
    <c:plotArea>
      <c:layout/>
      <c:pieChart>
        <c:varyColors val="1"/>
        <c:ser>
          <c:idx val="0"/>
          <c:order val="0"/>
          <c:spPr/>
          <c:explosion val="0"/>
          <c:dPt>
            <c:idx val="0"/>
            <c:bubble3D val="0"/>
            <c:explosion val="3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工作表.xls]Sheet1'!$B$9:$B$10</c:f>
              <c:strCache>
                <c:ptCount val="2"/>
                <c:pt idx="0">
                  <c:v>一般公共预算收入</c:v>
                </c:pt>
                <c:pt idx="1">
                  <c:v>其他收入</c:v>
                </c:pt>
              </c:strCache>
            </c:strRef>
          </c:cat>
          <c:val>
            <c:numRef>
              <c:f>'[新建 XLS 工作表.xls]Sheet1'!$C$9:$C$10</c:f>
              <c:numCache>
                <c:formatCode>General</c:formatCode>
                <c:ptCount val="2"/>
                <c:pt idx="0">
                  <c:v>3854.6</c:v>
                </c:pt>
                <c:pt idx="1">
                  <c:v>90.56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年总支出</a:t>
            </a:r>
            <a:endParaRPr altLang="en-US"/>
          </a:p>
        </c:rich>
      </c:tx>
      <c:layout/>
      <c:overlay val="0"/>
      <c:spPr>
        <a:noFill/>
        <a:ln>
          <a:noFill/>
        </a:ln>
        <a:effectLst/>
      </c:spPr>
    </c:title>
    <c:autoTitleDeleted val="0"/>
    <c:plotArea>
      <c:layout>
        <c:manualLayout>
          <c:layoutTarget val="inner"/>
          <c:xMode val="edge"/>
          <c:yMode val="edge"/>
          <c:x val="0.0928510998307953"/>
          <c:y val="0.243069740297636"/>
          <c:w val="0.516497461928934"/>
          <c:h val="0.712576597607237"/>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工作表.xls]Sheet1'!$F$9:$F$10</c:f>
              <c:strCache>
                <c:ptCount val="2"/>
                <c:pt idx="0">
                  <c:v>基本支出</c:v>
                </c:pt>
                <c:pt idx="1">
                  <c:v>项目支出</c:v>
                </c:pt>
              </c:strCache>
            </c:strRef>
          </c:cat>
          <c:val>
            <c:numRef>
              <c:f>'[新建 XLS 工作表.xls]Sheet1'!$G$9:$G$10</c:f>
              <c:numCache>
                <c:formatCode>General</c:formatCode>
                <c:ptCount val="2"/>
                <c:pt idx="0">
                  <c:v>2364.03</c:v>
                </c:pt>
                <c:pt idx="1">
                  <c:v>1348.36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工作表.xls]Sheet2'!$H$11</c:f>
              <c:strCache>
                <c:ptCount val="1"/>
                <c:pt idx="0">
                  <c:v>2017年</c:v>
                </c:pt>
              </c:strCache>
            </c:strRef>
          </c:tx>
          <c:spPr>
            <a:solidFill>
              <a:schemeClr val="accent2">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工作表.xls]Sheet2'!$I$10:$J$10</c:f>
              <c:strCache>
                <c:ptCount val="2"/>
                <c:pt idx="0">
                  <c:v>财政拨款收入</c:v>
                </c:pt>
                <c:pt idx="1">
                  <c:v>财政拨款支出</c:v>
                </c:pt>
              </c:strCache>
            </c:strRef>
          </c:cat>
          <c:val>
            <c:numRef>
              <c:f>'[新建 XLS 工作表.xls]Sheet2'!$I$11:$J$11</c:f>
              <c:numCache>
                <c:formatCode>General</c:formatCode>
                <c:ptCount val="2"/>
                <c:pt idx="0">
                  <c:v>4648.7</c:v>
                </c:pt>
                <c:pt idx="1">
                  <c:v>4494.49</c:v>
                </c:pt>
              </c:numCache>
            </c:numRef>
          </c:val>
        </c:ser>
        <c:ser>
          <c:idx val="1"/>
          <c:order val="1"/>
          <c:tx>
            <c:strRef>
              <c:f>'[新建 XLS 工作表.xls]Sheet2'!$H$12</c:f>
              <c:strCache>
                <c:ptCount val="1"/>
                <c:pt idx="0">
                  <c:v>2018年</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工作表.xls]Sheet2'!$I$10:$J$10</c:f>
              <c:strCache>
                <c:ptCount val="2"/>
                <c:pt idx="0">
                  <c:v>财政拨款收入</c:v>
                </c:pt>
                <c:pt idx="1">
                  <c:v>财政拨款支出</c:v>
                </c:pt>
              </c:strCache>
            </c:strRef>
          </c:cat>
          <c:val>
            <c:numRef>
              <c:f>'[新建 XLS 工作表.xls]Sheet2'!$I$12:$J$12</c:f>
              <c:numCache>
                <c:formatCode>General</c:formatCode>
                <c:ptCount val="2"/>
                <c:pt idx="0">
                  <c:v>3945.16</c:v>
                </c:pt>
                <c:pt idx="1">
                  <c:v>3712.4</c:v>
                </c:pt>
              </c:numCache>
            </c:numRef>
          </c:val>
        </c:ser>
        <c:dLbls>
          <c:showLegendKey val="0"/>
          <c:showVal val="1"/>
          <c:showCatName val="0"/>
          <c:showSerName val="0"/>
          <c:showPercent val="0"/>
          <c:showBubbleSize val="0"/>
        </c:dLbls>
        <c:gapWidth val="150"/>
        <c:overlap val="0"/>
        <c:axId val="898451525"/>
        <c:axId val="308531680"/>
      </c:barChart>
      <c:catAx>
        <c:axId val="898451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531680"/>
        <c:crosses val="autoZero"/>
        <c:auto val="1"/>
        <c:lblAlgn val="ctr"/>
        <c:lblOffset val="100"/>
        <c:noMultiLvlLbl val="0"/>
      </c:catAx>
      <c:valAx>
        <c:axId val="30853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451525"/>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24010242269057"/>
          <c:y val="0.263785394932936"/>
          <c:w val="0.832657080953319"/>
          <c:h val="0.53591654247392"/>
        </c:manualLayout>
      </c:layout>
      <c:barChart>
        <c:barDir val="col"/>
        <c:grouping val="clustered"/>
        <c:varyColors val="0"/>
        <c:ser>
          <c:idx val="0"/>
          <c:order val="0"/>
          <c:tx>
            <c:strRef>
              <c:f>'[新建 XLS 工作表.xls]Sheet1'!$C$19</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 工作表.xls]Sheet1'!$B$20:$B$21</c:f>
              <c:numCache>
                <c:formatCode>General</c:formatCode>
                <c:ptCount val="2"/>
                <c:pt idx="0">
                  <c:v>2017</c:v>
                </c:pt>
                <c:pt idx="1">
                  <c:v>2018</c:v>
                </c:pt>
              </c:numCache>
            </c:numRef>
          </c:cat>
          <c:val>
            <c:numRef>
              <c:f>'[新建 XLS 工作表.xls]Sheet1'!$C$20:$C$21</c:f>
              <c:numCache>
                <c:formatCode>General</c:formatCode>
                <c:ptCount val="2"/>
                <c:pt idx="0">
                  <c:v>4370.52</c:v>
                </c:pt>
                <c:pt idx="1">
                  <c:v>3621.84</c:v>
                </c:pt>
              </c:numCache>
            </c:numRef>
          </c:val>
        </c:ser>
        <c:dLbls>
          <c:showLegendKey val="0"/>
          <c:showVal val="1"/>
          <c:showCatName val="0"/>
          <c:showSerName val="0"/>
          <c:showPercent val="0"/>
          <c:showBubbleSize val="0"/>
        </c:dLbls>
        <c:gapWidth val="150"/>
        <c:overlap val="0"/>
        <c:axId val="148803248"/>
        <c:axId val="899216488"/>
      </c:barChart>
      <c:catAx>
        <c:axId val="1488032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9216488"/>
        <c:crosses val="autoZero"/>
        <c:auto val="1"/>
        <c:lblAlgn val="ctr"/>
        <c:lblOffset val="100"/>
        <c:noMultiLvlLbl val="0"/>
      </c:catAx>
      <c:valAx>
        <c:axId val="899216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80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工作表.xls]Sheet4'!$B$1:$B$5</c:f>
              <c:strCache>
                <c:ptCount val="5"/>
                <c:pt idx="0">
                  <c:v>一般公共服务支出</c:v>
                </c:pt>
                <c:pt idx="1">
                  <c:v>社会保障和就业支出</c:v>
                </c:pt>
                <c:pt idx="2">
                  <c:v>医疗卫生与计划生育支出</c:v>
                </c:pt>
                <c:pt idx="3">
                  <c:v>农林水支出</c:v>
                </c:pt>
                <c:pt idx="4">
                  <c:v>住房保障支出</c:v>
                </c:pt>
              </c:strCache>
            </c:strRef>
          </c:cat>
          <c:val>
            <c:numRef>
              <c:f>'[新建 XLS 工作表.xls]Sheet4'!$C$1:$C$5</c:f>
              <c:numCache>
                <c:formatCode>General</c:formatCode>
                <c:ptCount val="5"/>
                <c:pt idx="0">
                  <c:v>82.6</c:v>
                </c:pt>
                <c:pt idx="1">
                  <c:v>3169.73</c:v>
                </c:pt>
                <c:pt idx="2">
                  <c:v>94.57</c:v>
                </c:pt>
                <c:pt idx="3">
                  <c:v>155.38</c:v>
                </c:pt>
                <c:pt idx="4">
                  <c:v>119.58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6"/>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工作表.xls]Sheet9'!$A$1:$A$3</c:f>
              <c:strCache>
                <c:ptCount val="3"/>
                <c:pt idx="0">
                  <c:v>因公出国（境）费</c:v>
                </c:pt>
                <c:pt idx="1">
                  <c:v>公务用车购置及运行维护费</c:v>
                </c:pt>
                <c:pt idx="2">
                  <c:v>公务接待费</c:v>
                </c:pt>
              </c:strCache>
            </c:strRef>
          </c:cat>
          <c:val>
            <c:numRef>
              <c:f>'[新建 XLS 工作表.xls]Sheet9'!$B$1:$B$3</c:f>
              <c:numCache>
                <c:formatCode>General</c:formatCode>
                <c:ptCount val="3"/>
                <c:pt idx="0">
                  <c:v>0</c:v>
                </c:pt>
                <c:pt idx="1">
                  <c:v>0</c:v>
                </c:pt>
                <c:pt idx="2">
                  <c:v>7.07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148</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猴子1386834175</cp:lastModifiedBy>
  <cp:lastPrinted>2019-08-01T00:48:00Z</cp:lastPrinted>
  <dcterms:modified xsi:type="dcterms:W3CDTF">2019-09-10T09:32:18Z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