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425"/>
      <w:bookmarkStart w:id="3" w:name="_Toc15396597"/>
      <w:bookmarkStart w:id="4" w:name="_Toc15377193"/>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8442"/>
      <w:bookmarkStart w:id="8" w:name="_Toc15396476"/>
      <w:bookmarkStart w:id="9" w:name="_Toc15396598"/>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广元市利州区人民政府应急管理办公室</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4"/>
      </w:pPr>
      <w:r>
        <w:rPr>
          <w:rFonts w:hint="eastAsia"/>
        </w:rPr>
        <w:t>公开时间：2019年8月29日</w:t>
      </w:r>
    </w:p>
    <w:p/>
    <w:p>
      <w:pPr>
        <w:pStyle w:val="14"/>
        <w:rPr>
          <w:rFonts w:cstheme="minorBidi"/>
        </w:rPr>
      </w:pPr>
      <w:r>
        <w:fldChar w:fldCharType="begin"/>
      </w:r>
      <w:r>
        <w:instrText xml:space="preserve"> HYPERLINK \l "_Toc15396599" </w:instrText>
      </w:r>
      <w:r>
        <w:fldChar w:fldCharType="separate"/>
      </w:r>
      <w:r>
        <w:rPr>
          <w:rStyle w:val="19"/>
          <w:rFonts w:hint="eastAsia"/>
        </w:rPr>
        <w:t>第一部分</w:t>
      </w:r>
      <w:r>
        <w:rPr>
          <w:rStyle w:val="19"/>
        </w:rPr>
        <w:t xml:space="preserve"> </w:t>
      </w:r>
      <w:r>
        <w:rPr>
          <w:rStyle w:val="19"/>
          <w:rFonts w:hint="eastAsia"/>
        </w:rPr>
        <w:t>部门概况</w:t>
      </w:r>
      <w:r>
        <w:tab/>
      </w:r>
      <w:r>
        <w:rPr>
          <w:rFonts w:hint="eastAsia"/>
        </w:rPr>
        <w:t>4</w:t>
      </w:r>
      <w:r>
        <w:rPr>
          <w:rFonts w:hint="eastAsia"/>
        </w:rPr>
        <w:fldChar w:fldCharType="end"/>
      </w:r>
    </w:p>
    <w:p>
      <w:pPr>
        <w:pStyle w:val="15"/>
        <w:rPr>
          <w:rFonts w:ascii="仿宋" w:hAnsi="仿宋" w:eastAsia="仿宋" w:cstheme="minorBidi"/>
          <w:sz w:val="28"/>
          <w:szCs w:val="28"/>
        </w:rPr>
      </w:pPr>
      <w:r>
        <w:fldChar w:fldCharType="begin"/>
      </w:r>
      <w:r>
        <w:instrText xml:space="preserve"> HYPERLINK \l "_Toc15396600" </w:instrText>
      </w:r>
      <w:r>
        <w:fldChar w:fldCharType="separate"/>
      </w:r>
      <w:r>
        <w:rPr>
          <w:rStyle w:val="19"/>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5"/>
        <w:rPr>
          <w:rFonts w:ascii="仿宋" w:hAnsi="仿宋" w:eastAsia="仿宋" w:cstheme="minorBidi"/>
          <w:sz w:val="28"/>
          <w:szCs w:val="28"/>
        </w:rPr>
      </w:pPr>
      <w:r>
        <w:fldChar w:fldCharType="begin"/>
      </w:r>
      <w:r>
        <w:instrText xml:space="preserve"> HYPERLINK \l "_Toc15396601" </w:instrText>
      </w:r>
      <w:r>
        <w:fldChar w:fldCharType="separate"/>
      </w:r>
      <w:r>
        <w:rPr>
          <w:rStyle w:val="19"/>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4"/>
      </w:pPr>
      <w:r>
        <w:fldChar w:fldCharType="begin"/>
      </w:r>
      <w:r>
        <w:instrText xml:space="preserve"> HYPERLINK \l "_Toc15396602" </w:instrText>
      </w:r>
      <w:r>
        <w:fldChar w:fldCharType="separate"/>
      </w:r>
      <w:r>
        <w:rPr>
          <w:rStyle w:val="19"/>
          <w:rFonts w:hint="eastAsia"/>
        </w:rPr>
        <w:t>第二部分</w:t>
      </w:r>
      <w:r>
        <w:rPr>
          <w:rStyle w:val="19"/>
        </w:rPr>
        <w:t xml:space="preserve"> 2018</w:t>
      </w:r>
      <w:r>
        <w:rPr>
          <w:rStyle w:val="19"/>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5"/>
        <w:rPr>
          <w:rFonts w:ascii="仿宋" w:hAnsi="仿宋" w:eastAsia="仿宋" w:cstheme="minorBidi"/>
          <w:sz w:val="28"/>
          <w:szCs w:val="28"/>
        </w:rPr>
      </w:pPr>
      <w:r>
        <w:fldChar w:fldCharType="begin"/>
      </w:r>
      <w:r>
        <w:instrText xml:space="preserve"> HYPERLINK \l "_Toc15396603" </w:instrText>
      </w:r>
      <w:r>
        <w:fldChar w:fldCharType="separate"/>
      </w:r>
      <w:r>
        <w:rPr>
          <w:rStyle w:val="19"/>
          <w:rFonts w:hint="eastAsia" w:ascii="仿宋" w:hAnsi="仿宋" w:eastAsia="仿宋" w:cstheme="majorBidi"/>
          <w:bCs/>
          <w:sz w:val="28"/>
          <w:szCs w:val="28"/>
        </w:rPr>
        <w:t>一、</w:t>
      </w:r>
      <w:r>
        <w:rPr>
          <w:rStyle w:val="19"/>
          <w:rFonts w:hint="eastAsia" w:ascii="仿宋" w:hAnsi="仿宋" w:eastAsia="仿宋"/>
          <w:sz w:val="28"/>
          <w:szCs w:val="28"/>
        </w:rPr>
        <w:t>收</w:t>
      </w:r>
      <w:r>
        <w:rPr>
          <w:rStyle w:val="19"/>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cstheme="minorBidi"/>
          <w:sz w:val="28"/>
          <w:szCs w:val="28"/>
        </w:rPr>
      </w:pPr>
      <w:r>
        <w:fldChar w:fldCharType="begin"/>
      </w:r>
      <w:r>
        <w:instrText xml:space="preserve"> HYPERLINK \l "_Toc15396604" </w:instrText>
      </w:r>
      <w:r>
        <w:fldChar w:fldCharType="separate"/>
      </w:r>
      <w:r>
        <w:rPr>
          <w:rStyle w:val="19"/>
          <w:rFonts w:hint="eastAsia" w:ascii="仿宋" w:hAnsi="仿宋" w:eastAsia="仿宋" w:cstheme="majorBidi"/>
          <w:bCs/>
          <w:sz w:val="28"/>
          <w:szCs w:val="28"/>
        </w:rPr>
        <w:t>二、</w:t>
      </w:r>
      <w:r>
        <w:rPr>
          <w:rStyle w:val="19"/>
          <w:rFonts w:hint="eastAsia" w:ascii="仿宋" w:hAnsi="仿宋" w:eastAsia="仿宋"/>
          <w:sz w:val="28"/>
          <w:szCs w:val="28"/>
        </w:rPr>
        <w:t>收</w:t>
      </w:r>
      <w:r>
        <w:rPr>
          <w:rStyle w:val="19"/>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cstheme="minorBidi"/>
          <w:sz w:val="28"/>
          <w:szCs w:val="28"/>
        </w:rPr>
      </w:pPr>
      <w:r>
        <w:fldChar w:fldCharType="begin"/>
      </w:r>
      <w:r>
        <w:instrText xml:space="preserve"> HYPERLINK \l "_Toc15396605" </w:instrText>
      </w:r>
      <w:r>
        <w:fldChar w:fldCharType="separate"/>
      </w:r>
      <w:r>
        <w:rPr>
          <w:rStyle w:val="19"/>
          <w:rFonts w:hint="eastAsia" w:ascii="仿宋" w:hAnsi="仿宋" w:eastAsia="仿宋" w:cstheme="majorBidi"/>
          <w:bCs/>
          <w:sz w:val="28"/>
          <w:szCs w:val="28"/>
        </w:rPr>
        <w:t>三、</w:t>
      </w:r>
      <w:r>
        <w:rPr>
          <w:rStyle w:val="19"/>
          <w:rFonts w:hint="eastAsia" w:ascii="仿宋" w:hAnsi="仿宋" w:eastAsia="仿宋"/>
          <w:sz w:val="28"/>
          <w:szCs w:val="28"/>
        </w:rPr>
        <w:t>支</w:t>
      </w:r>
      <w:r>
        <w:rPr>
          <w:rStyle w:val="19"/>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cstheme="minorBidi"/>
          <w:sz w:val="28"/>
          <w:szCs w:val="28"/>
        </w:rPr>
      </w:pPr>
      <w:r>
        <w:fldChar w:fldCharType="begin"/>
      </w:r>
      <w:r>
        <w:instrText xml:space="preserve"> HYPERLINK \l "_Toc15396606" </w:instrText>
      </w:r>
      <w:r>
        <w:fldChar w:fldCharType="separate"/>
      </w:r>
      <w:r>
        <w:rPr>
          <w:rStyle w:val="19"/>
          <w:rFonts w:hint="eastAsia" w:ascii="仿宋" w:hAnsi="仿宋" w:eastAsia="仿宋"/>
          <w:sz w:val="28"/>
          <w:szCs w:val="28"/>
        </w:rPr>
        <w:t>四、财</w:t>
      </w:r>
      <w:r>
        <w:rPr>
          <w:rStyle w:val="19"/>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cstheme="minorBidi"/>
          <w:sz w:val="28"/>
          <w:szCs w:val="28"/>
        </w:rPr>
      </w:pPr>
      <w:r>
        <w:fldChar w:fldCharType="begin"/>
      </w:r>
      <w:r>
        <w:instrText xml:space="preserve"> HYPERLINK \l "_Toc15396607" </w:instrText>
      </w:r>
      <w:r>
        <w:fldChar w:fldCharType="separate"/>
      </w:r>
      <w:r>
        <w:rPr>
          <w:rStyle w:val="19"/>
          <w:rFonts w:hint="eastAsia" w:ascii="仿宋" w:hAnsi="仿宋" w:eastAsia="仿宋"/>
          <w:sz w:val="28"/>
          <w:szCs w:val="28"/>
        </w:rPr>
        <w:t>五、一</w:t>
      </w:r>
      <w:r>
        <w:rPr>
          <w:rStyle w:val="19"/>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cstheme="minorBidi"/>
          <w:sz w:val="28"/>
          <w:szCs w:val="28"/>
        </w:rPr>
      </w:pPr>
      <w:r>
        <w:fldChar w:fldCharType="begin"/>
      </w:r>
      <w:r>
        <w:instrText xml:space="preserve"> HYPERLINK \l "_Toc15396608" </w:instrText>
      </w:r>
      <w:r>
        <w:fldChar w:fldCharType="separate"/>
      </w:r>
      <w:r>
        <w:rPr>
          <w:rStyle w:val="19"/>
          <w:rFonts w:hint="eastAsia" w:ascii="仿宋" w:hAnsi="仿宋" w:eastAsia="仿宋"/>
          <w:sz w:val="28"/>
          <w:szCs w:val="28"/>
        </w:rPr>
        <w:t>六、一</w:t>
      </w:r>
      <w:r>
        <w:rPr>
          <w:rStyle w:val="19"/>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cstheme="minorBidi"/>
          <w:sz w:val="28"/>
          <w:szCs w:val="28"/>
        </w:rPr>
      </w:pPr>
      <w:r>
        <w:fldChar w:fldCharType="begin"/>
      </w:r>
      <w:r>
        <w:instrText xml:space="preserve"> HYPERLINK \l "_Toc15396609" </w:instrText>
      </w:r>
      <w:r>
        <w:fldChar w:fldCharType="separate"/>
      </w:r>
      <w:r>
        <w:rPr>
          <w:rStyle w:val="19"/>
          <w:rFonts w:hint="eastAsia" w:ascii="仿宋" w:hAnsi="仿宋" w:eastAsia="仿宋"/>
          <w:sz w:val="28"/>
          <w:szCs w:val="28"/>
        </w:rPr>
        <w:t>七、</w:t>
      </w:r>
      <w:r>
        <w:rPr>
          <w:rStyle w:val="19"/>
          <w:rFonts w:ascii="仿宋" w:hAnsi="仿宋" w:eastAsia="仿宋"/>
          <w:sz w:val="28"/>
          <w:szCs w:val="28"/>
        </w:rPr>
        <w:t>“</w:t>
      </w:r>
      <w:r>
        <w:rPr>
          <w:rStyle w:val="19"/>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cstheme="minorBidi"/>
          <w:sz w:val="28"/>
          <w:szCs w:val="28"/>
        </w:rPr>
      </w:pPr>
      <w:r>
        <w:fldChar w:fldCharType="begin"/>
      </w:r>
      <w:r>
        <w:instrText xml:space="preserve"> HYPERLINK \l "_Toc15396610" </w:instrText>
      </w:r>
      <w:r>
        <w:fldChar w:fldCharType="separate"/>
      </w:r>
      <w:r>
        <w:rPr>
          <w:rStyle w:val="19"/>
          <w:rFonts w:hint="eastAsia" w:ascii="仿宋" w:hAnsi="仿宋" w:eastAsia="仿宋"/>
          <w:sz w:val="28"/>
          <w:szCs w:val="28"/>
        </w:rPr>
        <w:t>八、</w:t>
      </w:r>
      <w:r>
        <w:rPr>
          <w:rStyle w:val="19"/>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cstheme="minorBidi"/>
          <w:sz w:val="28"/>
          <w:szCs w:val="28"/>
        </w:rPr>
      </w:pPr>
      <w:r>
        <w:fldChar w:fldCharType="begin"/>
      </w:r>
      <w:r>
        <w:instrText xml:space="preserve"> HYPERLINK \l "_Toc15396611" </w:instrText>
      </w:r>
      <w:r>
        <w:fldChar w:fldCharType="separate"/>
      </w:r>
      <w:r>
        <w:rPr>
          <w:rStyle w:val="19"/>
          <w:rFonts w:hint="eastAsia" w:ascii="仿宋" w:hAnsi="仿宋" w:eastAsia="仿宋" w:cstheme="majorBidi"/>
          <w:bCs/>
          <w:sz w:val="28"/>
          <w:szCs w:val="28"/>
        </w:rPr>
        <w:t>九、</w:t>
      </w:r>
      <w:r>
        <w:rPr>
          <w:rStyle w:val="19"/>
          <w:rFonts w:hint="eastAsia" w:ascii="仿宋" w:hAnsi="仿宋" w:eastAsia="仿宋"/>
          <w:sz w:val="28"/>
          <w:szCs w:val="28"/>
        </w:rPr>
        <w:t xml:space="preserve"> 国</w:t>
      </w:r>
      <w:r>
        <w:rPr>
          <w:rStyle w:val="19"/>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cstheme="minorBidi"/>
          <w:sz w:val="28"/>
          <w:szCs w:val="28"/>
        </w:rPr>
      </w:pPr>
      <w:r>
        <w:fldChar w:fldCharType="begin"/>
      </w:r>
      <w:r>
        <w:instrText xml:space="preserve"> HYPERLINK \l "_Toc15396612" </w:instrText>
      </w:r>
      <w:r>
        <w:fldChar w:fldCharType="separate"/>
      </w:r>
      <w:r>
        <w:rPr>
          <w:rStyle w:val="19"/>
          <w:rFonts w:hint="eastAsia" w:ascii="仿宋" w:hAnsi="仿宋" w:eastAsia="仿宋"/>
          <w:sz w:val="28"/>
          <w:szCs w:val="28"/>
        </w:rPr>
        <w:t>十</w:t>
      </w:r>
      <w:r>
        <w:rPr>
          <w:rStyle w:val="19"/>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4"/>
        <w:rPr>
          <w:rFonts w:cstheme="minorBidi"/>
        </w:rPr>
      </w:pPr>
      <w:r>
        <w:fldChar w:fldCharType="begin"/>
      </w:r>
      <w:r>
        <w:instrText xml:space="preserve"> HYPERLINK \l "_Toc15396613" </w:instrText>
      </w:r>
      <w:r>
        <w:fldChar w:fldCharType="separate"/>
      </w:r>
      <w:r>
        <w:rPr>
          <w:rStyle w:val="19"/>
          <w:rFonts w:hint="eastAsia"/>
          <w:bCs/>
          <w:kern w:val="44"/>
        </w:rPr>
        <w:t>第三部分</w:t>
      </w:r>
      <w:r>
        <w:rPr>
          <w:rStyle w:val="19"/>
          <w:rFonts w:hint="eastAsia"/>
        </w:rPr>
        <w:t xml:space="preserve"> 名</w:t>
      </w:r>
      <w:r>
        <w:rPr>
          <w:rStyle w:val="19"/>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4"/>
        <w:rPr>
          <w:rFonts w:cstheme="minorBidi"/>
        </w:rPr>
      </w:pPr>
      <w:r>
        <w:fldChar w:fldCharType="begin"/>
      </w:r>
      <w:r>
        <w:instrText xml:space="preserve"> HYPERLINK \l "_Toc15396614" </w:instrText>
      </w:r>
      <w:r>
        <w:fldChar w:fldCharType="separate"/>
      </w:r>
      <w:r>
        <w:rPr>
          <w:rStyle w:val="19"/>
          <w:rFonts w:hint="eastAsia"/>
        </w:rPr>
        <w:t>第</w:t>
      </w:r>
      <w:r>
        <w:rPr>
          <w:rStyle w:val="19"/>
          <w:rFonts w:hint="eastAsia"/>
          <w:bCs/>
          <w:kern w:val="44"/>
        </w:rPr>
        <w:t>四部分</w:t>
      </w:r>
      <w:r>
        <w:rPr>
          <w:rStyle w:val="19"/>
          <w:bCs/>
          <w:kern w:val="44"/>
        </w:rPr>
        <w:t xml:space="preserve"> </w:t>
      </w:r>
      <w:r>
        <w:rPr>
          <w:rStyle w:val="19"/>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5"/>
        <w:rPr>
          <w:rFonts w:ascii="仿宋" w:hAnsi="仿宋" w:eastAsia="仿宋" w:cstheme="minorBidi"/>
          <w:sz w:val="28"/>
          <w:szCs w:val="28"/>
        </w:rPr>
      </w:pPr>
      <w:r>
        <w:fldChar w:fldCharType="begin"/>
      </w:r>
      <w:r>
        <w:instrText xml:space="preserve"> HYPERLINK \l "_Toc15396615" </w:instrText>
      </w:r>
      <w:r>
        <w:fldChar w:fldCharType="separate"/>
      </w:r>
      <w:r>
        <w:rPr>
          <w:rStyle w:val="19"/>
          <w:rFonts w:hint="eastAsia" w:ascii="仿宋" w:hAnsi="仿宋" w:eastAsia="仿宋"/>
          <w:kern w:val="44"/>
          <w:sz w:val="28"/>
          <w:szCs w:val="28"/>
        </w:rPr>
        <w:t>附件</w:t>
      </w:r>
      <w:r>
        <w:rPr>
          <w:rStyle w:val="19"/>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cstheme="minorBidi"/>
          <w:sz w:val="28"/>
          <w:szCs w:val="28"/>
        </w:rPr>
      </w:pPr>
      <w:r>
        <w:fldChar w:fldCharType="begin"/>
      </w:r>
      <w:r>
        <w:instrText xml:space="preserve"> HYPERLINK \l "_Toc15396617" </w:instrText>
      </w:r>
      <w:r>
        <w:fldChar w:fldCharType="separate"/>
      </w:r>
      <w:r>
        <w:rPr>
          <w:rStyle w:val="19"/>
          <w:rFonts w:hint="eastAsia" w:ascii="仿宋" w:hAnsi="仿宋" w:eastAsia="仿宋"/>
          <w:kern w:val="44"/>
          <w:sz w:val="28"/>
          <w:szCs w:val="28"/>
        </w:rPr>
        <w:t>附件</w:t>
      </w:r>
      <w:r>
        <w:rPr>
          <w:rStyle w:val="19"/>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4"/>
        <w:rPr>
          <w:rFonts w:cstheme="minorBidi"/>
        </w:rPr>
      </w:pPr>
      <w:r>
        <w:fldChar w:fldCharType="begin"/>
      </w:r>
      <w:r>
        <w:instrText xml:space="preserve"> HYPERLINK \l "_Toc15396618" </w:instrText>
      </w:r>
      <w:r>
        <w:fldChar w:fldCharType="separate"/>
      </w:r>
      <w:r>
        <w:rPr>
          <w:rStyle w:val="19"/>
          <w:rFonts w:hint="eastAsia"/>
        </w:rPr>
        <w:t>第</w:t>
      </w:r>
      <w:r>
        <w:rPr>
          <w:rStyle w:val="19"/>
          <w:rFonts w:hint="eastAsia"/>
          <w:bCs/>
          <w:kern w:val="44"/>
        </w:rPr>
        <w:t>五部分</w:t>
      </w:r>
      <w:r>
        <w:rPr>
          <w:rStyle w:val="19"/>
          <w:bCs/>
          <w:kern w:val="44"/>
        </w:rPr>
        <w:t xml:space="preserve"> </w:t>
      </w:r>
      <w:r>
        <w:rPr>
          <w:rStyle w:val="19"/>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5"/>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9"/>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9"/>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9"/>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9"/>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9"/>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9"/>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9"/>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9"/>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9"/>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9"/>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9"/>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9"/>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3"/>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rPr>
          <w:rStyle w:val="28"/>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4"/>
      <w:bookmarkEnd w:id="15"/>
    </w:p>
    <w:p>
      <w:pPr>
        <w:pStyle w:val="9"/>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r>
        <w:rPr>
          <w:rFonts w:hint="eastAsia" w:ascii="方正仿宋简体" w:hAnsi="仿宋_GB2312" w:eastAsia="方正仿宋简体" w:cs="宋体"/>
          <w:kern w:val="0"/>
          <w:sz w:val="32"/>
          <w:shd w:val="clear" w:color="auto" w:fill="FFFFFF"/>
        </w:rPr>
        <w:t>主要负责全区政务值班工作，负责突发事件信息接收、综合、分析、发布、上报等管理工作，为区领导提供应急决策服务；组织整合全区各类应急信息资源，搭建管理区应急信息系统网络指挥平台；负责指导督促全区政府系统值班工作；受区委、区政府和区应急领导小组的委托，负责全区特大和重大应急事件处置的组织、协调和指挥工作；负责承办、指导各项综合、专项应急演练工作；负责全区气象相关业务和人工增雨作业工作；</w:t>
      </w:r>
      <w:r>
        <w:rPr>
          <w:rFonts w:hint="eastAsia" w:ascii="方正仿宋简体" w:hAnsi="仿宋" w:eastAsia="方正仿宋简体" w:cs="宋体"/>
          <w:kern w:val="0"/>
          <w:sz w:val="32"/>
          <w:szCs w:val="32"/>
        </w:rPr>
        <w:t>承办市应急办和区委、区政府交办的其他事项。</w:t>
      </w:r>
    </w:p>
    <w:p>
      <w:pPr>
        <w:pStyle w:val="9"/>
        <w:adjustRightInd w:val="0"/>
        <w:snapToGrid w:val="0"/>
        <w:spacing w:before="93" w:line="600" w:lineRule="exact"/>
        <w:ind w:firstLine="672" w:firstLineChars="210"/>
        <w:outlineLvl w:val="2"/>
        <w:rPr>
          <w:rFonts w:hint="eastAsia" w:ascii="方正仿宋简体" w:hAnsi="方正仿宋简体" w:eastAsia="方正仿宋简体" w:cs="方正仿宋简体"/>
          <w:color w:val="000000"/>
          <w:kern w:val="0"/>
          <w:sz w:val="32"/>
          <w:szCs w:val="32"/>
          <w:lang w:val="en-US" w:eastAsia="zh-CN" w:bidi="ar"/>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r>
        <w:rPr>
          <w:rFonts w:hint="eastAsia" w:ascii="方正仿宋简体" w:hAnsi="方正仿宋简体" w:eastAsia="方正仿宋简体" w:cs="方正仿宋简体"/>
          <w:kern w:val="0"/>
          <w:sz w:val="32"/>
          <w:szCs w:val="32"/>
          <w:lang w:val="en-US" w:eastAsia="zh-CN" w:bidi="ar"/>
        </w:rPr>
        <w:t>1.应急机制进一步健全</w:t>
      </w:r>
      <w:r>
        <w:rPr>
          <w:rFonts w:hint="eastAsia" w:ascii="方正仿宋简体" w:hAnsi="方正仿宋简体" w:eastAsia="方正仿宋简体" w:cs="方正仿宋简体"/>
          <w:color w:val="000000"/>
          <w:kern w:val="0"/>
          <w:sz w:val="32"/>
          <w:szCs w:val="32"/>
          <w:lang w:val="en-US" w:eastAsia="zh-CN" w:bidi="ar"/>
        </w:rPr>
        <w:t>。</w:t>
      </w:r>
      <w:r>
        <w:rPr>
          <w:rFonts w:hint="eastAsia" w:ascii="方正仿宋简体" w:hAnsi="方正仿宋简体" w:eastAsia="方正仿宋简体" w:cs="方正仿宋简体"/>
          <w:kern w:val="0"/>
          <w:sz w:val="32"/>
          <w:szCs w:val="32"/>
          <w:lang w:val="en-US" w:eastAsia="zh-CN" w:bidi="ar"/>
        </w:rPr>
        <w:t>2.指挥体系进一步完善。</w:t>
      </w:r>
      <w:r>
        <w:rPr>
          <w:rFonts w:hint="eastAsia" w:ascii="方正仿宋简体" w:hAnsi="方正仿宋简体" w:eastAsia="方正仿宋简体" w:cs="方正仿宋简体"/>
          <w:color w:val="000000"/>
          <w:kern w:val="2"/>
          <w:sz w:val="32"/>
          <w:szCs w:val="32"/>
          <w:lang w:val="en-US" w:eastAsia="zh-CN" w:bidi="ar"/>
        </w:rPr>
        <w:t>修订完善了区总体应急预案和各乡镇（街道）、区级部门、村（社区）、企业和学校各类突发事件应急预案500余个，</w:t>
      </w:r>
      <w:r>
        <w:rPr>
          <w:rFonts w:hint="eastAsia" w:ascii="方正仿宋简体" w:hAnsi="方正仿宋简体" w:eastAsia="方正仿宋简体" w:cs="方正仿宋简体"/>
          <w:color w:val="000000"/>
          <w:kern w:val="0"/>
          <w:sz w:val="32"/>
          <w:szCs w:val="32"/>
          <w:lang w:val="en-US" w:eastAsia="zh-CN" w:bidi="ar"/>
        </w:rPr>
        <w:t>预案覆盖率达95%以上。</w:t>
      </w:r>
      <w:r>
        <w:rPr>
          <w:rFonts w:hint="eastAsia" w:ascii="方正仿宋简体" w:hAnsi="方正仿宋简体" w:eastAsia="方正仿宋简体" w:cs="方正仿宋简体"/>
          <w:kern w:val="0"/>
          <w:sz w:val="32"/>
          <w:szCs w:val="32"/>
          <w:lang w:val="en-US" w:eastAsia="zh-CN" w:bidi="ar"/>
        </w:rPr>
        <w:t>3.处置能力进一步增强。</w:t>
      </w:r>
      <w:r>
        <w:rPr>
          <w:rFonts w:hint="eastAsia" w:ascii="方正仿宋简体" w:hAnsi="方正仿宋简体" w:eastAsia="方正仿宋简体" w:cs="方正仿宋简体"/>
          <w:color w:val="000000"/>
          <w:kern w:val="2"/>
          <w:sz w:val="32"/>
          <w:szCs w:val="32"/>
          <w:lang w:val="en-US" w:eastAsia="zh-CN" w:bidi="ar"/>
        </w:rPr>
        <w:t>及时组织开展演练宣传工作</w:t>
      </w:r>
      <w:r>
        <w:rPr>
          <w:rFonts w:hint="eastAsia" w:ascii="方正仿宋简体" w:hAnsi="方正仿宋简体" w:eastAsia="方正仿宋简体" w:cs="方正仿宋简体"/>
          <w:color w:val="000000"/>
          <w:kern w:val="0"/>
          <w:sz w:val="32"/>
          <w:szCs w:val="32"/>
          <w:lang w:val="en-US" w:eastAsia="zh-CN" w:bidi="ar"/>
        </w:rPr>
        <w:t>，</w:t>
      </w:r>
      <w:r>
        <w:rPr>
          <w:rFonts w:hint="eastAsia" w:ascii="方正仿宋简体" w:hAnsi="方正仿宋简体" w:eastAsia="方正仿宋简体" w:cs="方正仿宋简体"/>
          <w:color w:val="000000"/>
          <w:kern w:val="2"/>
          <w:sz w:val="32"/>
          <w:szCs w:val="32"/>
          <w:lang w:val="en-US" w:eastAsia="zh-CN" w:bidi="ar"/>
        </w:rPr>
        <w:t>各单位结合自身实际，开展了防汛、防火、地质灾害等应急演练72次；区级各部门分别开展了专项应急演练48次。</w:t>
      </w:r>
      <w:r>
        <w:rPr>
          <w:rFonts w:hint="eastAsia" w:ascii="方正仿宋简体" w:hAnsi="方正仿宋简体" w:eastAsia="方正仿宋简体" w:cs="方正仿宋简体"/>
          <w:kern w:val="2"/>
          <w:sz w:val="32"/>
          <w:szCs w:val="32"/>
          <w:lang w:val="en-US" w:eastAsia="zh-CN" w:bidi="ar"/>
        </w:rPr>
        <w:t>4.信息报送进一步精准。我办值班工作全面在岗在位。同时，会同区督查督办、水务、国土、林业等部门不定期深入到全区各单位检查值班值守工作，及时通报检查结果。今年以来，我区共接报突发事件113起，上报信息专报5期，法定节假日共抽查35个单位，整改单位9个。</w:t>
      </w:r>
      <w:r>
        <w:rPr>
          <w:rFonts w:hint="eastAsia" w:ascii="方正仿宋简体" w:hAnsi="方正仿宋简体" w:eastAsia="方正仿宋简体" w:cs="方正仿宋简体"/>
          <w:kern w:val="0"/>
          <w:sz w:val="32"/>
          <w:szCs w:val="32"/>
          <w:lang w:val="en-US" w:eastAsia="zh-CN" w:bidi="ar"/>
        </w:rPr>
        <w:t>5.应急保障进一步强化。</w:t>
      </w:r>
      <w:r>
        <w:rPr>
          <w:rFonts w:hint="eastAsia" w:ascii="方正仿宋简体" w:hAnsi="方正仿宋简体" w:eastAsia="方正仿宋简体" w:cs="方正仿宋简体"/>
          <w:b/>
          <w:kern w:val="2"/>
          <w:sz w:val="32"/>
          <w:szCs w:val="32"/>
          <w:lang w:val="en-US" w:eastAsia="zh-CN" w:bidi="ar"/>
        </w:rPr>
        <w:t>一是及时传递应急信息，</w:t>
      </w:r>
      <w:r>
        <w:rPr>
          <w:rFonts w:hint="eastAsia" w:ascii="方正仿宋简体" w:hAnsi="方正仿宋简体" w:eastAsia="方正仿宋简体" w:cs="方正仿宋简体"/>
          <w:kern w:val="2"/>
          <w:sz w:val="32"/>
          <w:szCs w:val="32"/>
          <w:lang w:val="en-US" w:eastAsia="zh-CN" w:bidi="ar"/>
        </w:rPr>
        <w:t>今年以来，</w:t>
      </w:r>
      <w:r>
        <w:rPr>
          <w:rFonts w:hint="eastAsia" w:ascii="方正仿宋简体" w:hAnsi="方正仿宋简体" w:eastAsia="方正仿宋简体" w:cs="方正仿宋简体"/>
          <w:color w:val="000000"/>
          <w:kern w:val="2"/>
          <w:sz w:val="32"/>
          <w:szCs w:val="32"/>
          <w:lang w:val="en-US" w:eastAsia="zh-CN" w:bidi="ar"/>
        </w:rPr>
        <w:t>共发送各类信息365条</w:t>
      </w:r>
      <w:r>
        <w:rPr>
          <w:rFonts w:hint="eastAsia" w:ascii="方正仿宋简体" w:hAnsi="方正仿宋简体" w:eastAsia="方正仿宋简体" w:cs="方正仿宋简体"/>
          <w:kern w:val="2"/>
          <w:sz w:val="32"/>
          <w:szCs w:val="32"/>
          <w:lang w:val="en-US" w:eastAsia="zh-CN" w:bidi="ar"/>
        </w:rPr>
        <w:t>。二</w:t>
      </w:r>
      <w:r>
        <w:rPr>
          <w:rFonts w:hint="eastAsia" w:ascii="方正仿宋简体" w:hAnsi="方正仿宋简体" w:eastAsia="方正仿宋简体" w:cs="方正仿宋简体"/>
          <w:b/>
          <w:kern w:val="2"/>
          <w:sz w:val="32"/>
          <w:szCs w:val="32"/>
          <w:lang w:val="en-US" w:eastAsia="zh-CN" w:bidi="ar"/>
        </w:rPr>
        <w:t>是建强应急救援队伍。</w:t>
      </w:r>
      <w:r>
        <w:rPr>
          <w:rFonts w:hint="eastAsia" w:ascii="方正仿宋简体" w:hAnsi="方正仿宋简体" w:eastAsia="方正仿宋简体" w:cs="方正仿宋简体"/>
          <w:kern w:val="0"/>
          <w:sz w:val="32"/>
          <w:szCs w:val="32"/>
          <w:lang w:val="en-US" w:eastAsia="zh-CN" w:bidi="ar"/>
        </w:rPr>
        <w:t>我区组建了20</w:t>
      </w:r>
      <w:r>
        <w:rPr>
          <w:rFonts w:hint="eastAsia" w:ascii="方正仿宋简体" w:hAnsi="方正仿宋简体" w:eastAsia="方正仿宋简体" w:cs="方正仿宋简体"/>
          <w:kern w:val="2"/>
          <w:sz w:val="32"/>
          <w:szCs w:val="32"/>
          <w:lang w:val="en-US" w:eastAsia="zh-CN" w:bidi="ar"/>
        </w:rPr>
        <w:t>支专业应急救援队、</w:t>
      </w:r>
      <w:r>
        <w:rPr>
          <w:rFonts w:hint="eastAsia" w:ascii="方正仿宋简体" w:hAnsi="方正仿宋简体" w:eastAsia="方正仿宋简体" w:cs="方正仿宋简体"/>
          <w:kern w:val="0"/>
          <w:sz w:val="32"/>
          <w:szCs w:val="32"/>
          <w:lang w:val="en-US" w:eastAsia="zh-CN" w:bidi="ar"/>
        </w:rPr>
        <w:t>13支党员志愿者应急抢险突击队和1支女子民兵突击队，</w:t>
      </w:r>
      <w:r>
        <w:rPr>
          <w:rFonts w:hint="eastAsia" w:ascii="方正仿宋简体" w:hAnsi="方正仿宋简体" w:eastAsia="方正仿宋简体" w:cs="方正仿宋简体"/>
          <w:kern w:val="2"/>
          <w:sz w:val="32"/>
          <w:szCs w:val="32"/>
          <w:lang w:val="en-US" w:eastAsia="zh-CN" w:bidi="ar"/>
        </w:rPr>
        <w:t>各乡镇（街道）、区级各部门以及各机关、学校、医院、企业</w:t>
      </w:r>
      <w:r>
        <w:rPr>
          <w:rFonts w:hint="eastAsia" w:ascii="方正仿宋简体" w:hAnsi="方正仿宋简体" w:eastAsia="方正仿宋简体" w:cs="方正仿宋简体"/>
          <w:kern w:val="0"/>
          <w:sz w:val="32"/>
          <w:szCs w:val="32"/>
          <w:lang w:val="en-US" w:eastAsia="zh-CN" w:bidi="ar"/>
        </w:rPr>
        <w:t>都</w:t>
      </w:r>
      <w:r>
        <w:rPr>
          <w:rFonts w:hint="eastAsia" w:ascii="方正仿宋简体" w:hAnsi="方正仿宋简体" w:eastAsia="方正仿宋简体" w:cs="方正仿宋简体"/>
          <w:kern w:val="2"/>
          <w:sz w:val="32"/>
          <w:szCs w:val="32"/>
          <w:lang w:val="en-US" w:eastAsia="zh-CN" w:bidi="ar"/>
        </w:rPr>
        <w:t>建立了专兼职应急救援队伍。</w:t>
      </w:r>
      <w:r>
        <w:rPr>
          <w:rFonts w:hint="eastAsia" w:ascii="方正仿宋简体" w:hAnsi="方正仿宋简体" w:eastAsia="方正仿宋简体" w:cs="方正仿宋简体"/>
          <w:kern w:val="0"/>
          <w:sz w:val="32"/>
          <w:szCs w:val="32"/>
          <w:lang w:val="en-US" w:eastAsia="zh-CN" w:bidi="ar"/>
        </w:rPr>
        <w:t>6.应急意识进一步提高。</w:t>
      </w:r>
      <w:r>
        <w:rPr>
          <w:rFonts w:hint="eastAsia" w:ascii="方正仿宋简体" w:hAnsi="方正仿宋简体" w:eastAsia="方正仿宋简体" w:cs="方正仿宋简体"/>
          <w:color w:val="000000"/>
          <w:kern w:val="0"/>
          <w:sz w:val="32"/>
          <w:szCs w:val="32"/>
          <w:lang w:val="en-US" w:eastAsia="zh-CN" w:bidi="ar"/>
        </w:rPr>
        <w:t>我办组织区公安、国土等部门在全区范围开展应急知识集中宣传活动，各乡镇（街道）同步在本辖区开展应急知识宣传活动，发放各类宣传资料15万余份，切实增强了广大干部群众了解和掌握在遭遇突发事件进行自救、互救的正确方法，提高全民防灾减灾意识。</w:t>
      </w:r>
      <w:bookmarkStart w:id="20" w:name="_Toc15396601"/>
      <w:bookmarkStart w:id="21" w:name="_Toc15377200"/>
    </w:p>
    <w:p>
      <w:pPr>
        <w:pStyle w:val="9"/>
        <w:adjustRightInd w:val="0"/>
        <w:snapToGrid w:val="0"/>
        <w:spacing w:before="93" w:line="600" w:lineRule="exact"/>
        <w:ind w:firstLine="630" w:firstLineChars="210"/>
        <w:outlineLvl w:val="2"/>
        <w:rPr>
          <w:rStyle w:val="28"/>
          <w:b w:val="0"/>
          <w:bCs w:val="0"/>
        </w:rPr>
      </w:pPr>
      <w:r>
        <w:rPr>
          <w:rFonts w:hint="eastAsia" w:ascii="黑体" w:eastAsia="黑体"/>
          <w:b w:val="0"/>
          <w:color w:val="000000"/>
        </w:rPr>
        <w:t>二、</w:t>
      </w:r>
      <w:r>
        <w:rPr>
          <w:rFonts w:hint="eastAsia" w:ascii="黑体" w:hAnsi="黑体" w:eastAsia="黑体"/>
          <w:b w:val="0"/>
          <w:color w:val="000000"/>
        </w:rPr>
        <w:t>机</w:t>
      </w:r>
      <w:r>
        <w:rPr>
          <w:rStyle w:val="28"/>
          <w:rFonts w:hint="eastAsia" w:ascii="黑体" w:hAnsi="黑体" w:eastAsia="黑体"/>
          <w:b w:val="0"/>
          <w:bCs w:val="0"/>
        </w:rPr>
        <w:t>构设置</w:t>
      </w:r>
      <w:bookmarkEnd w:id="20"/>
      <w:bookmarkEnd w:id="21"/>
    </w:p>
    <w:p>
      <w:pPr>
        <w:ind w:firstLine="640" w:firstLineChars="200"/>
        <w:rPr>
          <w:rFonts w:ascii="仿宋" w:hAnsi="仿宋" w:eastAsia="仿宋"/>
          <w:sz w:val="32"/>
          <w:szCs w:val="32"/>
        </w:rPr>
      </w:pPr>
      <w:r>
        <w:rPr>
          <w:rFonts w:hint="eastAsia" w:ascii="仿宋" w:hAnsi="仿宋" w:eastAsia="仿宋"/>
          <w:sz w:val="32"/>
          <w:szCs w:val="32"/>
          <w:lang w:eastAsia="zh-CN"/>
        </w:rPr>
        <w:t>区应急办</w:t>
      </w:r>
      <w:r>
        <w:rPr>
          <w:rFonts w:hint="eastAsia" w:ascii="仿宋" w:hAnsi="仿宋" w:eastAsia="仿宋"/>
          <w:sz w:val="32"/>
          <w:szCs w:val="32"/>
        </w:rPr>
        <w:t>下属二级单位</w:t>
      </w:r>
      <w:r>
        <w:rPr>
          <w:rFonts w:hint="eastAsia" w:ascii="仿宋" w:hAnsi="仿宋" w:eastAsia="仿宋"/>
          <w:sz w:val="32"/>
          <w:szCs w:val="32"/>
          <w:lang w:val="en-US" w:eastAsia="zh-CN"/>
        </w:rPr>
        <w:t>1</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p>
    <w:p>
      <w:pPr>
        <w:pStyle w:val="9"/>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区应急办</w:t>
      </w:r>
      <w:r>
        <w:rPr>
          <w:rFonts w:hint="eastAsia" w:ascii="仿宋" w:hAnsi="仿宋" w:eastAsia="仿宋"/>
          <w:color w:val="000000"/>
          <w:sz w:val="32"/>
          <w:szCs w:val="32"/>
        </w:rPr>
        <w:t>2018年度部门决算编制范围的二级预算单位包括：</w:t>
      </w:r>
    </w:p>
    <w:p>
      <w:pPr>
        <w:pStyle w:val="9"/>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广元市利州区应急指挥中心</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3"/>
        <w:ind w:right="440"/>
        <w:jc w:val="right"/>
        <w:rPr>
          <w:rStyle w:val="27"/>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7"/>
          <w:rFonts w:hint="eastAsia" w:ascii="黑体" w:hAnsi="黑体" w:eastAsia="黑体"/>
          <w:b w:val="0"/>
          <w:bCs w:val="0"/>
        </w:rPr>
        <w:t>2018年度部门决算情况说明</w:t>
      </w:r>
      <w:bookmarkEnd w:id="22"/>
      <w:bookmarkEnd w:id="23"/>
    </w:p>
    <w:p/>
    <w:p>
      <w:pPr>
        <w:pStyle w:val="26"/>
        <w:numPr>
          <w:ilvl w:val="0"/>
          <w:numId w:val="2"/>
        </w:numPr>
        <w:spacing w:line="600" w:lineRule="exact"/>
        <w:ind w:firstLineChars="0"/>
        <w:outlineLvl w:val="1"/>
        <w:rPr>
          <w:rStyle w:val="28"/>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2018年度收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105.43</w:t>
      </w:r>
      <w:r>
        <w:rPr>
          <w:rFonts w:hint="eastAsia" w:ascii="仿宋" w:hAnsi="仿宋" w:eastAsia="仿宋"/>
          <w:color w:val="000000"/>
          <w:sz w:val="32"/>
          <w:szCs w:val="32"/>
        </w:rPr>
        <w:t>万元。与2017年</w:t>
      </w:r>
      <w:r>
        <w:rPr>
          <w:rFonts w:hint="eastAsia" w:ascii="仿宋" w:hAnsi="仿宋" w:eastAsia="仿宋"/>
          <w:color w:val="000000"/>
          <w:sz w:val="32"/>
          <w:szCs w:val="32"/>
          <w:lang w:val="en-US" w:eastAsia="zh-CN"/>
        </w:rPr>
        <w:t>137.38万元</w:t>
      </w:r>
      <w:r>
        <w:rPr>
          <w:rFonts w:hint="eastAsia" w:ascii="仿宋" w:hAnsi="仿宋" w:eastAsia="仿宋"/>
          <w:color w:val="000000"/>
          <w:sz w:val="32"/>
          <w:szCs w:val="32"/>
        </w:rPr>
        <w:t>相比，收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31.95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23.20</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2018年度</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105.43</w:t>
      </w:r>
      <w:r>
        <w:rPr>
          <w:rFonts w:hint="eastAsia" w:ascii="仿宋" w:hAnsi="仿宋" w:eastAsia="仿宋"/>
          <w:color w:val="000000"/>
          <w:sz w:val="32"/>
          <w:szCs w:val="32"/>
        </w:rPr>
        <w:t>万元。与2017年</w:t>
      </w:r>
      <w:r>
        <w:rPr>
          <w:rFonts w:hint="eastAsia" w:ascii="仿宋" w:hAnsi="仿宋" w:eastAsia="仿宋"/>
          <w:color w:val="000000"/>
          <w:sz w:val="32"/>
          <w:szCs w:val="32"/>
          <w:lang w:val="en-US" w:eastAsia="zh-CN"/>
        </w:rPr>
        <w:t>128.62万元</w:t>
      </w:r>
      <w:r>
        <w:rPr>
          <w:rFonts w:hint="eastAsia" w:ascii="仿宋" w:hAnsi="仿宋" w:eastAsia="仿宋"/>
          <w:color w:val="000000"/>
          <w:sz w:val="32"/>
          <w:szCs w:val="32"/>
        </w:rPr>
        <w:t>相比，</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23.19</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18.03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减少部分专项业务费支出预算。</w:t>
      </w:r>
    </w:p>
    <w:p>
      <w:pPr>
        <w:pStyle w:val="2"/>
        <w:rPr>
          <w:sz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3878580</wp:posOffset>
                </wp:positionH>
                <wp:positionV relativeFrom="paragraph">
                  <wp:posOffset>292100</wp:posOffset>
                </wp:positionV>
                <wp:extent cx="704215" cy="364490"/>
                <wp:effectExtent l="4445" t="4445" r="15240" b="12065"/>
                <wp:wrapNone/>
                <wp:docPr id="8" name="文本框 8"/>
                <wp:cNvGraphicFramePr/>
                <a:graphic xmlns:a="http://schemas.openxmlformats.org/drawingml/2006/main">
                  <a:graphicData uri="http://schemas.microsoft.com/office/word/2010/wordprocessingShape">
                    <wps:wsp>
                      <wps:cNvSpPr txBox="1"/>
                      <wps:spPr>
                        <a:xfrm>
                          <a:off x="0" y="0"/>
                          <a:ext cx="704215" cy="36449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8"/>
                                <w:szCs w:val="18"/>
                                <w:lang w:val="en-US" w:eastAsia="zh-CN"/>
                              </w:rPr>
                            </w:pPr>
                            <w:r>
                              <w:rPr>
                                <w:rFonts w:hint="eastAsia"/>
                                <w:sz w:val="18"/>
                                <w:szCs w:val="18"/>
                                <w:lang w:val="en-US"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4pt;margin-top:23pt;height:28.7pt;width:55.45pt;z-index:251660288;mso-width-relative:page;mso-height-relative:page;" filled="f" stroked="t" coordsize="21600,21600" o:gfxdata="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vva39kAAAAKAQAADwAAAAAAAAABACAAAAAiAAAAZHJzL2Rvd25y&#10;ZXYueG1sUEsBAhQAFAAAAAgAh07iQNspT842AgAAQAQAAA4AAAAAAAAAAQAgAAAAKAEAAGRycy9l&#10;Mm9Eb2MueG1sUEsFBgAAAAAGAAYAWQEAANAFAAAAAA==&#10;">
                <v:fill on="f" focussize="0,0"/>
                <v:stroke weight="0.5pt" color="#FFFFFF [3212]" joinstyle="round"/>
                <v:imagedata o:title=""/>
                <o:lock v:ext="edit" aspectratio="f"/>
                <v:textbox>
                  <w:txbxContent>
                    <w:p>
                      <w:pPr>
                        <w:rPr>
                          <w:rFonts w:hint="eastAsia" w:eastAsia="宋体"/>
                          <w:sz w:val="18"/>
                          <w:szCs w:val="18"/>
                          <w:lang w:val="en-US" w:eastAsia="zh-CN"/>
                        </w:rPr>
                      </w:pPr>
                      <w:r>
                        <w:rPr>
                          <w:rFonts w:hint="eastAsia"/>
                          <w:sz w:val="18"/>
                          <w:szCs w:val="18"/>
                          <w:lang w:val="en-US" w:eastAsia="zh-CN"/>
                        </w:rPr>
                        <w:t>单位：万元</w:t>
                      </w:r>
                    </w:p>
                  </w:txbxContent>
                </v:textbox>
              </v:shape>
            </w:pict>
          </mc:Fallback>
        </mc:AlternateContent>
      </w:r>
      <w:r>
        <w:rPr>
          <w:rFonts w:hint="eastAsia" w:ascii="仿宋" w:hAnsi="仿宋" w:eastAsia="仿宋"/>
          <w:color w:val="000000" w:themeColor="text1"/>
          <w:sz w:val="32"/>
          <w:szCs w:val="32"/>
          <w:lang w:eastAsia="zh-CN"/>
          <w14:textFill>
            <w14:solidFill>
              <w14:schemeClr w14:val="tx1"/>
            </w14:solidFill>
          </w14:textFill>
        </w:rPr>
        <w:drawing>
          <wp:inline distT="0" distB="0" distL="114300" distR="114300">
            <wp:extent cx="5117465" cy="2691765"/>
            <wp:effectExtent l="4445" t="4445" r="21590" b="889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jc w:val="center"/>
        <w:rPr>
          <w:rFonts w:hint="eastAsia" w:ascii="仿宋" w:hAnsi="仿宋" w:eastAsia="仿宋"/>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w:t>
      </w:r>
      <w:r>
        <w:rPr>
          <w:rFonts w:hint="eastAsia" w:ascii="仿宋_GB2312" w:hAnsi="仿宋" w:eastAsia="仿宋_GB2312"/>
          <w:color w:val="000000" w:themeColor="text1"/>
          <w:sz w:val="32"/>
          <w:szCs w:val="32"/>
          <w14:textFill>
            <w14:solidFill>
              <w14:schemeClr w14:val="tx1"/>
            </w14:solidFill>
          </w14:textFill>
        </w:rPr>
        <w:t>）</w:t>
      </w:r>
    </w:p>
    <w:p>
      <w:pPr>
        <w:pStyle w:val="26"/>
        <w:numPr>
          <w:ilvl w:val="0"/>
          <w:numId w:val="2"/>
        </w:numPr>
        <w:spacing w:line="600" w:lineRule="exact"/>
        <w:ind w:firstLineChars="0"/>
        <w:outlineLvl w:val="1"/>
        <w:rPr>
          <w:rStyle w:val="28"/>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8"/>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96.67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96.67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
      </w:pPr>
    </w:p>
    <w:p>
      <w:pPr>
        <w:pStyle w:val="2"/>
        <w:jc w:val="center"/>
      </w:pPr>
      <w:r>
        <w:rPr>
          <w:rFonts w:hint="eastAsia" w:eastAsia="仿宋"/>
          <w:lang w:eastAsia="zh-CN"/>
        </w:rPr>
        <w:drawing>
          <wp:inline distT="0" distB="0" distL="114300" distR="114300">
            <wp:extent cx="5088890" cy="2408555"/>
            <wp:effectExtent l="4445" t="4445" r="12065" b="63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hint="eastAsia" w:ascii="仿宋_GB2312" w:hAnsi="仿宋" w:eastAsia="仿宋_GB2312"/>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图2：收入决算结构图</w:t>
      </w:r>
      <w:r>
        <w:rPr>
          <w:rFonts w:hint="eastAsia" w:ascii="仿宋_GB2312" w:hAnsi="仿宋" w:eastAsia="仿宋_GB2312"/>
          <w:color w:val="000000" w:themeColor="text1"/>
          <w:sz w:val="32"/>
          <w:szCs w:val="32"/>
          <w14:textFill>
            <w14:solidFill>
              <w14:schemeClr w14:val="tx1"/>
            </w14:solidFill>
          </w14:textFill>
        </w:rPr>
        <w:t>）</w:t>
      </w:r>
    </w:p>
    <w:p>
      <w:pPr>
        <w:pStyle w:val="26"/>
        <w:numPr>
          <w:ilvl w:val="0"/>
          <w:numId w:val="2"/>
        </w:numPr>
        <w:spacing w:line="600" w:lineRule="exact"/>
        <w:ind w:firstLineChars="0"/>
        <w:outlineLvl w:val="1"/>
        <w:rPr>
          <w:rStyle w:val="28"/>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8"/>
          <w:rFonts w:hint="eastAsia" w:ascii="黑体" w:hAnsi="黑体" w:eastAsia="黑体"/>
          <w:b w:val="0"/>
        </w:rPr>
        <w:t>出决算情况说明</w:t>
      </w:r>
      <w:bookmarkEnd w:id="28"/>
      <w:bookmarkEnd w:id="29"/>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105.43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97.41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92.39</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8.02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7.61</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5144770" cy="2629535"/>
            <wp:effectExtent l="4445" t="4445" r="13335" b="1397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jc w:val="center"/>
      </w:pPr>
      <w:r>
        <w:rPr>
          <w:rFonts w:hint="eastAsia" w:ascii="仿宋_GB2312" w:hAnsi="仿宋" w:eastAsia="仿宋_GB2312"/>
          <w:color w:val="000000" w:themeColor="text1"/>
          <w:sz w:val="32"/>
          <w:szCs w:val="32"/>
          <w14:textFill>
            <w14:solidFill>
              <w14:schemeClr w14:val="tx1"/>
            </w14:solidFill>
          </w14:textFill>
        </w:rPr>
        <w:t>（图3：支出决算结构图）</w:t>
      </w:r>
    </w:p>
    <w:p>
      <w:pPr>
        <w:spacing w:line="600" w:lineRule="exact"/>
        <w:ind w:firstLine="640" w:firstLineChars="200"/>
        <w:outlineLvl w:val="1"/>
        <w:rPr>
          <w:rStyle w:val="28"/>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105.43</w:t>
      </w:r>
      <w:r>
        <w:rPr>
          <w:rFonts w:hint="eastAsia" w:ascii="仿宋" w:hAnsi="仿宋" w:eastAsia="仿宋"/>
          <w:color w:val="000000"/>
          <w:sz w:val="32"/>
          <w:szCs w:val="32"/>
        </w:rPr>
        <w:t>万元。与2017年</w:t>
      </w:r>
      <w:r>
        <w:rPr>
          <w:rFonts w:hint="eastAsia" w:ascii="仿宋" w:hAnsi="仿宋" w:eastAsia="仿宋"/>
          <w:color w:val="000000"/>
          <w:sz w:val="32"/>
          <w:szCs w:val="32"/>
          <w:lang w:val="en-US" w:eastAsia="zh-CN"/>
        </w:rPr>
        <w:t>137.38万元</w:t>
      </w:r>
      <w:r>
        <w:rPr>
          <w:rFonts w:hint="eastAsia" w:ascii="仿宋" w:hAnsi="仿宋" w:eastAsia="仿宋"/>
          <w:color w:val="000000"/>
          <w:sz w:val="32"/>
          <w:szCs w:val="32"/>
        </w:rPr>
        <w:t>相比，收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31.95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23.20</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2018年度财政拨款</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105.43</w:t>
      </w:r>
      <w:r>
        <w:rPr>
          <w:rFonts w:hint="eastAsia" w:ascii="仿宋" w:hAnsi="仿宋" w:eastAsia="仿宋"/>
          <w:color w:val="000000"/>
          <w:sz w:val="32"/>
          <w:szCs w:val="32"/>
        </w:rPr>
        <w:t>万元。与2017年</w:t>
      </w:r>
      <w:r>
        <w:rPr>
          <w:rFonts w:hint="eastAsia" w:ascii="仿宋" w:hAnsi="仿宋" w:eastAsia="仿宋"/>
          <w:color w:val="000000"/>
          <w:sz w:val="32"/>
          <w:szCs w:val="32"/>
          <w:lang w:val="en-US" w:eastAsia="zh-CN"/>
        </w:rPr>
        <w:t>128.62万元</w:t>
      </w:r>
      <w:r>
        <w:rPr>
          <w:rFonts w:hint="eastAsia" w:ascii="仿宋" w:hAnsi="仿宋" w:eastAsia="仿宋"/>
          <w:color w:val="000000"/>
          <w:sz w:val="32"/>
          <w:szCs w:val="32"/>
        </w:rPr>
        <w:t>相比，</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23.19</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18.03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减少部分专项业务费支出预算。</w:t>
      </w:r>
    </w:p>
    <w:p>
      <w:pPr>
        <w:pStyle w:val="2"/>
        <w:rPr>
          <w:rFonts w:hint="eastAsia" w:ascii="仿宋" w:hAnsi="仿宋" w:eastAsia="仿宋"/>
          <w:color w:val="000000"/>
          <w:sz w:val="32"/>
          <w:szCs w:val="32"/>
          <w:lang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4043045</wp:posOffset>
                </wp:positionH>
                <wp:positionV relativeFrom="paragraph">
                  <wp:posOffset>165735</wp:posOffset>
                </wp:positionV>
                <wp:extent cx="758825" cy="347345"/>
                <wp:effectExtent l="4445" t="4445" r="17780" b="10160"/>
                <wp:wrapNone/>
                <wp:docPr id="6" name="文本框 6"/>
                <wp:cNvGraphicFramePr/>
                <a:graphic xmlns:a="http://schemas.openxmlformats.org/drawingml/2006/main">
                  <a:graphicData uri="http://schemas.microsoft.com/office/word/2010/wordprocessingShape">
                    <wps:wsp>
                      <wps:cNvSpPr txBox="1"/>
                      <wps:spPr>
                        <a:xfrm>
                          <a:off x="1806575" y="5263515"/>
                          <a:ext cx="758825" cy="34734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eastAsia="zh-CN"/>
                              </w:rPr>
                            </w:pPr>
                            <w:r>
                              <w:rPr>
                                <w:rFonts w:hint="eastAsia"/>
                                <w:sz w:val="15"/>
                                <w:szCs w:val="15"/>
                                <w:lang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35pt;margin-top:13.05pt;height:27.35pt;width:59.75pt;z-index:251661312;mso-width-relative:page;mso-height-relative:page;" fillcolor="#FFFFFF [3201]" filled="t" stroked="t" coordsize="21600,21600" o:gfxdata="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6SbAzYAAAACQEAAA8AAAAAAAAAAQAgAAAA&#10;IgAAAGRycy9kb3ducmV2LnhtbFBLAQIUABQAAAAIAIdO4kAWt74ZRAIAAHUEAAAOAAAAAAAAAAEA&#10;IAAAACcBAABkcnMvZTJvRG9jLnhtbFBLBQYAAAAABgAGAFkBAADdBQAAAAA=&#10;">
                <v:fill on="t" focussize="0,0"/>
                <v:stroke weight="0.5pt" color="#FFFFFF [3212]" joinstyle="round"/>
                <v:imagedata o:title=""/>
                <o:lock v:ext="edit" aspectratio="f"/>
                <v:textbox>
                  <w:txbxContent>
                    <w:p>
                      <w:pPr>
                        <w:rPr>
                          <w:rFonts w:hint="eastAsia" w:eastAsia="宋体"/>
                          <w:sz w:val="15"/>
                          <w:szCs w:val="15"/>
                          <w:lang w:eastAsia="zh-CN"/>
                        </w:rPr>
                      </w:pPr>
                      <w:r>
                        <w:rPr>
                          <w:rFonts w:hint="eastAsia"/>
                          <w:sz w:val="15"/>
                          <w:szCs w:val="15"/>
                          <w:lang w:eastAsia="zh-CN"/>
                        </w:rPr>
                        <w:t>单位：万元</w:t>
                      </w:r>
                    </w:p>
                  </w:txbxContent>
                </v:textbox>
              </v:shape>
            </w:pict>
          </mc:Fallback>
        </mc:AlternateContent>
      </w:r>
      <w:r>
        <w:rPr>
          <w:rFonts w:hint="eastAsia" w:ascii="仿宋" w:hAnsi="仿宋" w:eastAsia="仿宋"/>
          <w:color w:val="000000" w:themeColor="text1"/>
          <w:sz w:val="32"/>
          <w:szCs w:val="32"/>
          <w:lang w:eastAsia="zh-CN"/>
          <w14:textFill>
            <w14:solidFill>
              <w14:schemeClr w14:val="tx1"/>
            </w14:solidFill>
          </w14:textFill>
        </w:rPr>
        <w:drawing>
          <wp:inline distT="0" distB="0" distL="114300" distR="114300">
            <wp:extent cx="5262880" cy="2683510"/>
            <wp:effectExtent l="4445" t="4445" r="9525"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hint="eastAsia" w:ascii="仿宋" w:hAnsi="仿宋" w:eastAsia="仿宋"/>
          <w:color w:val="000000"/>
          <w:sz w:val="32"/>
          <w:szCs w:val="32"/>
          <w:lang w:eastAsia="zh-CN"/>
        </w:rPr>
      </w:pPr>
      <w:r>
        <w:rPr>
          <w:rFonts w:hint="eastAsia" w:ascii="仿宋_GB2312" w:hAnsi="仿宋" w:eastAsia="仿宋_GB2312"/>
          <w:color w:val="000000" w:themeColor="text1"/>
          <w:sz w:val="32"/>
          <w:szCs w:val="32"/>
          <w14:textFill>
            <w14:solidFill>
              <w14:schemeClr w14:val="tx1"/>
            </w14:solidFill>
          </w14:textFill>
        </w:rPr>
        <w:t>（图4：财政拨款收、支决算总计变动情况）</w:t>
      </w:r>
    </w:p>
    <w:p>
      <w:pPr>
        <w:spacing w:line="600" w:lineRule="exact"/>
        <w:ind w:firstLine="640"/>
        <w:rPr>
          <w:rFonts w:ascii="仿宋" w:hAnsi="仿宋" w:eastAsia="仿宋"/>
          <w:b/>
          <w:color w:val="00B050"/>
          <w:sz w:val="32"/>
          <w:szCs w:val="32"/>
        </w:rPr>
      </w:pPr>
      <w:r>
        <w:rPr>
          <w:rFonts w:hint="eastAsia" w:ascii="仿宋" w:hAnsi="仿宋" w:eastAsia="仿宋"/>
          <w:b/>
          <w:color w:val="000000" w:themeColor="text1"/>
          <w:sz w:val="32"/>
          <w:szCs w:val="32"/>
          <w14:textFill>
            <w14:solidFill>
              <w14:schemeClr w14:val="tx1"/>
            </w14:solidFill>
          </w14:textFill>
        </w:rPr>
        <w:t>（除国有资本经营预算外，数据来源于财决</w:t>
      </w:r>
      <w:r>
        <w:rPr>
          <w:rFonts w:ascii="仿宋" w:hAnsi="仿宋" w:eastAsia="仿宋"/>
          <w:b/>
          <w:color w:val="000000" w:themeColor="text1"/>
          <w:sz w:val="32"/>
          <w:szCs w:val="32"/>
          <w14:textFill>
            <w14:solidFill>
              <w14:schemeClr w14:val="tx1"/>
            </w14:solidFill>
          </w14:textFill>
        </w:rPr>
        <w:t>Z01-1</w:t>
      </w:r>
      <w:r>
        <w:rPr>
          <w:rFonts w:hint="eastAsia" w:ascii="仿宋" w:hAnsi="仿宋" w:eastAsia="仿宋"/>
          <w:b/>
          <w:color w:val="000000" w:themeColor="text1"/>
          <w:sz w:val="32"/>
          <w:szCs w:val="32"/>
          <w14:textFill>
            <w14:solidFill>
              <w14:schemeClr w14:val="tx1"/>
            </w14:solidFill>
          </w14:textFill>
        </w:rPr>
        <w:t>表，口径为“总计”数+国有资本经营预算。）</w:t>
      </w:r>
    </w:p>
    <w:p>
      <w:pPr>
        <w:spacing w:line="600" w:lineRule="exact"/>
        <w:ind w:firstLine="640" w:firstLineChars="200"/>
        <w:outlineLvl w:val="1"/>
        <w:rPr>
          <w:rStyle w:val="28"/>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105.43</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w:t>
      </w:r>
      <w:r>
        <w:rPr>
          <w:rFonts w:hint="eastAsia" w:ascii="仿宋" w:hAnsi="仿宋" w:eastAsia="仿宋"/>
          <w:color w:val="000000"/>
          <w:sz w:val="32"/>
          <w:szCs w:val="32"/>
          <w:lang w:val="en-US" w:eastAsia="zh-CN"/>
        </w:rPr>
        <w:t>23.19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18.03</w:t>
      </w:r>
      <w:r>
        <w:rPr>
          <w:rFonts w:ascii="仿宋" w:hAnsi="仿宋" w:eastAsia="仿宋"/>
          <w:color w:val="000000"/>
          <w:sz w:val="32"/>
          <w:szCs w:val="32"/>
        </w:rPr>
        <w:t>%</w:t>
      </w:r>
      <w:r>
        <w:rPr>
          <w:rFonts w:hint="eastAsia" w:ascii="仿宋" w:hAnsi="仿宋" w:eastAsia="仿宋"/>
          <w:color w:val="000000"/>
          <w:sz w:val="32"/>
          <w:szCs w:val="32"/>
        </w:rPr>
        <w:t>。主要变动</w:t>
      </w:r>
      <w:r>
        <w:rPr>
          <w:rFonts w:hint="eastAsia" w:ascii="仿宋" w:hAnsi="仿宋" w:eastAsia="仿宋"/>
          <w:color w:val="000000"/>
          <w:sz w:val="32"/>
          <w:szCs w:val="32"/>
          <w:lang w:eastAsia="zh-CN"/>
        </w:rPr>
        <w:t>原因</w:t>
      </w:r>
      <w:r>
        <w:rPr>
          <w:rFonts w:hint="eastAsia" w:ascii="仿宋" w:hAnsi="仿宋" w:eastAsia="仿宋"/>
          <w:color w:val="000000"/>
          <w:sz w:val="32"/>
          <w:szCs w:val="32"/>
        </w:rPr>
        <w:t>是</w:t>
      </w:r>
      <w:r>
        <w:rPr>
          <w:rFonts w:hint="eastAsia" w:ascii="仿宋" w:hAnsi="仿宋" w:eastAsia="仿宋"/>
          <w:color w:val="000000"/>
          <w:sz w:val="32"/>
          <w:szCs w:val="32"/>
          <w:lang w:eastAsia="zh-CN"/>
        </w:rPr>
        <w:t>减少部分专项业务费支出预算。</w:t>
      </w:r>
    </w:p>
    <w:p>
      <w:pPr>
        <w:pStyle w:val="2"/>
        <w:rPr>
          <w:rFonts w:hint="eastAsia" w:ascii="仿宋" w:hAnsi="仿宋" w:eastAsia="仿宋"/>
          <w:color w:val="000000"/>
          <w:sz w:val="32"/>
          <w:szCs w:val="32"/>
          <w:lang w:eastAsia="zh-CN"/>
        </w:rPr>
      </w:pPr>
      <w:r>
        <w:rPr>
          <w:rFonts w:hint="eastAsia" w:ascii="仿宋" w:hAnsi="仿宋" w:eastAsia="仿宋"/>
          <w:color w:val="000000" w:themeColor="text1"/>
          <w:sz w:val="32"/>
          <w:szCs w:val="32"/>
          <w14:textFill>
            <w14:solidFill>
              <w14:schemeClr w14:val="tx1"/>
            </w14:solidFill>
          </w14:textFill>
        </w:rPr>
        <w:t>一般公共预算财政拨款支出决算变动情况</w:t>
      </w:r>
    </w:p>
    <w:p>
      <w:pPr>
        <w:pStyle w:val="2"/>
        <w:rPr>
          <w:rFonts w:hint="eastAsia" w:ascii="仿宋" w:hAnsi="仿宋" w:eastAsia="仿宋"/>
          <w:color w:val="000000"/>
          <w:sz w:val="32"/>
          <w:szCs w:val="32"/>
          <w:lang w:eastAsia="zh-CN"/>
        </w:rPr>
      </w:pPr>
    </w:p>
    <w:p>
      <w:pPr>
        <w:pStyle w:val="2"/>
        <w:rPr>
          <w:rFonts w:hint="eastAsia" w:ascii="仿宋" w:hAnsi="仿宋" w:eastAsia="仿宋"/>
          <w:color w:val="000000"/>
          <w:sz w:val="32"/>
          <w:szCs w:val="32"/>
          <w:lang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4061460</wp:posOffset>
                </wp:positionH>
                <wp:positionV relativeFrom="paragraph">
                  <wp:posOffset>430530</wp:posOffset>
                </wp:positionV>
                <wp:extent cx="767715" cy="292100"/>
                <wp:effectExtent l="4445" t="5080" r="8890" b="7620"/>
                <wp:wrapNone/>
                <wp:docPr id="10" name="文本框 10"/>
                <wp:cNvGraphicFramePr/>
                <a:graphic xmlns:a="http://schemas.openxmlformats.org/drawingml/2006/main">
                  <a:graphicData uri="http://schemas.microsoft.com/office/word/2010/wordprocessingShape">
                    <wps:wsp>
                      <wps:cNvSpPr txBox="1"/>
                      <wps:spPr>
                        <a:xfrm>
                          <a:off x="2319655" y="3937000"/>
                          <a:ext cx="767715" cy="2921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color w:val="FFFFFF" w:themeColor="background1"/>
                                <w:sz w:val="15"/>
                                <w:szCs w:val="15"/>
                                <w:lang w:eastAsia="zh-CN"/>
                                <w14:textFill>
                                  <w14:solidFill>
                                    <w14:schemeClr w14:val="bg1"/>
                                  </w14:solidFill>
                                </w14:textFill>
                              </w:rPr>
                            </w:pPr>
                            <w:r>
                              <w:rPr>
                                <w:rFonts w:hint="eastAsia"/>
                                <w:sz w:val="15"/>
                                <w:szCs w:val="15"/>
                                <w:lang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9.8pt;margin-top:33.9pt;height:23pt;width:60.45pt;z-index:251662336;mso-width-relative:page;mso-height-relative:page;" fillcolor="#FFFFFF [3201]" filled="t" stroked="t" coordsize="21600,21600" o:gfxdata="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pEnfdgAAAAKAQAADwAAAAAAAAABACAAAAAi&#10;AAAAZHJzL2Rvd25yZXYueG1sUEsBAhQAFAAAAAgAh07iQLDzIKBDAgAAdwQAAA4AAAAAAAAAAQAg&#10;AAAAJwEAAGRycy9lMm9Eb2MueG1sUEsFBgAAAAAGAAYAWQEAANwFAAAAAA==&#10;">
                <v:fill on="t" focussize="0,0"/>
                <v:stroke weight="0.5pt" color="#FFFFFF [3212]" joinstyle="round"/>
                <v:imagedata o:title=""/>
                <o:lock v:ext="edit" aspectratio="f"/>
                <v:textbox>
                  <w:txbxContent>
                    <w:p>
                      <w:pPr>
                        <w:rPr>
                          <w:rFonts w:hint="eastAsia" w:eastAsia="宋体"/>
                          <w:color w:val="FFFFFF" w:themeColor="background1"/>
                          <w:sz w:val="15"/>
                          <w:szCs w:val="15"/>
                          <w:lang w:eastAsia="zh-CN"/>
                          <w14:textFill>
                            <w14:solidFill>
                              <w14:schemeClr w14:val="bg1"/>
                            </w14:solidFill>
                          </w14:textFill>
                        </w:rPr>
                      </w:pPr>
                      <w:r>
                        <w:rPr>
                          <w:rFonts w:hint="eastAsia"/>
                          <w:sz w:val="15"/>
                          <w:szCs w:val="15"/>
                          <w:lang w:eastAsia="zh-CN"/>
                        </w:rPr>
                        <w:t>单位：万元</w:t>
                      </w:r>
                    </w:p>
                  </w:txbxContent>
                </v:textbox>
              </v:shape>
            </w:pict>
          </mc:Fallback>
        </mc:AlternateContent>
      </w:r>
      <w:r>
        <w:rPr>
          <w:rFonts w:hint="eastAsia" w:ascii="仿宋" w:hAnsi="仿宋" w:eastAsia="仿宋"/>
          <w:color w:val="000000"/>
          <w:sz w:val="32"/>
          <w:szCs w:val="32"/>
          <w:lang w:eastAsia="zh-CN"/>
        </w:rPr>
        <w:drawing>
          <wp:inline distT="0" distB="0" distL="114300" distR="114300">
            <wp:extent cx="5273040" cy="2520315"/>
            <wp:effectExtent l="4445" t="4445" r="18415" b="889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jc w:val="center"/>
        <w:rPr>
          <w:rFonts w:hint="eastAsia" w:ascii="仿宋" w:hAnsi="仿宋" w:eastAsia="仿宋"/>
          <w:color w:val="000000"/>
          <w:sz w:val="32"/>
          <w:szCs w:val="32"/>
          <w:lang w:eastAsia="zh-CN"/>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105.43</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w:t>
      </w:r>
      <w:r>
        <w:rPr>
          <w:rFonts w:hint="eastAsia" w:ascii="仿宋" w:hAnsi="仿宋" w:eastAsia="仿宋"/>
          <w:b/>
          <w:color w:val="000000" w:themeColor="text1"/>
          <w:sz w:val="32"/>
          <w:szCs w:val="32"/>
          <w:lang w:val="en-US" w:eastAsia="zh-CN"/>
          <w14:textFill>
            <w14:solidFill>
              <w14:schemeClr w14:val="tx1"/>
            </w14:solidFill>
          </w14:textFill>
        </w:rPr>
        <w:t>201</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87.60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83.09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w:t>
      </w:r>
      <w:r>
        <w:rPr>
          <w:rFonts w:hint="eastAsia" w:ascii="仿宋" w:hAnsi="仿宋" w:eastAsia="仿宋"/>
          <w:b/>
          <w:color w:val="000000" w:themeColor="text1"/>
          <w:sz w:val="32"/>
          <w:szCs w:val="32"/>
          <w:lang w:val="en-US" w:eastAsia="zh-CN"/>
          <w14:textFill>
            <w14:solidFill>
              <w14:schemeClr w14:val="tx1"/>
            </w14:solidFill>
          </w14:textFill>
        </w:rPr>
        <w:t>208</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8.96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8.50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210</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3.56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3.37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221</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5.31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5.04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pStyle w:val="2"/>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inline distT="0" distB="0" distL="114300" distR="114300">
            <wp:extent cx="5107305" cy="2319020"/>
            <wp:effectExtent l="4445" t="4445" r="12700" b="1968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（图6：一般公共预算财政拨款支出决算结构）</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2018年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105.43万元</w:t>
      </w:r>
      <w:r>
        <w:rPr>
          <w:rFonts w:hint="eastAsia" w:ascii="仿宋" w:hAnsi="仿宋" w:eastAsia="仿宋"/>
          <w:color w:val="000000" w:themeColor="text1"/>
          <w:sz w:val="32"/>
          <w:szCs w:val="32"/>
          <w14:textFill>
            <w14:solidFill>
              <w14:schemeClr w14:val="tx1"/>
            </w14:solidFill>
          </w14:textFill>
        </w:rPr>
        <w:t>，</w:t>
      </w:r>
      <w:r>
        <w:rPr>
          <w:rStyle w:val="18"/>
          <w:rFonts w:hint="eastAsia" w:ascii="仿宋" w:hAnsi="仿宋" w:eastAsia="仿宋"/>
          <w:bCs/>
          <w:color w:val="000000" w:themeColor="text1"/>
          <w:sz w:val="32"/>
          <w:szCs w:val="32"/>
          <w14:textFill>
            <w14:solidFill>
              <w14:schemeClr w14:val="tx1"/>
            </w14:solidFill>
          </w14:textFill>
        </w:rPr>
        <w:t>完成</w:t>
      </w:r>
      <w:r>
        <w:rPr>
          <w:rStyle w:val="18"/>
          <w:rFonts w:hint="eastAsia" w:ascii="仿宋" w:hAnsi="仿宋" w:eastAsia="仿宋"/>
          <w:bCs/>
          <w:color w:val="000000"/>
          <w:sz w:val="32"/>
          <w:szCs w:val="32"/>
        </w:rPr>
        <w:t>预算</w:t>
      </w:r>
      <w:r>
        <w:rPr>
          <w:rStyle w:val="18"/>
          <w:rFonts w:hint="eastAsia" w:ascii="仿宋" w:hAnsi="仿宋" w:eastAsia="仿宋"/>
          <w:bCs/>
          <w:color w:val="000000"/>
          <w:sz w:val="32"/>
          <w:szCs w:val="32"/>
          <w:lang w:val="en-US" w:eastAsia="zh-CN"/>
        </w:rPr>
        <w:t>100</w:t>
      </w:r>
      <w:r>
        <w:rPr>
          <w:rStyle w:val="18"/>
          <w:rFonts w:ascii="仿宋" w:hAnsi="仿宋" w:eastAsia="仿宋"/>
          <w:bCs/>
          <w:color w:val="000000"/>
          <w:sz w:val="32"/>
          <w:szCs w:val="32"/>
        </w:rPr>
        <w:t>%</w:t>
      </w:r>
      <w:r>
        <w:rPr>
          <w:rStyle w:val="18"/>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8"/>
          <w:rFonts w:ascii="仿宋" w:hAnsi="仿宋" w:eastAsia="仿宋"/>
          <w:bCs/>
          <w:color w:val="000000"/>
          <w:sz w:val="32"/>
          <w:szCs w:val="32"/>
        </w:rPr>
        <w:t>1.</w:t>
      </w:r>
      <w:r>
        <w:rPr>
          <w:rStyle w:val="18"/>
          <w:rFonts w:hint="eastAsia" w:ascii="仿宋" w:hAnsi="仿宋" w:eastAsia="仿宋"/>
          <w:bCs/>
          <w:color w:val="000000"/>
          <w:sz w:val="32"/>
          <w:szCs w:val="32"/>
        </w:rPr>
        <w:t>一般公共服务</w:t>
      </w:r>
      <w:r>
        <w:rPr>
          <w:rStyle w:val="18"/>
          <w:rFonts w:hint="eastAsia" w:ascii="仿宋" w:hAnsi="仿宋" w:eastAsia="仿宋"/>
          <w:bCs/>
          <w:color w:val="000000"/>
          <w:sz w:val="32"/>
          <w:szCs w:val="32"/>
          <w:lang w:val="en-US" w:eastAsia="zh-CN"/>
        </w:rPr>
        <w:t>:</w:t>
      </w:r>
      <w:r>
        <w:rPr>
          <w:rStyle w:val="18"/>
          <w:rFonts w:hint="eastAsia" w:ascii="仿宋" w:hAnsi="仿宋" w:eastAsia="仿宋"/>
          <w:b w:val="0"/>
          <w:bCs/>
          <w:color w:val="000000"/>
          <w:sz w:val="32"/>
          <w:szCs w:val="32"/>
          <w:lang w:val="en-US" w:eastAsia="zh-CN"/>
        </w:rPr>
        <w:t>2010301行政运行</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79.58</w:t>
      </w:r>
      <w:r>
        <w:rPr>
          <w:rStyle w:val="18"/>
          <w:rFonts w:hint="eastAsia" w:ascii="仿宋" w:hAnsi="仿宋" w:eastAsia="仿宋"/>
          <w:b w:val="0"/>
          <w:bCs/>
          <w:color w:val="000000"/>
          <w:sz w:val="32"/>
          <w:szCs w:val="32"/>
        </w:rPr>
        <w:t>万元，</w:t>
      </w:r>
      <w:r>
        <w:rPr>
          <w:rStyle w:val="18"/>
          <w:rFonts w:hint="eastAsia" w:ascii="仿宋" w:hAnsi="仿宋" w:eastAsia="仿宋"/>
          <w:b w:val="0"/>
          <w:bCs/>
          <w:color w:val="000000"/>
          <w:sz w:val="32"/>
          <w:szCs w:val="32"/>
          <w:lang w:val="en-US" w:eastAsia="zh-CN"/>
        </w:rPr>
        <w:t>2010302一般行政管理事务决算数为8.02万元，</w:t>
      </w:r>
      <w:r>
        <w:rPr>
          <w:rStyle w:val="18"/>
          <w:rFonts w:hint="eastAsia" w:ascii="仿宋" w:hAnsi="仿宋" w:eastAsia="仿宋"/>
          <w:b w:val="0"/>
          <w:bCs/>
          <w:color w:val="000000"/>
          <w:sz w:val="32"/>
          <w:szCs w:val="32"/>
        </w:rPr>
        <w:t>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8"/>
          <w:rFonts w:ascii="仿宋" w:hAnsi="仿宋" w:eastAsia="仿宋"/>
          <w:bCs/>
          <w:color w:val="000000"/>
          <w:sz w:val="32"/>
          <w:szCs w:val="32"/>
        </w:rPr>
        <w:t>2.</w:t>
      </w:r>
      <w:r>
        <w:rPr>
          <w:rStyle w:val="18"/>
          <w:rFonts w:hint="eastAsia" w:ascii="仿宋" w:hAnsi="仿宋" w:eastAsia="仿宋"/>
          <w:bCs/>
          <w:color w:val="000000"/>
          <w:sz w:val="32"/>
          <w:szCs w:val="32"/>
        </w:rPr>
        <w:t>教育</w:t>
      </w:r>
      <w:r>
        <w:rPr>
          <w:rStyle w:val="18"/>
          <w:rFonts w:hint="eastAsia" w:ascii="仿宋" w:hAnsi="仿宋" w:eastAsia="仿宋"/>
          <w:bCs/>
          <w:color w:val="000000"/>
          <w:sz w:val="32"/>
          <w:szCs w:val="32"/>
          <w:lang w:val="en-US" w:eastAsia="zh-CN"/>
        </w:rPr>
        <w:t>205</w:t>
      </w:r>
      <w:r>
        <w:rPr>
          <w:rStyle w:val="18"/>
          <w:rFonts w:ascii="仿宋" w:hAnsi="仿宋" w:eastAsia="仿宋"/>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0</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8"/>
          <w:rFonts w:ascii="仿宋" w:hAnsi="仿宋" w:eastAsia="仿宋"/>
          <w:bCs/>
          <w:color w:val="000000"/>
          <w:sz w:val="32"/>
          <w:szCs w:val="32"/>
        </w:rPr>
        <w:t>3.</w:t>
      </w:r>
      <w:r>
        <w:rPr>
          <w:rStyle w:val="18"/>
          <w:rFonts w:hint="eastAsia" w:ascii="仿宋" w:hAnsi="仿宋" w:eastAsia="仿宋"/>
          <w:bCs/>
          <w:color w:val="000000"/>
          <w:sz w:val="32"/>
          <w:szCs w:val="32"/>
        </w:rPr>
        <w:t>科学技术</w:t>
      </w:r>
      <w:r>
        <w:rPr>
          <w:rStyle w:val="18"/>
          <w:rFonts w:hint="eastAsia" w:ascii="仿宋" w:hAnsi="仿宋" w:eastAsia="仿宋"/>
          <w:bCs/>
          <w:color w:val="000000"/>
          <w:sz w:val="32"/>
          <w:szCs w:val="32"/>
          <w:lang w:val="en-US" w:eastAsia="zh-CN"/>
        </w:rPr>
        <w:t>206</w:t>
      </w:r>
      <w:r>
        <w:rPr>
          <w:rStyle w:val="18"/>
          <w:rFonts w:ascii="仿宋" w:hAnsi="仿宋" w:eastAsia="仿宋"/>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0</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8"/>
          <w:rFonts w:ascii="仿宋" w:hAnsi="仿宋" w:eastAsia="仿宋"/>
          <w:bCs/>
          <w:color w:val="000000"/>
          <w:sz w:val="32"/>
          <w:szCs w:val="32"/>
        </w:rPr>
        <w:t>4.</w:t>
      </w:r>
      <w:r>
        <w:rPr>
          <w:rStyle w:val="18"/>
          <w:rFonts w:hint="eastAsia" w:ascii="仿宋" w:hAnsi="仿宋" w:eastAsia="仿宋"/>
          <w:bCs/>
          <w:color w:val="000000"/>
          <w:sz w:val="32"/>
          <w:szCs w:val="32"/>
        </w:rPr>
        <w:t>文化体育与传媒</w:t>
      </w:r>
      <w:r>
        <w:rPr>
          <w:rStyle w:val="18"/>
          <w:rFonts w:hint="eastAsia" w:ascii="仿宋" w:hAnsi="仿宋" w:eastAsia="仿宋"/>
          <w:bCs/>
          <w:color w:val="000000"/>
          <w:sz w:val="32"/>
          <w:szCs w:val="32"/>
          <w:lang w:val="en-US" w:eastAsia="zh-CN"/>
        </w:rPr>
        <w:t>207</w:t>
      </w:r>
      <w:r>
        <w:rPr>
          <w:rStyle w:val="18"/>
          <w:rFonts w:ascii="仿宋" w:hAnsi="仿宋" w:eastAsia="仿宋"/>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0</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8"/>
          <w:rFonts w:ascii="仿宋" w:hAnsi="仿宋" w:eastAsia="仿宋"/>
          <w:bCs/>
          <w:color w:val="000000"/>
          <w:sz w:val="32"/>
          <w:szCs w:val="32"/>
        </w:rPr>
        <w:t>5.</w:t>
      </w:r>
      <w:r>
        <w:rPr>
          <w:rStyle w:val="18"/>
          <w:rFonts w:hint="eastAsia" w:ascii="仿宋" w:hAnsi="仿宋" w:eastAsia="仿宋"/>
          <w:bCs/>
          <w:color w:val="000000"/>
          <w:sz w:val="32"/>
          <w:szCs w:val="32"/>
        </w:rPr>
        <w:t>社会保障和就业</w:t>
      </w:r>
      <w:r>
        <w:rPr>
          <w:rStyle w:val="18"/>
          <w:rFonts w:hint="eastAsia" w:ascii="仿宋" w:hAnsi="仿宋" w:eastAsia="仿宋"/>
          <w:bCs/>
          <w:color w:val="000000"/>
          <w:sz w:val="32"/>
          <w:szCs w:val="32"/>
          <w:lang w:val="en-US" w:eastAsia="zh-CN"/>
        </w:rPr>
        <w:t>2080505</w:t>
      </w:r>
      <w:r>
        <w:rPr>
          <w:rStyle w:val="18"/>
          <w:rFonts w:hint="eastAsia" w:ascii="仿宋" w:hAnsi="仿宋" w:eastAsia="仿宋"/>
          <w:b w:val="0"/>
          <w:bCs/>
          <w:color w:val="000000"/>
          <w:sz w:val="32"/>
          <w:szCs w:val="32"/>
          <w:lang w:eastAsia="zh-CN"/>
        </w:rPr>
        <w:t>机关事业单位基本养老保险缴费支出</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8.96</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pPr>
        <w:spacing w:line="600" w:lineRule="exact"/>
        <w:ind w:firstLine="643" w:firstLineChars="200"/>
        <w:rPr>
          <w:rStyle w:val="18"/>
          <w:rFonts w:hint="eastAsia" w:ascii="仿宋" w:hAnsi="仿宋" w:eastAsia="仿宋"/>
          <w:b w:val="0"/>
          <w:bCs/>
          <w:color w:val="000000"/>
          <w:sz w:val="32"/>
          <w:szCs w:val="32"/>
        </w:rPr>
      </w:pPr>
      <w:r>
        <w:rPr>
          <w:rStyle w:val="18"/>
          <w:rFonts w:ascii="仿宋" w:hAnsi="仿宋" w:eastAsia="仿宋"/>
          <w:bCs/>
          <w:color w:val="000000"/>
          <w:sz w:val="32"/>
          <w:szCs w:val="32"/>
        </w:rPr>
        <w:t>6.</w:t>
      </w:r>
      <w:r>
        <w:rPr>
          <w:rStyle w:val="18"/>
          <w:rFonts w:hint="eastAsia" w:ascii="仿宋" w:hAnsi="仿宋" w:eastAsia="仿宋"/>
          <w:bCs/>
          <w:color w:val="000000"/>
          <w:sz w:val="32"/>
          <w:szCs w:val="32"/>
        </w:rPr>
        <w:t>医疗卫生与计划生育</w:t>
      </w:r>
      <w:r>
        <w:rPr>
          <w:rStyle w:val="18"/>
          <w:rFonts w:hint="eastAsia" w:ascii="仿宋" w:hAnsi="仿宋" w:eastAsia="仿宋"/>
          <w:bCs/>
          <w:color w:val="000000"/>
          <w:sz w:val="32"/>
          <w:szCs w:val="32"/>
          <w:lang w:val="en-US" w:eastAsia="zh-CN"/>
        </w:rPr>
        <w:t>2101101行政单位医疗</w:t>
      </w:r>
      <w:r>
        <w:rPr>
          <w:rStyle w:val="18"/>
          <w:rFonts w:hint="eastAsia" w:ascii="仿宋" w:hAnsi="仿宋" w:eastAsia="仿宋"/>
          <w:b w:val="0"/>
          <w:bCs/>
          <w:color w:val="000000"/>
          <w:sz w:val="32"/>
          <w:szCs w:val="32"/>
        </w:rPr>
        <w:t>支出决算</w:t>
      </w:r>
      <w:r>
        <w:rPr>
          <w:rStyle w:val="18"/>
          <w:rFonts w:hint="eastAsia" w:ascii="仿宋" w:hAnsi="仿宋" w:eastAsia="仿宋"/>
          <w:b w:val="0"/>
          <w:bCs/>
          <w:color w:val="000000"/>
          <w:sz w:val="32"/>
          <w:szCs w:val="32"/>
          <w:lang w:eastAsia="zh-CN"/>
        </w:rPr>
        <w:t>数</w:t>
      </w:r>
      <w:r>
        <w:rPr>
          <w:rStyle w:val="18"/>
          <w:rFonts w:hint="eastAsia" w:ascii="仿宋" w:hAnsi="仿宋" w:eastAsia="仿宋"/>
          <w:b w:val="0"/>
          <w:bCs/>
          <w:color w:val="000000"/>
          <w:sz w:val="32"/>
          <w:szCs w:val="32"/>
        </w:rPr>
        <w:t>为</w:t>
      </w:r>
      <w:r>
        <w:rPr>
          <w:rStyle w:val="18"/>
          <w:rFonts w:hint="eastAsia" w:ascii="仿宋" w:hAnsi="仿宋" w:eastAsia="仿宋"/>
          <w:b w:val="0"/>
          <w:bCs/>
          <w:color w:val="000000"/>
          <w:sz w:val="32"/>
          <w:szCs w:val="32"/>
          <w:lang w:val="en-US" w:eastAsia="zh-CN"/>
        </w:rPr>
        <w:t>3.56</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pPr>
        <w:spacing w:line="600" w:lineRule="exact"/>
        <w:ind w:firstLine="643" w:firstLineChars="200"/>
        <w:rPr>
          <w:rStyle w:val="18"/>
          <w:rFonts w:hint="default" w:ascii="仿宋" w:hAnsi="仿宋" w:eastAsia="仿宋"/>
          <w:b/>
          <w:bCs w:val="0"/>
          <w:color w:val="000000"/>
          <w:sz w:val="32"/>
          <w:szCs w:val="32"/>
          <w:lang w:val="en-US" w:eastAsia="zh-CN"/>
        </w:rPr>
      </w:pPr>
      <w:r>
        <w:rPr>
          <w:rStyle w:val="18"/>
          <w:rFonts w:hint="eastAsia" w:ascii="仿宋" w:hAnsi="仿宋" w:eastAsia="仿宋"/>
          <w:b/>
          <w:bCs w:val="0"/>
          <w:color w:val="000000"/>
          <w:sz w:val="32"/>
          <w:szCs w:val="32"/>
          <w:lang w:val="en-US" w:eastAsia="zh-CN"/>
        </w:rPr>
        <w:t>7.住房保障支出2210201住房公积金</w:t>
      </w:r>
      <w:r>
        <w:rPr>
          <w:rStyle w:val="18"/>
          <w:rFonts w:hint="eastAsia" w:ascii="仿宋" w:hAnsi="仿宋" w:eastAsia="仿宋"/>
          <w:b w:val="0"/>
          <w:bCs/>
          <w:color w:val="000000"/>
          <w:sz w:val="32"/>
          <w:szCs w:val="32"/>
        </w:rPr>
        <w:t>支出决算</w:t>
      </w:r>
      <w:r>
        <w:rPr>
          <w:rStyle w:val="18"/>
          <w:rFonts w:hint="eastAsia" w:ascii="仿宋" w:hAnsi="仿宋" w:eastAsia="仿宋"/>
          <w:b w:val="0"/>
          <w:bCs/>
          <w:color w:val="000000"/>
          <w:sz w:val="32"/>
          <w:szCs w:val="32"/>
          <w:lang w:eastAsia="zh-CN"/>
        </w:rPr>
        <w:t>数</w:t>
      </w:r>
      <w:r>
        <w:rPr>
          <w:rStyle w:val="18"/>
          <w:rFonts w:hint="eastAsia" w:ascii="仿宋" w:hAnsi="仿宋" w:eastAsia="仿宋"/>
          <w:b w:val="0"/>
          <w:bCs/>
          <w:color w:val="000000"/>
          <w:sz w:val="32"/>
          <w:szCs w:val="32"/>
        </w:rPr>
        <w:t>为</w:t>
      </w:r>
      <w:r>
        <w:rPr>
          <w:rStyle w:val="18"/>
          <w:rFonts w:hint="eastAsia" w:ascii="仿宋" w:hAnsi="仿宋" w:eastAsia="仿宋"/>
          <w:b w:val="0"/>
          <w:bCs/>
          <w:color w:val="000000"/>
          <w:sz w:val="32"/>
          <w:szCs w:val="32"/>
          <w:lang w:val="en-US" w:eastAsia="zh-CN"/>
        </w:rPr>
        <w:t>5.31</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tabs>
          <w:tab w:val="right" w:pos="8306"/>
        </w:tabs>
        <w:spacing w:line="600" w:lineRule="exact"/>
        <w:ind w:firstLine="640"/>
        <w:outlineLvl w:val="1"/>
        <w:rPr>
          <w:rStyle w:val="28"/>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40"/>
      <w:bookmarkEnd w:id="41"/>
      <w:r>
        <w:rPr>
          <w:rStyle w:val="2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97.41</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87.42</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9.99</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FF0000"/>
          <w:sz w:val="32"/>
          <w:szCs w:val="32"/>
        </w:rPr>
      </w:pPr>
      <w:r>
        <w:rPr>
          <w:rFonts w:hint="eastAsia" w:ascii="仿宋" w:hAnsi="仿宋" w:eastAsia="仿宋"/>
          <w:b/>
          <w:color w:val="000000" w:themeColor="text1"/>
          <w:sz w:val="32"/>
          <w:szCs w:val="32"/>
          <w14:textFill>
            <w14:solidFill>
              <w14:schemeClr w14:val="tx1"/>
            </w14:solidFill>
          </w14:textFill>
        </w:rPr>
        <w:t>（数据来源财决</w:t>
      </w:r>
      <w:r>
        <w:rPr>
          <w:rFonts w:ascii="仿宋" w:hAnsi="仿宋" w:eastAsia="仿宋"/>
          <w:b/>
          <w:color w:val="000000" w:themeColor="text1"/>
          <w:sz w:val="32"/>
          <w:szCs w:val="32"/>
          <w14:textFill>
            <w14:solidFill>
              <w14:schemeClr w14:val="tx1"/>
            </w14:solidFill>
          </w14:textFill>
        </w:rPr>
        <w:t>0</w:t>
      </w:r>
      <w:r>
        <w:rPr>
          <w:rFonts w:hint="eastAsia" w:ascii="仿宋" w:hAnsi="仿宋" w:eastAsia="仿宋"/>
          <w:b/>
          <w:color w:val="000000" w:themeColor="text1"/>
          <w:sz w:val="32"/>
          <w:szCs w:val="32"/>
          <w14:textFill>
            <w14:solidFill>
              <w14:schemeClr w14:val="tx1"/>
            </w14:solidFill>
          </w14:textFill>
        </w:rPr>
        <w:t>7表，根据本部门实际支出情况罗列全部经济分类科目。）</w:t>
      </w:r>
    </w:p>
    <w:p>
      <w:pPr>
        <w:spacing w:line="600" w:lineRule="exact"/>
        <w:ind w:firstLine="640"/>
        <w:outlineLvl w:val="1"/>
        <w:rPr>
          <w:rStyle w:val="28"/>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0.4</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14:textFill>
            <w14:solidFill>
              <w14:schemeClr w14:val="tx1"/>
            </w14:solidFill>
          </w14:textFill>
        </w:rPr>
        <w:t>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pStyle w:val="2"/>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5272405" cy="2500630"/>
            <wp:effectExtent l="4445" t="4445" r="19050" b="952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jc w:val="center"/>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8"/>
          <w:rFonts w:hint="eastAsia" w:ascii="仿宋" w:hAnsi="仿宋" w:eastAsia="仿宋"/>
          <w:b w:val="0"/>
          <w:bCs/>
          <w:color w:val="000000"/>
          <w:sz w:val="32"/>
          <w:szCs w:val="32"/>
        </w:rPr>
        <w:t>完成预算</w:t>
      </w:r>
      <w:r>
        <w:rPr>
          <w:rStyle w:val="18"/>
          <w:rFonts w:hint="eastAsia" w:ascii="仿宋" w:hAnsi="仿宋" w:eastAsia="仿宋"/>
          <w:b w:val="0"/>
          <w:bCs/>
          <w:color w:val="000000"/>
          <w:sz w:val="32"/>
          <w:szCs w:val="32"/>
          <w:lang w:val="en-US" w:eastAsia="zh-CN"/>
        </w:rPr>
        <w:t>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8"/>
          <w:rFonts w:hint="eastAsia" w:ascii="仿宋" w:hAnsi="仿宋" w:eastAsia="仿宋"/>
          <w:b w:val="0"/>
          <w:bCs/>
          <w:color w:val="000000"/>
          <w:sz w:val="32"/>
          <w:szCs w:val="32"/>
        </w:rPr>
        <w:t>完成预算</w:t>
      </w:r>
      <w:r>
        <w:rPr>
          <w:rStyle w:val="18"/>
          <w:rFonts w:hint="eastAsia" w:ascii="仿宋" w:hAnsi="仿宋" w:eastAsia="仿宋"/>
          <w:b w:val="0"/>
          <w:bCs/>
          <w:color w:val="000000"/>
          <w:sz w:val="32"/>
          <w:szCs w:val="32"/>
          <w:lang w:val="en-US" w:eastAsia="zh-CN"/>
        </w:rPr>
        <w:t>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万元。（具体工作）等所需的公务用车燃料费、维修费、过路过桥费、保险费等支出。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0.4</w:t>
      </w:r>
      <w:r>
        <w:rPr>
          <w:rFonts w:hint="eastAsia" w:ascii="仿宋_GB2312" w:eastAsia="仿宋_GB2312"/>
          <w:color w:val="000000"/>
          <w:sz w:val="32"/>
          <w:szCs w:val="32"/>
        </w:rPr>
        <w:t>万元，</w:t>
      </w:r>
      <w:r>
        <w:rPr>
          <w:rStyle w:val="18"/>
          <w:rFonts w:hint="eastAsia" w:ascii="仿宋" w:hAnsi="仿宋" w:eastAsia="仿宋"/>
          <w:b w:val="0"/>
          <w:bCs/>
          <w:color w:val="000000"/>
          <w:sz w:val="32"/>
          <w:szCs w:val="32"/>
        </w:rPr>
        <w:t>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49</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0.4</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气象设备检修、其他地方工作交流等支出</w:t>
      </w:r>
      <w:r>
        <w:rPr>
          <w:rFonts w:hint="eastAsia" w:ascii="仿宋_GB2312" w:eastAsia="仿宋_GB2312"/>
          <w:color w:val="000000"/>
          <w:sz w:val="32"/>
          <w:szCs w:val="32"/>
        </w:rPr>
        <w:t>。其中：</w:t>
      </w:r>
    </w:p>
    <w:p>
      <w:pPr>
        <w:spacing w:line="60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0.4</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气象设备检修、其他地方工作交流等支出</w:t>
      </w:r>
      <w:r>
        <w:rPr>
          <w:rFonts w:hint="eastAsia" w:ascii="仿宋_GB2312" w:eastAsia="仿宋_GB2312"/>
          <w:color w:val="000000"/>
          <w:sz w:val="32"/>
          <w:szCs w:val="32"/>
        </w:rPr>
        <w:t>。</w:t>
      </w:r>
    </w:p>
    <w:p>
      <w:pPr>
        <w:spacing w:line="600" w:lineRule="exact"/>
        <w:ind w:firstLine="640"/>
        <w:outlineLvl w:val="1"/>
        <w:rPr>
          <w:rStyle w:val="28"/>
          <w:rFonts w:ascii="黑体" w:hAnsi="黑体" w:eastAsia="黑体"/>
        </w:rPr>
      </w:pPr>
      <w:bookmarkStart w:id="46" w:name="_Toc15396610"/>
      <w:bookmarkStart w:id="47" w:name="_Toc15377218"/>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3"/>
        </w:numPr>
        <w:spacing w:line="600" w:lineRule="exact"/>
        <w:ind w:firstLine="640"/>
        <w:outlineLvl w:val="1"/>
        <w:rPr>
          <w:rStyle w:val="28"/>
          <w:rFonts w:ascii="黑体" w:hAnsi="黑体" w:eastAsia="黑体"/>
          <w:b w:val="0"/>
        </w:rPr>
      </w:pPr>
      <w:bookmarkStart w:id="48" w:name="_Toc15396611"/>
      <w:bookmarkStart w:id="49" w:name="_Toc15377219"/>
      <w:r>
        <w:rPr>
          <w:rStyle w:val="28"/>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6"/>
        <w:numPr>
          <w:ilvl w:val="0"/>
          <w:numId w:val="4"/>
        </w:numPr>
        <w:spacing w:line="580" w:lineRule="exact"/>
        <w:ind w:firstLineChars="0"/>
        <w:rPr>
          <w:rStyle w:val="28"/>
          <w:rFonts w:ascii="黑体" w:hAnsi="黑体" w:eastAsia="黑体"/>
          <w:b w:val="0"/>
        </w:rPr>
      </w:pPr>
      <w:r>
        <w:rPr>
          <w:rStyle w:val="28"/>
          <w:rFonts w:hint="eastAsia" w:ascii="黑体" w:hAnsi="黑体" w:eastAsia="黑体"/>
          <w:b w:val="0"/>
        </w:rPr>
        <w:t>预算绩效情况说明</w:t>
      </w:r>
    </w:p>
    <w:p>
      <w:pPr>
        <w:numPr>
          <w:ilvl w:val="0"/>
          <w:numId w:val="5"/>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，本单位无纳入预算</w:t>
      </w:r>
      <w:r>
        <w:rPr>
          <w:rFonts w:hint="eastAsia" w:ascii="仿宋_GB2312" w:hAnsi="仿宋_GB2312" w:eastAsia="仿宋_GB2312" w:cs="仿宋_GB2312"/>
          <w:sz w:val="32"/>
          <w:szCs w:val="32"/>
        </w:rPr>
        <w:t>绩效管理</w:t>
      </w:r>
      <w:r>
        <w:rPr>
          <w:rFonts w:hint="eastAsia" w:ascii="仿宋_GB2312" w:hAnsi="仿宋_GB2312" w:eastAsia="仿宋_GB2312" w:cs="仿宋_GB2312"/>
          <w:sz w:val="32"/>
          <w:szCs w:val="32"/>
          <w:lang w:eastAsia="zh-CN"/>
        </w:rPr>
        <w:t>项目。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按照预算绩效管理要求，本部门对2018年整体支出开展了绩效自评，自评得分9</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分。</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存在的问题：一是绩效指标设置还不够具体和不合理，导致绩效监控效果不佳。二是在绩效管理工作中方法和制度上都还有待进一步加强。</w:t>
      </w:r>
      <w:r>
        <w:rPr>
          <w:rFonts w:hint="eastAsia" w:ascii="仿宋_GB2312" w:hAnsi="仿宋_GB2312" w:eastAsia="仿宋_GB2312" w:cs="仿宋_GB2312"/>
          <w:sz w:val="32"/>
          <w:szCs w:val="32"/>
          <w:lang w:eastAsia="zh-CN"/>
        </w:rPr>
        <w:t>三是在目标工作中，创新工作还不够，不够主动思维</w:t>
      </w:r>
      <w:r>
        <w:rPr>
          <w:rFonts w:hint="eastAsia" w:ascii="仿宋_GB2312" w:hAnsi="仿宋_GB2312" w:eastAsia="仿宋_GB2312" w:cs="仿宋_GB2312"/>
          <w:sz w:val="32"/>
          <w:szCs w:val="32"/>
          <w:lang w:val="en-US" w:eastAsia="zh-CN"/>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一步改进措施：一是严格预算编制，根据目标任务设置科学合理的绩效考评指标，做到细化精确，使综合绩效评价达到最佳的效果。二是严格落实专项经费使用管理规定，做到专款专用。三是不断改进工作方法，提高可持续发展力。</w:t>
      </w:r>
      <w:r>
        <w:rPr>
          <w:rFonts w:hint="eastAsia" w:ascii="仿宋_GB2312" w:hAnsi="仿宋_GB2312" w:eastAsia="仿宋_GB2312" w:cs="仿宋_GB2312"/>
          <w:sz w:val="32"/>
          <w:szCs w:val="32"/>
          <w:lang w:eastAsia="zh-CN"/>
        </w:rPr>
        <w:t>具体情况见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广元市利州区人民应急管理办公室</w:t>
      </w:r>
      <w:r>
        <w:rPr>
          <w:rFonts w:hint="eastAsia" w:ascii="仿宋_GB2312" w:hAnsi="仿宋_GB2312" w:eastAsia="仿宋_GB2312" w:cs="仿宋_GB2312"/>
          <w:sz w:val="32"/>
          <w:szCs w:val="32"/>
        </w:rPr>
        <w:t>2018年部门整体支出绩效评价报告》见附件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spacing w:line="600" w:lineRule="exact"/>
        <w:ind w:firstLine="800" w:firstLineChars="250"/>
        <w:outlineLvl w:val="1"/>
        <w:rPr>
          <w:rStyle w:val="28"/>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8"/>
          <w:rFonts w:hint="eastAsia" w:ascii="黑体" w:hAnsi="黑体" w:eastAsia="黑体"/>
        </w:rPr>
        <w:t>一、</w:t>
      </w:r>
      <w:r>
        <w:rPr>
          <w:rStyle w:val="28"/>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区应急办</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9.99</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1.18</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13.39</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支付历年未结算部分机关运行经费，造成</w:t>
      </w:r>
      <w:r>
        <w:rPr>
          <w:rFonts w:hint="eastAsia" w:ascii="仿宋_GB2312" w:eastAsia="仿宋_GB2312"/>
          <w:color w:val="000000"/>
          <w:sz w:val="32"/>
          <w:szCs w:val="32"/>
        </w:rPr>
        <w:t>机关运行经费</w:t>
      </w:r>
      <w:r>
        <w:rPr>
          <w:rFonts w:hint="eastAsia" w:ascii="仿宋_GB2312" w:eastAsia="仿宋_GB2312"/>
          <w:color w:val="000000"/>
          <w:sz w:val="32"/>
          <w:szCs w:val="32"/>
          <w:lang w:eastAsia="zh-CN"/>
        </w:rPr>
        <w:t>增加</w:t>
      </w:r>
      <w:r>
        <w:rPr>
          <w:rFonts w:hint="eastAsia" w:ascii="仿宋_GB2312" w:eastAsia="仿宋_GB2312"/>
          <w:color w:val="000000" w:themeColor="text1"/>
          <w:sz w:val="32"/>
          <w:szCs w:val="32"/>
          <w:lang w:eastAsia="zh-CN"/>
          <w14:textFill>
            <w14:solidFill>
              <w14:schemeClr w14:val="tx1"/>
            </w14:solidFill>
          </w14:textFill>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区应急办</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办公设备购置</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区应急办</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主要用于人工影响天气作业车载火箭。</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7"/>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7"/>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9.</w:t>
      </w:r>
      <w:r>
        <w:rPr>
          <w:rStyle w:val="18"/>
          <w:rFonts w:hint="eastAsia" w:ascii="仿宋_GB2312" w:eastAsia="仿宋_GB2312"/>
          <w:b w:val="0"/>
          <w:bCs w:val="0"/>
          <w:color w:val="000000"/>
          <w:sz w:val="32"/>
          <w:szCs w:val="32"/>
        </w:rPr>
        <w:t>一般公共服务支出：反映政府提供一般公共服务的支出。</w:t>
      </w:r>
    </w:p>
    <w:p>
      <w:pPr>
        <w:numPr>
          <w:ilvl w:val="0"/>
          <w:numId w:val="7"/>
        </w:numPr>
        <w:spacing w:line="600" w:lineRule="exact"/>
        <w:ind w:left="0" w:firstLine="640" w:firstLineChars="200"/>
        <w:rPr>
          <w:rFonts w:hint="eastAsia" w:ascii="仿宋_GB2312" w:eastAsia="仿宋_GB2312"/>
          <w:color w:val="000000"/>
          <w:sz w:val="32"/>
          <w:szCs w:val="32"/>
        </w:rPr>
      </w:pPr>
      <w:r>
        <w:rPr>
          <w:rStyle w:val="18"/>
          <w:rFonts w:hint="eastAsia" w:ascii="仿宋_GB2312" w:eastAsia="仿宋_GB2312"/>
          <w:b w:val="0"/>
          <w:bCs w:val="0"/>
          <w:color w:val="000000"/>
          <w:sz w:val="32"/>
          <w:szCs w:val="32"/>
        </w:rPr>
        <w:t>一般公共服务支出-</w:t>
      </w:r>
      <w:r>
        <w:rPr>
          <w:rFonts w:hint="eastAsia" w:ascii="仿宋_GB2312" w:eastAsia="仿宋_GB2312"/>
          <w:color w:val="000000"/>
          <w:sz w:val="32"/>
          <w:szCs w:val="32"/>
        </w:rPr>
        <w:t>政府办公厅（室）--行政运行：反映行政单位的基本支出；</w:t>
      </w:r>
    </w:p>
    <w:p>
      <w:pPr>
        <w:numPr>
          <w:ilvl w:val="0"/>
          <w:numId w:val="7"/>
        </w:numPr>
        <w:ind w:left="0" w:leftChars="0" w:firstLine="640" w:firstLineChars="200"/>
        <w:rPr>
          <w:rFonts w:hint="eastAsia" w:ascii="仿宋_GB2312" w:eastAsia="仿宋_GB2312"/>
          <w:color w:val="000000"/>
          <w:sz w:val="32"/>
          <w:szCs w:val="32"/>
        </w:rPr>
      </w:pPr>
      <w:r>
        <w:rPr>
          <w:rStyle w:val="18"/>
          <w:rFonts w:hint="eastAsia" w:ascii="仿宋_GB2312" w:eastAsia="仿宋_GB2312"/>
          <w:b w:val="0"/>
          <w:bCs w:val="0"/>
          <w:color w:val="000000"/>
          <w:sz w:val="32"/>
          <w:szCs w:val="32"/>
        </w:rPr>
        <w:t>一般公共服务支出-</w:t>
      </w:r>
      <w:r>
        <w:rPr>
          <w:rFonts w:hint="eastAsia" w:ascii="仿宋_GB2312" w:eastAsia="仿宋_GB2312"/>
          <w:color w:val="000000"/>
          <w:sz w:val="32"/>
          <w:szCs w:val="32"/>
        </w:rPr>
        <w:t>政府办公厅（室）--一般行政管理事务：反映行政单位未单独设置项级科目的其他项目支出；</w:t>
      </w:r>
    </w:p>
    <w:p>
      <w:pPr>
        <w:spacing w:line="600" w:lineRule="exact"/>
        <w:ind w:firstLine="640" w:firstLineChars="200"/>
        <w:rPr>
          <w:rStyle w:val="18"/>
          <w:rFonts w:hint="eastAsia" w:ascii="仿宋_GB2312" w:eastAsia="仿宋_GB2312"/>
          <w:b w:val="0"/>
          <w:bCs w:val="0"/>
          <w:color w:val="000000"/>
          <w:sz w:val="32"/>
          <w:szCs w:val="32"/>
        </w:rPr>
      </w:pPr>
      <w:r>
        <w:rPr>
          <w:rFonts w:ascii="仿宋_GB2312" w:eastAsia="仿宋_GB2312"/>
          <w:color w:val="000000"/>
          <w:sz w:val="32"/>
          <w:szCs w:val="32"/>
        </w:rPr>
        <w:t>10</w:t>
      </w:r>
      <w:r>
        <w:rPr>
          <w:rStyle w:val="18"/>
          <w:rFonts w:hint="eastAsia" w:ascii="仿宋_GB2312" w:eastAsia="仿宋_GB2312"/>
          <w:b w:val="0"/>
          <w:bCs w:val="0"/>
          <w:color w:val="000000"/>
          <w:sz w:val="32"/>
          <w:szCs w:val="32"/>
        </w:rPr>
        <w:t>社会保障和就业支出：反映政府在社会保障和就业方面的支出。</w:t>
      </w:r>
    </w:p>
    <w:p>
      <w:pPr>
        <w:numPr>
          <w:ilvl w:val="0"/>
          <w:numId w:val="0"/>
        </w:numPr>
        <w:tabs>
          <w:tab w:val="left" w:pos="0"/>
        </w:tabs>
        <w:spacing w:line="600" w:lineRule="exact"/>
        <w:ind w:firstLine="640" w:firstLineChars="200"/>
        <w:rPr>
          <w:rStyle w:val="18"/>
          <w:rFonts w:hint="eastAsia" w:ascii="仿宋_GB2312" w:eastAsia="仿宋_GB2312"/>
          <w:b w:val="0"/>
          <w:bCs w:val="0"/>
          <w:color w:val="000000"/>
          <w:sz w:val="32"/>
          <w:szCs w:val="32"/>
        </w:rPr>
      </w:pPr>
      <w:r>
        <w:rPr>
          <w:rStyle w:val="18"/>
          <w:rFonts w:hint="eastAsia" w:ascii="仿宋_GB2312" w:eastAsia="仿宋_GB2312"/>
          <w:b w:val="0"/>
          <w:bCs w:val="0"/>
          <w:color w:val="000000"/>
          <w:sz w:val="32"/>
          <w:szCs w:val="32"/>
        </w:rPr>
        <w:t>社会保障和就业支出-行政事业单位离退休-机关事业单位基本养老保险缴费支出：反映机关事业单位实施养老保险制度由单位缴纳的基本养老保险支出；</w:t>
      </w:r>
    </w:p>
    <w:p>
      <w:pPr>
        <w:numPr>
          <w:ilvl w:val="0"/>
          <w:numId w:val="0"/>
        </w:numPr>
        <w:tabs>
          <w:tab w:val="left" w:pos="0"/>
        </w:tabs>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11.</w:t>
      </w:r>
      <w:r>
        <w:rPr>
          <w:rStyle w:val="18"/>
          <w:rFonts w:hint="eastAsia" w:ascii="仿宋_GB2312" w:eastAsia="仿宋_GB2312"/>
          <w:b w:val="0"/>
          <w:bCs w:val="0"/>
          <w:color w:val="000000"/>
          <w:sz w:val="32"/>
          <w:szCs w:val="32"/>
        </w:rPr>
        <w:t>医疗卫生与计划生育支出:反映政府医疗卫生与计划生育管理方面的支出</w:t>
      </w:r>
    </w:p>
    <w:p>
      <w:pPr>
        <w:numPr>
          <w:ilvl w:val="0"/>
          <w:numId w:val="0"/>
        </w:numPr>
        <w:tabs>
          <w:tab w:val="left" w:pos="0"/>
        </w:tabs>
        <w:spacing w:line="600" w:lineRule="exact"/>
        <w:ind w:firstLine="640" w:firstLineChars="200"/>
        <w:rPr>
          <w:rStyle w:val="18"/>
          <w:rFonts w:hint="eastAsia" w:ascii="仿宋_GB2312" w:eastAsia="仿宋_GB2312"/>
          <w:b w:val="0"/>
          <w:bCs w:val="0"/>
          <w:color w:val="000000"/>
          <w:sz w:val="32"/>
          <w:szCs w:val="32"/>
        </w:rPr>
      </w:pPr>
      <w:r>
        <w:rPr>
          <w:rStyle w:val="18"/>
          <w:rFonts w:hint="eastAsia" w:ascii="仿宋_GB2312" w:eastAsia="仿宋_GB2312"/>
          <w:b w:val="0"/>
          <w:bCs w:val="0"/>
          <w:color w:val="000000"/>
          <w:sz w:val="32"/>
          <w:szCs w:val="32"/>
        </w:rPr>
        <w:t>医疗卫生与计划生育支出-医疗保障-行政单位医疗费:反映财政部门集中安排的行政单位基本医疗保险缴费经费，未参加医疗保险的行政单位的公费医疗经费，按国家规定享受离休人员、红军老战士待遇人员的医疗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404040"/>
          <w:sz w:val="32"/>
          <w:szCs w:val="32"/>
        </w:rPr>
        <w:t>住房保障支出：住房保障支出-住房改革支出-住房公积金：反映行政事业单位按人力资源和社会保障部、财政部规定的基本工资和津贴补贴以及规定比例为职工缴纳的住房公积金。</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7"/>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7"/>
          <w:rFonts w:hint="eastAsia" w:ascii="黑体" w:hAnsi="黑体" w:eastAsia="黑体"/>
          <w:b w:val="0"/>
        </w:rPr>
        <w:t>四部分 附件</w:t>
      </w:r>
      <w:bookmarkEnd w:id="58"/>
    </w:p>
    <w:p>
      <w:pPr>
        <w:pStyle w:val="4"/>
        <w:rPr>
          <w:rStyle w:val="27"/>
          <w:rFonts w:hint="eastAsia" w:ascii="仿宋" w:hAnsi="仿宋" w:eastAsia="仿宋"/>
          <w:b w:val="0"/>
          <w:bCs w:val="0"/>
          <w:sz w:val="32"/>
          <w:szCs w:val="32"/>
        </w:rPr>
      </w:pPr>
      <w:bookmarkStart w:id="59" w:name="_Toc15396615"/>
      <w:r>
        <w:rPr>
          <w:rStyle w:val="27"/>
          <w:rFonts w:hint="eastAsia" w:ascii="仿宋" w:hAnsi="仿宋" w:eastAsia="仿宋"/>
          <w:b w:val="0"/>
          <w:bCs w:val="0"/>
          <w:sz w:val="32"/>
          <w:szCs w:val="32"/>
        </w:rPr>
        <w:t>附件1</w:t>
      </w:r>
      <w:bookmarkEnd w:id="59"/>
      <w:bookmarkStart w:id="60" w:name="_Toc15396616"/>
    </w:p>
    <w:p>
      <w:pPr>
        <w:spacing w:line="600" w:lineRule="exact"/>
        <w:jc w:val="center"/>
        <w:outlineLvl w:val="0"/>
        <w:rPr>
          <w:rFonts w:hint="eastAsia" w:ascii="黑体" w:hAnsi="黑体" w:eastAsia="黑体" w:cs="方正小标宋简体"/>
          <w:sz w:val="36"/>
          <w:szCs w:val="36"/>
          <w:lang w:eastAsia="zh-CN"/>
        </w:rPr>
      </w:pPr>
      <w:r>
        <w:rPr>
          <w:rFonts w:hint="eastAsia" w:ascii="黑体" w:hAnsi="黑体" w:eastAsia="黑体" w:cs="方正小标宋简体"/>
          <w:sz w:val="36"/>
          <w:szCs w:val="36"/>
          <w:lang w:eastAsia="zh-CN"/>
        </w:rPr>
        <w:t>广元市利州区人民政府应急管理办公室</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r>
        <w:rPr>
          <w:rFonts w:hint="eastAsia" w:ascii="仿宋" w:hAnsi="仿宋" w:eastAsia="仿宋"/>
          <w:color w:val="000000"/>
          <w:sz w:val="32"/>
          <w:szCs w:val="32"/>
          <w:lang w:val="en-US" w:eastAsia="zh-CN"/>
        </w:rPr>
        <w:t>广元市利州区人民政府应急管理办公室是区人民政府办公室的下属行政部门，管理1个其他类事业单位：广元市利州区应急指挥中心。</w:t>
      </w:r>
    </w:p>
    <w:p>
      <w:pPr>
        <w:pStyle w:val="9"/>
        <w:adjustRightInd w:val="0"/>
        <w:snapToGrid w:val="0"/>
        <w:spacing w:before="93" w:line="600" w:lineRule="exact"/>
        <w:ind w:firstLine="672" w:firstLineChars="210"/>
        <w:outlineLvl w:val="2"/>
        <w:rPr>
          <w:rFonts w:ascii="仿宋" w:hAnsi="仿宋" w:eastAsia="仿宋" w:cs="仿宋_GB2312"/>
          <w:sz w:val="32"/>
          <w:szCs w:val="32"/>
        </w:rPr>
      </w:pPr>
      <w:r>
        <w:rPr>
          <w:rFonts w:ascii="仿宋" w:hAnsi="仿宋" w:eastAsia="仿宋" w:cs="仿宋_GB2312"/>
          <w:sz w:val="32"/>
          <w:szCs w:val="32"/>
        </w:rPr>
        <w:t>（二）机构职能。</w:t>
      </w:r>
      <w:r>
        <w:rPr>
          <w:rFonts w:hint="eastAsia" w:ascii="方正仿宋简体" w:hAnsi="仿宋_GB2312" w:eastAsia="方正仿宋简体" w:cs="宋体"/>
          <w:kern w:val="0"/>
          <w:sz w:val="32"/>
          <w:shd w:val="clear" w:color="auto" w:fill="FFFFFF"/>
        </w:rPr>
        <w:t>主要负责全区政务值班工作，负责突发事件信息接收、综合、分析、发布、上报等管理工作，为区领导提供应急决策服务；组织整合全区各类应急信息资源，搭建管理区应急信息系统网络指挥平台；负责指导督促全区政府系统值班工作；受区委、区政府和区应急领导小组的委托，负责全区特大和重大应急事件处置的组织、协调和指挥工作；负责承办、指导各项综合、专项应急演练工作；负责全区气象相关业务和人工增雨作业工作；</w:t>
      </w:r>
      <w:r>
        <w:rPr>
          <w:rFonts w:hint="eastAsia" w:ascii="方正仿宋简体" w:hAnsi="仿宋" w:eastAsia="方正仿宋简体" w:cs="宋体"/>
          <w:kern w:val="0"/>
          <w:sz w:val="32"/>
          <w:szCs w:val="32"/>
        </w:rPr>
        <w:t>承办市应急办和区委、区政府交办的其他事项。</w:t>
      </w:r>
    </w:p>
    <w:p>
      <w:pPr>
        <w:spacing w:line="580" w:lineRule="exact"/>
        <w:ind w:firstLine="640" w:firstLineChars="200"/>
      </w:pPr>
      <w:r>
        <w:rPr>
          <w:rFonts w:ascii="仿宋" w:hAnsi="仿宋" w:eastAsia="仿宋" w:cs="仿宋_GB2312"/>
          <w:sz w:val="32"/>
          <w:szCs w:val="32"/>
        </w:rPr>
        <w:t>（三）人员概况。</w:t>
      </w:r>
      <w:r>
        <w:rPr>
          <w:rFonts w:hint="eastAsia" w:ascii="方正仿宋简体" w:eastAsia="方正仿宋简体"/>
          <w:color w:val="000000"/>
          <w:sz w:val="32"/>
          <w:szCs w:val="32"/>
        </w:rPr>
        <w:t>区政府应急管理办公室人员编制隶属区政府办公室，现有公务员１人、参公人员1人、工勤人员1人，以上3人编制均在区政府办公室；有全额事业人员</w:t>
      </w:r>
      <w:r>
        <w:rPr>
          <w:rFonts w:hint="eastAsia" w:ascii="方正仿宋简体" w:eastAsia="方正仿宋简体"/>
          <w:color w:val="000000"/>
          <w:sz w:val="32"/>
          <w:szCs w:val="32"/>
          <w:lang w:val="en-US" w:eastAsia="zh-CN"/>
        </w:rPr>
        <w:t>4</w:t>
      </w:r>
      <w:r>
        <w:rPr>
          <w:rFonts w:hint="eastAsia" w:ascii="方正仿宋简体" w:eastAsia="方正仿宋简体"/>
          <w:color w:val="000000"/>
          <w:sz w:val="32"/>
          <w:szCs w:val="32"/>
        </w:rPr>
        <w:t>人，编制在区政府办下属区应急指挥中心；经人社局批准，单位自聘人员２人，核定年人均财政拨款30000.00元。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年本单位本年收入合计</w:t>
      </w:r>
      <w:r>
        <w:rPr>
          <w:rFonts w:hint="eastAsia" w:ascii="仿宋_GB2312" w:eastAsia="仿宋_GB2312"/>
          <w:sz w:val="32"/>
          <w:szCs w:val="32"/>
          <w:lang w:val="en-US" w:eastAsia="zh-CN"/>
        </w:rPr>
        <w:t>96.67</w:t>
      </w:r>
      <w:r>
        <w:rPr>
          <w:rFonts w:hint="eastAsia" w:ascii="仿宋" w:hAnsi="仿宋" w:eastAsia="仿宋"/>
          <w:color w:val="000000"/>
          <w:sz w:val="32"/>
          <w:szCs w:val="32"/>
        </w:rPr>
        <w:t>万元，其中：财政拨款收入</w:t>
      </w:r>
      <w:r>
        <w:rPr>
          <w:rFonts w:hint="eastAsia" w:ascii="仿宋_GB2312" w:eastAsia="仿宋_GB2312"/>
          <w:sz w:val="32"/>
          <w:szCs w:val="32"/>
          <w:lang w:val="en-US" w:eastAsia="zh-CN"/>
        </w:rPr>
        <w:t>96.67</w:t>
      </w:r>
      <w:r>
        <w:rPr>
          <w:rFonts w:hint="eastAsia" w:ascii="仿宋" w:hAnsi="仿宋" w:eastAsia="仿宋"/>
          <w:color w:val="000000"/>
          <w:sz w:val="32"/>
          <w:szCs w:val="32"/>
        </w:rPr>
        <w:t>万元，占总收入100%</w:t>
      </w:r>
      <w:r>
        <w:rPr>
          <w:rFonts w:hint="eastAsia" w:ascii="仿宋" w:hAnsi="仿宋" w:eastAsia="仿宋"/>
          <w:color w:val="000000"/>
          <w:sz w:val="32"/>
          <w:szCs w:val="32"/>
          <w:lang w:eastAsia="zh-CN"/>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年本单位本年支出合计</w:t>
      </w:r>
      <w:r>
        <w:rPr>
          <w:rFonts w:hint="eastAsia" w:ascii="仿宋" w:hAnsi="仿宋" w:eastAsia="仿宋"/>
          <w:color w:val="000000"/>
          <w:sz w:val="32"/>
          <w:szCs w:val="32"/>
          <w:lang w:val="en-US" w:eastAsia="zh-CN"/>
        </w:rPr>
        <w:t>105.43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97.41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92.39</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8.02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7.61</w:t>
      </w:r>
      <w:r>
        <w:rPr>
          <w:rFonts w:hint="eastAsia" w:ascii="仿宋" w:hAnsi="仿宋" w:eastAsia="仿宋"/>
          <w:color w:val="000000"/>
          <w:sz w:val="32"/>
          <w:szCs w:val="32"/>
        </w:rPr>
        <w:t>%</w:t>
      </w:r>
      <w:r>
        <w:rPr>
          <w:rFonts w:hint="eastAsia" w:ascii="仿宋" w:hAnsi="仿宋" w:eastAsia="仿宋"/>
          <w:color w:val="000000"/>
          <w:sz w:val="32"/>
          <w:szCs w:val="32"/>
          <w:lang w:eastAsia="zh-CN"/>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（一）部门预算管理。2018年利州区</w:t>
      </w:r>
      <w:r>
        <w:rPr>
          <w:rFonts w:hint="eastAsia" w:ascii="仿宋" w:hAnsi="仿宋" w:eastAsia="仿宋" w:cs="仿宋_GB2312"/>
          <w:sz w:val="32"/>
          <w:szCs w:val="32"/>
          <w:lang w:eastAsia="zh-CN"/>
        </w:rPr>
        <w:t>应急办</w:t>
      </w:r>
      <w:r>
        <w:rPr>
          <w:rFonts w:ascii="仿宋" w:hAnsi="仿宋" w:eastAsia="仿宋" w:cs="仿宋_GB2312"/>
          <w:sz w:val="32"/>
          <w:szCs w:val="32"/>
        </w:rPr>
        <w:t>部门整体支出资金绩效评价总体良好，主要体现在：预算编制及时，认真执行各项财经纪律，财务管理内控制度健全，资金使用规范，无乱发津补贴、奖金现象。</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（二）专项预算管理。我</w:t>
      </w:r>
      <w:r>
        <w:rPr>
          <w:rFonts w:hint="eastAsia" w:ascii="仿宋" w:hAnsi="仿宋" w:eastAsia="仿宋" w:cs="仿宋_GB2312"/>
          <w:sz w:val="32"/>
          <w:szCs w:val="32"/>
          <w:lang w:eastAsia="zh-CN"/>
        </w:rPr>
        <w:t>办</w:t>
      </w:r>
      <w:r>
        <w:rPr>
          <w:rFonts w:ascii="仿宋" w:hAnsi="仿宋" w:eastAsia="仿宋" w:cs="仿宋_GB2312"/>
          <w:sz w:val="32"/>
          <w:szCs w:val="32"/>
        </w:rPr>
        <w:t>专项资金按照文件规定申请申报；所提交的文件、材料符合相关要求，事前经过了内部控制领导小组审核，分管财务领导审核、</w:t>
      </w:r>
      <w:r>
        <w:rPr>
          <w:rFonts w:hint="eastAsia" w:ascii="仿宋" w:hAnsi="仿宋" w:eastAsia="仿宋" w:cs="仿宋_GB2312"/>
          <w:sz w:val="32"/>
          <w:szCs w:val="32"/>
          <w:lang w:eastAsia="zh-CN"/>
        </w:rPr>
        <w:t>主任</w:t>
      </w:r>
      <w:r>
        <w:rPr>
          <w:rFonts w:ascii="仿宋" w:hAnsi="仿宋" w:eastAsia="仿宋" w:cs="仿宋_GB2312"/>
          <w:sz w:val="32"/>
          <w:szCs w:val="32"/>
        </w:rPr>
        <w:t>审批，并达到预期效果。同时，我</w:t>
      </w:r>
      <w:r>
        <w:rPr>
          <w:rFonts w:hint="eastAsia" w:ascii="仿宋" w:hAnsi="仿宋" w:eastAsia="仿宋" w:cs="仿宋_GB2312"/>
          <w:sz w:val="32"/>
          <w:szCs w:val="32"/>
          <w:lang w:eastAsia="zh-CN"/>
        </w:rPr>
        <w:t>办</w:t>
      </w:r>
      <w:r>
        <w:rPr>
          <w:rFonts w:ascii="仿宋" w:hAnsi="仿宋" w:eastAsia="仿宋" w:cs="仿宋_GB2312"/>
          <w:sz w:val="32"/>
          <w:szCs w:val="32"/>
        </w:rPr>
        <w:t>严格按照上级部门及本级财政专项工作资金的相关规定办法进行开支，做到专款专用，无挪用、占用、套取的现象发生。</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（三）结果应用情况。根据自评结果，2018年度部门整体预算绩效质量好，既保障了本单位职工正常办公和</w:t>
      </w:r>
      <w:r>
        <w:rPr>
          <w:rFonts w:hint="eastAsia" w:ascii="仿宋" w:hAnsi="仿宋" w:eastAsia="仿宋" w:cs="仿宋_GB2312"/>
          <w:sz w:val="32"/>
          <w:szCs w:val="32"/>
          <w:lang w:eastAsia="zh-CN"/>
        </w:rPr>
        <w:t>工作</w:t>
      </w:r>
      <w:r>
        <w:rPr>
          <w:rFonts w:ascii="仿宋" w:hAnsi="仿宋" w:eastAsia="仿宋" w:cs="仿宋_GB2312"/>
          <w:sz w:val="32"/>
          <w:szCs w:val="32"/>
        </w:rPr>
        <w:t>秩序，工资薪金正常发放，又顺利完成各项</w:t>
      </w:r>
      <w:r>
        <w:rPr>
          <w:rFonts w:hint="eastAsia" w:ascii="仿宋" w:hAnsi="仿宋" w:eastAsia="仿宋" w:cs="仿宋_GB2312"/>
          <w:sz w:val="32"/>
          <w:szCs w:val="32"/>
          <w:lang w:eastAsia="zh-CN"/>
        </w:rPr>
        <w:t>专项</w:t>
      </w:r>
      <w:r>
        <w:rPr>
          <w:rFonts w:ascii="仿宋" w:hAnsi="仿宋" w:eastAsia="仿宋" w:cs="仿宋_GB2312"/>
          <w:sz w:val="32"/>
          <w:szCs w:val="32"/>
        </w:rPr>
        <w:t>工作任务，同时严肃预算管理，保障各项工作顺利开展，严格履行法定职责，圆满完成了区委、区政府部署的工作任务，</w:t>
      </w:r>
      <w:r>
        <w:rPr>
          <w:rFonts w:hint="eastAsia" w:ascii="仿宋" w:hAnsi="仿宋" w:eastAsia="仿宋" w:cs="仿宋_GB2312"/>
          <w:sz w:val="32"/>
          <w:szCs w:val="32"/>
          <w:lang w:eastAsia="zh-CN"/>
        </w:rPr>
        <w:t>服务和管理对象</w:t>
      </w:r>
      <w:r>
        <w:rPr>
          <w:rFonts w:ascii="仿宋" w:hAnsi="仿宋" w:eastAsia="仿宋" w:cs="仿宋_GB2312"/>
          <w:sz w:val="32"/>
          <w:szCs w:val="32"/>
        </w:rPr>
        <w:t>满意度高。</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_GB2312" w:hAnsi="仿宋_GB2312" w:eastAsia="仿宋_GB2312" w:cs="仿宋_GB2312"/>
          <w:sz w:val="32"/>
          <w:szCs w:val="32"/>
        </w:rPr>
        <w:t>按照预算绩效管理要求，本部门对2018年整体支出开展了绩效自评，自评得分9</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分。</w:t>
      </w:r>
      <w:r>
        <w:rPr>
          <w:rFonts w:hint="eastAsia" w:ascii="仿宋" w:hAnsi="仿宋" w:eastAsia="仿宋"/>
          <w:color w:val="000000"/>
          <w:sz w:val="32"/>
          <w:szCs w:val="32"/>
        </w:rPr>
        <w:t>2018年度，本部门在部门绩效目标制定、目标完成、预算编制准确、支出控制、预算动态调整、执行进度、预算完成都严格按照各项制度和规定按时保质完成，无任何违规记录。及时、准确、优质地完成了预算编制；预算执行情况良好，支出管理规范，资金管理制度较为完善，会计核算和账务处理规范，会计资料完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r>
        <w:rPr>
          <w:rFonts w:hint="eastAsia" w:ascii="仿宋_GB2312" w:hAnsi="仿宋_GB2312" w:eastAsia="仿宋_GB2312" w:cs="仿宋_GB2312"/>
          <w:sz w:val="32"/>
          <w:szCs w:val="32"/>
        </w:rPr>
        <w:t>一是绩效指标设置还不够具体和不合理，导致绩效监控效果不佳。二是在绩效管理工作中方法和制度上都还有待进一步加强。</w:t>
      </w:r>
      <w:r>
        <w:rPr>
          <w:rFonts w:hint="eastAsia" w:ascii="仿宋_GB2312" w:hAnsi="仿宋_GB2312" w:eastAsia="仿宋_GB2312" w:cs="仿宋_GB2312"/>
          <w:sz w:val="32"/>
          <w:szCs w:val="32"/>
          <w:lang w:eastAsia="zh-CN"/>
        </w:rPr>
        <w:t>三是在目标工作中，创新工作还不够，不够主动思维</w:t>
      </w:r>
      <w:r>
        <w:rPr>
          <w:rFonts w:hint="eastAsia" w:ascii="仿宋_GB2312" w:hAnsi="仿宋_GB2312" w:eastAsia="仿宋_GB2312" w:cs="仿宋_GB2312"/>
          <w:sz w:val="32"/>
          <w:szCs w:val="32"/>
          <w:lang w:val="en-US" w:eastAsia="zh-CN"/>
        </w:rPr>
        <w:t>。</w:t>
      </w:r>
    </w:p>
    <w:p>
      <w:pPr>
        <w:pStyle w:val="2"/>
        <w:numPr>
          <w:ilvl w:val="0"/>
          <w:numId w:val="0"/>
        </w:numPr>
        <w:ind w:firstLine="640" w:firstLineChars="200"/>
        <w:rPr>
          <w:rFonts w:ascii="仿宋" w:hAnsi="仿宋" w:eastAsia="仿宋" w:cs="仿宋_GB2312"/>
          <w:sz w:val="32"/>
          <w:szCs w:val="32"/>
        </w:rPr>
      </w:pPr>
      <w:r>
        <w:rPr>
          <w:rFonts w:ascii="仿宋" w:hAnsi="仿宋" w:eastAsia="仿宋" w:cs="仿宋_GB2312"/>
          <w:sz w:val="32"/>
          <w:szCs w:val="32"/>
        </w:rPr>
        <w:t>（三）改进建议。</w:t>
      </w:r>
      <w:r>
        <w:rPr>
          <w:rFonts w:hint="eastAsia" w:ascii="仿宋_GB2312" w:hAnsi="仿宋_GB2312" w:eastAsia="仿宋_GB2312" w:cs="仿宋_GB2312"/>
          <w:sz w:val="32"/>
          <w:szCs w:val="32"/>
        </w:rPr>
        <w:t>一是严格预算编制，根据目标任务设置科学合理的绩效考评指标，做到细化精确，使综合绩效评价达到最佳的效果。二是严格落实专项经费使用管理规定，做到专款专用。三是不断改进工作方法，提高可持续发展力。</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rPr>
          <w:rFonts w:hint="eastAsia"/>
        </w:rPr>
      </w:pPr>
    </w:p>
    <w:p>
      <w:pPr>
        <w:pStyle w:val="4"/>
        <w:jc w:val="center"/>
        <w:rPr>
          <w:rFonts w:hint="eastAsia" w:ascii="黑体" w:hAnsi="黑体" w:eastAsia="黑体" w:cs="方正小标宋简体"/>
          <w:sz w:val="36"/>
          <w:szCs w:val="36"/>
          <w:lang w:eastAsia="zh-CN"/>
        </w:rPr>
      </w:pPr>
      <w:r>
        <w:rPr>
          <w:rFonts w:hint="eastAsia" w:ascii="黑体" w:hAnsi="黑体" w:eastAsia="黑体" w:cs="方正小标宋简体"/>
          <w:sz w:val="36"/>
          <w:szCs w:val="36"/>
        </w:rPr>
        <w:t>2018年部门整体支出绩效评价</w:t>
      </w:r>
      <w:bookmarkEnd w:id="60"/>
      <w:r>
        <w:rPr>
          <w:rFonts w:hint="eastAsia" w:ascii="黑体" w:hAnsi="黑体" w:eastAsia="黑体" w:cs="方正小标宋简体"/>
          <w:sz w:val="36"/>
          <w:szCs w:val="36"/>
          <w:lang w:eastAsia="zh-CN"/>
        </w:rPr>
        <w:t>情况表</w:t>
      </w:r>
    </w:p>
    <w:tbl>
      <w:tblPr>
        <w:tblStyle w:val="16"/>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28"/>
        <w:gridCol w:w="3933"/>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418"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一级指标</w:t>
            </w:r>
          </w:p>
        </w:tc>
        <w:tc>
          <w:tcPr>
            <w:tcW w:w="2628" w:type="dxa"/>
            <w:tcBorders>
              <w:bottom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二级指标</w:t>
            </w:r>
          </w:p>
        </w:tc>
        <w:tc>
          <w:tcPr>
            <w:tcW w:w="3933" w:type="dxa"/>
            <w:tcBorders>
              <w:bottom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三级指标</w:t>
            </w:r>
          </w:p>
        </w:tc>
        <w:tc>
          <w:tcPr>
            <w:tcW w:w="721"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restart"/>
            <w:vAlign w:val="center"/>
          </w:tcPr>
          <w:p>
            <w:pPr>
              <w:widowControl/>
              <w:rPr>
                <w:rFonts w:ascii="宋体" w:hAnsi="宋体" w:cs="宋体"/>
                <w:color w:val="000000"/>
                <w:kern w:val="0"/>
                <w:sz w:val="22"/>
                <w:szCs w:val="21"/>
              </w:rPr>
            </w:pPr>
            <w:r>
              <w:rPr>
                <w:rFonts w:hint="eastAsia" w:ascii="宋体" w:hAnsi="宋体" w:cs="宋体"/>
                <w:color w:val="000000"/>
                <w:kern w:val="0"/>
                <w:sz w:val="22"/>
                <w:szCs w:val="21"/>
              </w:rPr>
              <w:t>门决策</w:t>
            </w:r>
          </w:p>
          <w:p>
            <w:pPr>
              <w:widowControl/>
              <w:rPr>
                <w:rFonts w:ascii="宋体" w:hAnsi="宋体" w:cs="宋体"/>
                <w:color w:val="000000"/>
                <w:kern w:val="0"/>
                <w:sz w:val="22"/>
                <w:szCs w:val="21"/>
              </w:rPr>
            </w:pPr>
            <w:r>
              <w:rPr>
                <w:rFonts w:hint="eastAsia" w:ascii="宋体" w:hAnsi="宋体" w:cs="宋体"/>
                <w:color w:val="000000"/>
                <w:kern w:val="0"/>
                <w:sz w:val="22"/>
                <w:szCs w:val="21"/>
              </w:rPr>
              <w:t>（25分）</w:t>
            </w:r>
          </w:p>
        </w:tc>
        <w:tc>
          <w:tcPr>
            <w:tcW w:w="2628" w:type="dxa"/>
            <w:vMerge w:val="restart"/>
            <w:tcBorders>
              <w:bottom w:val="nil"/>
            </w:tcBorders>
            <w:vAlign w:val="center"/>
          </w:tcPr>
          <w:p>
            <w:pPr>
              <w:widowControl/>
              <w:rPr>
                <w:rFonts w:ascii="宋体" w:hAnsi="宋体" w:cs="宋体"/>
                <w:color w:val="000000"/>
                <w:kern w:val="0"/>
                <w:sz w:val="22"/>
                <w:szCs w:val="21"/>
              </w:rPr>
            </w:pPr>
            <w:r>
              <w:rPr>
                <w:rFonts w:hint="eastAsia" w:ascii="宋体" w:hAnsi="宋体" w:cs="宋体"/>
                <w:color w:val="000000"/>
                <w:kern w:val="0"/>
                <w:sz w:val="22"/>
                <w:szCs w:val="21"/>
              </w:rPr>
              <w:t>目标任务（15分）</w:t>
            </w:r>
          </w:p>
        </w:tc>
        <w:tc>
          <w:tcPr>
            <w:tcW w:w="3933" w:type="dxa"/>
            <w:tcBorders>
              <w:bottom w:val="single" w:color="auto" w:sz="4" w:space="0"/>
            </w:tcBorders>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相关性（5分）</w:t>
            </w:r>
          </w:p>
        </w:tc>
        <w:tc>
          <w:tcPr>
            <w:tcW w:w="721" w:type="dxa"/>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continue"/>
            <w:vAlign w:val="center"/>
          </w:tcPr>
          <w:p>
            <w:pPr>
              <w:widowControl/>
              <w:rPr>
                <w:rFonts w:ascii="宋体" w:hAnsi="宋体" w:cs="宋体"/>
                <w:color w:val="000000"/>
                <w:kern w:val="0"/>
                <w:sz w:val="22"/>
                <w:szCs w:val="21"/>
              </w:rPr>
            </w:pPr>
          </w:p>
        </w:tc>
        <w:tc>
          <w:tcPr>
            <w:tcW w:w="2628" w:type="dxa"/>
            <w:vMerge w:val="continue"/>
            <w:tcBorders>
              <w:top w:val="nil"/>
              <w:bottom w:val="nil"/>
            </w:tcBorders>
            <w:vAlign w:val="center"/>
          </w:tcPr>
          <w:p>
            <w:pPr>
              <w:widowControl/>
              <w:rPr>
                <w:rFonts w:ascii="宋体" w:hAnsi="宋体" w:cs="宋体"/>
                <w:color w:val="000000"/>
                <w:kern w:val="0"/>
                <w:sz w:val="22"/>
                <w:szCs w:val="21"/>
              </w:rPr>
            </w:pPr>
          </w:p>
        </w:tc>
        <w:tc>
          <w:tcPr>
            <w:tcW w:w="3933" w:type="dxa"/>
            <w:tcBorders>
              <w:top w:val="single" w:color="auto" w:sz="4" w:space="0"/>
              <w:bottom w:val="single" w:color="auto" w:sz="4" w:space="0"/>
            </w:tcBorders>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明确性（5分）</w:t>
            </w:r>
          </w:p>
        </w:tc>
        <w:tc>
          <w:tcPr>
            <w:tcW w:w="721" w:type="dxa"/>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continue"/>
            <w:vAlign w:val="center"/>
          </w:tcPr>
          <w:p>
            <w:pPr>
              <w:widowControl/>
              <w:rPr>
                <w:rFonts w:ascii="宋体" w:hAnsi="宋体" w:cs="宋体"/>
                <w:color w:val="000000"/>
                <w:kern w:val="0"/>
                <w:sz w:val="22"/>
                <w:szCs w:val="21"/>
              </w:rPr>
            </w:pPr>
          </w:p>
        </w:tc>
        <w:tc>
          <w:tcPr>
            <w:tcW w:w="2628" w:type="dxa"/>
            <w:vMerge w:val="continue"/>
            <w:tcBorders>
              <w:top w:val="nil"/>
            </w:tcBorders>
            <w:vAlign w:val="center"/>
          </w:tcPr>
          <w:p>
            <w:pPr>
              <w:widowControl/>
              <w:rPr>
                <w:rFonts w:ascii="宋体" w:hAnsi="宋体" w:cs="宋体"/>
                <w:color w:val="000000"/>
                <w:kern w:val="0"/>
                <w:sz w:val="22"/>
                <w:szCs w:val="21"/>
              </w:rPr>
            </w:pPr>
          </w:p>
        </w:tc>
        <w:tc>
          <w:tcPr>
            <w:tcW w:w="3933" w:type="dxa"/>
            <w:tcBorders>
              <w:top w:val="single" w:color="auto" w:sz="4" w:space="0"/>
            </w:tcBorders>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合理性（5分）</w:t>
            </w:r>
          </w:p>
        </w:tc>
        <w:tc>
          <w:tcPr>
            <w:tcW w:w="721" w:type="dxa"/>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continue"/>
            <w:vAlign w:val="center"/>
          </w:tcPr>
          <w:p>
            <w:pPr>
              <w:widowControl/>
              <w:jc w:val="center"/>
              <w:rPr>
                <w:rFonts w:ascii="宋体" w:hAnsi="宋体" w:cs="宋体"/>
                <w:color w:val="000000"/>
                <w:kern w:val="0"/>
                <w:sz w:val="22"/>
                <w:szCs w:val="21"/>
              </w:rPr>
            </w:pPr>
          </w:p>
        </w:tc>
        <w:tc>
          <w:tcPr>
            <w:tcW w:w="2628" w:type="dxa"/>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预算编制（10分）</w:t>
            </w:r>
          </w:p>
        </w:tc>
        <w:tc>
          <w:tcPr>
            <w:tcW w:w="3933"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测算依据（5分）</w:t>
            </w:r>
          </w:p>
        </w:tc>
        <w:tc>
          <w:tcPr>
            <w:tcW w:w="721"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continue"/>
            <w:vAlign w:val="center"/>
          </w:tcPr>
          <w:p>
            <w:pPr>
              <w:widowControl/>
              <w:jc w:val="left"/>
              <w:rPr>
                <w:rFonts w:ascii="宋体" w:hAnsi="宋体" w:cs="宋体"/>
                <w:color w:val="000000"/>
                <w:kern w:val="0"/>
                <w:sz w:val="22"/>
                <w:szCs w:val="21"/>
              </w:rPr>
            </w:pPr>
          </w:p>
        </w:tc>
        <w:tc>
          <w:tcPr>
            <w:tcW w:w="2628" w:type="dxa"/>
            <w:vMerge w:val="continue"/>
            <w:vAlign w:val="center"/>
          </w:tcPr>
          <w:p>
            <w:pPr>
              <w:widowControl/>
              <w:spacing w:line="320" w:lineRule="exact"/>
              <w:jc w:val="left"/>
              <w:rPr>
                <w:rFonts w:ascii="宋体" w:hAnsi="宋体" w:cs="宋体"/>
                <w:color w:val="000000"/>
                <w:kern w:val="0"/>
                <w:sz w:val="22"/>
                <w:szCs w:val="21"/>
              </w:rPr>
            </w:pPr>
          </w:p>
        </w:tc>
        <w:tc>
          <w:tcPr>
            <w:tcW w:w="3933"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目标管理（5分）</w:t>
            </w:r>
          </w:p>
        </w:tc>
        <w:tc>
          <w:tcPr>
            <w:tcW w:w="721"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restart"/>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综合管理</w:t>
            </w:r>
          </w:p>
          <w:p>
            <w:pPr>
              <w:widowControl/>
              <w:jc w:val="center"/>
              <w:rPr>
                <w:rFonts w:ascii="宋体" w:hAnsi="宋体" w:cs="宋体"/>
                <w:color w:val="000000"/>
                <w:kern w:val="0"/>
                <w:sz w:val="22"/>
                <w:szCs w:val="21"/>
              </w:rPr>
            </w:pPr>
            <w:r>
              <w:rPr>
                <w:rFonts w:hint="eastAsia" w:ascii="宋体" w:hAnsi="宋体" w:cs="宋体"/>
                <w:color w:val="000000"/>
                <w:kern w:val="0"/>
                <w:sz w:val="22"/>
                <w:szCs w:val="21"/>
              </w:rPr>
              <w:t>（30分）</w:t>
            </w:r>
          </w:p>
        </w:tc>
        <w:tc>
          <w:tcPr>
            <w:tcW w:w="2628" w:type="dxa"/>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专项资金分配时限（2分）</w:t>
            </w:r>
          </w:p>
        </w:tc>
        <w:tc>
          <w:tcPr>
            <w:tcW w:w="3933"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本级财力专项预算分配时限（1分）</w:t>
            </w:r>
          </w:p>
        </w:tc>
        <w:tc>
          <w:tcPr>
            <w:tcW w:w="721"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continue"/>
            <w:vAlign w:val="center"/>
          </w:tcPr>
          <w:p>
            <w:pPr>
              <w:jc w:val="center"/>
              <w:rPr>
                <w:rFonts w:ascii="宋体" w:hAnsi="宋体" w:cs="宋体"/>
                <w:color w:val="000000"/>
                <w:kern w:val="0"/>
                <w:sz w:val="22"/>
                <w:szCs w:val="21"/>
              </w:rPr>
            </w:pPr>
          </w:p>
        </w:tc>
        <w:tc>
          <w:tcPr>
            <w:tcW w:w="2628" w:type="dxa"/>
            <w:vMerge w:val="continue"/>
            <w:vAlign w:val="center"/>
          </w:tcPr>
          <w:p>
            <w:pPr>
              <w:widowControl/>
              <w:spacing w:line="320" w:lineRule="exact"/>
              <w:jc w:val="left"/>
              <w:rPr>
                <w:rFonts w:ascii="宋体" w:hAnsi="宋体" w:cs="宋体"/>
                <w:color w:val="000000"/>
                <w:kern w:val="0"/>
                <w:sz w:val="22"/>
                <w:szCs w:val="21"/>
              </w:rPr>
            </w:pPr>
          </w:p>
        </w:tc>
        <w:tc>
          <w:tcPr>
            <w:tcW w:w="3933"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上级专款分配合规率（1分）</w:t>
            </w:r>
          </w:p>
        </w:tc>
        <w:tc>
          <w:tcPr>
            <w:tcW w:w="721"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continue"/>
            <w:vAlign w:val="center"/>
          </w:tcPr>
          <w:p>
            <w:pPr>
              <w:jc w:val="center"/>
              <w:rPr>
                <w:rFonts w:ascii="宋体" w:hAnsi="宋体" w:cs="宋体"/>
                <w:color w:val="000000"/>
                <w:kern w:val="0"/>
                <w:sz w:val="22"/>
                <w:szCs w:val="21"/>
              </w:rPr>
            </w:pPr>
          </w:p>
        </w:tc>
        <w:tc>
          <w:tcPr>
            <w:tcW w:w="2628"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中期评估（2分）</w:t>
            </w:r>
          </w:p>
        </w:tc>
        <w:tc>
          <w:tcPr>
            <w:tcW w:w="3933"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执行中期评估（2分）</w:t>
            </w:r>
          </w:p>
        </w:tc>
        <w:tc>
          <w:tcPr>
            <w:tcW w:w="721"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continue"/>
            <w:vAlign w:val="center"/>
          </w:tcPr>
          <w:p>
            <w:pPr>
              <w:jc w:val="center"/>
              <w:rPr>
                <w:rFonts w:ascii="宋体" w:hAnsi="宋体" w:cs="宋体"/>
                <w:color w:val="000000"/>
                <w:kern w:val="0"/>
                <w:sz w:val="22"/>
                <w:szCs w:val="21"/>
              </w:rPr>
            </w:pPr>
          </w:p>
        </w:tc>
        <w:tc>
          <w:tcPr>
            <w:tcW w:w="2628" w:type="dxa"/>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绩效监控（5分）</w:t>
            </w:r>
          </w:p>
        </w:tc>
        <w:tc>
          <w:tcPr>
            <w:tcW w:w="3933"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预算执行进度监控（2分）</w:t>
            </w:r>
          </w:p>
        </w:tc>
        <w:tc>
          <w:tcPr>
            <w:tcW w:w="721"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continue"/>
            <w:vAlign w:val="center"/>
          </w:tcPr>
          <w:p>
            <w:pPr>
              <w:jc w:val="center"/>
              <w:rPr>
                <w:rFonts w:ascii="宋体" w:hAnsi="宋体" w:cs="宋体"/>
                <w:color w:val="000000"/>
                <w:kern w:val="0"/>
                <w:sz w:val="22"/>
                <w:szCs w:val="21"/>
              </w:rPr>
            </w:pPr>
          </w:p>
        </w:tc>
        <w:tc>
          <w:tcPr>
            <w:tcW w:w="2628" w:type="dxa"/>
            <w:vMerge w:val="continue"/>
            <w:vAlign w:val="center"/>
          </w:tcPr>
          <w:p>
            <w:pPr>
              <w:widowControl/>
              <w:spacing w:line="320" w:lineRule="exact"/>
              <w:jc w:val="left"/>
              <w:rPr>
                <w:rFonts w:ascii="宋体" w:hAnsi="宋体" w:cs="宋体"/>
                <w:color w:val="000000"/>
                <w:kern w:val="0"/>
                <w:sz w:val="22"/>
                <w:szCs w:val="21"/>
              </w:rPr>
            </w:pPr>
          </w:p>
        </w:tc>
        <w:tc>
          <w:tcPr>
            <w:tcW w:w="3933"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绩效目标动态监控（3分）</w:t>
            </w:r>
          </w:p>
        </w:tc>
        <w:tc>
          <w:tcPr>
            <w:tcW w:w="721"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continue"/>
            <w:vAlign w:val="center"/>
          </w:tcPr>
          <w:p>
            <w:pPr>
              <w:jc w:val="center"/>
              <w:rPr>
                <w:rFonts w:ascii="宋体" w:hAnsi="宋体" w:cs="宋体"/>
                <w:color w:val="000000"/>
                <w:kern w:val="0"/>
                <w:sz w:val="22"/>
                <w:szCs w:val="21"/>
              </w:rPr>
            </w:pPr>
          </w:p>
        </w:tc>
        <w:tc>
          <w:tcPr>
            <w:tcW w:w="2628" w:type="dxa"/>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资产管理（6分）</w:t>
            </w:r>
          </w:p>
        </w:tc>
        <w:tc>
          <w:tcPr>
            <w:tcW w:w="3933"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资产管理信息化情况（2分）</w:t>
            </w:r>
          </w:p>
        </w:tc>
        <w:tc>
          <w:tcPr>
            <w:tcW w:w="721"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continue"/>
            <w:vAlign w:val="center"/>
          </w:tcPr>
          <w:p>
            <w:pPr>
              <w:jc w:val="center"/>
              <w:rPr>
                <w:rFonts w:ascii="宋体" w:hAnsi="宋体" w:cs="宋体"/>
                <w:color w:val="000000"/>
                <w:kern w:val="0"/>
                <w:sz w:val="22"/>
                <w:szCs w:val="21"/>
              </w:rPr>
            </w:pPr>
          </w:p>
        </w:tc>
        <w:tc>
          <w:tcPr>
            <w:tcW w:w="2628" w:type="dxa"/>
            <w:vMerge w:val="continue"/>
            <w:vAlign w:val="center"/>
          </w:tcPr>
          <w:p>
            <w:pPr>
              <w:widowControl/>
              <w:spacing w:line="320" w:lineRule="exact"/>
              <w:jc w:val="left"/>
              <w:rPr>
                <w:rFonts w:ascii="宋体" w:hAnsi="宋体" w:cs="宋体"/>
                <w:color w:val="000000"/>
                <w:kern w:val="0"/>
                <w:sz w:val="22"/>
                <w:szCs w:val="21"/>
              </w:rPr>
            </w:pPr>
          </w:p>
        </w:tc>
        <w:tc>
          <w:tcPr>
            <w:tcW w:w="3933"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行政事业单位资产报告情况（2分）</w:t>
            </w:r>
          </w:p>
        </w:tc>
        <w:tc>
          <w:tcPr>
            <w:tcW w:w="721"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continue"/>
            <w:vAlign w:val="center"/>
          </w:tcPr>
          <w:p>
            <w:pPr>
              <w:jc w:val="center"/>
              <w:rPr>
                <w:rFonts w:ascii="宋体" w:hAnsi="宋体" w:cs="宋体"/>
                <w:color w:val="000000"/>
                <w:kern w:val="0"/>
                <w:sz w:val="22"/>
                <w:szCs w:val="21"/>
              </w:rPr>
            </w:pPr>
          </w:p>
        </w:tc>
        <w:tc>
          <w:tcPr>
            <w:tcW w:w="2628" w:type="dxa"/>
            <w:vMerge w:val="continue"/>
            <w:vAlign w:val="center"/>
          </w:tcPr>
          <w:p>
            <w:pPr>
              <w:widowControl/>
              <w:spacing w:line="320" w:lineRule="exact"/>
              <w:jc w:val="left"/>
              <w:rPr>
                <w:rFonts w:ascii="宋体" w:hAnsi="宋体" w:cs="宋体"/>
                <w:color w:val="000000"/>
                <w:kern w:val="0"/>
                <w:sz w:val="22"/>
                <w:szCs w:val="21"/>
              </w:rPr>
            </w:pPr>
          </w:p>
        </w:tc>
        <w:tc>
          <w:tcPr>
            <w:tcW w:w="3933"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资产管理与预算管理相结合（2分）</w:t>
            </w:r>
          </w:p>
        </w:tc>
        <w:tc>
          <w:tcPr>
            <w:tcW w:w="721"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continue"/>
            <w:vAlign w:val="center"/>
          </w:tcPr>
          <w:p>
            <w:pPr>
              <w:widowControl/>
              <w:jc w:val="center"/>
              <w:rPr>
                <w:rFonts w:ascii="宋体" w:hAnsi="宋体" w:cs="宋体"/>
                <w:color w:val="000000"/>
                <w:kern w:val="0"/>
                <w:sz w:val="22"/>
                <w:szCs w:val="21"/>
              </w:rPr>
            </w:pPr>
          </w:p>
        </w:tc>
        <w:tc>
          <w:tcPr>
            <w:tcW w:w="2628"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内控制度管理（4分）</w:t>
            </w:r>
          </w:p>
        </w:tc>
        <w:tc>
          <w:tcPr>
            <w:tcW w:w="3933"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内部控制度健全完整（4分）</w:t>
            </w:r>
          </w:p>
        </w:tc>
        <w:tc>
          <w:tcPr>
            <w:tcW w:w="721"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continue"/>
            <w:vAlign w:val="center"/>
          </w:tcPr>
          <w:p>
            <w:pPr>
              <w:widowControl/>
              <w:jc w:val="left"/>
              <w:rPr>
                <w:rFonts w:ascii="宋体" w:hAnsi="宋体" w:cs="宋体"/>
                <w:color w:val="000000"/>
                <w:kern w:val="0"/>
                <w:sz w:val="22"/>
                <w:szCs w:val="21"/>
              </w:rPr>
            </w:pPr>
          </w:p>
        </w:tc>
        <w:tc>
          <w:tcPr>
            <w:tcW w:w="2628" w:type="dxa"/>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信息公开（6分）</w:t>
            </w:r>
          </w:p>
        </w:tc>
        <w:tc>
          <w:tcPr>
            <w:tcW w:w="3933"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预算公开（2分）</w:t>
            </w:r>
          </w:p>
        </w:tc>
        <w:tc>
          <w:tcPr>
            <w:tcW w:w="721"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continue"/>
            <w:vAlign w:val="center"/>
          </w:tcPr>
          <w:p>
            <w:pPr>
              <w:widowControl/>
              <w:jc w:val="left"/>
              <w:rPr>
                <w:rFonts w:ascii="宋体" w:hAnsi="宋体" w:cs="宋体"/>
                <w:color w:val="000000"/>
                <w:kern w:val="0"/>
                <w:sz w:val="22"/>
                <w:szCs w:val="21"/>
              </w:rPr>
            </w:pPr>
          </w:p>
        </w:tc>
        <w:tc>
          <w:tcPr>
            <w:tcW w:w="2628" w:type="dxa"/>
            <w:vMerge w:val="continue"/>
            <w:vAlign w:val="center"/>
          </w:tcPr>
          <w:p>
            <w:pPr>
              <w:widowControl/>
              <w:spacing w:line="320" w:lineRule="exact"/>
              <w:jc w:val="left"/>
              <w:rPr>
                <w:rFonts w:ascii="宋体" w:hAnsi="宋体" w:cs="宋体"/>
                <w:color w:val="000000"/>
                <w:kern w:val="0"/>
                <w:sz w:val="22"/>
                <w:szCs w:val="21"/>
              </w:rPr>
            </w:pPr>
          </w:p>
        </w:tc>
        <w:tc>
          <w:tcPr>
            <w:tcW w:w="3933"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决算公开（2分）</w:t>
            </w:r>
          </w:p>
        </w:tc>
        <w:tc>
          <w:tcPr>
            <w:tcW w:w="721"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continue"/>
            <w:vAlign w:val="center"/>
          </w:tcPr>
          <w:p>
            <w:pPr>
              <w:widowControl/>
              <w:jc w:val="left"/>
              <w:rPr>
                <w:rFonts w:ascii="宋体" w:hAnsi="宋体" w:cs="宋体"/>
                <w:color w:val="000000"/>
                <w:kern w:val="0"/>
                <w:sz w:val="22"/>
                <w:szCs w:val="21"/>
              </w:rPr>
            </w:pPr>
          </w:p>
        </w:tc>
        <w:tc>
          <w:tcPr>
            <w:tcW w:w="2628" w:type="dxa"/>
            <w:vMerge w:val="continue"/>
            <w:vAlign w:val="center"/>
          </w:tcPr>
          <w:p>
            <w:pPr>
              <w:widowControl/>
              <w:spacing w:line="320" w:lineRule="exact"/>
              <w:jc w:val="left"/>
              <w:rPr>
                <w:rFonts w:ascii="宋体" w:hAnsi="宋体" w:cs="宋体"/>
                <w:color w:val="000000"/>
                <w:kern w:val="0"/>
                <w:sz w:val="22"/>
                <w:szCs w:val="21"/>
              </w:rPr>
            </w:pPr>
          </w:p>
        </w:tc>
        <w:tc>
          <w:tcPr>
            <w:tcW w:w="3933"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绩效信息公开（2分）</w:t>
            </w:r>
          </w:p>
        </w:tc>
        <w:tc>
          <w:tcPr>
            <w:tcW w:w="721"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continue"/>
            <w:vAlign w:val="center"/>
          </w:tcPr>
          <w:p>
            <w:pPr>
              <w:widowControl/>
              <w:jc w:val="left"/>
              <w:rPr>
                <w:rFonts w:ascii="宋体" w:hAnsi="宋体" w:cs="宋体"/>
                <w:color w:val="000000"/>
                <w:kern w:val="0"/>
                <w:sz w:val="22"/>
                <w:szCs w:val="21"/>
              </w:rPr>
            </w:pPr>
          </w:p>
        </w:tc>
        <w:tc>
          <w:tcPr>
            <w:tcW w:w="2628" w:type="dxa"/>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绩效评价（5分）</w:t>
            </w:r>
          </w:p>
        </w:tc>
        <w:tc>
          <w:tcPr>
            <w:tcW w:w="3933"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绩效评价开展（2分）</w:t>
            </w:r>
          </w:p>
        </w:tc>
        <w:tc>
          <w:tcPr>
            <w:tcW w:w="721"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continue"/>
            <w:vAlign w:val="center"/>
          </w:tcPr>
          <w:p>
            <w:pPr>
              <w:widowControl/>
              <w:jc w:val="left"/>
              <w:rPr>
                <w:rFonts w:ascii="宋体" w:hAnsi="宋体" w:cs="宋体"/>
                <w:color w:val="000000"/>
                <w:kern w:val="0"/>
                <w:sz w:val="22"/>
                <w:szCs w:val="21"/>
              </w:rPr>
            </w:pPr>
          </w:p>
        </w:tc>
        <w:tc>
          <w:tcPr>
            <w:tcW w:w="2628" w:type="dxa"/>
            <w:vMerge w:val="continue"/>
            <w:vAlign w:val="center"/>
          </w:tcPr>
          <w:p>
            <w:pPr>
              <w:widowControl/>
              <w:spacing w:line="320" w:lineRule="exact"/>
              <w:jc w:val="left"/>
              <w:rPr>
                <w:rFonts w:ascii="宋体" w:hAnsi="宋体" w:cs="宋体"/>
                <w:color w:val="000000"/>
                <w:kern w:val="0"/>
                <w:sz w:val="22"/>
                <w:szCs w:val="21"/>
              </w:rPr>
            </w:pPr>
          </w:p>
        </w:tc>
        <w:tc>
          <w:tcPr>
            <w:tcW w:w="3933"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评价结果应用（3分）</w:t>
            </w:r>
          </w:p>
        </w:tc>
        <w:tc>
          <w:tcPr>
            <w:tcW w:w="721"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restart"/>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部门绩效情况（45分）</w:t>
            </w:r>
          </w:p>
          <w:p>
            <w:pPr>
              <w:widowControl/>
              <w:jc w:val="center"/>
              <w:rPr>
                <w:rFonts w:ascii="宋体" w:hAnsi="宋体" w:cs="宋体"/>
                <w:color w:val="000000"/>
                <w:kern w:val="0"/>
                <w:sz w:val="22"/>
                <w:szCs w:val="21"/>
              </w:rPr>
            </w:pPr>
          </w:p>
        </w:tc>
        <w:tc>
          <w:tcPr>
            <w:tcW w:w="2628" w:type="dxa"/>
            <w:vMerge w:val="restart"/>
            <w:vAlign w:val="center"/>
          </w:tcPr>
          <w:p>
            <w:pPr>
              <w:widowControl/>
              <w:spacing w:line="320" w:lineRule="exact"/>
              <w:jc w:val="left"/>
              <w:rPr>
                <w:rFonts w:ascii="宋体" w:hAnsi="宋体" w:cs="宋体"/>
                <w:color w:val="000000"/>
                <w:kern w:val="0"/>
                <w:sz w:val="22"/>
                <w:szCs w:val="21"/>
              </w:rPr>
            </w:pPr>
          </w:p>
          <w:p>
            <w:pPr>
              <w:rPr>
                <w:sz w:val="22"/>
              </w:rPr>
            </w:pPr>
            <w:r>
              <w:rPr>
                <w:rFonts w:hint="eastAsia"/>
                <w:sz w:val="22"/>
              </w:rPr>
              <w:t>履职成效（2</w:t>
            </w:r>
            <w:r>
              <w:rPr>
                <w:rFonts w:hint="eastAsia"/>
                <w:sz w:val="22"/>
                <w:lang w:val="en-US" w:eastAsia="zh-CN"/>
              </w:rPr>
              <w:t>0</w:t>
            </w:r>
            <w:r>
              <w:rPr>
                <w:rFonts w:hint="eastAsia"/>
                <w:sz w:val="22"/>
              </w:rPr>
              <w:t>分）</w:t>
            </w:r>
          </w:p>
          <w:p>
            <w:pPr>
              <w:widowControl/>
              <w:spacing w:line="320" w:lineRule="exact"/>
              <w:jc w:val="left"/>
              <w:rPr>
                <w:rFonts w:ascii="宋体" w:hAnsi="宋体" w:cs="宋体"/>
                <w:color w:val="000000"/>
                <w:kern w:val="0"/>
                <w:sz w:val="22"/>
                <w:szCs w:val="21"/>
              </w:rPr>
            </w:pPr>
          </w:p>
          <w:p>
            <w:pPr>
              <w:widowControl/>
              <w:spacing w:line="320" w:lineRule="exact"/>
              <w:jc w:val="left"/>
              <w:rPr>
                <w:rFonts w:ascii="宋体" w:hAnsi="宋体" w:cs="宋体"/>
                <w:color w:val="000000"/>
                <w:kern w:val="0"/>
                <w:sz w:val="22"/>
                <w:szCs w:val="21"/>
              </w:rPr>
            </w:pPr>
          </w:p>
        </w:tc>
        <w:tc>
          <w:tcPr>
            <w:tcW w:w="3933"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lang w:eastAsia="zh-CN"/>
              </w:rPr>
              <w:t>应急管理工作</w:t>
            </w:r>
            <w:r>
              <w:rPr>
                <w:rFonts w:hint="eastAsia" w:ascii="宋体" w:hAnsi="宋体" w:cs="宋体"/>
                <w:color w:val="000000"/>
                <w:kern w:val="0"/>
                <w:sz w:val="22"/>
                <w:szCs w:val="21"/>
              </w:rPr>
              <w:t>（</w:t>
            </w:r>
            <w:r>
              <w:rPr>
                <w:rFonts w:hint="eastAsia" w:ascii="宋体" w:hAnsi="宋体" w:cs="宋体"/>
                <w:color w:val="000000"/>
                <w:kern w:val="0"/>
                <w:sz w:val="22"/>
                <w:szCs w:val="21"/>
                <w:lang w:val="en-US" w:eastAsia="zh-CN"/>
              </w:rPr>
              <w:t>10</w:t>
            </w:r>
            <w:r>
              <w:rPr>
                <w:rFonts w:hint="eastAsia" w:ascii="宋体" w:hAnsi="宋体" w:cs="宋体"/>
                <w:color w:val="000000"/>
                <w:kern w:val="0"/>
                <w:sz w:val="22"/>
                <w:szCs w:val="21"/>
              </w:rPr>
              <w:t>分）</w:t>
            </w:r>
          </w:p>
        </w:tc>
        <w:tc>
          <w:tcPr>
            <w:tcW w:w="721" w:type="dxa"/>
          </w:tcPr>
          <w:p>
            <w:pPr>
              <w:widowControl/>
              <w:spacing w:line="320" w:lineRule="exact"/>
              <w:jc w:val="center"/>
              <w:rPr>
                <w:rFonts w:hint="default" w:ascii="宋体" w:hAnsi="宋体" w:eastAsia="宋体" w:cs="宋体"/>
                <w:color w:val="000000"/>
                <w:kern w:val="0"/>
                <w:sz w:val="22"/>
                <w:szCs w:val="21"/>
                <w:lang w:val="en-US" w:eastAsia="zh-CN"/>
              </w:rPr>
            </w:pPr>
            <w:r>
              <w:rPr>
                <w:rFonts w:hint="eastAsia" w:ascii="宋体" w:hAnsi="宋体" w:cs="宋体"/>
                <w:color w:val="000000"/>
                <w:kern w:val="0"/>
                <w:sz w:val="2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continue"/>
            <w:vAlign w:val="center"/>
          </w:tcPr>
          <w:p>
            <w:pPr>
              <w:jc w:val="left"/>
              <w:rPr>
                <w:rFonts w:ascii="宋体" w:hAnsi="宋体" w:cs="宋体"/>
                <w:color w:val="000000"/>
                <w:kern w:val="0"/>
                <w:sz w:val="22"/>
                <w:szCs w:val="21"/>
              </w:rPr>
            </w:pPr>
          </w:p>
        </w:tc>
        <w:tc>
          <w:tcPr>
            <w:tcW w:w="2628" w:type="dxa"/>
            <w:vMerge w:val="continue"/>
            <w:vAlign w:val="center"/>
          </w:tcPr>
          <w:p>
            <w:pPr>
              <w:widowControl/>
              <w:spacing w:line="320" w:lineRule="exact"/>
              <w:jc w:val="left"/>
              <w:rPr>
                <w:rFonts w:ascii="宋体" w:hAnsi="宋体" w:cs="宋体"/>
                <w:color w:val="000000"/>
                <w:kern w:val="0"/>
                <w:sz w:val="22"/>
                <w:szCs w:val="21"/>
              </w:rPr>
            </w:pPr>
          </w:p>
        </w:tc>
        <w:tc>
          <w:tcPr>
            <w:tcW w:w="3933"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lang w:eastAsia="zh-CN"/>
              </w:rPr>
              <w:t>值班值守工作</w:t>
            </w:r>
            <w:r>
              <w:rPr>
                <w:rFonts w:hint="eastAsia" w:ascii="宋体" w:hAnsi="宋体" w:cs="宋体"/>
                <w:color w:val="000000"/>
                <w:kern w:val="0"/>
                <w:sz w:val="22"/>
                <w:szCs w:val="21"/>
              </w:rPr>
              <w:t>（5分）</w:t>
            </w:r>
          </w:p>
        </w:tc>
        <w:tc>
          <w:tcPr>
            <w:tcW w:w="721"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418" w:type="dxa"/>
            <w:vMerge w:val="continue"/>
            <w:vAlign w:val="center"/>
          </w:tcPr>
          <w:p>
            <w:pPr>
              <w:jc w:val="left"/>
              <w:rPr>
                <w:rFonts w:ascii="宋体" w:hAnsi="宋体" w:cs="宋体"/>
                <w:color w:val="000000"/>
                <w:kern w:val="0"/>
                <w:sz w:val="22"/>
                <w:szCs w:val="21"/>
              </w:rPr>
            </w:pPr>
          </w:p>
        </w:tc>
        <w:tc>
          <w:tcPr>
            <w:tcW w:w="2628" w:type="dxa"/>
            <w:vMerge w:val="continue"/>
            <w:vAlign w:val="center"/>
          </w:tcPr>
          <w:p>
            <w:pPr>
              <w:widowControl/>
              <w:spacing w:line="320" w:lineRule="exact"/>
              <w:jc w:val="left"/>
              <w:rPr>
                <w:rFonts w:ascii="宋体" w:hAnsi="宋体" w:cs="宋体"/>
                <w:color w:val="000000"/>
                <w:kern w:val="0"/>
                <w:sz w:val="22"/>
                <w:szCs w:val="21"/>
              </w:rPr>
            </w:pPr>
          </w:p>
        </w:tc>
        <w:tc>
          <w:tcPr>
            <w:tcW w:w="3933"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lang w:eastAsia="zh-CN"/>
              </w:rPr>
              <w:t>人工影响天气工作</w:t>
            </w:r>
            <w:r>
              <w:rPr>
                <w:rFonts w:hint="eastAsia" w:ascii="宋体" w:hAnsi="宋体" w:cs="宋体"/>
                <w:color w:val="000000"/>
                <w:kern w:val="0"/>
                <w:sz w:val="22"/>
                <w:szCs w:val="21"/>
              </w:rPr>
              <w:t>（5分）</w:t>
            </w:r>
          </w:p>
        </w:tc>
        <w:tc>
          <w:tcPr>
            <w:tcW w:w="721" w:type="dxa"/>
            <w:vAlign w:val="center"/>
          </w:tcPr>
          <w:p>
            <w:pPr>
              <w:widowControl/>
              <w:spacing w:line="320" w:lineRule="exact"/>
              <w:jc w:val="center"/>
              <w:rPr>
                <w:rFonts w:hint="eastAsia" w:ascii="宋体" w:hAnsi="宋体" w:eastAsia="宋体" w:cs="宋体"/>
                <w:color w:val="000000"/>
                <w:kern w:val="0"/>
                <w:sz w:val="22"/>
                <w:szCs w:val="21"/>
                <w:lang w:val="en-US" w:eastAsia="zh-CN"/>
              </w:rPr>
            </w:pPr>
            <w:r>
              <w:rPr>
                <w:rFonts w:hint="eastAsia" w:ascii="宋体" w:hAnsi="宋体" w:cs="宋体"/>
                <w:color w:val="000000"/>
                <w:kern w:val="0"/>
                <w:sz w:val="2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continue"/>
            <w:vAlign w:val="center"/>
          </w:tcPr>
          <w:p>
            <w:pPr>
              <w:jc w:val="left"/>
              <w:rPr>
                <w:rFonts w:ascii="宋体" w:hAnsi="宋体" w:cs="宋体"/>
                <w:color w:val="000000"/>
                <w:kern w:val="0"/>
                <w:sz w:val="22"/>
                <w:szCs w:val="21"/>
              </w:rPr>
            </w:pPr>
          </w:p>
        </w:tc>
        <w:tc>
          <w:tcPr>
            <w:tcW w:w="2628" w:type="dxa"/>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可持续发展能力（1</w:t>
            </w:r>
            <w:r>
              <w:rPr>
                <w:rFonts w:hint="eastAsia" w:ascii="宋体" w:hAnsi="宋体" w:cs="宋体"/>
                <w:color w:val="000000"/>
                <w:kern w:val="0"/>
                <w:sz w:val="22"/>
                <w:szCs w:val="21"/>
                <w:lang w:val="en-US" w:eastAsia="zh-CN"/>
              </w:rPr>
              <w:t>5</w:t>
            </w:r>
            <w:r>
              <w:rPr>
                <w:rFonts w:hint="eastAsia" w:ascii="宋体" w:hAnsi="宋体" w:cs="宋体"/>
                <w:color w:val="000000"/>
                <w:kern w:val="0"/>
                <w:sz w:val="22"/>
                <w:szCs w:val="21"/>
              </w:rPr>
              <w:t>分）</w:t>
            </w:r>
          </w:p>
        </w:tc>
        <w:tc>
          <w:tcPr>
            <w:tcW w:w="3933"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重点工作完成情况（</w:t>
            </w:r>
            <w:r>
              <w:rPr>
                <w:rFonts w:hint="eastAsia" w:ascii="宋体" w:hAnsi="宋体" w:cs="宋体"/>
                <w:color w:val="000000"/>
                <w:kern w:val="0"/>
                <w:sz w:val="22"/>
                <w:szCs w:val="21"/>
                <w:lang w:val="en-US" w:eastAsia="zh-CN"/>
              </w:rPr>
              <w:t>5</w:t>
            </w:r>
            <w:r>
              <w:rPr>
                <w:rFonts w:hint="eastAsia" w:ascii="宋体" w:hAnsi="宋体" w:cs="宋体"/>
                <w:color w:val="000000"/>
                <w:kern w:val="0"/>
                <w:sz w:val="22"/>
                <w:szCs w:val="21"/>
              </w:rPr>
              <w:t>分）</w:t>
            </w:r>
          </w:p>
        </w:tc>
        <w:tc>
          <w:tcPr>
            <w:tcW w:w="721" w:type="dxa"/>
          </w:tcPr>
          <w:p>
            <w:pPr>
              <w:widowControl/>
              <w:spacing w:line="320" w:lineRule="exact"/>
              <w:jc w:val="center"/>
              <w:rPr>
                <w:rFonts w:hint="eastAsia" w:ascii="宋体" w:hAnsi="宋体" w:eastAsia="宋体" w:cs="宋体"/>
                <w:color w:val="000000"/>
                <w:kern w:val="0"/>
                <w:sz w:val="22"/>
                <w:szCs w:val="21"/>
                <w:lang w:eastAsia="zh-CN"/>
              </w:rPr>
            </w:pPr>
            <w:r>
              <w:rPr>
                <w:rFonts w:hint="eastAsia" w:ascii="宋体" w:hAnsi="宋体" w:cs="宋体"/>
                <w:color w:val="000000"/>
                <w:kern w:val="0"/>
                <w:sz w:val="2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continue"/>
            <w:vAlign w:val="center"/>
          </w:tcPr>
          <w:p>
            <w:pPr>
              <w:jc w:val="left"/>
              <w:rPr>
                <w:rFonts w:ascii="宋体" w:hAnsi="宋体" w:cs="宋体"/>
                <w:color w:val="000000"/>
                <w:kern w:val="0"/>
                <w:sz w:val="22"/>
                <w:szCs w:val="21"/>
              </w:rPr>
            </w:pPr>
          </w:p>
        </w:tc>
        <w:tc>
          <w:tcPr>
            <w:tcW w:w="2628" w:type="dxa"/>
            <w:vMerge w:val="continue"/>
            <w:vAlign w:val="center"/>
          </w:tcPr>
          <w:p>
            <w:pPr>
              <w:widowControl/>
              <w:spacing w:line="320" w:lineRule="exact"/>
              <w:jc w:val="left"/>
              <w:rPr>
                <w:rFonts w:ascii="宋体" w:hAnsi="宋体" w:cs="宋体"/>
                <w:color w:val="000000"/>
                <w:kern w:val="0"/>
                <w:sz w:val="22"/>
                <w:szCs w:val="21"/>
              </w:rPr>
            </w:pPr>
          </w:p>
        </w:tc>
        <w:tc>
          <w:tcPr>
            <w:tcW w:w="3933"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创新工作（</w:t>
            </w:r>
            <w:r>
              <w:rPr>
                <w:rFonts w:hint="eastAsia" w:ascii="宋体" w:hAnsi="宋体" w:cs="宋体"/>
                <w:color w:val="000000"/>
                <w:kern w:val="0"/>
                <w:sz w:val="22"/>
                <w:szCs w:val="21"/>
                <w:lang w:val="en-US" w:eastAsia="zh-CN"/>
              </w:rPr>
              <w:t>5</w:t>
            </w:r>
            <w:r>
              <w:rPr>
                <w:rFonts w:hint="eastAsia" w:ascii="宋体" w:hAnsi="宋体" w:cs="宋体"/>
                <w:color w:val="000000"/>
                <w:kern w:val="0"/>
                <w:sz w:val="22"/>
                <w:szCs w:val="21"/>
              </w:rPr>
              <w:t>分）</w:t>
            </w:r>
          </w:p>
        </w:tc>
        <w:tc>
          <w:tcPr>
            <w:tcW w:w="721" w:type="dxa"/>
          </w:tcPr>
          <w:p>
            <w:pPr>
              <w:widowControl/>
              <w:spacing w:line="320" w:lineRule="exact"/>
              <w:jc w:val="center"/>
              <w:rPr>
                <w:rFonts w:hint="eastAsia" w:ascii="宋体" w:hAnsi="宋体" w:eastAsia="宋体" w:cs="宋体"/>
                <w:color w:val="000000"/>
                <w:kern w:val="0"/>
                <w:sz w:val="22"/>
                <w:szCs w:val="21"/>
                <w:lang w:eastAsia="zh-CN"/>
              </w:rPr>
            </w:pPr>
            <w:r>
              <w:rPr>
                <w:rFonts w:hint="eastAsia" w:ascii="宋体" w:hAnsi="宋体" w:cs="宋体"/>
                <w:color w:val="000000"/>
                <w:kern w:val="0"/>
                <w:sz w:val="22"/>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continue"/>
            <w:vAlign w:val="center"/>
          </w:tcPr>
          <w:p>
            <w:pPr>
              <w:jc w:val="left"/>
              <w:rPr>
                <w:rFonts w:ascii="宋体" w:hAnsi="宋体" w:cs="宋体"/>
                <w:color w:val="000000"/>
                <w:kern w:val="0"/>
                <w:sz w:val="22"/>
                <w:szCs w:val="21"/>
              </w:rPr>
            </w:pPr>
          </w:p>
        </w:tc>
        <w:tc>
          <w:tcPr>
            <w:tcW w:w="2628" w:type="dxa"/>
            <w:vMerge w:val="continue"/>
            <w:vAlign w:val="center"/>
          </w:tcPr>
          <w:p>
            <w:pPr>
              <w:widowControl/>
              <w:spacing w:line="320" w:lineRule="exact"/>
              <w:jc w:val="left"/>
              <w:rPr>
                <w:rFonts w:ascii="宋体" w:hAnsi="宋体" w:cs="宋体"/>
                <w:color w:val="000000"/>
                <w:kern w:val="0"/>
                <w:sz w:val="22"/>
                <w:szCs w:val="21"/>
              </w:rPr>
            </w:pPr>
          </w:p>
        </w:tc>
        <w:tc>
          <w:tcPr>
            <w:tcW w:w="3933"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人才培养（</w:t>
            </w:r>
            <w:r>
              <w:rPr>
                <w:rFonts w:hint="eastAsia" w:ascii="宋体" w:hAnsi="宋体" w:cs="宋体"/>
                <w:color w:val="000000"/>
                <w:kern w:val="0"/>
                <w:sz w:val="22"/>
                <w:szCs w:val="21"/>
                <w:lang w:val="en-US" w:eastAsia="zh-CN"/>
              </w:rPr>
              <w:t>5</w:t>
            </w:r>
            <w:r>
              <w:rPr>
                <w:rFonts w:hint="eastAsia" w:ascii="宋体" w:hAnsi="宋体" w:cs="宋体"/>
                <w:color w:val="000000"/>
                <w:kern w:val="0"/>
                <w:sz w:val="22"/>
                <w:szCs w:val="21"/>
              </w:rPr>
              <w:t>分）</w:t>
            </w:r>
          </w:p>
        </w:tc>
        <w:tc>
          <w:tcPr>
            <w:tcW w:w="721" w:type="dxa"/>
          </w:tcPr>
          <w:p>
            <w:pPr>
              <w:widowControl/>
              <w:spacing w:line="320" w:lineRule="exact"/>
              <w:jc w:val="center"/>
              <w:rPr>
                <w:rFonts w:hint="eastAsia" w:ascii="宋体" w:hAnsi="宋体" w:eastAsia="宋体" w:cs="宋体"/>
                <w:color w:val="000000"/>
                <w:kern w:val="0"/>
                <w:sz w:val="22"/>
                <w:szCs w:val="21"/>
                <w:lang w:eastAsia="zh-CN"/>
              </w:rPr>
            </w:pPr>
            <w:r>
              <w:rPr>
                <w:rFonts w:hint="eastAsia" w:ascii="宋体" w:hAnsi="宋体" w:cs="宋体"/>
                <w:color w:val="000000"/>
                <w:kern w:val="0"/>
                <w:sz w:val="2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continue"/>
            <w:vAlign w:val="center"/>
          </w:tcPr>
          <w:p>
            <w:pPr>
              <w:jc w:val="left"/>
              <w:rPr>
                <w:rFonts w:ascii="宋体" w:hAnsi="宋体" w:cs="宋体"/>
                <w:color w:val="000000"/>
                <w:kern w:val="0"/>
                <w:sz w:val="22"/>
                <w:szCs w:val="21"/>
              </w:rPr>
            </w:pPr>
          </w:p>
        </w:tc>
        <w:tc>
          <w:tcPr>
            <w:tcW w:w="2628" w:type="dxa"/>
            <w:vMerge w:val="restart"/>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满意度（10分）</w:t>
            </w:r>
          </w:p>
        </w:tc>
        <w:tc>
          <w:tcPr>
            <w:tcW w:w="3933" w:type="dxa"/>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协作部门满意度（3分）</w:t>
            </w:r>
          </w:p>
        </w:tc>
        <w:tc>
          <w:tcPr>
            <w:tcW w:w="721"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18" w:type="dxa"/>
            <w:vMerge w:val="continue"/>
            <w:vAlign w:val="center"/>
          </w:tcPr>
          <w:p>
            <w:pPr>
              <w:jc w:val="left"/>
              <w:rPr>
                <w:rFonts w:ascii="宋体" w:hAnsi="宋体" w:cs="宋体"/>
                <w:color w:val="000000"/>
                <w:kern w:val="0"/>
                <w:sz w:val="22"/>
                <w:szCs w:val="21"/>
              </w:rPr>
            </w:pPr>
          </w:p>
        </w:tc>
        <w:tc>
          <w:tcPr>
            <w:tcW w:w="2628" w:type="dxa"/>
            <w:vMerge w:val="continue"/>
            <w:vAlign w:val="center"/>
          </w:tcPr>
          <w:p>
            <w:pPr>
              <w:spacing w:line="320" w:lineRule="exact"/>
              <w:jc w:val="left"/>
              <w:rPr>
                <w:rFonts w:ascii="宋体" w:hAnsi="宋体" w:cs="宋体"/>
                <w:color w:val="000000"/>
                <w:kern w:val="0"/>
                <w:sz w:val="22"/>
                <w:szCs w:val="21"/>
              </w:rPr>
            </w:pPr>
          </w:p>
        </w:tc>
        <w:tc>
          <w:tcPr>
            <w:tcW w:w="3933" w:type="dxa"/>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管理对象满意度（3分）</w:t>
            </w:r>
          </w:p>
        </w:tc>
        <w:tc>
          <w:tcPr>
            <w:tcW w:w="721"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418" w:type="dxa"/>
            <w:vMerge w:val="continue"/>
            <w:vAlign w:val="center"/>
          </w:tcPr>
          <w:p>
            <w:pPr>
              <w:widowControl/>
              <w:jc w:val="left"/>
              <w:rPr>
                <w:rFonts w:ascii="宋体" w:hAnsi="宋体" w:cs="宋体"/>
                <w:color w:val="000000"/>
                <w:kern w:val="0"/>
                <w:sz w:val="22"/>
                <w:szCs w:val="21"/>
              </w:rPr>
            </w:pPr>
          </w:p>
        </w:tc>
        <w:tc>
          <w:tcPr>
            <w:tcW w:w="2628" w:type="dxa"/>
            <w:vMerge w:val="continue"/>
            <w:vAlign w:val="center"/>
          </w:tcPr>
          <w:p>
            <w:pPr>
              <w:widowControl/>
              <w:spacing w:line="320" w:lineRule="exact"/>
              <w:jc w:val="left"/>
              <w:rPr>
                <w:rFonts w:ascii="宋体" w:hAnsi="宋体" w:cs="宋体"/>
                <w:color w:val="000000"/>
                <w:kern w:val="0"/>
                <w:sz w:val="22"/>
                <w:szCs w:val="21"/>
              </w:rPr>
            </w:pPr>
          </w:p>
        </w:tc>
        <w:tc>
          <w:tcPr>
            <w:tcW w:w="3933" w:type="dxa"/>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社会公众满意度（4分）</w:t>
            </w:r>
          </w:p>
        </w:tc>
        <w:tc>
          <w:tcPr>
            <w:tcW w:w="721"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r>
    </w:tbl>
    <w:p>
      <w:pPr>
        <w:pStyle w:val="8"/>
        <w:bidi w:val="0"/>
        <w:jc w:val="center"/>
        <w:rPr>
          <w:rStyle w:val="27"/>
          <w:rFonts w:ascii="黑体" w:hAnsi="黑体" w:eastAsia="黑体"/>
          <w:b w:val="0"/>
        </w:rPr>
      </w:pPr>
      <w:bookmarkStart w:id="61" w:name="_Toc15396618"/>
      <w:r>
        <w:rPr>
          <w:rFonts w:hint="eastAsia" w:ascii="黑体" w:hAnsi="黑体" w:eastAsia="黑体"/>
          <w:color w:val="000000"/>
          <w:sz w:val="44"/>
          <w:szCs w:val="44"/>
        </w:rPr>
        <w:t>第</w:t>
      </w:r>
      <w:r>
        <w:rPr>
          <w:rStyle w:val="27"/>
          <w:rFonts w:hint="eastAsia" w:ascii="黑体" w:hAnsi="黑体" w:eastAsia="黑体"/>
          <w:b w:val="0"/>
        </w:rPr>
        <w:t>五部分 附表</w:t>
      </w:r>
      <w:bookmarkEnd w:id="57"/>
      <w:bookmarkEnd w:id="61"/>
      <w:bookmarkStart w:id="75" w:name="_GoBack"/>
      <w:bookmarkEnd w:id="75"/>
    </w:p>
    <w:p>
      <w:pPr>
        <w:pStyle w:val="12"/>
        <w:bidi w:val="0"/>
        <w:rPr>
          <w:rStyle w:val="18"/>
        </w:rPr>
      </w:pPr>
    </w:p>
    <w:p>
      <w:pPr>
        <w:pStyle w:val="4"/>
        <w:keepNext/>
        <w:keepLines/>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000000"/>
        </w:rPr>
      </w:pPr>
      <w:bookmarkStart w:id="62"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62"/>
    </w:p>
    <w:p>
      <w:pPr>
        <w:pStyle w:val="4"/>
        <w:keepNext/>
        <w:keepLines/>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000000"/>
        </w:rPr>
      </w:pPr>
      <w:bookmarkStart w:id="63" w:name="_Toc15396620"/>
      <w:r>
        <w:rPr>
          <w:rFonts w:hint="eastAsia" w:ascii="仿宋" w:hAnsi="仿宋" w:eastAsia="仿宋"/>
          <w:b w:val="0"/>
          <w:color w:val="000000"/>
        </w:rPr>
        <w:t>二、收</w:t>
      </w:r>
      <w:r>
        <w:rPr>
          <w:rStyle w:val="28"/>
          <w:rFonts w:hint="eastAsia" w:ascii="仿宋" w:hAnsi="仿宋" w:eastAsia="仿宋"/>
          <w:b w:val="0"/>
          <w:bCs w:val="0"/>
        </w:rPr>
        <w:t>入总表</w:t>
      </w:r>
      <w:bookmarkEnd w:id="63"/>
    </w:p>
    <w:p>
      <w:pPr>
        <w:pStyle w:val="4"/>
        <w:keepNext/>
        <w:keepLines/>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000000"/>
        </w:rPr>
      </w:pPr>
      <w:bookmarkStart w:id="64"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出总表</w:t>
      </w:r>
      <w:bookmarkEnd w:id="64"/>
    </w:p>
    <w:p>
      <w:pPr>
        <w:pStyle w:val="4"/>
        <w:keepNext/>
        <w:keepLines/>
        <w:pageBreakBefore w:val="0"/>
        <w:widowControl w:val="0"/>
        <w:kinsoku/>
        <w:wordWrap/>
        <w:overflowPunct/>
        <w:topLinePunct w:val="0"/>
        <w:autoSpaceDE/>
        <w:autoSpaceDN/>
        <w:bidi w:val="0"/>
        <w:adjustRightInd/>
        <w:snapToGrid/>
        <w:spacing w:line="520" w:lineRule="exact"/>
        <w:textAlignment w:val="auto"/>
        <w:rPr>
          <w:rFonts w:ascii="仿宋" w:hAnsi="仿宋" w:eastAsia="仿宋"/>
          <w:b w:val="0"/>
          <w:color w:val="000000"/>
        </w:rPr>
      </w:pPr>
      <w:bookmarkStart w:id="65"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65"/>
    </w:p>
    <w:p>
      <w:pPr>
        <w:pStyle w:val="4"/>
        <w:keepNext/>
        <w:keepLines/>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000000"/>
        </w:rPr>
      </w:pPr>
      <w:bookmarkStart w:id="66"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政拨款支出决算明细表（政府经济分类科目）</w:t>
      </w:r>
      <w:bookmarkEnd w:id="66"/>
    </w:p>
    <w:p>
      <w:pPr>
        <w:pStyle w:val="4"/>
        <w:keepNext/>
        <w:keepLines/>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000000"/>
        </w:rPr>
      </w:pPr>
      <w:bookmarkStart w:id="67" w:name="_Toc15396624"/>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67"/>
    </w:p>
    <w:p>
      <w:pPr>
        <w:pStyle w:val="4"/>
        <w:keepNext/>
        <w:keepLines/>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000000"/>
        </w:rPr>
      </w:pPr>
      <w:bookmarkStart w:id="68"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68"/>
    </w:p>
    <w:p>
      <w:pPr>
        <w:pStyle w:val="4"/>
        <w:keepNext/>
        <w:keepLines/>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000000"/>
        </w:rPr>
      </w:pPr>
      <w:bookmarkStart w:id="69"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69"/>
    </w:p>
    <w:p>
      <w:pPr>
        <w:pStyle w:val="4"/>
        <w:keepNext/>
        <w:keepLines/>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000000"/>
        </w:rPr>
      </w:pPr>
      <w:bookmarkStart w:id="70"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70"/>
    </w:p>
    <w:p>
      <w:pPr>
        <w:pStyle w:val="4"/>
        <w:keepNext/>
        <w:keepLines/>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000000"/>
        </w:rPr>
      </w:pPr>
      <w:bookmarkStart w:id="71"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71"/>
    </w:p>
    <w:p>
      <w:pPr>
        <w:pStyle w:val="4"/>
        <w:keepNext/>
        <w:keepLines/>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000000"/>
        </w:rPr>
      </w:pPr>
      <w:bookmarkStart w:id="72"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72"/>
    </w:p>
    <w:p>
      <w:pPr>
        <w:pStyle w:val="4"/>
        <w:keepNext/>
        <w:keepLines/>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000000"/>
        </w:rPr>
      </w:pPr>
      <w:bookmarkStart w:id="73"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73"/>
    </w:p>
    <w:p>
      <w:pPr>
        <w:pStyle w:val="4"/>
        <w:keepNext/>
        <w:keepLines/>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000000" w:themeColor="text1"/>
          <w14:textFill>
            <w14:solidFill>
              <w14:schemeClr w14:val="tx1"/>
            </w14:solidFill>
          </w14:textFill>
        </w:rPr>
      </w:pPr>
      <w:bookmarkStart w:id="74" w:name="_Toc15396631"/>
      <w:r>
        <w:rPr>
          <w:rStyle w:val="28"/>
          <w:rFonts w:hint="eastAsia" w:ascii="仿宋" w:hAnsi="仿宋" w:eastAsia="仿宋"/>
          <w:b w:val="0"/>
          <w:bCs w:val="0"/>
        </w:rPr>
        <w:t>十三、</w:t>
      </w:r>
      <w:r>
        <w:rPr>
          <w:rFonts w:hint="eastAsia" w:ascii="仿宋" w:hAnsi="仿宋" w:eastAsia="仿宋"/>
          <w:b w:val="0"/>
          <w:color w:val="000000"/>
        </w:rPr>
        <w:t>国</w:t>
      </w:r>
      <w:r>
        <w:rPr>
          <w:rStyle w:val="28"/>
          <w:rFonts w:hint="eastAsia" w:ascii="仿宋" w:hAnsi="仿宋" w:eastAsia="仿宋"/>
          <w:b w:val="0"/>
          <w:bCs w:val="0"/>
        </w:rPr>
        <w:t>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12"/>
          <w:jc w:val="center"/>
        </w:pPr>
        <w:r>
          <w:fldChar w:fldCharType="begin"/>
        </w:r>
        <w:r>
          <w:instrText xml:space="preserve">PAGE   \* MERGEFORMAT</w:instrText>
        </w:r>
        <w:r>
          <w:fldChar w:fldCharType="separate"/>
        </w:r>
        <w:r>
          <w:rPr>
            <w:lang w:val="zh-CN"/>
          </w:rPr>
          <w:t>10</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59B526BD"/>
    <w:multiLevelType w:val="singleLevel"/>
    <w:tmpl w:val="59B526BD"/>
    <w:lvl w:ilvl="0" w:tentative="0">
      <w:start w:val="1"/>
      <w:numFmt w:val="decimal"/>
      <w:suff w:val="nothing"/>
      <w:lvlText w:val="（%1）"/>
      <w:lvlJc w:val="left"/>
      <w:pPr>
        <w:tabs>
          <w:tab w:val="left" w:pos="0"/>
        </w:tabs>
        <w:ind w:left="0" w:firstLine="0"/>
      </w:pPr>
    </w:lvl>
  </w:abstractNum>
  <w:abstractNum w:abstractNumId="6">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6"/>
  </w:num>
  <w:num w:numId="2">
    <w:abstractNumId w:val="3"/>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943565"/>
    <w:rsid w:val="05C73D84"/>
    <w:rsid w:val="076C1577"/>
    <w:rsid w:val="0A65506C"/>
    <w:rsid w:val="0A8F3965"/>
    <w:rsid w:val="0DF43B42"/>
    <w:rsid w:val="10C055FF"/>
    <w:rsid w:val="11B9369F"/>
    <w:rsid w:val="16BB723D"/>
    <w:rsid w:val="1A2D7545"/>
    <w:rsid w:val="1CE90FE0"/>
    <w:rsid w:val="201918A4"/>
    <w:rsid w:val="240371BF"/>
    <w:rsid w:val="29FD04D3"/>
    <w:rsid w:val="2E1926D7"/>
    <w:rsid w:val="319F7F4E"/>
    <w:rsid w:val="353F7734"/>
    <w:rsid w:val="54B83058"/>
    <w:rsid w:val="5BD5118F"/>
    <w:rsid w:val="648E1AC9"/>
    <w:rsid w:val="6A221203"/>
    <w:rsid w:val="6D010E31"/>
    <w:rsid w:val="6D5E716A"/>
    <w:rsid w:val="73A90731"/>
    <w:rsid w:val="7D1A08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9">
    <w:name w:val="Body Text"/>
    <w:basedOn w:val="1"/>
    <w:link w:val="25"/>
    <w:qFormat/>
    <w:uiPriority w:val="99"/>
    <w:pPr>
      <w:spacing w:beforeLines="30"/>
    </w:pPr>
    <w:rPr>
      <w:rFonts w:ascii="仿宋_GB2312" w:eastAsia="仿宋_GB2312"/>
      <w:kern w:val="0"/>
      <w:sz w:val="30"/>
    </w:r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0"/>
    <w:unhideWhenUsed/>
    <w:qFormat/>
    <w:uiPriority w:val="99"/>
    <w:rPr>
      <w:sz w:val="18"/>
      <w:szCs w:val="18"/>
    </w:rPr>
  </w:style>
  <w:style w:type="paragraph" w:styleId="12">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3"/>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2"/>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9"/>
    <w:qFormat/>
    <w:locked/>
    <w:uiPriority w:val="99"/>
    <w:rPr>
      <w:rFonts w:ascii="仿宋_GB2312" w:hAnsi="Times New Roman" w:eastAsia="仿宋_GB2312"/>
      <w:sz w:val="24"/>
    </w:rPr>
  </w:style>
  <w:style w:type="paragraph" w:styleId="26">
    <w:name w:val="List Paragraph"/>
    <w:basedOn w:val="1"/>
    <w:qFormat/>
    <w:uiPriority w:val="34"/>
    <w:pPr>
      <w:ind w:firstLine="420" w:firstLineChars="200"/>
    </w:pPr>
  </w:style>
  <w:style w:type="character" w:customStyle="1" w:styleId="27">
    <w:name w:val="标题 1 Char"/>
    <w:basedOn w:val="17"/>
    <w:link w:val="3"/>
    <w:qFormat/>
    <w:uiPriority w:val="9"/>
    <w:rPr>
      <w:rFonts w:ascii="Times New Roman" w:hAnsi="Times New Roman"/>
      <w:b/>
      <w:bCs/>
      <w:kern w:val="44"/>
      <w:sz w:val="44"/>
      <w:szCs w:val="44"/>
    </w:rPr>
  </w:style>
  <w:style w:type="character" w:customStyle="1" w:styleId="28">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7"/>
    <w:link w:val="11"/>
    <w:semiHidden/>
    <w:qFormat/>
    <w:uiPriority w:val="99"/>
    <w:rPr>
      <w:rFonts w:ascii="Times New Roman" w:hAnsi="Times New Roman"/>
      <w:kern w:val="2"/>
      <w:sz w:val="18"/>
      <w:szCs w:val="18"/>
    </w:rPr>
  </w:style>
  <w:style w:type="character" w:customStyle="1" w:styleId="31">
    <w:name w:val="标题 3 Char"/>
    <w:basedOn w:val="17"/>
    <w:link w:val="5"/>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收支情况决算总计变动情况</a:t>
            </a:r>
            <a:endParaRPr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2017年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137.38</c:v>
                </c:pt>
                <c:pt idx="1">
                  <c:v>128.62</c:v>
                </c:pt>
              </c:numCache>
            </c:numRef>
          </c:val>
        </c:ser>
        <c:ser>
          <c:idx val="1"/>
          <c:order val="1"/>
          <c:tx>
            <c:strRef>
              <c:f>Sheet1!$C$1</c:f>
              <c:strCache>
                <c:ptCount val="1"/>
                <c:pt idx="0">
                  <c:v>2018年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105.43</c:v>
                </c:pt>
                <c:pt idx="1">
                  <c:v>105.43</c:v>
                </c:pt>
              </c:numCache>
            </c:numRef>
          </c:val>
        </c:ser>
        <c:dLbls>
          <c:showLegendKey val="0"/>
          <c:showVal val="1"/>
          <c:showCatName val="0"/>
          <c:showSerName val="0"/>
          <c:showPercent val="0"/>
          <c:showBubbleSize val="0"/>
        </c:dLbls>
        <c:gapWidth val="75"/>
        <c:overlap val="-25"/>
        <c:axId val="78979149"/>
        <c:axId val="467402778"/>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收入</c:v>
                      </c:pt>
                      <c:pt idx="1">
                        <c:v>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7897914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402778"/>
        <c:crosses val="autoZero"/>
        <c:auto val="1"/>
        <c:lblAlgn val="ctr"/>
        <c:lblOffset val="100"/>
        <c:noMultiLvlLbl val="0"/>
      </c:catAx>
      <c:valAx>
        <c:axId val="4674027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97914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2018</a:t>
            </a:r>
            <a:r>
              <a:rPr altLang="en-US"/>
              <a:t>年收入</a:t>
            </a:r>
            <a:endParaRPr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一般公共预算财政拨款</c:v>
                </c:pt>
                <c:pt idx="1">
                  <c:v>政府性基金预算财政拨款</c:v>
                </c:pt>
                <c:pt idx="2">
                  <c:v>国有资本经营预算财政拨款</c:v>
                </c:pt>
                <c:pt idx="3">
                  <c:v>事业收入</c:v>
                </c:pt>
                <c:pt idx="4">
                  <c:v>经营收入</c:v>
                </c:pt>
                <c:pt idx="5">
                  <c:v>附属单位上缴</c:v>
                </c:pt>
                <c:pt idx="6">
                  <c:v>其他收入</c:v>
                </c:pt>
              </c:strCache>
            </c:strRef>
          </c:cat>
          <c:val>
            <c:numRef>
              <c:f>Sheet1!$B$2:$B$8</c:f>
              <c:numCache>
                <c:formatCode>General</c:formatCode>
                <c:ptCount val="7"/>
                <c:pt idx="0">
                  <c:v>96.67</c:v>
                </c:pt>
                <c:pt idx="1">
                  <c:v>0</c:v>
                </c:pt>
                <c:pt idx="2">
                  <c:v>0</c:v>
                </c:pt>
                <c:pt idx="3">
                  <c:v>0</c:v>
                </c:pt>
                <c:pt idx="4">
                  <c:v>0</c:v>
                </c:pt>
                <c:pt idx="5">
                  <c:v>0</c:v>
                </c:pt>
                <c:pt idx="6">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2018</a:t>
            </a:r>
            <a:r>
              <a:rPr altLang="en-US"/>
              <a:t>年</a:t>
            </a:r>
            <a:r>
              <a:t>支出</a:t>
            </a:r>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97.41</c:v>
                </c:pt>
                <c:pt idx="1">
                  <c:v>8.02</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财政拨款收支情况决算总计</a:t>
            </a:r>
            <a:endParaRPr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2017年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137.38</c:v>
                </c:pt>
                <c:pt idx="1">
                  <c:v>128.62</c:v>
                </c:pt>
              </c:numCache>
            </c:numRef>
          </c:val>
        </c:ser>
        <c:ser>
          <c:idx val="1"/>
          <c:order val="1"/>
          <c:tx>
            <c:strRef>
              <c:f>Sheet1!$C$1</c:f>
              <c:strCache>
                <c:ptCount val="1"/>
                <c:pt idx="0">
                  <c:v>2018年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105.43</c:v>
                </c:pt>
                <c:pt idx="1">
                  <c:v>105.43</c:v>
                </c:pt>
              </c:numCache>
            </c:numRef>
          </c:val>
        </c:ser>
        <c:dLbls>
          <c:showLegendKey val="0"/>
          <c:showVal val="1"/>
          <c:showCatName val="0"/>
          <c:showSerName val="0"/>
          <c:showPercent val="0"/>
          <c:showBubbleSize val="0"/>
        </c:dLbls>
        <c:gapWidth val="75"/>
        <c:overlap val="-25"/>
        <c:axId val="78979149"/>
        <c:axId val="467402778"/>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收入</c:v>
                      </c:pt>
                      <c:pt idx="1">
                        <c:v>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7897914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402778"/>
        <c:crosses val="autoZero"/>
        <c:auto val="1"/>
        <c:lblAlgn val="ctr"/>
        <c:lblOffset val="100"/>
        <c:noMultiLvlLbl val="0"/>
      </c:catAx>
      <c:valAx>
        <c:axId val="4674027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97914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2017年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128.62</c:v>
                </c:pt>
              </c:numCache>
            </c:numRef>
          </c:val>
        </c:ser>
        <c:ser>
          <c:idx val="1"/>
          <c:order val="1"/>
          <c:tx>
            <c:strRef>
              <c:f>Sheet1!$C$1</c:f>
              <c:strCache>
                <c:ptCount val="1"/>
                <c:pt idx="0">
                  <c:v>2018年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105.43</c:v>
                </c:pt>
              </c:numCache>
            </c:numRef>
          </c:val>
        </c:ser>
        <c:dLbls>
          <c:showLegendKey val="0"/>
          <c:showVal val="1"/>
          <c:showCatName val="0"/>
          <c:showSerName val="0"/>
          <c:showPercent val="0"/>
          <c:showBubbleSize val="0"/>
        </c:dLbls>
        <c:gapWidth val="150"/>
        <c:overlap val="0"/>
        <c:axId val="765854377"/>
        <c:axId val="766034594"/>
      </c:barChart>
      <c:catAx>
        <c:axId val="765854377"/>
        <c:scaling>
          <c:orientation val="minMax"/>
        </c:scaling>
        <c:delete val="0"/>
        <c:axPos val="b"/>
        <c:title>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6034594"/>
        <c:crosses val="autoZero"/>
        <c:auto val="1"/>
        <c:lblAlgn val="ctr"/>
        <c:lblOffset val="100"/>
        <c:noMultiLvlLbl val="0"/>
      </c:catAx>
      <c:valAx>
        <c:axId val="766034594"/>
        <c:scaling>
          <c:orientation val="minMax"/>
        </c:scaling>
        <c:delete val="0"/>
        <c:axPos val="l"/>
        <c:majorGridlines>
          <c:spPr>
            <a:ln w="9525" cap="flat" cmpd="sng" algn="ctr">
              <a:solidFill>
                <a:schemeClr val="tx1">
                  <a:lumMod val="15000"/>
                  <a:lumOff val="850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5854377"/>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c:v>
                </c:pt>
                <c:pt idx="1">
                  <c:v>教育支出</c:v>
                </c:pt>
                <c:pt idx="2">
                  <c:v>科学技术</c:v>
                </c:pt>
                <c:pt idx="3">
                  <c:v>社会保障和就业</c:v>
                </c:pt>
                <c:pt idx="4">
                  <c:v>医疗卫生</c:v>
                </c:pt>
                <c:pt idx="5">
                  <c:v>住房保障</c:v>
                </c:pt>
              </c:strCache>
            </c:strRef>
          </c:cat>
          <c:val>
            <c:numRef>
              <c:f>Sheet1!$B$2:$B$7</c:f>
              <c:numCache>
                <c:formatCode>General</c:formatCode>
                <c:ptCount val="6"/>
                <c:pt idx="0">
                  <c:v>87.6</c:v>
                </c:pt>
                <c:pt idx="1">
                  <c:v>0</c:v>
                </c:pt>
                <c:pt idx="2">
                  <c:v>0</c:v>
                </c:pt>
                <c:pt idx="3">
                  <c:v>8.96</c:v>
                </c:pt>
                <c:pt idx="4">
                  <c:v>3.56</c:v>
                </c:pt>
                <c:pt idx="5">
                  <c:v>5.31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Sheet1!$A$3:$A$5</c:f>
              <c:strCache>
                <c:ptCount val="3"/>
                <c:pt idx="0">
                  <c:v>因公出国（境）经费支出</c:v>
                </c:pt>
                <c:pt idx="1">
                  <c:v>公务用车购置及运行维护费支出</c:v>
                </c:pt>
                <c:pt idx="2">
                  <c:v>公务接待费支出</c:v>
                </c:pt>
              </c:strCache>
            </c:strRef>
          </c:cat>
          <c:val>
            <c:numRef>
              <c:extLst>
                <c:ext xmlns:c15="http://schemas.microsoft.com/office/drawing/2012/chart" uri="{02D57815-91ED-43cb-92C2-25804820EDAC}">
                  <c15:fullRef>
                    <c15:sqref>Sheet1!$B$2:$B$5</c15:sqref>
                  </c15:fullRef>
                </c:ext>
              </c:extLst>
              <c:f>Sheet1!$B$3:$B$5</c:f>
              <c:numCache>
                <c:formatCode>General</c:formatCode>
                <c:ptCount val="3"/>
                <c:pt idx="2">
                  <c:v>0.4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1</TotalTime>
  <ScaleCrop>false</ScaleCrop>
  <LinksUpToDate>false</LinksUpToDate>
  <CharactersWithSpaces>9641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贯春梅</cp:lastModifiedBy>
  <cp:lastPrinted>2019-08-01T00:48:00Z</cp:lastPrinted>
  <dcterms:modified xsi:type="dcterms:W3CDTF">2019-09-16T06:53:54Z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