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77425"/>
      <w:bookmarkStart w:id="2" w:name="_Toc15377193"/>
      <w:bookmarkStart w:id="3" w:name="_Toc15378441"/>
      <w:bookmarkStart w:id="4" w:name="_Toc15396597"/>
      <w:bookmarkStart w:id="5" w:name="_Toc15396475"/>
      <w:r>
        <w:rPr>
          <w:rFonts w:ascii="黑体" w:hAnsi="黑体" w:eastAsia="黑体"/>
          <w:color w:val="000000"/>
          <w:sz w:val="52"/>
          <w:szCs w:val="52"/>
        </w:rPr>
        <w:t>2018</w:t>
      </w:r>
      <w:r>
        <w:rPr>
          <w:rFonts w:hint="eastAsia" w:ascii="方正小标宋简体" w:hAnsi="宋体" w:eastAsia="方正小标宋简体"/>
          <w:color w:val="000000"/>
          <w:sz w:val="52"/>
          <w:szCs w:val="5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96476"/>
      <w:bookmarkStart w:id="7" w:name="_Toc15378442"/>
      <w:bookmarkStart w:id="8" w:name="_Toc15396598"/>
      <w:bookmarkStart w:id="9" w:name="_Toc15377194"/>
      <w:bookmarkStart w:id="10" w:name="_Toc15377426"/>
      <w:bookmarkStart w:id="11" w:name="_Toc15306268"/>
      <w:r>
        <w:rPr>
          <w:rFonts w:hint="eastAsia" w:ascii="方正小标宋简体" w:hAnsi="宋体" w:eastAsia="方正小标宋简体"/>
          <w:color w:val="000000"/>
          <w:sz w:val="52"/>
          <w:szCs w:val="52"/>
        </w:rPr>
        <w:t>四川省广元市利州区委党校</w:t>
      </w:r>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w:t>
      </w:r>
      <w:r>
        <w:t>2019</w:t>
      </w:r>
      <w:r>
        <w:rPr>
          <w:rFonts w:hint="eastAsia"/>
        </w:rPr>
        <w:t>年</w:t>
      </w:r>
      <w:r>
        <w:t>9</w:t>
      </w:r>
      <w:r>
        <w:rPr>
          <w:rFonts w:hint="eastAsia"/>
        </w:rPr>
        <w:t>月</w:t>
      </w:r>
      <w:r>
        <w:t>16</w:t>
      </w:r>
      <w:r>
        <w:rPr>
          <w:rFonts w:hint="eastAsia"/>
        </w:rPr>
        <w:t>日</w:t>
      </w:r>
    </w:p>
    <w:p/>
    <w:p>
      <w:pPr>
        <w:pStyle w:val="10"/>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t>4</w:t>
      </w:r>
      <w:r>
        <w:fldChar w:fldCharType="end"/>
      </w:r>
    </w:p>
    <w:p>
      <w:pPr>
        <w:pStyle w:val="11"/>
        <w:ind w:left="31680"/>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0"/>
        <w:rPr>
          <w:rFonts w:hint="eastAsia" w:eastAsia="仿宋"/>
          <w:lang w:val="en-US" w:eastAsia="zh-CN"/>
        </w:rPr>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rPr>
          <w:rFonts w:hint="eastAsia"/>
          <w:lang w:val="en-US" w:eastAsia="zh-CN"/>
        </w:rPr>
        <w:t>1</w:t>
      </w:r>
      <w:r>
        <w:fldChar w:fldCharType="end"/>
      </w:r>
      <w:r>
        <w:rPr>
          <w:rFonts w:hint="eastAsia"/>
          <w:lang w:val="en-US" w:eastAsia="zh-CN"/>
        </w:rPr>
        <w:t>0</w:t>
      </w:r>
    </w:p>
    <w:p>
      <w:pPr>
        <w:pStyle w:val="11"/>
        <w:ind w:left="31680"/>
        <w:rPr>
          <w:rFonts w:hint="eastAsia" w:ascii="仿宋" w:hAnsi="仿宋" w:eastAsia="仿宋"/>
          <w:sz w:val="28"/>
          <w:szCs w:val="28"/>
          <w:lang w:val="en-US" w:eastAsia="zh-CN"/>
        </w:rPr>
      </w:pPr>
      <w:r>
        <w:fldChar w:fldCharType="begin"/>
      </w:r>
      <w:r>
        <w:instrText xml:space="preserve"> HYPERLINK \l "_Toc15396603" </w:instrText>
      </w:r>
      <w:r>
        <w:fldChar w:fldCharType="separate"/>
      </w:r>
      <w:r>
        <w:rPr>
          <w:rStyle w:val="15"/>
          <w:rFonts w:hint="eastAsia" w:ascii="仿宋" w:hAnsi="仿宋" w:eastAsia="仿宋"/>
          <w:bCs/>
          <w:sz w:val="28"/>
          <w:szCs w:val="28"/>
        </w:rPr>
        <w:t>一、</w:t>
      </w:r>
      <w:r>
        <w:rPr>
          <w:rStyle w:val="15"/>
          <w:rFonts w:hint="eastAsia" w:ascii="仿宋" w:hAnsi="仿宋" w:eastAsia="仿宋"/>
          <w:sz w:val="28"/>
          <w:szCs w:val="28"/>
        </w:rPr>
        <w:t>收</w:t>
      </w:r>
      <w:r>
        <w:rPr>
          <w:rStyle w:val="15"/>
          <w:rFonts w:hint="eastAsia" w:ascii="仿宋" w:hAnsi="仿宋" w:eastAsia="仿宋"/>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ind w:left="31680"/>
        <w:rPr>
          <w:rFonts w:hint="eastAsia" w:ascii="仿宋" w:hAnsi="仿宋" w:eastAsia="仿宋"/>
          <w:sz w:val="28"/>
          <w:szCs w:val="28"/>
          <w:lang w:val="en-US" w:eastAsia="zh-CN"/>
        </w:rPr>
      </w:pPr>
      <w:r>
        <w:fldChar w:fldCharType="begin"/>
      </w:r>
      <w:r>
        <w:instrText xml:space="preserve"> HYPERLINK \l "_Toc15396604" </w:instrText>
      </w:r>
      <w:r>
        <w:fldChar w:fldCharType="separate"/>
      </w:r>
      <w:r>
        <w:rPr>
          <w:rStyle w:val="15"/>
          <w:rFonts w:hint="eastAsia" w:ascii="仿宋" w:hAnsi="仿宋" w:eastAsia="仿宋"/>
          <w:bCs/>
          <w:sz w:val="28"/>
          <w:szCs w:val="28"/>
        </w:rPr>
        <w:t>二、</w:t>
      </w:r>
      <w:r>
        <w:rPr>
          <w:rStyle w:val="15"/>
          <w:rFonts w:hint="eastAsia" w:ascii="仿宋" w:hAnsi="仿宋" w:eastAsia="仿宋"/>
          <w:sz w:val="28"/>
          <w:szCs w:val="28"/>
        </w:rPr>
        <w:t>收</w:t>
      </w:r>
      <w:r>
        <w:rPr>
          <w:rStyle w:val="15"/>
          <w:rFonts w:hint="eastAsia" w:ascii="仿宋" w:hAnsi="仿宋" w:eastAsia="仿宋"/>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ind w:left="31680"/>
        <w:rPr>
          <w:rFonts w:hint="eastAsia" w:ascii="仿宋" w:hAnsi="仿宋" w:eastAsia="仿宋"/>
          <w:sz w:val="28"/>
          <w:szCs w:val="28"/>
          <w:lang w:val="en-US" w:eastAsia="zh-CN"/>
        </w:rPr>
      </w:pPr>
      <w:r>
        <w:fldChar w:fldCharType="begin"/>
      </w:r>
      <w:r>
        <w:instrText xml:space="preserve"> HYPERLINK \l "_Toc15396605" </w:instrText>
      </w:r>
      <w:r>
        <w:fldChar w:fldCharType="separate"/>
      </w:r>
      <w:r>
        <w:rPr>
          <w:rStyle w:val="15"/>
          <w:rFonts w:hint="eastAsia" w:ascii="仿宋" w:hAnsi="仿宋" w:eastAsia="仿宋"/>
          <w:bCs/>
          <w:sz w:val="28"/>
          <w:szCs w:val="28"/>
        </w:rPr>
        <w:t>三、</w:t>
      </w:r>
      <w:r>
        <w:rPr>
          <w:rStyle w:val="15"/>
          <w:rFonts w:hint="eastAsia" w:ascii="仿宋" w:hAnsi="仿宋" w:eastAsia="仿宋"/>
          <w:sz w:val="28"/>
          <w:szCs w:val="28"/>
        </w:rPr>
        <w:t>支</w:t>
      </w:r>
      <w:r>
        <w:rPr>
          <w:rStyle w:val="15"/>
          <w:rFonts w:hint="eastAsia" w:ascii="仿宋" w:hAnsi="仿宋" w:eastAsia="仿宋"/>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ind w:left="31680"/>
        <w:rPr>
          <w:rFonts w:hint="eastAsia" w:ascii="仿宋" w:hAnsi="仿宋" w:eastAsia="仿宋"/>
          <w:sz w:val="28"/>
          <w:szCs w:val="28"/>
          <w:lang w:val="en-US" w:eastAsia="zh-CN"/>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ind w:left="31680"/>
        <w:rPr>
          <w:rFonts w:hint="eastAsia" w:ascii="仿宋" w:hAnsi="仿宋" w:eastAsia="仿宋"/>
          <w:sz w:val="28"/>
          <w:szCs w:val="28"/>
          <w:lang w:val="en-US" w:eastAsia="zh-CN"/>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ind w:left="31680"/>
        <w:rPr>
          <w:rFonts w:hint="eastAsia" w:ascii="仿宋" w:hAnsi="仿宋" w:eastAsia="仿宋"/>
          <w:sz w:val="28"/>
          <w:szCs w:val="28"/>
          <w:lang w:val="en-US" w:eastAsia="zh-CN"/>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1"/>
        <w:ind w:left="31680"/>
        <w:rPr>
          <w:rFonts w:hint="eastAsia" w:ascii="仿宋" w:hAnsi="仿宋" w:eastAsia="仿宋"/>
          <w:sz w:val="28"/>
          <w:szCs w:val="28"/>
          <w:lang w:val="en-US" w:eastAsia="zh-CN"/>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hint="eastAsia" w:ascii="仿宋" w:hAnsi="仿宋" w:eastAsia="仿宋"/>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ind w:left="31680"/>
        <w:rPr>
          <w:rFonts w:hint="eastAsia" w:ascii="仿宋" w:hAnsi="仿宋" w:eastAsia="仿宋"/>
          <w:sz w:val="28"/>
          <w:szCs w:val="28"/>
          <w:lang w:val="en-US" w:eastAsia="zh-CN"/>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ind w:left="31680"/>
        <w:rPr>
          <w:rFonts w:hint="eastAsia" w:ascii="仿宋" w:hAnsi="仿宋" w:eastAsia="仿宋"/>
          <w:sz w:val="28"/>
          <w:szCs w:val="28"/>
          <w:lang w:val="en-US" w:eastAsia="zh-CN"/>
        </w:rPr>
      </w:pPr>
      <w:r>
        <w:fldChar w:fldCharType="begin"/>
      </w:r>
      <w:r>
        <w:instrText xml:space="preserve"> HYPERLINK \l "_Toc15396611" </w:instrText>
      </w:r>
      <w:r>
        <w:fldChar w:fldCharType="separate"/>
      </w:r>
      <w:r>
        <w:rPr>
          <w:rStyle w:val="15"/>
          <w:rFonts w:hint="eastAsia" w:ascii="仿宋" w:hAnsi="仿宋" w:eastAsia="仿宋"/>
          <w:bCs/>
          <w:sz w:val="28"/>
          <w:szCs w:val="28"/>
        </w:rPr>
        <w:t>九、</w:t>
      </w:r>
      <w:r>
        <w:rPr>
          <w:rStyle w:val="15"/>
          <w:rFonts w:ascii="仿宋" w:hAnsi="仿宋" w:eastAsia="仿宋"/>
          <w:sz w:val="28"/>
          <w:szCs w:val="28"/>
        </w:rPr>
        <w:t xml:space="preserve"> </w:t>
      </w:r>
      <w:r>
        <w:rPr>
          <w:rStyle w:val="15"/>
          <w:rFonts w:hint="eastAsia" w:ascii="仿宋" w:hAnsi="仿宋" w:eastAsia="仿宋"/>
          <w:sz w:val="28"/>
          <w:szCs w:val="28"/>
        </w:rPr>
        <w:t>国</w:t>
      </w:r>
      <w:r>
        <w:rPr>
          <w:rStyle w:val="15"/>
          <w:rFonts w:hint="eastAsia" w:ascii="仿宋" w:hAnsi="仿宋" w:eastAsia="仿宋"/>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ind w:left="31680"/>
        <w:rPr>
          <w:rFonts w:hint="eastAsia" w:ascii="仿宋" w:hAnsi="仿宋" w:eastAsia="仿宋"/>
          <w:sz w:val="28"/>
          <w:szCs w:val="28"/>
          <w:lang w:val="en-US" w:eastAsia="zh-CN"/>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0"/>
        <w:rPr>
          <w:rFonts w:hint="eastAsia" w:eastAsia="仿宋"/>
          <w:lang w:val="en-US" w:eastAsia="zh-CN"/>
        </w:rPr>
      </w:pPr>
      <w:r>
        <w:fldChar w:fldCharType="begin"/>
      </w:r>
      <w:r>
        <w:instrText xml:space="preserve"> HYPERLINK \l "_Toc15396613" </w:instrText>
      </w:r>
      <w:r>
        <w:fldChar w:fldCharType="separate"/>
      </w:r>
      <w:r>
        <w:rPr>
          <w:rStyle w:val="15"/>
          <w:rFonts w:hint="eastAsia"/>
          <w:bCs/>
          <w:kern w:val="44"/>
        </w:rPr>
        <w:t>第三部分</w:t>
      </w:r>
      <w:r>
        <w:rPr>
          <w:rStyle w:val="15"/>
        </w:rPr>
        <w:t xml:space="preserve"> </w:t>
      </w:r>
      <w:r>
        <w:rPr>
          <w:rStyle w:val="15"/>
          <w:rFonts w:hint="eastAsia"/>
        </w:rPr>
        <w:t>名</w:t>
      </w:r>
      <w:r>
        <w:rPr>
          <w:rStyle w:val="15"/>
          <w:rFonts w:hint="eastAsia"/>
          <w:bCs/>
          <w:kern w:val="44"/>
        </w:rPr>
        <w:t>词解释</w:t>
      </w:r>
      <w:r>
        <w:tab/>
      </w:r>
      <w:r>
        <w:rPr>
          <w:rFonts w:hint="eastAsia"/>
          <w:lang w:val="en-US" w:eastAsia="zh-CN"/>
        </w:rPr>
        <w:t>2</w:t>
      </w:r>
      <w:r>
        <w:fldChar w:fldCharType="end"/>
      </w:r>
      <w:r>
        <w:rPr>
          <w:rFonts w:hint="eastAsia"/>
          <w:lang w:val="en-US" w:eastAsia="zh-CN"/>
        </w:rPr>
        <w:t>0</w:t>
      </w:r>
    </w:p>
    <w:p>
      <w:pPr>
        <w:pStyle w:val="10"/>
        <w:rPr>
          <w:rFonts w:hint="eastAsia" w:eastAsia="仿宋"/>
          <w:lang w:val="en-US" w:eastAsia="zh-CN"/>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lang w:val="en-US" w:eastAsia="zh-CN"/>
        </w:rPr>
        <w:t>2</w:t>
      </w:r>
      <w:r>
        <w:fldChar w:fldCharType="end"/>
      </w:r>
      <w:r>
        <w:rPr>
          <w:rFonts w:hint="eastAsia"/>
          <w:lang w:val="en-US" w:eastAsia="zh-CN"/>
        </w:rPr>
        <w:t>2</w:t>
      </w:r>
    </w:p>
    <w:p>
      <w:pPr>
        <w:jc w:val="center"/>
        <w:rPr>
          <w:rFonts w:ascii="仿宋" w:hAnsi="仿宋" w:eastAsia="仿宋" w:cs="仿宋"/>
          <w:sz w:val="32"/>
          <w:szCs w:val="32"/>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hint="eastAsia" w:ascii="仿宋" w:hAnsi="仿宋" w:eastAsia="仿宋" w:cs="仿宋"/>
          <w:sz w:val="32"/>
          <w:szCs w:val="32"/>
        </w:rPr>
        <w:t>中共广元市利州区党校</w:t>
      </w:r>
      <w:r>
        <w:rPr>
          <w:rFonts w:ascii="仿宋" w:hAnsi="仿宋" w:eastAsia="仿宋" w:cs="仿宋"/>
          <w:sz w:val="32"/>
          <w:szCs w:val="32"/>
        </w:rPr>
        <w:t>2018</w:t>
      </w:r>
      <w:r>
        <w:rPr>
          <w:rFonts w:hint="eastAsia" w:ascii="仿宋" w:hAnsi="仿宋" w:eastAsia="仿宋" w:cs="仿宋"/>
          <w:sz w:val="32"/>
          <w:szCs w:val="32"/>
        </w:rPr>
        <w:t>年部门整体支出</w:t>
      </w:r>
    </w:p>
    <w:p>
      <w:pPr>
        <w:jc w:val="both"/>
        <w:rPr>
          <w:rFonts w:hint="eastAsia" w:ascii="仿宋" w:hAnsi="仿宋" w:eastAsia="仿宋"/>
          <w:sz w:val="28"/>
          <w:szCs w:val="28"/>
          <w:lang w:val="en-US" w:eastAsia="zh-CN"/>
        </w:rPr>
      </w:pPr>
      <w:r>
        <w:rPr>
          <w:rFonts w:hint="eastAsia" w:ascii="仿宋" w:hAnsi="仿宋" w:eastAsia="仿宋" w:cs="仿宋"/>
          <w:sz w:val="32"/>
          <w:szCs w:val="32"/>
        </w:rPr>
        <w:t>绩效评价报告</w:t>
      </w:r>
      <w:r>
        <w:rPr>
          <w:rFonts w:hint="eastAsia" w:ascii="仿宋" w:hAnsi="仿宋" w:eastAsia="仿宋" w:cs="仿宋"/>
          <w:sz w:val="32"/>
          <w:szCs w:val="32"/>
          <w:lang w:val="en-US" w:eastAsia="zh-CN"/>
        </w:rPr>
        <w:t xml:space="preserve">                                    </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0"/>
        <w:rPr>
          <w:rFonts w:hint="eastAsia" w:eastAsia="仿宋"/>
          <w:lang w:val="en-US" w:eastAsia="zh-CN"/>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lang w:val="en-US" w:eastAsia="zh-CN"/>
        </w:rPr>
        <w:t>2</w:t>
      </w:r>
      <w:r>
        <w:fldChar w:fldCharType="end"/>
      </w:r>
      <w:r>
        <w:rPr>
          <w:rFonts w:hint="eastAsia"/>
          <w:lang w:val="en-US" w:eastAsia="zh-CN"/>
        </w:rPr>
        <w:t>5</w:t>
      </w:r>
    </w:p>
    <w:p>
      <w:pPr>
        <w:pStyle w:val="11"/>
        <w:ind w:left="31680"/>
        <w:rPr>
          <w:rFonts w:hint="eastAsia" w:ascii="仿宋" w:hAnsi="仿宋" w:eastAsia="仿宋"/>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ind w:left="31680"/>
        <w:rPr>
          <w:rFonts w:hint="eastAsia" w:ascii="仿宋" w:hAnsi="仿宋" w:eastAsia="仿宋"/>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ind w:left="31680"/>
        <w:rPr>
          <w:rFonts w:hint="eastAsia" w:ascii="仿宋" w:hAnsi="仿宋" w:eastAsia="仿宋"/>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ind w:left="31680"/>
        <w:rPr>
          <w:rFonts w:hint="eastAsia" w:ascii="仿宋" w:hAnsi="仿宋" w:eastAsia="仿宋"/>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ind w:left="31680"/>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ind w:left="31680"/>
        <w:rPr>
          <w:rFonts w:hint="eastAsia" w:ascii="仿宋" w:hAnsi="仿宋" w:eastAsia="仿宋"/>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ind w:left="31680"/>
        <w:rPr>
          <w:rFonts w:hint="eastAsia" w:ascii="仿宋" w:hAnsi="仿宋" w:eastAsia="仿宋"/>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ind w:left="31680"/>
        <w:rPr>
          <w:rFonts w:hint="eastAsia" w:ascii="仿宋" w:hAnsi="仿宋" w:eastAsia="仿宋"/>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ind w:left="31680"/>
        <w:rPr>
          <w:rFonts w:hint="eastAsia" w:ascii="仿宋" w:hAnsi="仿宋" w:eastAsia="仿宋"/>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ind w:left="31680"/>
        <w:rPr>
          <w:rFonts w:hint="eastAsia" w:ascii="仿宋" w:hAnsi="仿宋" w:eastAsia="仿宋"/>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1"/>
        <w:ind w:left="31680"/>
        <w:rPr>
          <w:rFonts w:hint="eastAsia" w:ascii="仿宋" w:hAnsi="仿宋" w:eastAsia="仿宋"/>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ind w:left="31680"/>
        <w:rPr>
          <w:rFonts w:hint="eastAsia" w:ascii="仿宋" w:hAnsi="仿宋" w:eastAsia="仿宋"/>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ind w:left="31680"/>
        <w:rPr>
          <w:rFonts w:hint="eastAsia" w:ascii="仿宋" w:hAnsi="仿宋" w:eastAsia="仿宋"/>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7</w:t>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17"/>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numPr>
          <w:ilvl w:val="0"/>
          <w:numId w:val="1"/>
        </w:numPr>
        <w:rPr>
          <w:rStyle w:val="18"/>
          <w:rFonts w:ascii="黑体" w:hAnsi="黑体" w:eastAsia="黑体" w:cs="黑体"/>
          <w:b w:val="0"/>
          <w:bCs w:val="0"/>
        </w:rPr>
      </w:pPr>
      <w:bookmarkStart w:id="14" w:name="_Toc15396600"/>
      <w:bookmarkStart w:id="15" w:name="_Toc15377197"/>
      <w:r>
        <w:rPr>
          <w:rStyle w:val="18"/>
          <w:rFonts w:hint="eastAsia" w:ascii="黑体" w:hAnsi="黑体" w:eastAsia="黑体" w:cs="黑体"/>
          <w:b w:val="0"/>
          <w:bCs w:val="0"/>
        </w:rPr>
        <w:t>基本职能及主要工作</w:t>
      </w:r>
      <w:bookmarkEnd w:id="14"/>
      <w:bookmarkEnd w:id="15"/>
    </w:p>
    <w:p>
      <w:pPr>
        <w:numPr>
          <w:ilvl w:val="0"/>
          <w:numId w:val="2"/>
        </w:numPr>
        <w:ind w:firstLine="643" w:firstLineChars="200"/>
        <w:rPr>
          <w:rFonts w:hint="eastAsia" w:ascii="仿宋" w:hAnsi="仿宋" w:eastAsia="仿宋" w:cs="仿宋"/>
          <w:b/>
          <w:bCs/>
          <w:sz w:val="32"/>
          <w:szCs w:val="32"/>
        </w:rPr>
      </w:pPr>
      <w:bookmarkStart w:id="16" w:name="_Toc15378446"/>
      <w:bookmarkStart w:id="17" w:name="_Toc15377199"/>
      <w:r>
        <w:rPr>
          <w:rFonts w:hint="eastAsia" w:ascii="仿宋" w:hAnsi="仿宋" w:eastAsia="仿宋" w:cs="仿宋"/>
          <w:b/>
          <w:bCs/>
          <w:sz w:val="32"/>
          <w:szCs w:val="32"/>
        </w:rPr>
        <w:t>主要职能</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区委党校总编制7名，其中参照公务员法管理的事业编制3名,全额事业编制4人。在职人员总数7人，其中参公管理的3人，全额事业人员4人（引进人才）。</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职能职责及主要工作：负责全区党员、干部的政治理论培训，机关、企事业单位新录（聘）用干部的岗前培训、晋升职务、干部任职培训、干部转岗培训、干部专项业务培训、干部知识更新培训、干部学历培训、转业军官过渡培训等。</w:t>
      </w:r>
    </w:p>
    <w:p>
      <w:pPr>
        <w:spacing w:line="576" w:lineRule="exact"/>
        <w:ind w:firstLine="643" w:firstLineChars="200"/>
        <w:rPr>
          <w:rFonts w:hint="eastAsia" w:ascii="仿宋" w:hAnsi="仿宋" w:eastAsia="仿宋" w:cs="仿宋"/>
          <w:b/>
          <w:bCs w:val="0"/>
          <w:sz w:val="32"/>
          <w:szCs w:val="32"/>
        </w:rPr>
      </w:pPr>
      <w:r>
        <w:rPr>
          <w:rFonts w:hint="eastAsia" w:ascii="仿宋" w:hAnsi="仿宋" w:eastAsia="仿宋" w:cs="仿宋"/>
          <w:b/>
          <w:bCs w:val="0"/>
          <w:color w:val="000000"/>
          <w:sz w:val="32"/>
          <w:szCs w:val="32"/>
        </w:rPr>
        <w:t>（二）2018年重点工作完成情况。</w:t>
      </w:r>
      <w:bookmarkEnd w:id="16"/>
      <w:bookmarkEnd w:id="17"/>
    </w:p>
    <w:p>
      <w:pPr>
        <w:tabs>
          <w:tab w:val="left" w:pos="2072"/>
        </w:tabs>
        <w:adjustRightInd w:val="0"/>
        <w:snapToGrid w:val="0"/>
        <w:spacing w:line="556" w:lineRule="exact"/>
        <w:ind w:firstLine="643" w:firstLineChars="200"/>
        <w:rPr>
          <w:rFonts w:hint="eastAsia" w:ascii="仿宋" w:hAnsi="仿宋" w:eastAsia="仿宋" w:cs="仿宋"/>
          <w:b/>
          <w:bCs/>
          <w:sz w:val="32"/>
          <w:szCs w:val="32"/>
        </w:rPr>
      </w:pPr>
      <w:bookmarkStart w:id="18" w:name="_Toc15377200"/>
      <w:bookmarkStart w:id="19" w:name="_Toc15396601"/>
      <w:r>
        <w:rPr>
          <w:rFonts w:hint="eastAsia" w:ascii="仿宋" w:hAnsi="仿宋" w:eastAsia="仿宋" w:cs="仿宋"/>
          <w:b/>
          <w:bCs/>
          <w:sz w:val="32"/>
          <w:szCs w:val="32"/>
        </w:rPr>
        <w:t>1、突出主责主业，高质量推进干部教育培训工作</w:t>
      </w:r>
    </w:p>
    <w:p>
      <w:pPr>
        <w:adjustRightInd w:val="0"/>
        <w:snapToGrid w:val="0"/>
        <w:spacing w:line="556"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（1）教学方面</w:t>
      </w:r>
    </w:p>
    <w:p>
      <w:pPr>
        <w:adjustRightInd w:val="0"/>
        <w:snapToGrid w:val="0"/>
        <w:spacing w:line="55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今年我校新开发教学基地一个——利州区脱贫攻坚中口村教学实践基地，于8月揭牌。对于学制较长的培训班，我校积极开发和创新教学方式，培训亮点纷呈，在培训教学方面有了全新的突破。</w:t>
      </w:r>
      <w:r>
        <w:rPr>
          <w:rFonts w:hint="eastAsia" w:ascii="仿宋" w:hAnsi="仿宋" w:eastAsia="仿宋" w:cs="仿宋"/>
          <w:b/>
          <w:bCs/>
          <w:sz w:val="32"/>
          <w:szCs w:val="32"/>
        </w:rPr>
        <w:t>一是</w:t>
      </w:r>
      <w:r>
        <w:rPr>
          <w:rFonts w:hint="eastAsia" w:ascii="仿宋" w:hAnsi="仿宋" w:eastAsia="仿宋" w:cs="仿宋"/>
          <w:sz w:val="32"/>
          <w:szCs w:val="32"/>
        </w:rPr>
        <w:t>设置了现场教学环节。不同于以往全程封闭式的课堂教学，在课堂之外我校精心选取了广元市内具有代表性的几处现场教学基</w:t>
      </w:r>
      <w:r>
        <w:rPr>
          <w:rFonts w:hint="eastAsia" w:ascii="仿宋" w:hAnsi="仿宋" w:eastAsia="仿宋" w:cs="仿宋"/>
          <w:color w:val="000000"/>
          <w:sz w:val="32"/>
          <w:szCs w:val="32"/>
        </w:rPr>
        <w:t>地，如</w:t>
      </w:r>
      <w:r>
        <w:rPr>
          <w:rFonts w:hint="eastAsia" w:ascii="仿宋" w:hAnsi="仿宋" w:eastAsia="仿宋" w:cs="仿宋"/>
          <w:color w:val="000000"/>
          <w:sz w:val="32"/>
          <w:szCs w:val="32"/>
          <w:shd w:val="clear" w:color="auto" w:fill="FFFFFF"/>
        </w:rPr>
        <w:t>白朝月坝乡村振兴实践教学基地、利州区脱贫攻坚中口实践教学基地、旺苍红色革命传统教育基地、川北家风馆家风教育基地</w:t>
      </w:r>
      <w:r>
        <w:rPr>
          <w:rFonts w:hint="eastAsia" w:ascii="仿宋" w:hAnsi="仿宋" w:eastAsia="仿宋" w:cs="仿宋"/>
          <w:color w:val="000000"/>
          <w:sz w:val="32"/>
          <w:szCs w:val="32"/>
        </w:rPr>
        <w:t>等</w:t>
      </w:r>
      <w:r>
        <w:rPr>
          <w:rFonts w:hint="eastAsia" w:ascii="仿宋" w:hAnsi="仿宋" w:eastAsia="仿宋" w:cs="仿宋"/>
          <w:sz w:val="32"/>
          <w:szCs w:val="32"/>
        </w:rPr>
        <w:t>组织学员进行现场参观，提高了学员理论联系实际的水平。</w:t>
      </w:r>
      <w:r>
        <w:rPr>
          <w:rFonts w:hint="eastAsia" w:ascii="仿宋" w:hAnsi="仿宋" w:eastAsia="仿宋" w:cs="仿宋"/>
          <w:b/>
          <w:bCs/>
          <w:sz w:val="32"/>
          <w:szCs w:val="32"/>
        </w:rPr>
        <w:t>二是</w:t>
      </w:r>
      <w:r>
        <w:rPr>
          <w:rFonts w:hint="eastAsia" w:ascii="仿宋" w:hAnsi="仿宋" w:eastAsia="仿宋" w:cs="仿宋"/>
          <w:sz w:val="32"/>
          <w:szCs w:val="32"/>
        </w:rPr>
        <w:t>设置了经典著作研讨环节。我校精心开设了《共产党宣言》导读、《资本论》导读、《实践论》与《矛盾论》导读等课程，由授课教师引导学员读原著、学原文、悟原理，帮助学员掌握马克思主义基本原理。</w:t>
      </w:r>
      <w:r>
        <w:rPr>
          <w:rFonts w:hint="eastAsia" w:ascii="仿宋" w:hAnsi="仿宋" w:eastAsia="仿宋" w:cs="仿宋"/>
          <w:b/>
          <w:bCs/>
          <w:sz w:val="32"/>
          <w:szCs w:val="32"/>
        </w:rPr>
        <w:t>三是</w:t>
      </w:r>
      <w:r>
        <w:rPr>
          <w:rFonts w:hint="eastAsia" w:ascii="仿宋" w:hAnsi="仿宋" w:eastAsia="仿宋" w:cs="仿宋"/>
          <w:sz w:val="32"/>
          <w:szCs w:val="32"/>
        </w:rPr>
        <w:t>设置了党性分析（职业道德和作风纪律剖析）环节。培训班学员对照党章、对标先进认真撰写自我剖析报告，由班委会组织开展党性分析（职业道德和作风纪律剖析）汇报，党校教员为学员一一点评打分，使学员进一步坚定了理想信念。</w:t>
      </w:r>
    </w:p>
    <w:p>
      <w:pPr>
        <w:adjustRightInd w:val="0"/>
        <w:snapToGrid w:val="0"/>
        <w:spacing w:line="556"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（2）科研方面</w:t>
      </w:r>
    </w:p>
    <w:p>
      <w:pPr>
        <w:adjustRightInd w:val="0"/>
        <w:snapToGrid w:val="0"/>
        <w:spacing w:line="556"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我校坚持科研创新，</w:t>
      </w:r>
      <w:r>
        <w:rPr>
          <w:rFonts w:hint="eastAsia" w:ascii="仿宋" w:hAnsi="仿宋" w:eastAsia="仿宋" w:cs="仿宋"/>
          <w:sz w:val="32"/>
          <w:szCs w:val="32"/>
        </w:rPr>
        <w:t>以专兼职教师为骨干力量，开展跨区域、跨部门、跨层级等跨界理论建设合作，形成开放共赢科研工作模式，激发科研工作活力，取得较好成果，今年组织完成省级调研课题1项（《乡村振兴战略视野下村级协商民主机制探析——基于广元市利州区乡村的个案调查》），市级调研课题1项（基层干部教育培训的现状与思考——推进中华优秀传统文化进县区党校课堂》），现均已结项。</w:t>
      </w:r>
    </w:p>
    <w:p>
      <w:pPr>
        <w:adjustRightInd w:val="0"/>
        <w:snapToGrid w:val="0"/>
        <w:spacing w:line="556"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（3）师资建设方面</w:t>
      </w:r>
    </w:p>
    <w:p>
      <w:pPr>
        <w:pStyle w:val="12"/>
        <w:widowControl/>
        <w:adjustRightInd w:val="0"/>
        <w:snapToGrid w:val="0"/>
        <w:spacing w:beforeAutospacing="0" w:afterAutospacing="0" w:line="556" w:lineRule="exact"/>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我校成立了由专兼职教师组成的“习近平新时代中国特色社会主义思想学习小组”（简称学“习”小组），定期开展交流研讨活动，提升教师对习近平新时代中国特色社会主义思想的理解水平。鼓励支持2017年引进教师王义平参加广元市利州区“新时代治蜀兴川执政骨干递进培养计划”（第一期）培训班培训学习，现已顺利结业。王小春常务副校长远赴中央党校参加了全国党校（行政学院）系统学习贯彻习近平新时代中国特色社会主义思想校长研修班（第1期）培训，并以学助教，深入推进习近平新时代中国特色社会主义思想进教材进课堂进头脑，以期在学习研究宣传贯彻习近平新时代中国特色社会主义思想上进一步作出党校新贡献。</w:t>
      </w:r>
    </w:p>
    <w:p>
      <w:pPr>
        <w:adjustRightInd w:val="0"/>
        <w:snapToGrid w:val="0"/>
        <w:spacing w:line="55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一年来，区委党校共举办主体培训班13期、培训党员干部2008人次；开展“送教下基层”，对基层党组织800余名党员干部实施党性教育培训；指导乡镇街道流动党校开展培训120余期、培训党员干部逾万人次。</w:t>
      </w:r>
    </w:p>
    <w:p>
      <w:pPr>
        <w:adjustRightInd w:val="0"/>
        <w:snapToGrid w:val="0"/>
        <w:spacing w:line="556" w:lineRule="exact"/>
        <w:ind w:firstLine="636" w:firstLineChars="198"/>
        <w:rPr>
          <w:rFonts w:hint="eastAsia" w:ascii="仿宋" w:hAnsi="仿宋" w:eastAsia="仿宋" w:cs="仿宋"/>
          <w:b/>
          <w:color w:val="000000"/>
          <w:sz w:val="32"/>
          <w:szCs w:val="32"/>
        </w:rPr>
      </w:pPr>
      <w:r>
        <w:rPr>
          <w:rFonts w:hint="eastAsia" w:ascii="仿宋" w:hAnsi="仿宋" w:eastAsia="仿宋" w:cs="仿宋"/>
          <w:b/>
          <w:color w:val="000000"/>
          <w:sz w:val="32"/>
          <w:szCs w:val="32"/>
        </w:rPr>
        <w:t>2、落实帮扶责任，巩固脱贫成果。一是</w:t>
      </w:r>
      <w:r>
        <w:rPr>
          <w:rFonts w:hint="eastAsia" w:ascii="仿宋" w:hAnsi="仿宋" w:eastAsia="仿宋" w:cs="仿宋"/>
          <w:color w:val="000000"/>
          <w:sz w:val="32"/>
          <w:szCs w:val="32"/>
        </w:rPr>
        <w:t>帮扶机制落实到位，每月召开专题工作会议研究扶贫工作，主要领导亲自带队每周进村入户1次以上，派驻一名驻村队员长期驻扎帮扶贫困村——中口村，派驻一名年轻教师担任帮扶非贫困村——苟村第一书记，开展帮扶行动。</w:t>
      </w:r>
      <w:r>
        <w:rPr>
          <w:rFonts w:hint="eastAsia" w:ascii="仿宋" w:hAnsi="仿宋" w:eastAsia="仿宋" w:cs="仿宋"/>
          <w:b/>
          <w:color w:val="000000"/>
          <w:sz w:val="32"/>
          <w:szCs w:val="32"/>
        </w:rPr>
        <w:t>二是</w:t>
      </w:r>
      <w:r>
        <w:rPr>
          <w:rFonts w:hint="eastAsia" w:ascii="仿宋" w:hAnsi="仿宋" w:eastAsia="仿宋" w:cs="仿宋"/>
          <w:color w:val="000000"/>
          <w:sz w:val="32"/>
          <w:szCs w:val="32"/>
        </w:rPr>
        <w:t>帮扶措施准确到位，按照脱贫帮扶与业务工作整合推进的思路，制定了“务虚+务实”的帮扶路径，充分发挥党校在思想教育方面的特长，把“感恩扶志”工作做到每户贫困户，同时整合就业扶贫、法治扶贫等多渠道开展扶贫。按照《广元市利州区法治扶贫专项2018年实施方案》和脱贫攻坚工作有关要求，我校充分发挥干部教育培训工作职能，依托农民夜校，深入贫困村开展法治德治自治教育，邀请党校兼职教师王永林等人带领村民认真学习《中华人民共和国村民委员会组织法》、《新党章》等法律法规和村规民约，常务副校长王小春多次为中口村、苟村党员干部讲授《提高党性修养》《学习十九大精神》《学习和贯彻习近平新时代中国特色社会主义思想——四川篇》等课程。</w:t>
      </w:r>
      <w:r>
        <w:rPr>
          <w:rFonts w:hint="eastAsia" w:ascii="仿宋" w:hAnsi="仿宋" w:eastAsia="仿宋" w:cs="仿宋"/>
          <w:b/>
          <w:color w:val="000000"/>
          <w:sz w:val="32"/>
          <w:szCs w:val="32"/>
        </w:rPr>
        <w:t>三是</w:t>
      </w:r>
      <w:r>
        <w:rPr>
          <w:rFonts w:hint="eastAsia" w:ascii="仿宋" w:hAnsi="仿宋" w:eastAsia="仿宋" w:cs="仿宋"/>
          <w:color w:val="000000"/>
          <w:sz w:val="32"/>
          <w:szCs w:val="32"/>
        </w:rPr>
        <w:t>帮扶效果精准到位，坚持为贫困户办实事解实难，给予资金、政策、服务等多方面的协调帮助支持，不断巩固提振贫困户脱贫信心。</w:t>
      </w:r>
    </w:p>
    <w:p>
      <w:pPr>
        <w:adjustRightInd w:val="0"/>
        <w:snapToGrid w:val="0"/>
        <w:spacing w:line="556"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3、加强党建和党风廉政建设，提升政治素养和德行。一是</w:t>
      </w:r>
      <w:r>
        <w:rPr>
          <w:rFonts w:hint="eastAsia" w:ascii="仿宋" w:hAnsi="仿宋" w:eastAsia="仿宋" w:cs="仿宋"/>
          <w:spacing w:val="-2"/>
          <w:sz w:val="32"/>
          <w:szCs w:val="32"/>
        </w:rPr>
        <w:t>抓责任落实，切实履行“第一责任人”职责。我校按照区委关于党建工作的整体思路，研究制定了符合校党支部党建实际的年度党建工作计划。王小春常务副校长带头学习党建知识，并认真备课给全体党员同志上党课，提高了党组织的凝聚力和战斗力。</w:t>
      </w:r>
      <w:r>
        <w:rPr>
          <w:rFonts w:hint="eastAsia" w:ascii="仿宋" w:hAnsi="仿宋" w:eastAsia="仿宋" w:cs="仿宋"/>
          <w:sz w:val="32"/>
          <w:szCs w:val="32"/>
        </w:rPr>
        <w:t>明确了落实八项规定的检查督促责任人，王小春常务副校长带头抓、主动抓、直接抓，跟踪问效抓落实，对工作不力、违章办事造成不良后果的股室或个人追究相关责任。</w:t>
      </w:r>
      <w:r>
        <w:rPr>
          <w:rFonts w:hint="eastAsia" w:ascii="仿宋" w:hAnsi="仿宋" w:eastAsia="仿宋" w:cs="仿宋"/>
          <w:b/>
          <w:color w:val="000000"/>
          <w:sz w:val="32"/>
          <w:szCs w:val="32"/>
        </w:rPr>
        <w:t>二是</w:t>
      </w:r>
      <w:r>
        <w:rPr>
          <w:rFonts w:hint="eastAsia" w:ascii="仿宋" w:hAnsi="仿宋" w:eastAsia="仿宋" w:cs="仿宋"/>
          <w:sz w:val="32"/>
          <w:szCs w:val="32"/>
        </w:rPr>
        <w:t>坚持学习与工作“两不误、两促进”。坚持召开全体党员会议例会制度，研究制定了党员学习计划，细化了党建工作计划，把建设学习型党组织活动与“党员活动日”、“两学一做”、“创先争优”等活动有机结合，将党建工作融入到了各项工作中。</w:t>
      </w:r>
      <w:r>
        <w:rPr>
          <w:rFonts w:hint="eastAsia" w:ascii="仿宋" w:hAnsi="仿宋" w:eastAsia="仿宋" w:cs="仿宋"/>
          <w:color w:val="191919"/>
          <w:sz w:val="32"/>
          <w:szCs w:val="32"/>
          <w:shd w:val="clear" w:color="auto" w:fill="FFFFFF"/>
        </w:rPr>
        <w:t>我校干部职工</w:t>
      </w:r>
      <w:r>
        <w:rPr>
          <w:rFonts w:hint="eastAsia" w:ascii="仿宋" w:hAnsi="仿宋" w:eastAsia="仿宋" w:cs="仿宋"/>
          <w:sz w:val="32"/>
          <w:szCs w:val="32"/>
        </w:rPr>
        <w:t>认真学习了中央八项规定、省委十项规定及市委“六个带头”要求和区委“七项要求”，深刻领会其内涵和精神实质，并细化了执行八项规定的具体措施。</w:t>
      </w:r>
      <w:r>
        <w:rPr>
          <w:rFonts w:hint="eastAsia" w:ascii="仿宋" w:hAnsi="仿宋" w:eastAsia="仿宋" w:cs="仿宋"/>
          <w:b/>
          <w:color w:val="000000"/>
          <w:sz w:val="32"/>
          <w:szCs w:val="32"/>
        </w:rPr>
        <w:t>三是</w:t>
      </w:r>
      <w:r>
        <w:rPr>
          <w:rFonts w:hint="eastAsia" w:ascii="仿宋" w:hAnsi="仿宋" w:eastAsia="仿宋" w:cs="仿宋"/>
          <w:sz w:val="32"/>
          <w:szCs w:val="32"/>
        </w:rPr>
        <w:t>强化党建工作保障。牢固树立了“把抓好党建作为最大的政绩”的理念，把党建工作摆到了突出位置，健全责任机制，细化责任分工，明确了专职党务工作人员一名，确保了党建工作经费规范使用。</w:t>
      </w:r>
      <w:r>
        <w:rPr>
          <w:rFonts w:hint="eastAsia" w:ascii="仿宋" w:hAnsi="仿宋" w:eastAsia="仿宋" w:cs="仿宋"/>
          <w:color w:val="191919"/>
          <w:sz w:val="32"/>
          <w:szCs w:val="32"/>
          <w:shd w:val="clear" w:color="auto" w:fill="FFFFFF"/>
        </w:rPr>
        <w:t>一年来，党校创新党建和党风廉政建设工作方法，深入“双报到”社区和扶贫一线开展基层党组织共建活动，锤炼干部作风；配合创建全国文明城市行动，组建党校志愿服务队，在女皇路社区等地发放法治宣传单，</w:t>
      </w:r>
      <w:r>
        <w:rPr>
          <w:rFonts w:hint="eastAsia" w:ascii="仿宋" w:hAnsi="仿宋" w:eastAsia="仿宋" w:cs="仿宋"/>
          <w:color w:val="000000"/>
          <w:sz w:val="32"/>
          <w:szCs w:val="32"/>
        </w:rPr>
        <w:t>锻造了一支有理想、有担当、有能力、有操守的党校干部队伍。</w:t>
      </w:r>
    </w:p>
    <w:p>
      <w:pPr>
        <w:adjustRightInd w:val="0"/>
        <w:snapToGrid w:val="0"/>
        <w:spacing w:line="556"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4、坚持问题导向，狠抓巡察反馈问题整改。</w:t>
      </w:r>
      <w:r>
        <w:rPr>
          <w:rFonts w:hint="eastAsia" w:ascii="仿宋" w:hAnsi="仿宋" w:eastAsia="仿宋" w:cs="仿宋"/>
          <w:sz w:val="32"/>
          <w:szCs w:val="32"/>
        </w:rPr>
        <w:t>根据区委巡察工作统一部署，区委第二巡察组于2018年6月11日至7月31日对我校进行了巡察。9月28日，巡察组向党校反馈了巡察情况，在客观评价各项工作的同时，实事求是地指出了我校工作中存在的问题与不足，并提出了相应的整改意见和建议。</w:t>
      </w:r>
      <w:r>
        <w:rPr>
          <w:rFonts w:hint="eastAsia" w:ascii="仿宋" w:hAnsi="仿宋" w:eastAsia="仿宋" w:cs="仿宋"/>
          <w:sz w:val="32"/>
          <w:szCs w:val="32"/>
          <w:shd w:val="clear" w:color="auto" w:fill="FFFFFF"/>
        </w:rPr>
        <w:t>按照区委巡察办《</w:t>
      </w:r>
      <w:r>
        <w:rPr>
          <w:rFonts w:hint="eastAsia" w:ascii="仿宋" w:hAnsi="仿宋" w:eastAsia="仿宋" w:cs="仿宋"/>
          <w:sz w:val="32"/>
          <w:szCs w:val="32"/>
        </w:rPr>
        <w:t>关于移送巡察情况反馈意见的通知</w:t>
      </w:r>
      <w:r>
        <w:rPr>
          <w:rFonts w:hint="eastAsia" w:ascii="仿宋" w:hAnsi="仿宋" w:eastAsia="仿宋" w:cs="仿宋"/>
          <w:sz w:val="32"/>
          <w:szCs w:val="32"/>
          <w:shd w:val="clear" w:color="auto" w:fill="FFFFFF"/>
        </w:rPr>
        <w:t>》（</w:t>
      </w:r>
      <w:r>
        <w:rPr>
          <w:rFonts w:hint="eastAsia" w:ascii="仿宋" w:hAnsi="仿宋" w:eastAsia="仿宋" w:cs="仿宋"/>
          <w:sz w:val="32"/>
          <w:szCs w:val="32"/>
        </w:rPr>
        <w:t>广利委巡办〔2018〕60号</w:t>
      </w:r>
      <w:r>
        <w:rPr>
          <w:rFonts w:hint="eastAsia" w:ascii="仿宋" w:hAnsi="仿宋" w:eastAsia="仿宋" w:cs="仿宋"/>
          <w:sz w:val="32"/>
          <w:szCs w:val="32"/>
          <w:shd w:val="clear" w:color="auto" w:fill="FFFFFF"/>
        </w:rPr>
        <w:t>）要求，区委党校直面问题，制定了《整改方案》，按照方案进行了逐项整改，并及时报送了《中共广元市利州区委党校关于巡察反馈问题整改情况的报告》（</w:t>
      </w:r>
      <w:r>
        <w:rPr>
          <w:rFonts w:hint="eastAsia" w:ascii="仿宋" w:hAnsi="仿宋" w:eastAsia="仿宋" w:cs="仿宋"/>
          <w:sz w:val="32"/>
          <w:szCs w:val="32"/>
        </w:rPr>
        <w:t>广利委校〔2018〕25号</w:t>
      </w:r>
      <w:r>
        <w:rPr>
          <w:rFonts w:hint="eastAsia" w:ascii="仿宋" w:hAnsi="仿宋" w:eastAsia="仿宋" w:cs="仿宋"/>
          <w:sz w:val="32"/>
          <w:szCs w:val="32"/>
          <w:shd w:val="clear" w:color="auto" w:fill="FFFFFF"/>
        </w:rPr>
        <w:t>）。我校也将对</w:t>
      </w:r>
      <w:r>
        <w:rPr>
          <w:rFonts w:hint="eastAsia" w:ascii="仿宋" w:hAnsi="仿宋" w:eastAsia="仿宋" w:cs="仿宋"/>
          <w:sz w:val="32"/>
          <w:szCs w:val="32"/>
        </w:rPr>
        <w:t>整改常抓不懈，对已经解决的问题加强跟踪管理，打好“持久战”，切实巩固整改成效。全校干部职工坚持思想同心、目标同向，保证圆满完成整改任务。</w:t>
      </w:r>
    </w:p>
    <w:p>
      <w:pPr>
        <w:widowControl/>
        <w:adjustRightInd w:val="0"/>
        <w:snapToGrid w:val="0"/>
        <w:spacing w:line="556"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5、加强法治阵地建设，助力法治利州实践。一是</w:t>
      </w:r>
      <w:r>
        <w:rPr>
          <w:rFonts w:hint="eastAsia" w:ascii="仿宋" w:hAnsi="仿宋" w:eastAsia="仿宋" w:cs="仿宋"/>
          <w:sz w:val="32"/>
          <w:szCs w:val="32"/>
        </w:rPr>
        <w:t>在党校主体班培训教学课程中增加宪法专题学习内容，邀请四川省委党校法学教研部副主任、四川省人民政府、省政法委法律顾问胡业勋以及利州区原司法局局长、区委党校兼职教师朱明弟等人先后为</w:t>
      </w:r>
      <w:r>
        <w:rPr>
          <w:rFonts w:hint="eastAsia" w:ascii="仿宋" w:hAnsi="仿宋" w:eastAsia="仿宋" w:cs="仿宋"/>
          <w:color w:val="000000"/>
          <w:kern w:val="0"/>
          <w:sz w:val="32"/>
          <w:szCs w:val="32"/>
        </w:rPr>
        <w:t>850名</w:t>
      </w:r>
      <w:r>
        <w:rPr>
          <w:rFonts w:hint="eastAsia" w:ascii="仿宋" w:hAnsi="仿宋" w:eastAsia="仿宋" w:cs="仿宋"/>
          <w:color w:val="000000"/>
          <w:sz w:val="32"/>
          <w:szCs w:val="32"/>
        </w:rPr>
        <w:t>学</w:t>
      </w:r>
      <w:r>
        <w:rPr>
          <w:rFonts w:hint="eastAsia" w:ascii="仿宋" w:hAnsi="仿宋" w:eastAsia="仿宋" w:cs="仿宋"/>
          <w:sz w:val="32"/>
          <w:szCs w:val="32"/>
        </w:rPr>
        <w:t>员解读宪法修正案精神，教育引导广大党员、干部牢固树立宪法意识，带头尊崇宪法、学习宪法、遵守宪法、维护宪法、运用宪法。</w:t>
      </w:r>
      <w:r>
        <w:rPr>
          <w:rFonts w:hint="eastAsia" w:ascii="仿宋" w:hAnsi="仿宋" w:eastAsia="仿宋" w:cs="仿宋"/>
          <w:b/>
          <w:bCs/>
          <w:sz w:val="32"/>
          <w:szCs w:val="32"/>
        </w:rPr>
        <w:t>二是</w:t>
      </w:r>
      <w:r>
        <w:rPr>
          <w:rFonts w:hint="eastAsia" w:ascii="仿宋" w:hAnsi="仿宋" w:eastAsia="仿宋" w:cs="仿宋"/>
          <w:sz w:val="32"/>
          <w:szCs w:val="32"/>
        </w:rPr>
        <w:t>定期召开宪法专题集中学习会，由王小春常务副校长领学党的十九届二中全会重要精神、十三届全国人大一次会议精神和习近平总书记在中央全面依法治国委员会第一次会议上的重要讲话精神，带领党校干部职工集中学习《中华人民共和国宪法修正案》。在党校办公楼醒目位置设置宪法宣传标语。</w:t>
      </w:r>
      <w:r>
        <w:rPr>
          <w:rFonts w:hint="eastAsia" w:ascii="仿宋" w:hAnsi="仿宋" w:eastAsia="仿宋" w:cs="仿宋"/>
          <w:b/>
          <w:bCs/>
          <w:sz w:val="32"/>
          <w:szCs w:val="32"/>
        </w:rPr>
        <w:t>三是</w:t>
      </w:r>
      <w:r>
        <w:rPr>
          <w:rFonts w:hint="eastAsia" w:ascii="仿宋" w:hAnsi="仿宋" w:eastAsia="仿宋" w:cs="仿宋"/>
          <w:sz w:val="32"/>
          <w:szCs w:val="32"/>
        </w:rPr>
        <w:t>组建普法讲师团和“七五”普法志愿者团队，党校全员关注“中国普法”“四川普法”“广元普法”“利州司法”普法微信公众号，深化依法治区实践。</w:t>
      </w:r>
    </w:p>
    <w:p>
      <w:pPr>
        <w:adjustRightInd w:val="0"/>
        <w:snapToGrid w:val="0"/>
        <w:spacing w:line="556" w:lineRule="exact"/>
        <w:ind w:firstLine="640"/>
        <w:rPr>
          <w:rFonts w:hint="eastAsia" w:ascii="仿宋" w:hAnsi="仿宋" w:eastAsia="仿宋" w:cs="仿宋"/>
          <w:b/>
          <w:color w:val="000000"/>
          <w:sz w:val="32"/>
          <w:szCs w:val="32"/>
        </w:rPr>
      </w:pPr>
      <w:r>
        <w:rPr>
          <w:rFonts w:hint="eastAsia" w:ascii="仿宋" w:hAnsi="仿宋" w:eastAsia="仿宋" w:cs="仿宋"/>
          <w:b/>
          <w:color w:val="000000"/>
          <w:sz w:val="32"/>
          <w:szCs w:val="32"/>
        </w:rPr>
        <w:t>6、存在的主要问题</w:t>
      </w:r>
    </w:p>
    <w:p>
      <w:pPr>
        <w:adjustRightInd w:val="0"/>
        <w:snapToGrid w:val="0"/>
        <w:spacing w:line="556"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一是根据《2018—2022年全国干部教育培训规划》对新时代党的干部教育培训工作作出的顶层设计和战略部署，干部教育培训工作任重道远，近两年来党校培训经费呈下降趋势，与新时代干部教育培训工作形势不相适应。</w:t>
      </w:r>
    </w:p>
    <w:p>
      <w:pPr>
        <w:adjustRightInd w:val="0"/>
        <w:snapToGrid w:val="0"/>
        <w:spacing w:line="556"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二是我校硬件条件与我市其他县区党校相比较为薄弱，对照全省县级党校建设标准来看，更有很大差距。</w:t>
      </w:r>
    </w:p>
    <w:p>
      <w:pPr>
        <w:pStyle w:val="3"/>
        <w:ind w:firstLine="640" w:firstLineChars="200"/>
        <w:rPr>
          <w:rStyle w:val="18"/>
          <w:rFonts w:hint="eastAsia" w:ascii="黑体" w:hAnsi="黑体" w:eastAsia="黑体" w:cs="黑体"/>
          <w:b w:val="0"/>
          <w:bCs w:val="0"/>
          <w:sz w:val="32"/>
          <w:szCs w:val="32"/>
        </w:rPr>
      </w:pPr>
      <w:r>
        <w:rPr>
          <w:rFonts w:hint="eastAsia" w:ascii="黑体" w:hAnsi="黑体" w:eastAsia="黑体" w:cs="黑体"/>
          <w:b w:val="0"/>
          <w:color w:val="000000"/>
          <w:sz w:val="32"/>
          <w:szCs w:val="32"/>
        </w:rPr>
        <w:t>二、机</w:t>
      </w:r>
      <w:r>
        <w:rPr>
          <w:rStyle w:val="18"/>
          <w:rFonts w:hint="eastAsia" w:ascii="黑体" w:hAnsi="黑体" w:eastAsia="黑体" w:cs="黑体"/>
          <w:b w:val="0"/>
          <w:bCs w:val="0"/>
          <w:sz w:val="32"/>
          <w:szCs w:val="32"/>
        </w:rPr>
        <w:t>构设置</w:t>
      </w:r>
      <w:bookmarkEnd w:id="18"/>
      <w:bookmarkEnd w:id="19"/>
    </w:p>
    <w:p>
      <w:pPr>
        <w:ind w:firstLine="800" w:firstLineChars="250"/>
        <w:rPr>
          <w:rFonts w:ascii="仿宋" w:hAnsi="仿宋" w:eastAsia="仿宋"/>
          <w:sz w:val="32"/>
          <w:szCs w:val="32"/>
        </w:rPr>
      </w:pPr>
      <w:r>
        <w:rPr>
          <w:rFonts w:hint="eastAsia" w:ascii="仿宋" w:hAnsi="仿宋" w:eastAsia="仿宋"/>
          <w:sz w:val="32"/>
          <w:szCs w:val="32"/>
        </w:rPr>
        <w:t>广元市利州区委党校下属二级单位</w:t>
      </w:r>
      <w:r>
        <w:rPr>
          <w:rFonts w:ascii="仿宋" w:hAnsi="仿宋" w:eastAsia="仿宋"/>
          <w:sz w:val="32"/>
          <w:szCs w:val="32"/>
        </w:rPr>
        <w:t>0</w:t>
      </w:r>
      <w:r>
        <w:rPr>
          <w:rFonts w:hint="eastAsia" w:ascii="仿宋" w:hAnsi="仿宋" w:eastAsia="仿宋"/>
          <w:sz w:val="32"/>
          <w:szCs w:val="32"/>
        </w:rPr>
        <w:t>个，其中行政单位</w:t>
      </w:r>
      <w:r>
        <w:rPr>
          <w:rFonts w:ascii="仿宋" w:hAnsi="仿宋" w:eastAsia="仿宋"/>
          <w:sz w:val="32"/>
          <w:szCs w:val="32"/>
        </w:rPr>
        <w:t>0</w:t>
      </w:r>
      <w:r>
        <w:rPr>
          <w:rFonts w:hint="eastAsia" w:ascii="仿宋" w:hAnsi="仿宋" w:eastAsia="仿宋"/>
          <w:sz w:val="32"/>
          <w:szCs w:val="32"/>
        </w:rPr>
        <w:t>个，参照公务员法管理的事业单位</w:t>
      </w:r>
      <w:r>
        <w:rPr>
          <w:rFonts w:ascii="仿宋" w:hAnsi="仿宋" w:eastAsia="仿宋"/>
          <w:bCs/>
          <w:sz w:val="32"/>
          <w:szCs w:val="32"/>
        </w:rPr>
        <w:t>0</w:t>
      </w:r>
      <w:r>
        <w:rPr>
          <w:rFonts w:hint="eastAsia" w:ascii="仿宋" w:hAnsi="仿宋" w:eastAsia="仿宋"/>
          <w:sz w:val="32"/>
          <w:szCs w:val="32"/>
        </w:rPr>
        <w:t>个，其他事业单位</w:t>
      </w:r>
      <w:r>
        <w:rPr>
          <w:rFonts w:ascii="仿宋" w:hAnsi="仿宋" w:eastAsia="仿宋"/>
          <w:sz w:val="32"/>
          <w:szCs w:val="32"/>
        </w:rPr>
        <w:t>0</w:t>
      </w:r>
      <w:r>
        <w:rPr>
          <w:rFonts w:hint="eastAsia" w:ascii="仿宋" w:hAnsi="仿宋" w:eastAsia="仿宋"/>
          <w:sz w:val="32"/>
          <w:szCs w:val="32"/>
        </w:rPr>
        <w:t>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纳入广元市利州区委党校</w:t>
      </w:r>
      <w:r>
        <w:rPr>
          <w:rFonts w:ascii="仿宋" w:hAnsi="仿宋" w:eastAsia="仿宋"/>
          <w:color w:val="000000"/>
          <w:sz w:val="32"/>
          <w:szCs w:val="32"/>
        </w:rPr>
        <w:t>2018</w:t>
      </w:r>
      <w:r>
        <w:rPr>
          <w:rFonts w:hint="eastAsia" w:ascii="仿宋" w:hAnsi="仿宋" w:eastAsia="仿宋"/>
          <w:color w:val="000000"/>
          <w:sz w:val="32"/>
          <w:szCs w:val="32"/>
        </w:rPr>
        <w:t>年度部门决算编制范围的二级预算单</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无。</w:t>
      </w:r>
    </w:p>
    <w:p>
      <w:pPr>
        <w:widowControl/>
        <w:jc w:val="left"/>
        <w:rPr>
          <w:rFonts w:hint="eastAsia" w:ascii="黑体" w:hAnsi="黑体" w:eastAsia="黑体" w:cs="黑体"/>
          <w:b/>
          <w:bCs/>
          <w:color w:val="000000"/>
          <w:sz w:val="44"/>
          <w:szCs w:val="44"/>
        </w:rPr>
      </w:pPr>
      <w:bookmarkStart w:id="20" w:name="_Toc15377204"/>
      <w:bookmarkStart w:id="21" w:name="_Toc15396602"/>
    </w:p>
    <w:p>
      <w:pPr>
        <w:widowControl/>
        <w:jc w:val="left"/>
        <w:rPr>
          <w:rFonts w:hint="eastAsia" w:ascii="黑体" w:hAnsi="黑体" w:eastAsia="黑体" w:cs="黑体"/>
          <w:b/>
          <w:bCs/>
          <w:color w:val="000000"/>
          <w:sz w:val="44"/>
          <w:szCs w:val="44"/>
        </w:rPr>
      </w:pPr>
    </w:p>
    <w:p>
      <w:pPr>
        <w:widowControl/>
        <w:jc w:val="left"/>
        <w:rPr>
          <w:rFonts w:hint="eastAsia" w:ascii="黑体" w:hAnsi="黑体" w:eastAsia="黑体" w:cs="黑体"/>
          <w:b/>
          <w:bCs/>
          <w:color w:val="000000"/>
          <w:sz w:val="44"/>
          <w:szCs w:val="44"/>
        </w:rPr>
      </w:pPr>
    </w:p>
    <w:p>
      <w:pPr>
        <w:widowControl/>
        <w:jc w:val="center"/>
        <w:rPr>
          <w:rStyle w:val="17"/>
          <w:rFonts w:ascii="黑体" w:hAnsi="黑体" w:eastAsia="黑体" w:cs="黑体"/>
        </w:rPr>
      </w:pPr>
      <w:r>
        <w:rPr>
          <w:rFonts w:hint="eastAsia" w:ascii="黑体" w:hAnsi="黑体" w:eastAsia="黑体" w:cs="黑体"/>
          <w:b/>
          <w:bCs/>
          <w:color w:val="000000"/>
          <w:sz w:val="44"/>
          <w:szCs w:val="44"/>
        </w:rPr>
        <w:t>第二部分</w:t>
      </w:r>
      <w:r>
        <w:rPr>
          <w:rFonts w:ascii="黑体" w:hAnsi="黑体" w:eastAsia="黑体" w:cs="黑体"/>
          <w:b/>
          <w:bCs/>
          <w:color w:val="000000"/>
          <w:sz w:val="44"/>
          <w:szCs w:val="44"/>
        </w:rPr>
        <w:t xml:space="preserve"> </w:t>
      </w:r>
      <w:r>
        <w:rPr>
          <w:rStyle w:val="17"/>
          <w:rFonts w:ascii="黑体" w:hAnsi="黑体" w:eastAsia="黑体" w:cs="黑体"/>
        </w:rPr>
        <w:t>2018</w:t>
      </w:r>
      <w:r>
        <w:rPr>
          <w:rStyle w:val="17"/>
          <w:rFonts w:hint="eastAsia" w:ascii="黑体" w:hAnsi="黑体" w:eastAsia="黑体" w:cs="黑体"/>
        </w:rPr>
        <w:t>年度部门决算情况说明</w:t>
      </w:r>
      <w:bookmarkEnd w:id="20"/>
      <w:bookmarkEnd w:id="21"/>
    </w:p>
    <w:p>
      <w:pPr>
        <w:rPr>
          <w:rFonts w:ascii="黑体" w:hAnsi="黑体" w:eastAsia="黑体" w:cs="黑体"/>
          <w:b/>
          <w:bCs/>
        </w:rPr>
      </w:pPr>
    </w:p>
    <w:p>
      <w:pPr>
        <w:spacing w:line="600" w:lineRule="exact"/>
        <w:ind w:firstLine="640"/>
        <w:rPr>
          <w:rFonts w:ascii="仿宋_GB2312" w:eastAsia="仿宋_GB2312"/>
          <w:color w:val="000000"/>
          <w:sz w:val="32"/>
          <w:szCs w:val="32"/>
        </w:rPr>
      </w:pPr>
      <w:bookmarkStart w:id="22" w:name="_Toc15396603"/>
      <w:bookmarkStart w:id="23" w:name="_Toc15377205"/>
      <w:r>
        <w:rPr>
          <w:rFonts w:hint="eastAsia" w:ascii="黑体" w:hAnsi="黑体" w:eastAsia="黑体"/>
          <w:color w:val="000000"/>
          <w:sz w:val="32"/>
          <w:szCs w:val="32"/>
        </w:rPr>
        <w:t>一、收</w:t>
      </w:r>
      <w:r>
        <w:rPr>
          <w:rStyle w:val="18"/>
          <w:rFonts w:hint="eastAsia" w:ascii="黑体" w:hAnsi="黑体" w:eastAsia="黑体"/>
          <w:b w:val="0"/>
        </w:rPr>
        <w:t>入支出决算总体情况说明</w:t>
      </w:r>
      <w:bookmarkEnd w:id="22"/>
      <w:bookmarkEnd w:id="23"/>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年度本年收入</w:t>
      </w:r>
      <w:r>
        <w:rPr>
          <w:rFonts w:ascii="仿宋" w:hAnsi="仿宋" w:eastAsia="仿宋"/>
          <w:color w:val="000000"/>
          <w:sz w:val="32"/>
          <w:szCs w:val="32"/>
        </w:rPr>
        <w:t>83.02</w:t>
      </w:r>
      <w:r>
        <w:rPr>
          <w:rFonts w:hint="eastAsia" w:ascii="仿宋" w:hAnsi="仿宋" w:eastAsia="仿宋"/>
          <w:color w:val="000000"/>
          <w:sz w:val="32"/>
          <w:szCs w:val="32"/>
        </w:rPr>
        <w:t>万元，本年支出</w:t>
      </w:r>
      <w:r>
        <w:rPr>
          <w:rFonts w:ascii="仿宋" w:hAnsi="仿宋" w:eastAsia="仿宋"/>
          <w:color w:val="000000"/>
          <w:sz w:val="32"/>
          <w:szCs w:val="32"/>
        </w:rPr>
        <w:t>90.76</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年相比，本年收入减少</w:t>
      </w:r>
      <w:r>
        <w:rPr>
          <w:rFonts w:ascii="仿宋" w:hAnsi="仿宋" w:eastAsia="仿宋"/>
          <w:color w:val="000000"/>
          <w:sz w:val="32"/>
          <w:szCs w:val="32"/>
        </w:rPr>
        <w:t>65.51</w:t>
      </w:r>
      <w:r>
        <w:rPr>
          <w:rFonts w:hint="eastAsia" w:ascii="仿宋" w:hAnsi="仿宋" w:eastAsia="仿宋"/>
          <w:color w:val="000000"/>
          <w:sz w:val="32"/>
          <w:szCs w:val="32"/>
        </w:rPr>
        <w:t>万元，减少率</w:t>
      </w:r>
      <w:r>
        <w:rPr>
          <w:rFonts w:ascii="仿宋" w:hAnsi="仿宋" w:eastAsia="仿宋"/>
          <w:color w:val="000000"/>
          <w:sz w:val="32"/>
          <w:szCs w:val="32"/>
        </w:rPr>
        <w:t>44.11%</w:t>
      </w:r>
      <w:r>
        <w:rPr>
          <w:rFonts w:hint="eastAsia" w:ascii="仿宋" w:hAnsi="仿宋" w:eastAsia="仿宋"/>
          <w:color w:val="000000"/>
          <w:sz w:val="32"/>
          <w:szCs w:val="32"/>
        </w:rPr>
        <w:t>；本年支出减少</w:t>
      </w:r>
      <w:r>
        <w:rPr>
          <w:rFonts w:ascii="仿宋" w:hAnsi="仿宋" w:eastAsia="仿宋"/>
          <w:color w:val="000000"/>
          <w:sz w:val="32"/>
          <w:szCs w:val="32"/>
        </w:rPr>
        <w:t>94.51</w:t>
      </w:r>
      <w:r>
        <w:rPr>
          <w:rFonts w:hint="eastAsia" w:ascii="仿宋" w:hAnsi="仿宋" w:eastAsia="仿宋"/>
          <w:color w:val="000000"/>
          <w:sz w:val="32"/>
          <w:szCs w:val="32"/>
        </w:rPr>
        <w:t>万元、减少率</w:t>
      </w:r>
      <w:r>
        <w:rPr>
          <w:rFonts w:ascii="仿宋" w:hAnsi="仿宋" w:eastAsia="仿宋"/>
          <w:color w:val="000000"/>
          <w:sz w:val="32"/>
          <w:szCs w:val="32"/>
        </w:rPr>
        <w:t>51.01%</w:t>
      </w:r>
      <w:r>
        <w:rPr>
          <w:rFonts w:hint="eastAsia" w:ascii="仿宋" w:hAnsi="仿宋" w:eastAsia="仿宋"/>
          <w:color w:val="000000"/>
          <w:sz w:val="32"/>
          <w:szCs w:val="32"/>
        </w:rPr>
        <w:t>。主要变动原因是培训费专项经费减少等。</w:t>
      </w:r>
    </w:p>
    <w:p>
      <w:pPr>
        <w:spacing w:line="600" w:lineRule="exact"/>
        <w:ind w:firstLine="420" w:firstLineChars="200"/>
        <w:jc w:val="left"/>
        <w:rPr>
          <w:rFonts w:ascii="仿宋_GB2312" w:eastAsia="仿宋_GB2312"/>
          <w:color w:val="000000"/>
          <w:sz w:val="32"/>
          <w:szCs w:val="32"/>
        </w:rPr>
      </w:pPr>
      <w:r>
        <w:pict>
          <v:shape id="_x0000_s1026" o:spid="_x0000_s1026" o:spt="75" type="#_x0000_t75" style="position:absolute;left:0pt;margin-left:5.25pt;margin-top:4.8pt;height:238.05pt;width:362.25pt;z-index:251655168;mso-width-relative:page;mso-height-relative:page;" o:ole="t" filled="f" o:preferrelative="t" stroked="f" coordsize="21600,21600">
            <v:path/>
            <v:fill on="f" focussize="0,0"/>
            <v:stroke on="f" joinstyle="miter"/>
            <v:imagedata r:id="rId7" o:title=""/>
            <o:lock v:ext="edit" aspectratio="t"/>
          </v:shape>
          <o:OLEObject Type="Embed" ProgID="MSGraph.Chart.8" ShapeID="_x0000_s1026" DrawAspect="Content" ObjectID="_1468075725" r:id="rId6">
            <o:LockedField>false</o:LockedField>
          </o:OLEObject>
        </w:pict>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 xml:space="preserve"> </w:t>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28"/>
        <w:spacing w:line="600" w:lineRule="exact"/>
        <w:ind w:left="640" w:firstLine="0" w:firstLineChars="0"/>
        <w:outlineLvl w:val="1"/>
        <w:rPr>
          <w:rStyle w:val="18"/>
          <w:rFonts w:ascii="黑体" w:hAnsi="黑体" w:eastAsia="黑体"/>
          <w:b w:val="0"/>
        </w:rPr>
      </w:pPr>
      <w:bookmarkStart w:id="24" w:name="_Toc15396604"/>
      <w:bookmarkStart w:id="25" w:name="_Toc15377206"/>
      <w:r>
        <w:rPr>
          <w:rFonts w:hint="eastAsia" w:ascii="黑体" w:hAnsi="黑体" w:eastAsia="黑体"/>
          <w:color w:val="000000"/>
          <w:sz w:val="32"/>
          <w:szCs w:val="32"/>
        </w:rPr>
        <w:t>二、收</w:t>
      </w:r>
      <w:r>
        <w:rPr>
          <w:rStyle w:val="18"/>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年本年收入合计</w:t>
      </w:r>
      <w:r>
        <w:rPr>
          <w:rFonts w:ascii="仿宋" w:hAnsi="仿宋" w:eastAsia="仿宋"/>
          <w:color w:val="000000"/>
          <w:sz w:val="32"/>
          <w:szCs w:val="32"/>
        </w:rPr>
        <w:t>83.02</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83.02</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；政府性基金预算财政拨款收入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420" w:firstLineChars="200"/>
        <w:outlineLvl w:val="1"/>
        <w:rPr>
          <w:rFonts w:ascii="仿宋" w:hAnsi="仿宋" w:eastAsia="仿宋"/>
          <w:color w:val="000000"/>
          <w:sz w:val="32"/>
          <w:szCs w:val="32"/>
        </w:rPr>
      </w:pPr>
      <w:r>
        <w:pict>
          <v:shape id="_x0000_s1027" o:spid="_x0000_s1027" o:spt="75" type="#_x0000_t75" style="position:absolute;left:0pt;margin-left:15.75pt;margin-top:10pt;height:263.7pt;width:395.9pt;z-index:251656192;mso-width-relative:page;mso-height-relative:page;" o:ole="t" filled="f" o:preferrelative="t" stroked="f" coordsize="21600,21600">
            <v:path/>
            <v:fill on="f" focussize="0,0"/>
            <v:stroke on="f" joinstyle="miter"/>
            <v:imagedata r:id="rId9" o:title=""/>
            <o:lock v:ext="edit" aspectratio="t"/>
          </v:shape>
          <o:OLEObject Type="Embed" ProgID="MSGraph.Chart.8" ShapeID="_x0000_s1027" DrawAspect="Content" ObjectID="_1468075726" r:id="rId8">
            <o:LockedField>false</o:LockedField>
          </o:OLEObject>
        </w:pic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outlineLvl w:val="1"/>
        <w:rPr>
          <w:rFonts w:ascii="仿宋" w:hAnsi="仿宋" w:eastAsia="仿宋"/>
          <w:color w:val="000000"/>
          <w:sz w:val="32"/>
          <w:szCs w:val="32"/>
        </w:rPr>
      </w:pPr>
    </w:p>
    <w:p>
      <w:pPr>
        <w:pStyle w:val="28"/>
        <w:spacing w:line="600" w:lineRule="exact"/>
        <w:ind w:firstLine="320" w:firstLineChars="100"/>
        <w:outlineLvl w:val="1"/>
        <w:rPr>
          <w:rStyle w:val="18"/>
          <w:rFonts w:ascii="黑体" w:hAnsi="黑体" w:eastAsia="黑体"/>
          <w:b w:val="0"/>
        </w:rPr>
      </w:pPr>
      <w:bookmarkStart w:id="26" w:name="_Toc15396605"/>
      <w:bookmarkStart w:id="27" w:name="_Toc15377207"/>
      <w:r>
        <w:rPr>
          <w:rFonts w:hint="eastAsia" w:ascii="黑体" w:hAnsi="黑体" w:eastAsia="黑体"/>
          <w:color w:val="000000"/>
          <w:sz w:val="32"/>
          <w:szCs w:val="32"/>
        </w:rPr>
        <w:t>三、支</w:t>
      </w:r>
      <w:r>
        <w:rPr>
          <w:rStyle w:val="18"/>
          <w:rFonts w:hint="eastAsia" w:ascii="黑体" w:hAnsi="黑体" w:eastAsia="黑体"/>
          <w:b w:val="0"/>
        </w:rPr>
        <w:t>出决算情况说明</w:t>
      </w:r>
      <w:bookmarkEnd w:id="26"/>
      <w:bookmarkEnd w:id="27"/>
    </w:p>
    <w:p>
      <w:pPr>
        <w:spacing w:line="600" w:lineRule="exact"/>
        <w:ind w:firstLine="640"/>
        <w:rPr>
          <w:rFonts w:ascii="仿宋" w:hAnsi="仿宋" w:eastAsia="仿宋"/>
          <w:color w:val="000000"/>
          <w:sz w:val="32"/>
          <w:szCs w:val="32"/>
        </w:rPr>
      </w:pPr>
      <w:r>
        <w:pict>
          <v:shape id="_x0000_s1028" o:spid="_x0000_s1028" o:spt="75" type="#_x0000_t75" style="position:absolute;left:0pt;margin-left:26.25pt;margin-top:115.6pt;height:255.1pt;width:383.25pt;z-index:251657216;mso-width-relative:page;mso-height-relative:page;" o:ole="t" filled="f" o:preferrelative="t" stroked="f" coordsize="21600,21600">
            <v:path/>
            <v:fill on="f" focussize="0,0"/>
            <v:stroke on="f" joinstyle="miter"/>
            <v:imagedata r:id="rId11" o:title=""/>
            <o:lock v:ext="edit" aspectratio="t"/>
          </v:shape>
          <o:OLEObject Type="Embed" ProgID="MSGraph.Chart.8" ShapeID="_x0000_s1028" DrawAspect="Content" ObjectID="_1468075727" r:id="rId10">
            <o:LockedField>false</o:LockedField>
          </o:OLEObject>
        </w:pict>
      </w: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90.76</w:t>
      </w:r>
      <w:r>
        <w:rPr>
          <w:rFonts w:hint="eastAsia" w:ascii="仿宋" w:hAnsi="仿宋" w:eastAsia="仿宋"/>
          <w:color w:val="000000"/>
          <w:sz w:val="32"/>
          <w:szCs w:val="32"/>
        </w:rPr>
        <w:t>万元，其中：基本支出</w:t>
      </w:r>
      <w:r>
        <w:rPr>
          <w:rFonts w:ascii="仿宋" w:hAnsi="仿宋" w:eastAsia="仿宋"/>
          <w:color w:val="000000"/>
          <w:sz w:val="32"/>
          <w:szCs w:val="32"/>
        </w:rPr>
        <w:t>89.85</w:t>
      </w:r>
      <w:r>
        <w:rPr>
          <w:rFonts w:hint="eastAsia" w:ascii="仿宋" w:hAnsi="仿宋" w:eastAsia="仿宋"/>
          <w:color w:val="000000"/>
          <w:sz w:val="32"/>
          <w:szCs w:val="32"/>
        </w:rPr>
        <w:t>万元，占</w:t>
      </w:r>
      <w:r>
        <w:rPr>
          <w:rFonts w:ascii="仿宋" w:hAnsi="仿宋" w:eastAsia="仿宋"/>
          <w:color w:val="000000"/>
          <w:sz w:val="32"/>
          <w:szCs w:val="32"/>
        </w:rPr>
        <w:t>99%</w:t>
      </w:r>
      <w:r>
        <w:rPr>
          <w:rFonts w:hint="eastAsia" w:ascii="仿宋" w:hAnsi="仿宋" w:eastAsia="仿宋"/>
          <w:color w:val="000000"/>
          <w:sz w:val="32"/>
          <w:szCs w:val="32"/>
        </w:rPr>
        <w:t>；项目支出</w:t>
      </w:r>
      <w:r>
        <w:rPr>
          <w:rFonts w:ascii="仿宋" w:hAnsi="仿宋" w:eastAsia="仿宋"/>
          <w:color w:val="000000"/>
          <w:sz w:val="32"/>
          <w:szCs w:val="32"/>
        </w:rPr>
        <w:t>0.91</w:t>
      </w:r>
      <w:r>
        <w:rPr>
          <w:rFonts w:hint="eastAsia" w:ascii="仿宋" w:hAnsi="仿宋" w:eastAsia="仿宋"/>
          <w:color w:val="000000"/>
          <w:sz w:val="32"/>
          <w:szCs w:val="32"/>
        </w:rPr>
        <w:t>万元，占</w:t>
      </w:r>
      <w:r>
        <w:rPr>
          <w:rFonts w:ascii="仿宋" w:hAnsi="仿宋" w:eastAsia="仿宋"/>
          <w:color w:val="000000"/>
          <w:sz w:val="32"/>
          <w:szCs w:val="32"/>
        </w:rPr>
        <w:t>1%</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320" w:firstLineChars="100"/>
        <w:outlineLvl w:val="1"/>
        <w:rPr>
          <w:rStyle w:val="18"/>
          <w:rFonts w:ascii="黑体" w:hAnsi="黑体" w:eastAsia="黑体"/>
          <w:b w:val="0"/>
        </w:rPr>
      </w:pPr>
      <w:bookmarkStart w:id="28" w:name="_Toc15396606"/>
      <w:bookmarkStart w:id="29" w:name="_Toc15377208"/>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28"/>
      <w:bookmarkEnd w:id="2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年财政拨款收入</w:t>
      </w:r>
      <w:r>
        <w:rPr>
          <w:rFonts w:ascii="仿宋" w:hAnsi="仿宋" w:eastAsia="仿宋"/>
          <w:color w:val="000000"/>
          <w:sz w:val="32"/>
          <w:szCs w:val="32"/>
        </w:rPr>
        <w:t>83.02</w:t>
      </w:r>
      <w:r>
        <w:rPr>
          <w:rFonts w:hint="eastAsia" w:ascii="仿宋" w:hAnsi="仿宋" w:eastAsia="仿宋"/>
          <w:color w:val="000000"/>
          <w:sz w:val="32"/>
          <w:szCs w:val="32"/>
        </w:rPr>
        <w:t>万元，支出</w:t>
      </w:r>
      <w:r>
        <w:rPr>
          <w:rFonts w:ascii="仿宋" w:hAnsi="仿宋" w:eastAsia="仿宋"/>
          <w:color w:val="000000"/>
          <w:sz w:val="32"/>
          <w:szCs w:val="32"/>
        </w:rPr>
        <w:t>90.76</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年相比，财政拨款收入减少</w:t>
      </w:r>
      <w:r>
        <w:rPr>
          <w:rFonts w:ascii="仿宋" w:hAnsi="仿宋" w:eastAsia="仿宋"/>
          <w:color w:val="000000"/>
          <w:sz w:val="32"/>
          <w:szCs w:val="32"/>
        </w:rPr>
        <w:t>65.51</w:t>
      </w:r>
      <w:r>
        <w:rPr>
          <w:rFonts w:hint="eastAsia" w:ascii="仿宋" w:hAnsi="仿宋" w:eastAsia="仿宋"/>
          <w:color w:val="000000"/>
          <w:sz w:val="32"/>
          <w:szCs w:val="32"/>
        </w:rPr>
        <w:t>万元，减少率</w:t>
      </w:r>
      <w:r>
        <w:rPr>
          <w:rFonts w:ascii="仿宋" w:hAnsi="仿宋" w:eastAsia="仿宋"/>
          <w:color w:val="000000"/>
          <w:sz w:val="32"/>
          <w:szCs w:val="32"/>
        </w:rPr>
        <w:t>44.11%</w:t>
      </w:r>
      <w:r>
        <w:rPr>
          <w:rFonts w:hint="eastAsia" w:ascii="仿宋" w:hAnsi="仿宋" w:eastAsia="仿宋"/>
          <w:color w:val="000000"/>
          <w:sz w:val="32"/>
          <w:szCs w:val="32"/>
        </w:rPr>
        <w:t>、支出减少</w:t>
      </w:r>
      <w:r>
        <w:rPr>
          <w:rFonts w:ascii="仿宋" w:hAnsi="仿宋" w:eastAsia="仿宋"/>
          <w:color w:val="000000"/>
          <w:sz w:val="32"/>
          <w:szCs w:val="32"/>
        </w:rPr>
        <w:t>94.51</w:t>
      </w:r>
      <w:r>
        <w:rPr>
          <w:rFonts w:hint="eastAsia" w:ascii="仿宋" w:hAnsi="仿宋" w:eastAsia="仿宋"/>
          <w:color w:val="000000"/>
          <w:sz w:val="32"/>
          <w:szCs w:val="32"/>
        </w:rPr>
        <w:t>万元、减少率</w:t>
      </w:r>
      <w:r>
        <w:rPr>
          <w:rFonts w:ascii="仿宋" w:hAnsi="仿宋" w:eastAsia="仿宋"/>
          <w:color w:val="000000"/>
          <w:sz w:val="32"/>
          <w:szCs w:val="32"/>
        </w:rPr>
        <w:t>51.01%</w:t>
      </w:r>
      <w:r>
        <w:rPr>
          <w:rFonts w:hint="eastAsia" w:ascii="仿宋" w:hAnsi="仿宋" w:eastAsia="仿宋"/>
          <w:color w:val="000000"/>
          <w:sz w:val="32"/>
          <w:szCs w:val="32"/>
        </w:rPr>
        <w:t>。主要变动原因是培训费专项经费减少等。</w:t>
      </w:r>
    </w:p>
    <w:p>
      <w:pPr>
        <w:spacing w:line="600" w:lineRule="exact"/>
        <w:ind w:firstLine="420" w:firstLineChars="200"/>
        <w:rPr>
          <w:rFonts w:ascii="仿宋" w:hAnsi="仿宋" w:eastAsia="仿宋"/>
          <w:color w:val="000000"/>
          <w:sz w:val="32"/>
          <w:szCs w:val="32"/>
        </w:rPr>
      </w:pPr>
      <w:r>
        <w:pict>
          <v:shape id="_x0000_s1029" o:spid="_x0000_s1029" o:spt="75" type="#_x0000_t75" style="position:absolute;left:0pt;margin-left:47.25pt;margin-top:21.6pt;height:250.4pt;width:378pt;z-index:251658240;mso-width-relative:page;mso-height-relative:page;" o:ole="t" filled="f" o:preferrelative="t" stroked="f" coordsize="21600,21600">
            <v:path/>
            <v:fill on="f" focussize="0,0"/>
            <v:stroke on="f" joinstyle="miter"/>
            <v:imagedata r:id="rId13" o:title=""/>
            <o:lock v:ext="edit" aspectratio="t"/>
          </v:shape>
          <o:OLEObject Type="Embed" ProgID="MSGraph.Chart.8" ShapeID="_x0000_s1029" DrawAspect="Content" ObjectID="_1468075728" r:id="rId12">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320" w:firstLineChars="100"/>
        <w:outlineLvl w:val="1"/>
        <w:rPr>
          <w:rFonts w:ascii="黑体" w:hAnsi="黑体" w:eastAsia="黑体"/>
          <w:color w:val="000000"/>
          <w:sz w:val="32"/>
          <w:szCs w:val="32"/>
        </w:rPr>
      </w:pPr>
      <w:bookmarkStart w:id="30" w:name="_Toc15396607"/>
      <w:bookmarkStart w:id="31" w:name="_Toc15377209"/>
    </w:p>
    <w:p>
      <w:pPr>
        <w:spacing w:line="600" w:lineRule="exact"/>
        <w:ind w:firstLine="320" w:firstLineChars="100"/>
        <w:outlineLvl w:val="1"/>
        <w:rPr>
          <w:rStyle w:val="18"/>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90.76</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年相比，一般公共预算财政拨款减少</w:t>
      </w:r>
      <w:r>
        <w:rPr>
          <w:rFonts w:ascii="仿宋" w:hAnsi="仿宋" w:eastAsia="仿宋"/>
          <w:color w:val="000000"/>
          <w:sz w:val="32"/>
          <w:szCs w:val="32"/>
        </w:rPr>
        <w:t>94.51</w:t>
      </w:r>
      <w:r>
        <w:rPr>
          <w:rFonts w:hint="eastAsia" w:ascii="仿宋" w:hAnsi="仿宋" w:eastAsia="仿宋"/>
          <w:color w:val="000000"/>
          <w:sz w:val="32"/>
          <w:szCs w:val="32"/>
        </w:rPr>
        <w:t>万元、减少率</w:t>
      </w:r>
      <w:r>
        <w:rPr>
          <w:rFonts w:ascii="仿宋" w:hAnsi="仿宋" w:eastAsia="仿宋"/>
          <w:color w:val="000000"/>
          <w:sz w:val="32"/>
          <w:szCs w:val="32"/>
        </w:rPr>
        <w:t>51.01%</w:t>
      </w:r>
      <w:r>
        <w:rPr>
          <w:rFonts w:hint="eastAsia" w:ascii="仿宋" w:hAnsi="仿宋" w:eastAsia="仿宋"/>
          <w:color w:val="000000"/>
          <w:sz w:val="32"/>
          <w:szCs w:val="32"/>
        </w:rPr>
        <w:t>。主要变动原因是培训费专项经费减少等。</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420" w:firstLineChars="200"/>
        <w:rPr>
          <w:rFonts w:ascii="仿宋" w:hAnsi="仿宋" w:eastAsia="仿宋"/>
          <w:color w:val="000000"/>
          <w:sz w:val="32"/>
          <w:szCs w:val="32"/>
        </w:rPr>
      </w:pPr>
      <w:r>
        <w:pict>
          <v:shape id="_x0000_s1030" o:spid="_x0000_s1030" o:spt="75" type="#_x0000_t75" style="position:absolute;left:0pt;margin-left:5.25pt;margin-top:23.4pt;height:256.8pt;width:438.4pt;z-index:251660288;mso-width-relative:page;mso-height-relative:page;" o:ole="t" filled="f" o:preferrelative="t" stroked="f" coordsize="21600,21600">
            <v:path/>
            <v:fill on="f" focussize="0,0"/>
            <v:stroke on="f" joinstyle="miter"/>
            <v:imagedata r:id="rId15" o:title=""/>
            <o:lock v:ext="edit" aspectratio="t"/>
          </v:shape>
          <o:OLEObject Type="Embed" ProgID="MSGraph.Chart.8" ShapeID="_x0000_s1030" DrawAspect="Content" ObjectID="_1468075729" r:id="rId14">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90.76</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color w:val="000000"/>
          <w:sz w:val="32"/>
          <w:szCs w:val="32"/>
        </w:rPr>
        <w:t>教育支出（类）支出</w:t>
      </w:r>
      <w:r>
        <w:rPr>
          <w:rFonts w:ascii="仿宋" w:hAnsi="仿宋" w:eastAsia="仿宋"/>
          <w:color w:val="000000"/>
          <w:sz w:val="32"/>
          <w:szCs w:val="32"/>
        </w:rPr>
        <w:t>81.52</w:t>
      </w:r>
      <w:r>
        <w:rPr>
          <w:rFonts w:hint="eastAsia" w:ascii="仿宋" w:hAnsi="仿宋" w:eastAsia="仿宋"/>
          <w:color w:val="000000"/>
          <w:sz w:val="32"/>
          <w:szCs w:val="32"/>
        </w:rPr>
        <w:t>万元，占</w:t>
      </w:r>
      <w:r>
        <w:rPr>
          <w:rFonts w:ascii="仿宋" w:hAnsi="仿宋" w:eastAsia="仿宋"/>
          <w:color w:val="000000"/>
          <w:sz w:val="32"/>
          <w:szCs w:val="32"/>
        </w:rPr>
        <w:t>89.82%</w:t>
      </w:r>
      <w:r>
        <w:rPr>
          <w:rFonts w:hint="eastAsia" w:ascii="仿宋" w:hAnsi="仿宋" w:eastAsia="仿宋"/>
          <w:color w:val="000000"/>
          <w:sz w:val="32"/>
          <w:szCs w:val="32"/>
        </w:rPr>
        <w:t>；农林水（类）支出</w:t>
      </w:r>
      <w:r>
        <w:rPr>
          <w:rFonts w:ascii="仿宋" w:hAnsi="仿宋" w:eastAsia="仿宋"/>
          <w:color w:val="000000"/>
          <w:sz w:val="32"/>
          <w:szCs w:val="32"/>
        </w:rPr>
        <w:t>0.91</w:t>
      </w:r>
      <w:r>
        <w:rPr>
          <w:rFonts w:hint="eastAsia" w:ascii="仿宋" w:hAnsi="仿宋" w:eastAsia="仿宋"/>
          <w:color w:val="000000"/>
          <w:sz w:val="32"/>
          <w:szCs w:val="32"/>
        </w:rPr>
        <w:t>万元，占</w:t>
      </w:r>
      <w:r>
        <w:rPr>
          <w:rFonts w:ascii="仿宋" w:hAnsi="仿宋" w:eastAsia="仿宋"/>
          <w:color w:val="000000"/>
          <w:sz w:val="32"/>
          <w:szCs w:val="32"/>
        </w:rPr>
        <w:t>1%</w:t>
      </w:r>
      <w:r>
        <w:rPr>
          <w:rFonts w:hint="eastAsia" w:ascii="仿宋" w:hAnsi="仿宋" w:eastAsia="仿宋"/>
          <w:color w:val="000000"/>
          <w:sz w:val="32"/>
          <w:szCs w:val="32"/>
        </w:rPr>
        <w:t>；社会保障和就业（类）支出</w:t>
      </w:r>
      <w:r>
        <w:rPr>
          <w:rFonts w:ascii="仿宋" w:hAnsi="仿宋" w:eastAsia="仿宋"/>
          <w:color w:val="000000"/>
          <w:sz w:val="32"/>
          <w:szCs w:val="32"/>
        </w:rPr>
        <w:t>4.21</w:t>
      </w:r>
      <w:r>
        <w:rPr>
          <w:rFonts w:hint="eastAsia" w:ascii="仿宋" w:hAnsi="仿宋" w:eastAsia="仿宋"/>
          <w:color w:val="000000"/>
          <w:sz w:val="32"/>
          <w:szCs w:val="32"/>
        </w:rPr>
        <w:t>万元，占</w:t>
      </w:r>
      <w:r>
        <w:rPr>
          <w:rFonts w:ascii="仿宋" w:hAnsi="仿宋" w:eastAsia="仿宋"/>
          <w:color w:val="000000"/>
          <w:sz w:val="32"/>
          <w:szCs w:val="32"/>
        </w:rPr>
        <w:t>4.64%</w:t>
      </w:r>
      <w:r>
        <w:rPr>
          <w:rFonts w:hint="eastAsia" w:ascii="仿宋" w:hAnsi="仿宋" w:eastAsia="仿宋"/>
          <w:color w:val="000000"/>
          <w:sz w:val="32"/>
          <w:szCs w:val="32"/>
        </w:rPr>
        <w:t>；医疗卫生支出</w:t>
      </w:r>
      <w:r>
        <w:rPr>
          <w:rFonts w:ascii="仿宋" w:hAnsi="仿宋" w:eastAsia="仿宋"/>
          <w:color w:val="000000"/>
          <w:sz w:val="32"/>
          <w:szCs w:val="32"/>
        </w:rPr>
        <w:t>1.55</w:t>
      </w:r>
      <w:r>
        <w:rPr>
          <w:rFonts w:hint="eastAsia" w:ascii="仿宋" w:hAnsi="仿宋" w:eastAsia="仿宋"/>
          <w:color w:val="000000"/>
          <w:sz w:val="32"/>
          <w:szCs w:val="32"/>
        </w:rPr>
        <w:t>万元，占</w:t>
      </w:r>
      <w:r>
        <w:rPr>
          <w:rFonts w:ascii="仿宋" w:hAnsi="仿宋" w:eastAsia="仿宋"/>
          <w:color w:val="000000"/>
          <w:sz w:val="32"/>
          <w:szCs w:val="32"/>
        </w:rPr>
        <w:t>1.7%</w:t>
      </w:r>
      <w:r>
        <w:rPr>
          <w:rFonts w:hint="eastAsia" w:ascii="仿宋" w:hAnsi="仿宋" w:eastAsia="仿宋"/>
          <w:color w:val="000000"/>
          <w:sz w:val="32"/>
          <w:szCs w:val="32"/>
        </w:rPr>
        <w:t>；住房保障支出</w:t>
      </w:r>
      <w:r>
        <w:rPr>
          <w:rFonts w:ascii="仿宋" w:hAnsi="仿宋" w:eastAsia="仿宋"/>
          <w:color w:val="000000"/>
          <w:sz w:val="32"/>
          <w:szCs w:val="32"/>
        </w:rPr>
        <w:t>2.57</w:t>
      </w:r>
      <w:r>
        <w:rPr>
          <w:rFonts w:hint="eastAsia" w:ascii="仿宋" w:hAnsi="仿宋" w:eastAsia="仿宋"/>
          <w:color w:val="000000"/>
          <w:sz w:val="32"/>
          <w:szCs w:val="32"/>
        </w:rPr>
        <w:t>万元，占</w:t>
      </w:r>
      <w:r>
        <w:rPr>
          <w:rFonts w:ascii="仿宋" w:hAnsi="仿宋" w:eastAsia="仿宋"/>
          <w:color w:val="000000"/>
          <w:sz w:val="32"/>
          <w:szCs w:val="32"/>
        </w:rPr>
        <w:t>2.84%</w:t>
      </w:r>
      <w:r>
        <w:rPr>
          <w:rFonts w:hint="eastAsia" w:ascii="仿宋" w:hAnsi="仿宋" w:eastAsia="仿宋"/>
          <w:color w:val="000000"/>
          <w:sz w:val="32"/>
          <w:szCs w:val="32"/>
        </w:rPr>
        <w:t>。（罗列全部功能分类科目，至类级。）</w:t>
      </w:r>
    </w:p>
    <w:p>
      <w:pPr>
        <w:spacing w:line="600" w:lineRule="exact"/>
        <w:ind w:firstLine="640"/>
        <w:rPr>
          <w:rFonts w:ascii="仿宋" w:hAnsi="仿宋" w:eastAsia="仿宋"/>
          <w:color w:val="000000"/>
          <w:sz w:val="32"/>
          <w:szCs w:val="32"/>
        </w:rPr>
      </w:pPr>
      <w:r>
        <w:pict>
          <v:shape id="_x0000_s1031" o:spid="_x0000_s1031" o:spt="75" type="#_x0000_t75" style="position:absolute;left:0pt;margin-left:10.5pt;margin-top:12.6pt;height:280.75pt;width:425.25pt;z-index:251658240;mso-width-relative:page;mso-height-relative:page;" o:ole="t" filled="f" o:preferrelative="t" stroked="f" coordsize="21600,21600">
            <v:path/>
            <v:fill on="f" focussize="0,0"/>
            <v:stroke on="f" joinstyle="miter"/>
            <v:imagedata r:id="rId17" o:title=""/>
            <o:lock v:ext="edit" aspectratio="t"/>
          </v:shape>
          <o:OLEObject Type="Embed" ProgID="MSGraph.Chart.8" ShapeID="_x0000_s1031" DrawAspect="Content" ObjectID="_1468075730" r:id="rId16">
            <o:LockedField>false</o:LockedField>
          </o:OLEObject>
        </w:pic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321" w:firstLineChars="1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643" w:firstLineChars="200"/>
        <w:outlineLvl w:val="2"/>
        <w:rPr>
          <w:rFonts w:ascii="仿宋" w:hAnsi="仿宋" w:eastAsia="仿宋"/>
          <w:color w:val="FF0000"/>
          <w:sz w:val="32"/>
          <w:szCs w:val="32"/>
        </w:rPr>
      </w:pPr>
      <w:bookmarkStart w:id="35" w:name="_Toc15378460"/>
      <w:bookmarkStart w:id="36" w:name="_Toc15377444"/>
      <w:bookmarkStart w:id="37" w:name="_Toc15377213"/>
      <w:r>
        <w:rPr>
          <w:rFonts w:ascii="仿宋" w:hAnsi="仿宋" w:eastAsia="仿宋"/>
          <w:b/>
          <w:color w:val="000000"/>
          <w:sz w:val="32"/>
          <w:szCs w:val="32"/>
        </w:rPr>
        <w:t>2018</w:t>
      </w:r>
      <w:r>
        <w:rPr>
          <w:rFonts w:hint="eastAsia" w:ascii="仿宋" w:hAnsi="仿宋" w:eastAsia="仿宋"/>
          <w:b/>
          <w:color w:val="000000"/>
          <w:sz w:val="32"/>
          <w:szCs w:val="32"/>
        </w:rPr>
        <w:t>年一般公共预算支出决算数为</w:t>
      </w:r>
      <w:r>
        <w:rPr>
          <w:rFonts w:hint="eastAsia" w:ascii="仿宋" w:hAnsi="仿宋" w:eastAsia="仿宋"/>
          <w:b/>
          <w:color w:val="000000"/>
          <w:sz w:val="32"/>
          <w:szCs w:val="32"/>
          <w:lang w:val="en-US" w:eastAsia="zh-CN"/>
        </w:rPr>
        <w:t>90.76</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。其中：</w:t>
      </w:r>
      <w:bookmarkEnd w:id="35"/>
      <w:bookmarkEnd w:id="36"/>
      <w:bookmarkEnd w:id="37"/>
    </w:p>
    <w:p>
      <w:pPr>
        <w:numPr>
          <w:ilvl w:val="0"/>
          <w:numId w:val="3"/>
        </w:numPr>
        <w:spacing w:line="600" w:lineRule="exact"/>
        <w:ind w:firstLine="640" w:firstLineChars="200"/>
        <w:rPr>
          <w:rStyle w:val="14"/>
          <w:rFonts w:ascii="仿宋" w:hAnsi="仿宋" w:eastAsia="仿宋"/>
          <w:b w:val="0"/>
          <w:color w:val="000000"/>
          <w:sz w:val="32"/>
          <w:szCs w:val="32"/>
        </w:rPr>
      </w:pPr>
      <w:r>
        <w:rPr>
          <w:rStyle w:val="14"/>
          <w:rFonts w:hint="eastAsia" w:ascii="仿宋" w:hAnsi="仿宋" w:eastAsia="仿宋"/>
          <w:b w:val="0"/>
          <w:color w:val="000000"/>
          <w:sz w:val="32"/>
          <w:szCs w:val="32"/>
        </w:rPr>
        <w:t>教育支出（类）进</w:t>
      </w:r>
      <w:bookmarkStart w:id="73" w:name="_GoBack"/>
      <w:bookmarkEnd w:id="73"/>
      <w:r>
        <w:rPr>
          <w:rStyle w:val="14"/>
          <w:rFonts w:hint="eastAsia" w:ascii="仿宋" w:hAnsi="仿宋" w:eastAsia="仿宋"/>
          <w:b w:val="0"/>
          <w:color w:val="000000"/>
          <w:sz w:val="32"/>
          <w:szCs w:val="32"/>
        </w:rPr>
        <w:t>修及培训（款）干部教育（项）</w:t>
      </w:r>
      <w:r>
        <w:rPr>
          <w:rStyle w:val="14"/>
          <w:rFonts w:ascii="仿宋" w:hAnsi="仿宋" w:eastAsia="仿宋"/>
          <w:b w:val="0"/>
          <w:color w:val="000000"/>
          <w:sz w:val="32"/>
          <w:szCs w:val="32"/>
        </w:rPr>
        <w:t xml:space="preserve">: </w:t>
      </w:r>
      <w:r>
        <w:rPr>
          <w:rStyle w:val="14"/>
          <w:rFonts w:hint="eastAsia" w:ascii="仿宋" w:hAnsi="仿宋" w:eastAsia="仿宋"/>
          <w:b w:val="0"/>
          <w:color w:val="000000"/>
          <w:sz w:val="32"/>
          <w:szCs w:val="32"/>
        </w:rPr>
        <w:t>支出决算为</w:t>
      </w:r>
      <w:r>
        <w:rPr>
          <w:rStyle w:val="14"/>
          <w:rFonts w:ascii="仿宋" w:hAnsi="仿宋" w:eastAsia="仿宋"/>
          <w:b w:val="0"/>
          <w:color w:val="000000"/>
          <w:sz w:val="32"/>
          <w:szCs w:val="32"/>
        </w:rPr>
        <w:t>81.52</w:t>
      </w:r>
      <w:r>
        <w:rPr>
          <w:rStyle w:val="14"/>
          <w:rFonts w:hint="eastAsia" w:ascii="仿宋" w:hAnsi="仿宋" w:eastAsia="仿宋"/>
          <w:b w:val="0"/>
          <w:color w:val="000000"/>
          <w:sz w:val="32"/>
          <w:szCs w:val="32"/>
        </w:rPr>
        <w:t>万元，完成预算</w:t>
      </w:r>
      <w:r>
        <w:rPr>
          <w:rStyle w:val="14"/>
          <w:rFonts w:ascii="仿宋" w:hAnsi="仿宋" w:eastAsia="仿宋"/>
          <w:b w:val="0"/>
          <w:color w:val="000000"/>
          <w:sz w:val="32"/>
          <w:szCs w:val="32"/>
        </w:rPr>
        <w:t>80.42%</w:t>
      </w:r>
      <w:r>
        <w:rPr>
          <w:rStyle w:val="14"/>
          <w:rFonts w:hint="eastAsia" w:ascii="仿宋" w:hAnsi="仿宋" w:eastAsia="仿宋"/>
          <w:b w:val="0"/>
          <w:color w:val="000000"/>
          <w:sz w:val="32"/>
          <w:szCs w:val="32"/>
        </w:rPr>
        <w:t>，决算数小于预算数的主要原因是年末追加引进人才安家补助。</w:t>
      </w:r>
    </w:p>
    <w:p>
      <w:pPr>
        <w:numPr>
          <w:ilvl w:val="0"/>
          <w:numId w:val="3"/>
        </w:numPr>
        <w:spacing w:line="600" w:lineRule="exact"/>
        <w:ind w:firstLine="640" w:firstLineChars="200"/>
        <w:rPr>
          <w:rStyle w:val="14"/>
          <w:rFonts w:ascii="仿宋" w:hAnsi="仿宋" w:eastAsia="仿宋"/>
          <w:b w:val="0"/>
          <w:color w:val="000000"/>
          <w:sz w:val="32"/>
          <w:szCs w:val="32"/>
        </w:rPr>
      </w:pPr>
      <w:r>
        <w:rPr>
          <w:rStyle w:val="14"/>
          <w:rFonts w:hint="eastAsia" w:ascii="仿宋" w:hAnsi="仿宋" w:eastAsia="仿宋"/>
          <w:b w:val="0"/>
          <w:color w:val="000000"/>
          <w:sz w:val="32"/>
          <w:szCs w:val="32"/>
        </w:rPr>
        <w:t>社会保障和就业（类）行政事业单位离退休（款）机关事业单位基本养老保险缴费（项）</w:t>
      </w:r>
      <w:r>
        <w:rPr>
          <w:rStyle w:val="14"/>
          <w:rFonts w:ascii="仿宋" w:hAnsi="仿宋" w:eastAsia="仿宋"/>
          <w:b w:val="0"/>
          <w:color w:val="000000"/>
          <w:sz w:val="32"/>
          <w:szCs w:val="32"/>
        </w:rPr>
        <w:t xml:space="preserve">: </w:t>
      </w:r>
      <w:r>
        <w:rPr>
          <w:rStyle w:val="14"/>
          <w:rFonts w:hint="eastAsia" w:ascii="仿宋" w:hAnsi="仿宋" w:eastAsia="仿宋"/>
          <w:b w:val="0"/>
          <w:color w:val="000000"/>
          <w:sz w:val="32"/>
          <w:szCs w:val="32"/>
        </w:rPr>
        <w:t>支出决算为</w:t>
      </w:r>
      <w:r>
        <w:rPr>
          <w:rStyle w:val="14"/>
          <w:rFonts w:ascii="仿宋" w:hAnsi="仿宋" w:eastAsia="仿宋"/>
          <w:b w:val="0"/>
          <w:color w:val="000000"/>
          <w:sz w:val="32"/>
          <w:szCs w:val="32"/>
        </w:rPr>
        <w:t>4.21</w:t>
      </w:r>
      <w:r>
        <w:rPr>
          <w:rStyle w:val="14"/>
          <w:rFonts w:hint="eastAsia" w:ascii="仿宋" w:hAnsi="仿宋" w:eastAsia="仿宋"/>
          <w:b w:val="0"/>
          <w:color w:val="000000"/>
          <w:sz w:val="32"/>
          <w:szCs w:val="32"/>
        </w:rPr>
        <w:t>万元，完成预算</w:t>
      </w:r>
      <w:r>
        <w:rPr>
          <w:rStyle w:val="14"/>
          <w:rFonts w:ascii="仿宋" w:hAnsi="仿宋" w:eastAsia="仿宋"/>
          <w:b w:val="0"/>
          <w:color w:val="000000"/>
          <w:sz w:val="32"/>
          <w:szCs w:val="32"/>
        </w:rPr>
        <w:t>100%</w:t>
      </w:r>
      <w:r>
        <w:rPr>
          <w:rStyle w:val="14"/>
          <w:rFonts w:hint="eastAsia" w:ascii="仿宋" w:hAnsi="仿宋" w:eastAsia="仿宋"/>
          <w:b w:val="0"/>
          <w:color w:val="000000"/>
          <w:sz w:val="32"/>
          <w:szCs w:val="32"/>
        </w:rPr>
        <w:t>，决算数等于预算数。</w:t>
      </w:r>
      <w:r>
        <w:rPr>
          <w:rStyle w:val="14"/>
          <w:rFonts w:ascii="仿宋" w:hAnsi="仿宋" w:eastAsia="仿宋"/>
          <w:b w:val="0"/>
          <w:color w:val="000000"/>
          <w:sz w:val="32"/>
          <w:szCs w:val="32"/>
        </w:rPr>
        <w:t xml:space="preserve">  </w:t>
      </w:r>
    </w:p>
    <w:p>
      <w:pPr>
        <w:spacing w:line="600" w:lineRule="exact"/>
        <w:ind w:firstLine="640" w:firstLineChars="200"/>
        <w:rPr>
          <w:rStyle w:val="14"/>
          <w:rFonts w:ascii="仿宋" w:hAnsi="仿宋" w:eastAsia="仿宋"/>
          <w:b w:val="0"/>
          <w:color w:val="000000"/>
          <w:sz w:val="32"/>
          <w:szCs w:val="32"/>
        </w:rPr>
      </w:pPr>
      <w:r>
        <w:rPr>
          <w:rStyle w:val="14"/>
          <w:rFonts w:ascii="仿宋" w:hAnsi="仿宋" w:eastAsia="仿宋"/>
          <w:b w:val="0"/>
          <w:color w:val="000000"/>
          <w:sz w:val="32"/>
          <w:szCs w:val="32"/>
        </w:rPr>
        <w:t>3.</w:t>
      </w:r>
      <w:r>
        <w:rPr>
          <w:rStyle w:val="14"/>
          <w:rFonts w:hint="eastAsia" w:ascii="仿宋" w:hAnsi="仿宋" w:eastAsia="仿宋"/>
          <w:b w:val="0"/>
          <w:color w:val="000000"/>
          <w:sz w:val="32"/>
          <w:szCs w:val="32"/>
        </w:rPr>
        <w:t>医疗卫生与计划生育（类）行政事业单位医疗（款）行政单位医疗（项）</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支出决算为</w:t>
      </w:r>
      <w:r>
        <w:rPr>
          <w:rStyle w:val="14"/>
          <w:rFonts w:ascii="仿宋" w:hAnsi="仿宋" w:eastAsia="仿宋"/>
          <w:b w:val="0"/>
          <w:color w:val="000000"/>
          <w:sz w:val="32"/>
          <w:szCs w:val="32"/>
        </w:rPr>
        <w:t>1.55</w:t>
      </w:r>
      <w:r>
        <w:rPr>
          <w:rStyle w:val="14"/>
          <w:rFonts w:hint="eastAsia" w:ascii="仿宋" w:hAnsi="仿宋" w:eastAsia="仿宋"/>
          <w:b w:val="0"/>
          <w:color w:val="000000"/>
          <w:sz w:val="32"/>
          <w:szCs w:val="32"/>
        </w:rPr>
        <w:t>万元，完成预算</w:t>
      </w:r>
      <w:r>
        <w:rPr>
          <w:rStyle w:val="14"/>
          <w:rFonts w:ascii="仿宋" w:hAnsi="仿宋" w:eastAsia="仿宋"/>
          <w:b w:val="0"/>
          <w:color w:val="000000"/>
          <w:sz w:val="32"/>
          <w:szCs w:val="32"/>
        </w:rPr>
        <w:t>100%</w:t>
      </w:r>
      <w:r>
        <w:rPr>
          <w:rStyle w:val="14"/>
          <w:rFonts w:hint="eastAsia" w:ascii="仿宋" w:hAnsi="仿宋" w:eastAsia="仿宋"/>
          <w:b w:val="0"/>
          <w:color w:val="000000"/>
          <w:sz w:val="32"/>
          <w:szCs w:val="32"/>
        </w:rPr>
        <w:t>，决算数等于预算数。</w:t>
      </w:r>
    </w:p>
    <w:p>
      <w:pPr>
        <w:spacing w:line="600" w:lineRule="exact"/>
        <w:ind w:firstLine="640" w:firstLineChars="200"/>
        <w:rPr>
          <w:rStyle w:val="14"/>
          <w:rFonts w:ascii="仿宋" w:hAnsi="仿宋" w:eastAsia="仿宋"/>
          <w:b w:val="0"/>
          <w:color w:val="000000"/>
          <w:sz w:val="32"/>
          <w:szCs w:val="32"/>
        </w:rPr>
      </w:pPr>
      <w:r>
        <w:rPr>
          <w:rStyle w:val="14"/>
          <w:rFonts w:ascii="仿宋" w:hAnsi="仿宋" w:eastAsia="仿宋"/>
          <w:b w:val="0"/>
          <w:color w:val="000000"/>
          <w:sz w:val="32"/>
          <w:szCs w:val="32"/>
        </w:rPr>
        <w:t>4.</w:t>
      </w:r>
      <w:r>
        <w:rPr>
          <w:rStyle w:val="14"/>
          <w:rFonts w:hint="eastAsia" w:ascii="仿宋" w:hAnsi="仿宋" w:eastAsia="仿宋"/>
          <w:b w:val="0"/>
          <w:color w:val="000000"/>
          <w:sz w:val="32"/>
          <w:szCs w:val="32"/>
        </w:rPr>
        <w:t>农林水（类）扶贫（款）其他扶贫（项）支出决算为</w:t>
      </w:r>
      <w:r>
        <w:rPr>
          <w:rStyle w:val="14"/>
          <w:rFonts w:ascii="仿宋" w:hAnsi="仿宋" w:eastAsia="仿宋"/>
          <w:b w:val="0"/>
          <w:color w:val="000000"/>
          <w:sz w:val="32"/>
          <w:szCs w:val="32"/>
        </w:rPr>
        <w:t>0.91</w:t>
      </w:r>
      <w:r>
        <w:rPr>
          <w:rStyle w:val="14"/>
          <w:rFonts w:hint="eastAsia" w:ascii="仿宋" w:hAnsi="仿宋" w:eastAsia="仿宋"/>
          <w:b w:val="0"/>
          <w:color w:val="000000"/>
          <w:sz w:val="32"/>
          <w:szCs w:val="32"/>
        </w:rPr>
        <w:t>万元，完成预算</w:t>
      </w:r>
      <w:r>
        <w:rPr>
          <w:rStyle w:val="14"/>
          <w:rFonts w:ascii="仿宋" w:hAnsi="仿宋" w:eastAsia="仿宋"/>
          <w:b w:val="0"/>
          <w:color w:val="000000"/>
          <w:sz w:val="32"/>
          <w:szCs w:val="32"/>
        </w:rPr>
        <w:t>100%</w:t>
      </w:r>
      <w:r>
        <w:rPr>
          <w:rStyle w:val="14"/>
          <w:rFonts w:hint="eastAsia" w:ascii="仿宋" w:hAnsi="仿宋" w:eastAsia="仿宋"/>
          <w:b w:val="0"/>
          <w:color w:val="000000"/>
          <w:sz w:val="32"/>
          <w:szCs w:val="32"/>
        </w:rPr>
        <w:t>，决算数等于预算数。</w:t>
      </w:r>
    </w:p>
    <w:p>
      <w:pPr>
        <w:spacing w:line="600" w:lineRule="exact"/>
        <w:ind w:firstLine="640" w:firstLineChars="200"/>
        <w:rPr>
          <w:rFonts w:ascii="仿宋" w:hAnsi="仿宋" w:eastAsia="仿宋"/>
          <w:color w:val="000000"/>
          <w:sz w:val="32"/>
          <w:szCs w:val="32"/>
        </w:rPr>
      </w:pPr>
      <w:r>
        <w:rPr>
          <w:rStyle w:val="14"/>
          <w:rFonts w:ascii="仿宋" w:hAnsi="仿宋" w:eastAsia="仿宋"/>
          <w:b w:val="0"/>
          <w:color w:val="000000"/>
          <w:sz w:val="32"/>
          <w:szCs w:val="32"/>
        </w:rPr>
        <w:t>5.</w:t>
      </w:r>
      <w:r>
        <w:rPr>
          <w:rStyle w:val="14"/>
          <w:rFonts w:hint="eastAsia" w:ascii="仿宋" w:hAnsi="仿宋" w:eastAsia="仿宋"/>
          <w:b w:val="0"/>
          <w:color w:val="000000"/>
          <w:sz w:val="32"/>
          <w:szCs w:val="32"/>
        </w:rPr>
        <w:t>住房保障（类）住房改革（款）住房公积金（项）</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支出决算为</w:t>
      </w:r>
      <w:r>
        <w:rPr>
          <w:rStyle w:val="14"/>
          <w:rFonts w:ascii="仿宋" w:hAnsi="仿宋" w:eastAsia="仿宋"/>
          <w:b w:val="0"/>
          <w:color w:val="000000"/>
          <w:sz w:val="32"/>
          <w:szCs w:val="32"/>
        </w:rPr>
        <w:t>2.57</w:t>
      </w:r>
      <w:r>
        <w:rPr>
          <w:rStyle w:val="14"/>
          <w:rFonts w:hint="eastAsia" w:ascii="仿宋" w:hAnsi="仿宋" w:eastAsia="仿宋"/>
          <w:b w:val="0"/>
          <w:color w:val="000000"/>
          <w:sz w:val="32"/>
          <w:szCs w:val="32"/>
        </w:rPr>
        <w:t>万元，完成预算</w:t>
      </w:r>
      <w:r>
        <w:rPr>
          <w:rStyle w:val="14"/>
          <w:rFonts w:ascii="仿宋" w:hAnsi="仿宋" w:eastAsia="仿宋"/>
          <w:b w:val="0"/>
          <w:color w:val="000000"/>
          <w:sz w:val="32"/>
          <w:szCs w:val="32"/>
        </w:rPr>
        <w:t>100%</w:t>
      </w:r>
      <w:r>
        <w:rPr>
          <w:rStyle w:val="14"/>
          <w:rFonts w:hint="eastAsia" w:ascii="仿宋" w:hAnsi="仿宋" w:eastAsia="仿宋"/>
          <w:b w:val="0"/>
          <w:color w:val="000000"/>
          <w:sz w:val="32"/>
          <w:szCs w:val="32"/>
        </w:rPr>
        <w:t>，决算数等于预算数。</w:t>
      </w:r>
    </w:p>
    <w:p>
      <w:pPr>
        <w:tabs>
          <w:tab w:val="right" w:pos="8306"/>
        </w:tabs>
        <w:spacing w:line="600" w:lineRule="exact"/>
        <w:ind w:firstLine="640" w:firstLineChars="200"/>
        <w:outlineLvl w:val="1"/>
        <w:rPr>
          <w:rStyle w:val="18"/>
        </w:rPr>
      </w:pPr>
      <w:bookmarkStart w:id="38" w:name="_Toc15396608"/>
      <w:bookmarkStart w:id="3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38"/>
      <w:bookmarkEnd w:id="39"/>
      <w:r>
        <w:rPr>
          <w:rStyle w:val="1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89.85</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82.65</w:t>
      </w:r>
      <w:r>
        <w:rPr>
          <w:rFonts w:hint="eastAsia" w:ascii="仿宋" w:hAnsi="仿宋" w:eastAsia="仿宋"/>
          <w:color w:val="000000"/>
          <w:sz w:val="32"/>
          <w:szCs w:val="32"/>
        </w:rPr>
        <w:t>万元，主要包括：基本工资</w:t>
      </w:r>
      <w:r>
        <w:rPr>
          <w:rFonts w:ascii="仿宋" w:hAnsi="仿宋" w:eastAsia="仿宋"/>
          <w:color w:val="000000"/>
          <w:sz w:val="32"/>
          <w:szCs w:val="32"/>
        </w:rPr>
        <w:t>32.66</w:t>
      </w:r>
      <w:r>
        <w:rPr>
          <w:rFonts w:hint="eastAsia" w:ascii="仿宋" w:hAnsi="仿宋" w:eastAsia="仿宋"/>
          <w:color w:val="000000"/>
          <w:sz w:val="32"/>
          <w:szCs w:val="32"/>
        </w:rPr>
        <w:t>万元、津贴补贴</w:t>
      </w:r>
      <w:r>
        <w:rPr>
          <w:rFonts w:ascii="仿宋" w:hAnsi="仿宋" w:eastAsia="仿宋"/>
          <w:color w:val="000000"/>
          <w:sz w:val="32"/>
          <w:szCs w:val="32"/>
        </w:rPr>
        <w:t>20.24</w:t>
      </w:r>
      <w:r>
        <w:rPr>
          <w:rFonts w:hint="eastAsia" w:ascii="仿宋" w:hAnsi="仿宋" w:eastAsia="仿宋"/>
          <w:color w:val="000000"/>
          <w:sz w:val="32"/>
          <w:szCs w:val="32"/>
        </w:rPr>
        <w:t>万元、奖金</w:t>
      </w:r>
      <w:r>
        <w:rPr>
          <w:rFonts w:ascii="仿宋" w:hAnsi="仿宋" w:eastAsia="仿宋"/>
          <w:color w:val="000000"/>
          <w:sz w:val="32"/>
          <w:szCs w:val="32"/>
        </w:rPr>
        <w:t>1.02</w:t>
      </w:r>
      <w:r>
        <w:rPr>
          <w:rFonts w:hint="eastAsia" w:ascii="仿宋" w:hAnsi="仿宋" w:eastAsia="仿宋"/>
          <w:color w:val="000000"/>
          <w:sz w:val="32"/>
          <w:szCs w:val="32"/>
        </w:rPr>
        <w:t>万元、伙食补助费</w:t>
      </w:r>
      <w:r>
        <w:rPr>
          <w:rFonts w:ascii="仿宋" w:hAnsi="仿宋" w:eastAsia="仿宋"/>
          <w:color w:val="000000"/>
          <w:sz w:val="32"/>
          <w:szCs w:val="32"/>
        </w:rPr>
        <w:t>0</w:t>
      </w:r>
      <w:r>
        <w:rPr>
          <w:rFonts w:hint="eastAsia" w:ascii="仿宋" w:hAnsi="仿宋" w:eastAsia="仿宋"/>
          <w:color w:val="000000"/>
          <w:sz w:val="32"/>
          <w:szCs w:val="32"/>
        </w:rPr>
        <w:t>万元、绩效工资</w:t>
      </w:r>
      <w:r>
        <w:rPr>
          <w:rFonts w:ascii="仿宋" w:hAnsi="仿宋" w:eastAsia="仿宋"/>
          <w:color w:val="000000"/>
          <w:sz w:val="32"/>
          <w:szCs w:val="32"/>
        </w:rPr>
        <w:t>3.26</w:t>
      </w:r>
      <w:r>
        <w:rPr>
          <w:rFonts w:hint="eastAsia" w:ascii="仿宋" w:hAnsi="仿宋" w:eastAsia="仿宋"/>
          <w:color w:val="000000"/>
          <w:sz w:val="32"/>
          <w:szCs w:val="32"/>
        </w:rPr>
        <w:t>万元、机关事业单位基本养老保险缴费</w:t>
      </w:r>
      <w:r>
        <w:rPr>
          <w:rFonts w:ascii="仿宋" w:hAnsi="仿宋" w:eastAsia="仿宋"/>
          <w:color w:val="000000"/>
          <w:sz w:val="32"/>
          <w:szCs w:val="32"/>
        </w:rPr>
        <w:t>7.38</w:t>
      </w:r>
      <w:r>
        <w:rPr>
          <w:rFonts w:hint="eastAsia" w:ascii="仿宋" w:hAnsi="仿宋" w:eastAsia="仿宋"/>
          <w:color w:val="000000"/>
          <w:sz w:val="32"/>
          <w:szCs w:val="32"/>
        </w:rPr>
        <w:t>万元、职业年金缴费</w:t>
      </w:r>
      <w:r>
        <w:rPr>
          <w:rFonts w:ascii="仿宋" w:hAnsi="仿宋" w:eastAsia="仿宋"/>
          <w:color w:val="000000"/>
          <w:sz w:val="32"/>
          <w:szCs w:val="32"/>
        </w:rPr>
        <w:t>0</w:t>
      </w:r>
      <w:r>
        <w:rPr>
          <w:rFonts w:hint="eastAsia" w:ascii="仿宋" w:hAnsi="仿宋" w:eastAsia="仿宋"/>
          <w:color w:val="000000"/>
          <w:sz w:val="32"/>
          <w:szCs w:val="32"/>
        </w:rPr>
        <w:t>万元、其他社会保障缴费</w:t>
      </w:r>
      <w:r>
        <w:rPr>
          <w:rFonts w:ascii="仿宋" w:hAnsi="仿宋" w:eastAsia="仿宋"/>
          <w:color w:val="000000"/>
          <w:sz w:val="32"/>
          <w:szCs w:val="32"/>
        </w:rPr>
        <w:t>2.46</w:t>
      </w:r>
      <w:r>
        <w:rPr>
          <w:rFonts w:hint="eastAsia" w:ascii="仿宋" w:hAnsi="仿宋" w:eastAsia="仿宋"/>
          <w:color w:val="000000"/>
          <w:sz w:val="32"/>
          <w:szCs w:val="32"/>
        </w:rPr>
        <w:t>万元、其他工资福利支出</w:t>
      </w:r>
      <w:r>
        <w:rPr>
          <w:rFonts w:ascii="仿宋" w:hAnsi="仿宋" w:eastAsia="仿宋"/>
          <w:color w:val="000000"/>
          <w:sz w:val="32"/>
          <w:szCs w:val="32"/>
        </w:rPr>
        <w:t>11.46</w:t>
      </w:r>
      <w:r>
        <w:rPr>
          <w:rFonts w:hint="eastAsia" w:ascii="仿宋" w:hAnsi="仿宋" w:eastAsia="仿宋"/>
          <w:color w:val="000000"/>
          <w:sz w:val="32"/>
          <w:szCs w:val="32"/>
        </w:rPr>
        <w:t>万元、离休费</w:t>
      </w:r>
      <w:r>
        <w:rPr>
          <w:rFonts w:ascii="仿宋" w:hAnsi="仿宋" w:eastAsia="仿宋"/>
          <w:color w:val="000000"/>
          <w:sz w:val="32"/>
          <w:szCs w:val="32"/>
        </w:rPr>
        <w:t>0</w:t>
      </w:r>
      <w:r>
        <w:rPr>
          <w:rFonts w:hint="eastAsia" w:ascii="仿宋" w:hAnsi="仿宋" w:eastAsia="仿宋"/>
          <w:color w:val="000000"/>
          <w:sz w:val="32"/>
          <w:szCs w:val="32"/>
        </w:rPr>
        <w:t>万元、退休费</w:t>
      </w:r>
      <w:r>
        <w:rPr>
          <w:rFonts w:ascii="仿宋" w:hAnsi="仿宋" w:eastAsia="仿宋"/>
          <w:color w:val="000000"/>
          <w:sz w:val="32"/>
          <w:szCs w:val="32"/>
        </w:rPr>
        <w:t>0</w:t>
      </w:r>
      <w:r>
        <w:rPr>
          <w:rFonts w:hint="eastAsia" w:ascii="仿宋" w:hAnsi="仿宋" w:eastAsia="仿宋"/>
          <w:color w:val="000000"/>
          <w:sz w:val="32"/>
          <w:szCs w:val="32"/>
        </w:rPr>
        <w:t>万元、抚恤金</w:t>
      </w:r>
      <w:r>
        <w:rPr>
          <w:rFonts w:ascii="仿宋" w:hAnsi="仿宋" w:eastAsia="仿宋"/>
          <w:color w:val="000000"/>
          <w:sz w:val="32"/>
          <w:szCs w:val="32"/>
        </w:rPr>
        <w:t>0</w:t>
      </w:r>
      <w:r>
        <w:rPr>
          <w:rFonts w:hint="eastAsia" w:ascii="仿宋" w:hAnsi="仿宋" w:eastAsia="仿宋"/>
          <w:color w:val="000000"/>
          <w:sz w:val="32"/>
          <w:szCs w:val="32"/>
        </w:rPr>
        <w:t>万元、生活补助</w:t>
      </w:r>
      <w:r>
        <w:rPr>
          <w:rFonts w:ascii="仿宋" w:hAnsi="仿宋" w:eastAsia="仿宋"/>
          <w:color w:val="000000"/>
          <w:sz w:val="32"/>
          <w:szCs w:val="32"/>
        </w:rPr>
        <w:t>0.15</w:t>
      </w:r>
      <w:r>
        <w:rPr>
          <w:rFonts w:hint="eastAsia" w:ascii="仿宋" w:hAnsi="仿宋" w:eastAsia="仿宋"/>
          <w:color w:val="000000"/>
          <w:sz w:val="32"/>
          <w:szCs w:val="32"/>
        </w:rPr>
        <w:t>万元、医疗费</w:t>
      </w:r>
      <w:r>
        <w:rPr>
          <w:rFonts w:ascii="仿宋" w:hAnsi="仿宋" w:eastAsia="仿宋"/>
          <w:color w:val="000000"/>
          <w:sz w:val="32"/>
          <w:szCs w:val="32"/>
        </w:rPr>
        <w:t>0</w:t>
      </w:r>
      <w:r>
        <w:rPr>
          <w:rFonts w:hint="eastAsia" w:ascii="仿宋" w:hAnsi="仿宋" w:eastAsia="仿宋"/>
          <w:color w:val="000000"/>
          <w:sz w:val="32"/>
          <w:szCs w:val="32"/>
        </w:rPr>
        <w:t>万元、奖励金</w:t>
      </w:r>
      <w:r>
        <w:rPr>
          <w:rFonts w:ascii="仿宋" w:hAnsi="仿宋" w:eastAsia="仿宋"/>
          <w:color w:val="000000"/>
          <w:sz w:val="32"/>
          <w:szCs w:val="32"/>
        </w:rPr>
        <w:t>0.02</w:t>
      </w:r>
      <w:r>
        <w:rPr>
          <w:rFonts w:hint="eastAsia" w:ascii="仿宋" w:hAnsi="仿宋" w:eastAsia="仿宋"/>
          <w:color w:val="000000"/>
          <w:sz w:val="32"/>
          <w:szCs w:val="32"/>
        </w:rPr>
        <w:t>万元、住房公积金</w:t>
      </w:r>
      <w:r>
        <w:rPr>
          <w:rFonts w:ascii="仿宋" w:hAnsi="仿宋" w:eastAsia="仿宋"/>
          <w:color w:val="000000"/>
          <w:sz w:val="32"/>
          <w:szCs w:val="32"/>
        </w:rPr>
        <w:t>4.17</w:t>
      </w:r>
      <w:r>
        <w:rPr>
          <w:rFonts w:hint="eastAsia" w:ascii="仿宋" w:hAnsi="仿宋" w:eastAsia="仿宋"/>
          <w:color w:val="000000"/>
          <w:sz w:val="32"/>
          <w:szCs w:val="32"/>
        </w:rPr>
        <w:t>万元、提租补贴</w:t>
      </w:r>
      <w:r>
        <w:rPr>
          <w:rFonts w:ascii="仿宋" w:hAnsi="仿宋" w:eastAsia="仿宋"/>
          <w:color w:val="000000"/>
          <w:sz w:val="32"/>
          <w:szCs w:val="32"/>
        </w:rPr>
        <w:t>0</w:t>
      </w:r>
      <w:r>
        <w:rPr>
          <w:rFonts w:hint="eastAsia" w:ascii="仿宋" w:hAnsi="仿宋" w:eastAsia="仿宋"/>
          <w:color w:val="000000"/>
          <w:sz w:val="32"/>
          <w:szCs w:val="32"/>
        </w:rPr>
        <w:t>万元、购房补贴</w:t>
      </w:r>
      <w:r>
        <w:rPr>
          <w:rFonts w:ascii="仿宋" w:hAnsi="仿宋" w:eastAsia="仿宋"/>
          <w:color w:val="000000"/>
          <w:sz w:val="32"/>
          <w:szCs w:val="32"/>
        </w:rPr>
        <w:t>0</w:t>
      </w:r>
      <w:r>
        <w:rPr>
          <w:rFonts w:hint="eastAsia" w:ascii="仿宋" w:hAnsi="仿宋" w:eastAsia="仿宋"/>
          <w:color w:val="000000"/>
          <w:sz w:val="32"/>
          <w:szCs w:val="32"/>
        </w:rPr>
        <w:t>万元、其他对个人和家庭的补助支出</w:t>
      </w:r>
      <w:r>
        <w:rPr>
          <w:rFonts w:ascii="仿宋" w:hAnsi="仿宋" w:eastAsia="仿宋"/>
          <w:color w:val="000000"/>
          <w:sz w:val="32"/>
          <w:szCs w:val="32"/>
        </w:rPr>
        <w:t>0</w:t>
      </w:r>
      <w:r>
        <w:rPr>
          <w:rFonts w:hint="eastAsia" w:ascii="仿宋" w:hAnsi="仿宋" w:eastAsia="仿宋"/>
          <w:color w:val="000000"/>
          <w:sz w:val="32"/>
          <w:szCs w:val="32"/>
        </w:rPr>
        <w:t>万元等。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7.02</w:t>
      </w:r>
      <w:r>
        <w:rPr>
          <w:rFonts w:hint="eastAsia" w:ascii="仿宋" w:hAnsi="仿宋" w:eastAsia="仿宋"/>
          <w:color w:val="000000"/>
          <w:sz w:val="32"/>
          <w:szCs w:val="32"/>
        </w:rPr>
        <w:t>万元，主要包括：办公费</w:t>
      </w:r>
      <w:r>
        <w:rPr>
          <w:rFonts w:ascii="仿宋" w:hAnsi="仿宋" w:eastAsia="仿宋"/>
          <w:color w:val="000000"/>
          <w:sz w:val="32"/>
          <w:szCs w:val="32"/>
        </w:rPr>
        <w:t>0.83</w:t>
      </w:r>
      <w:r>
        <w:rPr>
          <w:rFonts w:hint="eastAsia" w:ascii="仿宋" w:hAnsi="仿宋" w:eastAsia="仿宋"/>
          <w:color w:val="000000"/>
          <w:sz w:val="32"/>
          <w:szCs w:val="32"/>
        </w:rPr>
        <w:t>万元、印刷费</w:t>
      </w:r>
      <w:r>
        <w:rPr>
          <w:rFonts w:ascii="仿宋" w:hAnsi="仿宋" w:eastAsia="仿宋"/>
          <w:color w:val="000000"/>
          <w:sz w:val="32"/>
          <w:szCs w:val="32"/>
        </w:rPr>
        <w:t>0.59</w:t>
      </w:r>
      <w:r>
        <w:rPr>
          <w:rFonts w:hint="eastAsia" w:ascii="仿宋" w:hAnsi="仿宋" w:eastAsia="仿宋"/>
          <w:color w:val="000000"/>
          <w:sz w:val="32"/>
          <w:szCs w:val="32"/>
        </w:rPr>
        <w:t>万元、咨询费</w:t>
      </w:r>
      <w:r>
        <w:rPr>
          <w:rFonts w:ascii="仿宋" w:hAnsi="仿宋" w:eastAsia="仿宋"/>
          <w:color w:val="000000"/>
          <w:sz w:val="32"/>
          <w:szCs w:val="32"/>
        </w:rPr>
        <w:t>0</w:t>
      </w:r>
      <w:r>
        <w:rPr>
          <w:rFonts w:hint="eastAsia" w:ascii="仿宋" w:hAnsi="仿宋" w:eastAsia="仿宋"/>
          <w:color w:val="000000"/>
          <w:sz w:val="32"/>
          <w:szCs w:val="32"/>
        </w:rPr>
        <w:t>万元、手续费</w:t>
      </w:r>
      <w:r>
        <w:rPr>
          <w:rFonts w:ascii="仿宋" w:hAnsi="仿宋" w:eastAsia="仿宋"/>
          <w:color w:val="000000"/>
          <w:sz w:val="32"/>
          <w:szCs w:val="32"/>
        </w:rPr>
        <w:t>0.12</w:t>
      </w:r>
      <w:r>
        <w:rPr>
          <w:rFonts w:hint="eastAsia" w:ascii="仿宋" w:hAnsi="仿宋" w:eastAsia="仿宋"/>
          <w:color w:val="000000"/>
          <w:sz w:val="32"/>
          <w:szCs w:val="32"/>
        </w:rPr>
        <w:t>万元、水费</w:t>
      </w:r>
      <w:r>
        <w:rPr>
          <w:rFonts w:ascii="仿宋" w:hAnsi="仿宋" w:eastAsia="仿宋"/>
          <w:color w:val="000000"/>
          <w:sz w:val="32"/>
          <w:szCs w:val="32"/>
        </w:rPr>
        <w:t>0.15</w:t>
      </w:r>
      <w:r>
        <w:rPr>
          <w:rFonts w:hint="eastAsia" w:ascii="仿宋" w:hAnsi="仿宋" w:eastAsia="仿宋"/>
          <w:color w:val="000000"/>
          <w:sz w:val="32"/>
          <w:szCs w:val="32"/>
        </w:rPr>
        <w:t>万元、电费</w:t>
      </w:r>
      <w:r>
        <w:rPr>
          <w:rFonts w:ascii="仿宋" w:hAnsi="仿宋" w:eastAsia="仿宋"/>
          <w:color w:val="000000"/>
          <w:sz w:val="32"/>
          <w:szCs w:val="32"/>
        </w:rPr>
        <w:t>0</w:t>
      </w:r>
      <w:r>
        <w:rPr>
          <w:rFonts w:hint="eastAsia" w:ascii="仿宋" w:hAnsi="仿宋" w:eastAsia="仿宋"/>
          <w:color w:val="000000"/>
          <w:sz w:val="32"/>
          <w:szCs w:val="32"/>
        </w:rPr>
        <w:t>万元、邮电费</w:t>
      </w:r>
      <w:r>
        <w:rPr>
          <w:rFonts w:ascii="仿宋" w:hAnsi="仿宋" w:eastAsia="仿宋"/>
          <w:color w:val="000000"/>
          <w:sz w:val="32"/>
          <w:szCs w:val="32"/>
        </w:rPr>
        <w:t>0.31</w:t>
      </w:r>
      <w:r>
        <w:rPr>
          <w:rFonts w:hint="eastAsia" w:ascii="仿宋" w:hAnsi="仿宋" w:eastAsia="仿宋"/>
          <w:color w:val="000000"/>
          <w:sz w:val="32"/>
          <w:szCs w:val="32"/>
        </w:rPr>
        <w:t>万元、取暖费</w:t>
      </w:r>
      <w:r>
        <w:rPr>
          <w:rFonts w:ascii="仿宋" w:hAnsi="仿宋" w:eastAsia="仿宋"/>
          <w:color w:val="000000"/>
          <w:sz w:val="32"/>
          <w:szCs w:val="32"/>
        </w:rPr>
        <w:t>0</w:t>
      </w:r>
      <w:r>
        <w:rPr>
          <w:rFonts w:hint="eastAsia" w:ascii="仿宋" w:hAnsi="仿宋" w:eastAsia="仿宋"/>
          <w:color w:val="000000"/>
          <w:sz w:val="32"/>
          <w:szCs w:val="32"/>
        </w:rPr>
        <w:t>万元、物业管理费</w:t>
      </w:r>
      <w:r>
        <w:rPr>
          <w:rFonts w:ascii="仿宋" w:hAnsi="仿宋" w:eastAsia="仿宋"/>
          <w:color w:val="000000"/>
          <w:sz w:val="32"/>
          <w:szCs w:val="32"/>
        </w:rPr>
        <w:t>0.01</w:t>
      </w:r>
      <w:r>
        <w:rPr>
          <w:rFonts w:hint="eastAsia" w:ascii="仿宋" w:hAnsi="仿宋" w:eastAsia="仿宋"/>
          <w:color w:val="000000"/>
          <w:sz w:val="32"/>
          <w:szCs w:val="32"/>
        </w:rPr>
        <w:t>万元、差旅费</w:t>
      </w:r>
      <w:r>
        <w:rPr>
          <w:rFonts w:ascii="仿宋" w:hAnsi="仿宋" w:eastAsia="仿宋"/>
          <w:color w:val="000000"/>
          <w:sz w:val="32"/>
          <w:szCs w:val="32"/>
        </w:rPr>
        <w:t>0.25</w:t>
      </w:r>
      <w:r>
        <w:rPr>
          <w:rFonts w:hint="eastAsia" w:ascii="仿宋" w:hAnsi="仿宋" w:eastAsia="仿宋"/>
          <w:color w:val="000000"/>
          <w:sz w:val="32"/>
          <w:szCs w:val="32"/>
        </w:rPr>
        <w:t>万元、因公出国（境）费用</w:t>
      </w:r>
      <w:r>
        <w:rPr>
          <w:rFonts w:ascii="仿宋" w:hAnsi="仿宋" w:eastAsia="仿宋"/>
          <w:color w:val="000000"/>
          <w:sz w:val="32"/>
          <w:szCs w:val="32"/>
        </w:rPr>
        <w:t>0</w:t>
      </w:r>
      <w:r>
        <w:rPr>
          <w:rFonts w:hint="eastAsia" w:ascii="仿宋" w:hAnsi="仿宋" w:eastAsia="仿宋"/>
          <w:color w:val="000000"/>
          <w:sz w:val="32"/>
          <w:szCs w:val="32"/>
        </w:rPr>
        <w:t>万元、维修（护）费</w:t>
      </w:r>
      <w:r>
        <w:rPr>
          <w:rFonts w:ascii="仿宋" w:hAnsi="仿宋" w:eastAsia="仿宋"/>
          <w:color w:val="000000"/>
          <w:sz w:val="32"/>
          <w:szCs w:val="32"/>
        </w:rPr>
        <w:t>0.13</w:t>
      </w:r>
      <w:r>
        <w:rPr>
          <w:rFonts w:hint="eastAsia" w:ascii="仿宋" w:hAnsi="仿宋" w:eastAsia="仿宋"/>
          <w:color w:val="000000"/>
          <w:sz w:val="32"/>
          <w:szCs w:val="32"/>
        </w:rPr>
        <w:t>万元、租赁费</w:t>
      </w:r>
      <w:r>
        <w:rPr>
          <w:rFonts w:ascii="仿宋" w:hAnsi="仿宋" w:eastAsia="仿宋"/>
          <w:color w:val="000000"/>
          <w:sz w:val="32"/>
          <w:szCs w:val="32"/>
        </w:rPr>
        <w:t>0</w:t>
      </w:r>
      <w:r>
        <w:rPr>
          <w:rFonts w:hint="eastAsia" w:ascii="仿宋" w:hAnsi="仿宋" w:eastAsia="仿宋"/>
          <w:color w:val="000000"/>
          <w:sz w:val="32"/>
          <w:szCs w:val="32"/>
        </w:rPr>
        <w:t>万元、会议费</w:t>
      </w:r>
      <w:r>
        <w:rPr>
          <w:rFonts w:ascii="仿宋" w:hAnsi="仿宋" w:eastAsia="仿宋"/>
          <w:color w:val="000000"/>
          <w:sz w:val="32"/>
          <w:szCs w:val="32"/>
        </w:rPr>
        <w:t>0.03</w:t>
      </w:r>
      <w:r>
        <w:rPr>
          <w:rFonts w:hint="eastAsia" w:ascii="仿宋" w:hAnsi="仿宋" w:eastAsia="仿宋"/>
          <w:color w:val="000000"/>
          <w:sz w:val="32"/>
          <w:szCs w:val="32"/>
        </w:rPr>
        <w:t>万元、培训费</w:t>
      </w:r>
      <w:r>
        <w:rPr>
          <w:rFonts w:ascii="仿宋" w:hAnsi="仿宋" w:eastAsia="仿宋"/>
          <w:color w:val="000000"/>
          <w:sz w:val="32"/>
          <w:szCs w:val="32"/>
        </w:rPr>
        <w:t>0.19</w:t>
      </w:r>
      <w:r>
        <w:rPr>
          <w:rFonts w:hint="eastAsia" w:ascii="仿宋" w:hAnsi="仿宋" w:eastAsia="仿宋"/>
          <w:color w:val="000000"/>
          <w:sz w:val="32"/>
          <w:szCs w:val="32"/>
        </w:rPr>
        <w:t>万元、公务接待费</w:t>
      </w:r>
      <w:r>
        <w:rPr>
          <w:rFonts w:ascii="仿宋" w:hAnsi="仿宋" w:eastAsia="仿宋"/>
          <w:color w:val="000000"/>
          <w:sz w:val="32"/>
          <w:szCs w:val="32"/>
        </w:rPr>
        <w:t>1.19</w:t>
      </w:r>
      <w:r>
        <w:rPr>
          <w:rFonts w:hint="eastAsia" w:ascii="仿宋" w:hAnsi="仿宋" w:eastAsia="仿宋"/>
          <w:color w:val="000000"/>
          <w:sz w:val="32"/>
          <w:szCs w:val="32"/>
        </w:rPr>
        <w:t>万元、劳务费</w:t>
      </w:r>
      <w:r>
        <w:rPr>
          <w:rFonts w:ascii="仿宋" w:hAnsi="仿宋" w:eastAsia="仿宋"/>
          <w:color w:val="000000"/>
          <w:sz w:val="32"/>
          <w:szCs w:val="32"/>
        </w:rPr>
        <w:t>0.17</w:t>
      </w:r>
      <w:r>
        <w:rPr>
          <w:rFonts w:hint="eastAsia" w:ascii="仿宋" w:hAnsi="仿宋" w:eastAsia="仿宋"/>
          <w:color w:val="000000"/>
          <w:sz w:val="32"/>
          <w:szCs w:val="32"/>
        </w:rPr>
        <w:t>万元、委托业务费</w:t>
      </w:r>
      <w:r>
        <w:rPr>
          <w:rFonts w:ascii="仿宋" w:hAnsi="仿宋" w:eastAsia="仿宋"/>
          <w:color w:val="000000"/>
          <w:sz w:val="32"/>
          <w:szCs w:val="32"/>
        </w:rPr>
        <w:t>0</w:t>
      </w:r>
      <w:r>
        <w:rPr>
          <w:rFonts w:hint="eastAsia" w:ascii="仿宋" w:hAnsi="仿宋" w:eastAsia="仿宋"/>
          <w:color w:val="000000"/>
          <w:sz w:val="32"/>
          <w:szCs w:val="32"/>
        </w:rPr>
        <w:t>万元、工会经费</w:t>
      </w:r>
      <w:r>
        <w:rPr>
          <w:rFonts w:ascii="仿宋" w:hAnsi="仿宋" w:eastAsia="仿宋"/>
          <w:color w:val="000000"/>
          <w:sz w:val="32"/>
          <w:szCs w:val="32"/>
        </w:rPr>
        <w:t>0.56</w:t>
      </w:r>
      <w:r>
        <w:rPr>
          <w:rFonts w:hint="eastAsia" w:ascii="仿宋" w:hAnsi="仿宋" w:eastAsia="仿宋"/>
          <w:color w:val="000000"/>
          <w:sz w:val="32"/>
          <w:szCs w:val="32"/>
        </w:rPr>
        <w:t>万元、福利费</w:t>
      </w:r>
      <w:r>
        <w:rPr>
          <w:rFonts w:ascii="仿宋" w:hAnsi="仿宋" w:eastAsia="仿宋"/>
          <w:color w:val="000000"/>
          <w:sz w:val="32"/>
          <w:szCs w:val="32"/>
        </w:rPr>
        <w:t>0.15</w:t>
      </w:r>
      <w:r>
        <w:rPr>
          <w:rFonts w:hint="eastAsia" w:ascii="仿宋" w:hAnsi="仿宋" w:eastAsia="仿宋"/>
          <w:color w:val="000000"/>
          <w:sz w:val="32"/>
          <w:szCs w:val="32"/>
        </w:rPr>
        <w:t>万元、公务用车运行维护费</w:t>
      </w:r>
      <w:r>
        <w:rPr>
          <w:rFonts w:ascii="仿宋" w:hAnsi="仿宋" w:eastAsia="仿宋"/>
          <w:color w:val="000000"/>
          <w:sz w:val="32"/>
          <w:szCs w:val="32"/>
        </w:rPr>
        <w:t>0</w:t>
      </w:r>
      <w:r>
        <w:rPr>
          <w:rFonts w:hint="eastAsia" w:ascii="仿宋" w:hAnsi="仿宋" w:eastAsia="仿宋"/>
          <w:color w:val="000000"/>
          <w:sz w:val="32"/>
          <w:szCs w:val="32"/>
        </w:rPr>
        <w:t>万元、其他交通费</w:t>
      </w:r>
      <w:r>
        <w:rPr>
          <w:rFonts w:ascii="仿宋" w:hAnsi="仿宋" w:eastAsia="仿宋"/>
          <w:color w:val="000000"/>
          <w:sz w:val="32"/>
          <w:szCs w:val="32"/>
        </w:rPr>
        <w:t>2.34</w:t>
      </w:r>
      <w:r>
        <w:rPr>
          <w:rFonts w:hint="eastAsia" w:ascii="仿宋" w:hAnsi="仿宋" w:eastAsia="仿宋"/>
          <w:color w:val="000000"/>
          <w:sz w:val="32"/>
          <w:szCs w:val="32"/>
        </w:rPr>
        <w:t>万元、税金及附加费用</w:t>
      </w:r>
      <w:r>
        <w:rPr>
          <w:rFonts w:ascii="仿宋" w:hAnsi="仿宋" w:eastAsia="仿宋"/>
          <w:color w:val="000000"/>
          <w:sz w:val="32"/>
          <w:szCs w:val="32"/>
        </w:rPr>
        <w:t>0</w:t>
      </w:r>
      <w:r>
        <w:rPr>
          <w:rFonts w:hint="eastAsia" w:ascii="仿宋" w:hAnsi="仿宋" w:eastAsia="仿宋"/>
          <w:color w:val="000000"/>
          <w:sz w:val="32"/>
          <w:szCs w:val="32"/>
        </w:rPr>
        <w:t>万元、其他商品和服务支出</w:t>
      </w:r>
      <w:r>
        <w:rPr>
          <w:rFonts w:ascii="仿宋" w:hAnsi="仿宋" w:eastAsia="仿宋"/>
          <w:color w:val="000000"/>
          <w:sz w:val="32"/>
          <w:szCs w:val="32"/>
        </w:rPr>
        <w:t>0</w:t>
      </w:r>
      <w:r>
        <w:rPr>
          <w:rFonts w:hint="eastAsia" w:ascii="仿宋" w:hAnsi="仿宋" w:eastAsia="仿宋"/>
          <w:color w:val="000000"/>
          <w:sz w:val="32"/>
          <w:szCs w:val="32"/>
        </w:rPr>
        <w:t>万元、办公设备购置</w:t>
      </w:r>
      <w:r>
        <w:rPr>
          <w:rFonts w:ascii="仿宋" w:hAnsi="仿宋" w:eastAsia="仿宋"/>
          <w:color w:val="000000"/>
          <w:sz w:val="32"/>
          <w:szCs w:val="32"/>
        </w:rPr>
        <w:t>0</w:t>
      </w:r>
      <w:r>
        <w:rPr>
          <w:rFonts w:hint="eastAsia" w:ascii="仿宋" w:hAnsi="仿宋" w:eastAsia="仿宋"/>
          <w:color w:val="000000"/>
          <w:sz w:val="32"/>
          <w:szCs w:val="32"/>
        </w:rPr>
        <w:t>万元、专用设备购置</w:t>
      </w:r>
      <w:r>
        <w:rPr>
          <w:rFonts w:ascii="仿宋" w:hAnsi="仿宋" w:eastAsia="仿宋"/>
          <w:color w:val="000000"/>
          <w:sz w:val="32"/>
          <w:szCs w:val="32"/>
        </w:rPr>
        <w:t>0</w:t>
      </w:r>
      <w:r>
        <w:rPr>
          <w:rFonts w:hint="eastAsia" w:ascii="仿宋" w:hAnsi="仿宋" w:eastAsia="仿宋"/>
          <w:color w:val="000000"/>
          <w:sz w:val="32"/>
          <w:szCs w:val="32"/>
        </w:rPr>
        <w:t>万元、信息网络及软件购置更新</w:t>
      </w:r>
      <w:r>
        <w:rPr>
          <w:rFonts w:ascii="仿宋" w:hAnsi="仿宋" w:eastAsia="仿宋"/>
          <w:color w:val="000000"/>
          <w:sz w:val="32"/>
          <w:szCs w:val="32"/>
        </w:rPr>
        <w:t>0</w:t>
      </w:r>
      <w:r>
        <w:rPr>
          <w:rFonts w:hint="eastAsia" w:ascii="仿宋" w:hAnsi="仿宋" w:eastAsia="仿宋"/>
          <w:color w:val="000000"/>
          <w:sz w:val="32"/>
          <w:szCs w:val="32"/>
        </w:rPr>
        <w:t>万元、其他资本性支出</w:t>
      </w:r>
      <w:r>
        <w:rPr>
          <w:rFonts w:ascii="仿宋" w:hAnsi="仿宋" w:eastAsia="仿宋"/>
          <w:color w:val="000000"/>
          <w:sz w:val="32"/>
          <w:szCs w:val="32"/>
        </w:rPr>
        <w:t>0</w:t>
      </w:r>
      <w:r>
        <w:rPr>
          <w:rFonts w:hint="eastAsia" w:ascii="仿宋" w:hAnsi="仿宋" w:eastAsia="仿宋"/>
          <w:color w:val="000000"/>
          <w:sz w:val="32"/>
          <w:szCs w:val="32"/>
        </w:rPr>
        <w:t>万元等。</w:t>
      </w:r>
    </w:p>
    <w:p>
      <w:pPr>
        <w:spacing w:line="600" w:lineRule="exact"/>
        <w:ind w:firstLine="640" w:firstLineChars="200"/>
        <w:outlineLvl w:val="1"/>
        <w:rPr>
          <w:rStyle w:val="18"/>
          <w:rFonts w:ascii="黑体" w:hAnsi="黑体" w:eastAsia="黑体"/>
          <w:b w:val="0"/>
        </w:rPr>
      </w:pPr>
      <w:bookmarkStart w:id="40" w:name="_Toc15396609"/>
      <w:bookmarkStart w:id="41" w:name="_Toc15377215"/>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1.19</w:t>
      </w:r>
      <w:r>
        <w:rPr>
          <w:rFonts w:hint="eastAsia" w:ascii="仿宋" w:hAnsi="仿宋" w:eastAsia="仿宋"/>
          <w:color w:val="000000"/>
          <w:sz w:val="32"/>
          <w:szCs w:val="32"/>
        </w:rPr>
        <w:t>万元，完成预算</w:t>
      </w:r>
      <w:r>
        <w:rPr>
          <w:rFonts w:ascii="仿宋" w:hAnsi="仿宋" w:eastAsia="仿宋"/>
          <w:color w:val="000000"/>
          <w:sz w:val="32"/>
          <w:szCs w:val="32"/>
        </w:rPr>
        <w:t>99.17%</w:t>
      </w:r>
      <w:r>
        <w:rPr>
          <w:rFonts w:hint="eastAsia" w:ascii="仿宋" w:hAnsi="仿宋" w:eastAsia="仿宋"/>
          <w:color w:val="000000"/>
          <w:sz w:val="32"/>
          <w:szCs w:val="32"/>
        </w:rPr>
        <w:t>，决算数小于预算数主要原因是厉行节约开支。</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w:t>
      </w:r>
      <w:r>
        <w:rPr>
          <w:rFonts w:ascii="仿宋" w:hAnsi="仿宋" w:eastAsia="仿宋"/>
          <w:color w:val="000000"/>
          <w:sz w:val="32"/>
          <w:szCs w:val="32"/>
        </w:rPr>
        <w:t>1.19</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。具体情况如下：</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0</w:t>
      </w:r>
      <w:r>
        <w:rPr>
          <w:rFonts w:hint="eastAsia" w:ascii="仿宋_GB2312" w:eastAsia="仿宋_GB2312"/>
          <w:color w:val="000000"/>
          <w:sz w:val="32"/>
          <w:szCs w:val="32"/>
        </w:rPr>
        <w:t>次，出国（境）</w:t>
      </w:r>
      <w:r>
        <w:rPr>
          <w:rFonts w:ascii="仿宋_GB2312" w:eastAsia="仿宋_GB2312"/>
          <w:color w:val="000000"/>
          <w:sz w:val="32"/>
          <w:szCs w:val="32"/>
        </w:rPr>
        <w:t>0</w:t>
      </w:r>
      <w:r>
        <w:rPr>
          <w:rFonts w:hint="eastAsia" w:ascii="仿宋_GB2312" w:eastAsia="仿宋_GB2312"/>
          <w:color w:val="000000"/>
          <w:sz w:val="32"/>
          <w:szCs w:val="32"/>
        </w:rPr>
        <w:t>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0</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万元，越野车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万元，载客汽车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0</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辆、越野车</w:t>
      </w:r>
      <w:r>
        <w:rPr>
          <w:rFonts w:ascii="仿宋_GB2312" w:eastAsia="仿宋_GB2312"/>
          <w:color w:val="000000"/>
          <w:sz w:val="32"/>
          <w:szCs w:val="32"/>
        </w:rPr>
        <w:t>0</w:t>
      </w:r>
      <w:r>
        <w:rPr>
          <w:rFonts w:hint="eastAsia" w:ascii="仿宋_GB2312" w:eastAsia="仿宋_GB2312"/>
          <w:color w:val="000000"/>
          <w:sz w:val="32"/>
          <w:szCs w:val="32"/>
        </w:rPr>
        <w:t>辆、载客汽车</w:t>
      </w:r>
      <w:r>
        <w:rPr>
          <w:rFonts w:ascii="仿宋_GB2312" w:eastAsia="仿宋_GB2312"/>
          <w:color w:val="000000"/>
          <w:sz w:val="32"/>
          <w:szCs w:val="32"/>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1.19</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99.17%</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w:t>
      </w:r>
      <w:r>
        <w:rPr>
          <w:rFonts w:hint="eastAsia" w:ascii="仿宋" w:hAnsi="仿宋" w:eastAsia="仿宋"/>
          <w:color w:val="000000"/>
          <w:sz w:val="32"/>
          <w:szCs w:val="32"/>
        </w:rPr>
        <w:t>决算数小于预算数主要原因是厉行节约开支</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ascii="仿宋_GB2312" w:eastAsia="仿宋_GB2312"/>
          <w:color w:val="000000"/>
          <w:sz w:val="32"/>
          <w:szCs w:val="32"/>
        </w:rPr>
        <w:t>16</w:t>
      </w:r>
      <w:r>
        <w:rPr>
          <w:rFonts w:hint="eastAsia" w:ascii="仿宋_GB2312" w:eastAsia="仿宋_GB2312"/>
          <w:color w:val="000000"/>
          <w:sz w:val="32"/>
          <w:szCs w:val="32"/>
        </w:rPr>
        <w:t>批次，</w:t>
      </w:r>
      <w:r>
        <w:rPr>
          <w:rFonts w:ascii="仿宋_GB2312" w:eastAsia="仿宋_GB2312"/>
          <w:color w:val="000000"/>
          <w:sz w:val="32"/>
          <w:szCs w:val="32"/>
        </w:rPr>
        <w:t>125</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1.19</w:t>
      </w:r>
      <w:r>
        <w:rPr>
          <w:rFonts w:hint="eastAsia" w:ascii="仿宋_GB2312" w:eastAsia="仿宋_GB2312"/>
          <w:color w:val="000000"/>
          <w:sz w:val="32"/>
          <w:szCs w:val="32"/>
        </w:rPr>
        <w:t>万元，具体内容包括：其他县区党校交流学习。其中：</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仿宋_GB2312" w:eastAsia="仿宋_GB2312"/>
          <w:color w:val="000000"/>
          <w:sz w:val="32"/>
          <w:szCs w:val="32"/>
        </w:rPr>
        <w:t>万元，外事接待</w:t>
      </w:r>
      <w:r>
        <w:rPr>
          <w:rFonts w:ascii="仿宋_GB2312" w:eastAsia="仿宋_GB2312"/>
          <w:color w:val="000000"/>
          <w:sz w:val="32"/>
          <w:szCs w:val="32"/>
        </w:rPr>
        <w:t>0</w:t>
      </w:r>
      <w:r>
        <w:rPr>
          <w:rFonts w:hint="eastAsia" w:ascii="仿宋_GB2312" w:eastAsia="仿宋_GB2312"/>
          <w:color w:val="000000"/>
          <w:sz w:val="32"/>
          <w:szCs w:val="32"/>
        </w:rPr>
        <w:t>批次，</w:t>
      </w:r>
      <w:r>
        <w:rPr>
          <w:rFonts w:ascii="仿宋_GB2312" w:eastAsia="仿宋_GB2312"/>
          <w:color w:val="000000"/>
          <w:sz w:val="32"/>
          <w:szCs w:val="32"/>
        </w:rPr>
        <w:t>0</w:t>
      </w:r>
      <w:r>
        <w:rPr>
          <w:rFonts w:hint="eastAsia" w:ascii="仿宋_GB2312" w:eastAsia="仿宋_GB2312"/>
          <w:color w:val="000000"/>
          <w:sz w:val="32"/>
          <w:szCs w:val="32"/>
        </w:rPr>
        <w:t>人，共计支出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ascii="仿宋" w:hAnsi="仿宋" w:eastAsia="仿宋"/>
          <w:color w:val="000000"/>
          <w:sz w:val="32"/>
          <w:szCs w:val="32"/>
        </w:rPr>
        <w:t>1.02</w:t>
      </w:r>
      <w:r>
        <w:rPr>
          <w:rFonts w:hint="eastAsia" w:ascii="仿宋_GB2312" w:eastAsia="仿宋_GB2312"/>
          <w:color w:val="000000"/>
          <w:sz w:val="32"/>
          <w:szCs w:val="32"/>
        </w:rPr>
        <w:t>万元，主要用于其他县区党校交流学习。</w:t>
      </w:r>
    </w:p>
    <w:p>
      <w:pPr>
        <w:spacing w:line="600" w:lineRule="exact"/>
        <w:ind w:firstLine="640"/>
        <w:rPr>
          <w:rFonts w:ascii="仿宋_GB2312" w:eastAsia="仿宋_GB2312"/>
          <w:color w:val="000000"/>
          <w:sz w:val="32"/>
          <w:szCs w:val="32"/>
        </w:rPr>
      </w:pPr>
    </w:p>
    <w:p>
      <w:pPr>
        <w:spacing w:line="600" w:lineRule="exact"/>
        <w:ind w:firstLine="640"/>
        <w:rPr>
          <w:rFonts w:ascii="仿宋_GB2312" w:eastAsia="仿宋_GB2312"/>
          <w:color w:val="000000"/>
          <w:sz w:val="32"/>
          <w:szCs w:val="32"/>
        </w:rPr>
      </w:pPr>
    </w:p>
    <w:p>
      <w:pPr>
        <w:spacing w:line="600" w:lineRule="exact"/>
        <w:ind w:firstLine="640"/>
        <w:rPr>
          <w:rFonts w:ascii="仿宋_GB2312" w:eastAsia="仿宋_GB2312"/>
          <w:color w:val="000000"/>
          <w:sz w:val="32"/>
          <w:szCs w:val="32"/>
        </w:rPr>
      </w:pPr>
      <w:r>
        <w:pict>
          <v:shape id="_x0000_s1032" o:spid="_x0000_s1032" o:spt="75" type="#_x0000_t75" style="position:absolute;left:0pt;margin-left:84pt;margin-top:16.2pt;height:199pt;width:299.25pt;z-index:251659264;mso-width-relative:page;mso-height-relative:page;" o:ole="t" filled="f" o:preferrelative="t" stroked="f" coordsize="21600,21600">
            <v:path/>
            <v:fill on="f" focussize="0,0"/>
            <v:stroke on="f" joinstyle="miter"/>
            <v:imagedata r:id="rId19" o:title=""/>
            <o:lock v:ext="edit" aspectratio="t"/>
          </v:shape>
          <o:OLEObject Type="Embed" ProgID="MSGraph.Chart.8" ShapeID="_x0000_s1032" DrawAspect="Content" ObjectID="_1468075731" r:id="rId18">
            <o:LockedField>false</o:LockedField>
          </o:OLEObject>
        </w:pict>
      </w:r>
    </w:p>
    <w:p>
      <w:pPr>
        <w:spacing w:line="600" w:lineRule="exact"/>
        <w:ind w:firstLine="640"/>
        <w:rPr>
          <w:rFonts w:ascii="仿宋_GB2312" w:eastAsia="仿宋_GB2312"/>
          <w:color w:val="000000"/>
          <w:sz w:val="32"/>
          <w:szCs w:val="32"/>
        </w:rPr>
      </w:pPr>
    </w:p>
    <w:p>
      <w:pPr>
        <w:spacing w:line="600" w:lineRule="exact"/>
        <w:ind w:firstLine="640"/>
        <w:rPr>
          <w:rFonts w:ascii="仿宋_GB2312" w:eastAsia="仿宋_GB2312"/>
          <w:color w:val="000000"/>
          <w:sz w:val="32"/>
          <w:szCs w:val="32"/>
        </w:rPr>
      </w:pPr>
    </w:p>
    <w:p>
      <w:pPr>
        <w:spacing w:line="600" w:lineRule="exact"/>
        <w:ind w:firstLine="640"/>
        <w:rPr>
          <w:rFonts w:ascii="仿宋_GB2312" w:eastAsia="仿宋_GB2312"/>
          <w:color w:val="000000"/>
          <w:sz w:val="32"/>
          <w:szCs w:val="32"/>
        </w:rPr>
      </w:pPr>
    </w:p>
    <w:p>
      <w:pPr>
        <w:spacing w:line="600" w:lineRule="exact"/>
        <w:ind w:firstLine="640"/>
        <w:rPr>
          <w:rFonts w:ascii="仿宋_GB2312" w:eastAsia="仿宋_GB2312"/>
          <w:color w:val="000000"/>
          <w:sz w:val="32"/>
          <w:szCs w:val="32"/>
        </w:rPr>
      </w:pPr>
    </w:p>
    <w:p>
      <w:pPr>
        <w:spacing w:line="600" w:lineRule="exact"/>
        <w:ind w:firstLine="640"/>
        <w:rPr>
          <w:rFonts w:ascii="仿宋_GB2312" w:eastAsia="仿宋_GB2312"/>
          <w:color w:val="000000"/>
          <w:sz w:val="32"/>
          <w:szCs w:val="32"/>
        </w:rPr>
      </w:pPr>
    </w:p>
    <w:p>
      <w:pPr>
        <w:spacing w:line="600" w:lineRule="exact"/>
        <w:ind w:firstLine="640"/>
        <w:rPr>
          <w:rFonts w:ascii="仿宋_GB2312" w:eastAsia="仿宋_GB2312"/>
          <w:color w:val="000000"/>
          <w:sz w:val="32"/>
          <w:szCs w:val="32"/>
        </w:rPr>
      </w:pPr>
    </w:p>
    <w:p>
      <w:pPr>
        <w:spacing w:line="600" w:lineRule="exact"/>
        <w:ind w:firstLine="640" w:firstLineChars="200"/>
        <w:outlineLvl w:val="1"/>
        <w:rPr>
          <w:rStyle w:val="18"/>
          <w:rFonts w:ascii="黑体" w:hAnsi="黑体" w:eastAsia="黑体"/>
        </w:rPr>
      </w:pPr>
      <w:bookmarkStart w:id="44" w:name="_Toc15396610"/>
      <w:bookmarkStart w:id="45" w:name="_Toc15377218"/>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640" w:firstLineChars="200"/>
        <w:outlineLvl w:val="1"/>
        <w:rPr>
          <w:rStyle w:val="18"/>
          <w:rFonts w:ascii="黑体" w:hAnsi="黑体" w:eastAsia="黑体"/>
          <w:b w:val="0"/>
        </w:rPr>
      </w:pPr>
      <w:bookmarkStart w:id="46" w:name="_Toc15396611"/>
      <w:bookmarkStart w:id="47" w:name="_Toc15377219"/>
      <w:r>
        <w:rPr>
          <w:rStyle w:val="18"/>
          <w:rFonts w:hint="eastAsia" w:ascii="黑体" w:hAnsi="黑体" w:eastAsia="黑体"/>
          <w:b w:val="0"/>
        </w:rPr>
        <w:t>九、国有资本经营预算支出决算情况说明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pStyle w:val="28"/>
        <w:numPr>
          <w:ilvl w:val="0"/>
          <w:numId w:val="4"/>
        </w:numPr>
        <w:spacing w:line="580" w:lineRule="exact"/>
        <w:ind w:firstLineChars="0"/>
        <w:rPr>
          <w:rStyle w:val="18"/>
          <w:rFonts w:ascii="黑体" w:hAnsi="黑体" w:eastAsia="黑体"/>
          <w:b w:val="0"/>
        </w:rPr>
      </w:pPr>
      <w:r>
        <w:rPr>
          <w:rStyle w:val="18"/>
          <w:rFonts w:hint="eastAsia" w:ascii="黑体" w:hAnsi="黑体" w:eastAsia="黑体"/>
          <w:b w:val="0"/>
        </w:rPr>
        <w:t>预算绩效情况说明</w:t>
      </w:r>
    </w:p>
    <w:p>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根据预算绩效管理要求，本部门（单位）在年初预算编制阶段，组织对我单位部门整体支出开展了预算事前绩效评估，年终执行完毕后，对部门整体支出开展了绩效目标完成情况梳理填报。本部门按要求对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评价情况为我校为区委直属参公事业单位，主要承担全区党员干部和公务员等公职人员的教育培训工作和科研咨政工作。在区委、区政府和市委党校的领导及指导下，紧密围绕全区经济社会发展大局，以创建“区域一流县级党校”为努力方向，积极履行单位职责，创新干训和科研工作举措，服务利州区发展和干部队伍成长，努力建设党委政府放心、党员干部和人民群众满意的党校。</w:t>
      </w:r>
    </w:p>
    <w:p>
      <w:pPr>
        <w:spacing w:line="580" w:lineRule="exact"/>
        <w:ind w:firstLine="803" w:firstLineChars="250"/>
        <w:rPr>
          <w:rFonts w:ascii="华文仿宋" w:hAnsi="华文仿宋" w:eastAsia="华文仿宋"/>
          <w:color w:val="000000"/>
          <w:sz w:val="32"/>
          <w:szCs w:val="32"/>
        </w:rPr>
      </w:pPr>
      <w:r>
        <w:rPr>
          <w:rFonts w:hint="eastAsia" w:ascii="仿宋" w:hAnsi="仿宋" w:eastAsia="仿宋" w:cs="楷体_GB2312"/>
          <w:b/>
          <w:bCs/>
          <w:sz w:val="32"/>
          <w:szCs w:val="32"/>
        </w:rPr>
        <w:t>（二）项目绩效目标完成情况。本单位</w:t>
      </w:r>
      <w:r>
        <w:rPr>
          <w:rFonts w:ascii="仿宋" w:hAnsi="仿宋" w:eastAsia="仿宋" w:cs="楷体_GB2312"/>
          <w:b/>
          <w:bCs/>
          <w:sz w:val="32"/>
          <w:szCs w:val="32"/>
        </w:rPr>
        <w:t>2018</w:t>
      </w:r>
      <w:r>
        <w:rPr>
          <w:rFonts w:hint="eastAsia" w:ascii="仿宋" w:hAnsi="仿宋" w:eastAsia="仿宋" w:cs="楷体_GB2312"/>
          <w:b/>
          <w:bCs/>
          <w:sz w:val="32"/>
          <w:szCs w:val="32"/>
        </w:rPr>
        <w:t>年无项目经费，未编制项目绩效目标。</w:t>
      </w:r>
      <w:r>
        <w:rPr>
          <w:rFonts w:ascii="楷体_GB2312" w:hAnsi="楷体_GB2312" w:eastAsia="楷体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_GB2312" w:eastAsia="仿宋_GB2312"/>
          <w:color w:val="000000"/>
          <w:sz w:val="32"/>
          <w:szCs w:val="32"/>
        </w:rPr>
        <w:t>存在的问题：</w:t>
      </w:r>
      <w:r>
        <w:rPr>
          <w:rFonts w:hint="eastAsia" w:ascii="仿宋_GB2312" w:hAnsi="宋体" w:eastAsia="仿宋_GB2312" w:cs="仿宋_GB2312"/>
          <w:color w:val="000000"/>
          <w:sz w:val="32"/>
          <w:szCs w:val="32"/>
        </w:rPr>
        <w:t>一是绩效评价管理工作制度建设有待进一步加强，绩效管理缺乏系统性；二是</w:t>
      </w:r>
      <w:r>
        <w:rPr>
          <w:rFonts w:hint="eastAsia" w:ascii="华文仿宋" w:hAnsi="华文仿宋" w:eastAsia="华文仿宋"/>
          <w:color w:val="000000"/>
          <w:sz w:val="32"/>
          <w:szCs w:val="32"/>
        </w:rPr>
        <w:t>缺乏绩效评价专业人才，系统现有评价工作人员的知识体系和业务技能还需进一步提高，以适应绩效评价工作相关要求。</w:t>
      </w:r>
    </w:p>
    <w:p>
      <w:pPr>
        <w:spacing w:line="540" w:lineRule="exact"/>
        <w:ind w:firstLine="640" w:firstLineChars="200"/>
        <w:rPr>
          <w:rFonts w:ascii="华文仿宋" w:hAnsi="华文仿宋" w:eastAsia="华文仿宋"/>
          <w:color w:val="000000"/>
          <w:sz w:val="32"/>
          <w:szCs w:val="32"/>
        </w:rPr>
      </w:pPr>
      <w:r>
        <w:rPr>
          <w:rFonts w:hint="eastAsia" w:ascii="仿宋_GB2312" w:eastAsia="仿宋_GB2312"/>
          <w:color w:val="000000"/>
          <w:sz w:val="32"/>
          <w:szCs w:val="32"/>
        </w:rPr>
        <w:t>下一步改进措施：</w:t>
      </w:r>
      <w:r>
        <w:rPr>
          <w:rStyle w:val="14"/>
          <w:rFonts w:hint="eastAsia" w:ascii="仿宋_GB2312" w:hAnsi="宋体" w:eastAsia="仿宋_GB2312" w:cs="仿宋_GB2312"/>
          <w:color w:val="000000"/>
          <w:sz w:val="32"/>
          <w:szCs w:val="32"/>
        </w:rPr>
        <w:t>一是</w:t>
      </w:r>
      <w:r>
        <w:rPr>
          <w:rFonts w:hint="eastAsia" w:ascii="仿宋_GB2312" w:hAnsi="宋体" w:eastAsia="仿宋_GB2312" w:cs="仿宋_GB2312"/>
          <w:color w:val="000000"/>
          <w:sz w:val="32"/>
          <w:szCs w:val="32"/>
        </w:rPr>
        <w:t>进一步加强绩效评价管理制度建设；二是建立有效的绩效管理体系；</w:t>
      </w:r>
      <w:r>
        <w:rPr>
          <w:rStyle w:val="14"/>
          <w:rFonts w:hint="eastAsia" w:ascii="仿宋_GB2312" w:hAnsi="宋体" w:eastAsia="仿宋_GB2312" w:cs="仿宋_GB2312"/>
          <w:color w:val="000000"/>
          <w:sz w:val="32"/>
          <w:szCs w:val="32"/>
        </w:rPr>
        <w:t>三是</w:t>
      </w:r>
      <w:r>
        <w:rPr>
          <w:rFonts w:hint="eastAsia" w:ascii="仿宋_GB2312" w:hAnsi="宋体" w:eastAsia="仿宋_GB2312" w:cs="仿宋_GB2312"/>
          <w:color w:val="000000"/>
          <w:sz w:val="32"/>
          <w:szCs w:val="32"/>
        </w:rPr>
        <w:t>强化绩效管理数据分析，强化绩效管理数据运用；四是强化绩效评价专业技能的培训；</w:t>
      </w:r>
      <w:r>
        <w:rPr>
          <w:rFonts w:hint="eastAsia" w:ascii="华文仿宋" w:hAnsi="华文仿宋" w:eastAsia="华文仿宋"/>
          <w:color w:val="000000"/>
          <w:sz w:val="32"/>
          <w:szCs w:val="32"/>
        </w:rPr>
        <w:t>五是探索与预算编制相结合的财政绩效管理，奖绩效评价逐步从事后评价延伸至事前、事中评价。</w:t>
      </w:r>
    </w:p>
    <w:p>
      <w:p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（三）部门开展绩效评价结果。</w:t>
      </w: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年部门整体支出绩效评价情况开展自评，《四川省广元市利州区委党校部门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pPr>
        <w:spacing w:line="600" w:lineRule="exact"/>
        <w:ind w:firstLine="800" w:firstLineChars="25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本部门无项目经费，未自行组织对项目开展了绩效</w:t>
      </w:r>
      <w:bookmarkStart w:id="48" w:name="_Toc15377221"/>
      <w:bookmarkStart w:id="49" w:name="_Toc15396612"/>
      <w:r>
        <w:rPr>
          <w:rFonts w:hint="eastAsia" w:ascii="仿宋_GB2312" w:hAnsi="仿宋_GB2312" w:eastAsia="仿宋_GB2312" w:cs="仿宋_GB2312"/>
          <w:sz w:val="32"/>
          <w:szCs w:val="32"/>
        </w:rPr>
        <w:t>评价。</w:t>
      </w:r>
    </w:p>
    <w:p>
      <w:pPr>
        <w:spacing w:line="600" w:lineRule="exact"/>
        <w:ind w:firstLine="800" w:firstLineChars="250"/>
        <w:outlineLvl w:val="1"/>
        <w:rPr>
          <w:rStyle w:val="18"/>
          <w:rFonts w:ascii="黑体" w:hAnsi="黑体" w:eastAsia="黑体"/>
        </w:rPr>
      </w:pPr>
      <w:r>
        <w:rPr>
          <w:rFonts w:hint="eastAsia" w:ascii="黑体" w:hAnsi="黑体" w:eastAsia="黑体"/>
          <w:color w:val="000000"/>
          <w:sz w:val="32"/>
          <w:szCs w:val="32"/>
        </w:rPr>
        <w:t>十</w:t>
      </w:r>
      <w:r>
        <w:rPr>
          <w:rStyle w:val="18"/>
          <w:rFonts w:hint="eastAsia" w:ascii="黑体" w:hAnsi="黑体" w:eastAsia="黑体"/>
        </w:rPr>
        <w:t>一、</w:t>
      </w:r>
      <w:r>
        <w:rPr>
          <w:rStyle w:val="18"/>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年，广元市利州区委党校机关运行经费支出</w:t>
      </w:r>
      <w:r>
        <w:rPr>
          <w:rFonts w:ascii="仿宋_GB2312" w:eastAsia="仿宋_GB2312"/>
          <w:color w:val="000000"/>
          <w:sz w:val="32"/>
          <w:szCs w:val="32"/>
        </w:rPr>
        <w:t>7.02</w:t>
      </w:r>
      <w:r>
        <w:rPr>
          <w:rFonts w:hint="eastAsia" w:ascii="仿宋_GB2312" w:eastAsia="仿宋_GB2312"/>
          <w:color w:val="000000"/>
          <w:sz w:val="32"/>
          <w:szCs w:val="32"/>
        </w:rPr>
        <w:t>万元，比</w:t>
      </w:r>
      <w:r>
        <w:rPr>
          <w:rFonts w:ascii="仿宋_GB2312" w:eastAsia="仿宋_GB2312"/>
          <w:color w:val="000000"/>
          <w:sz w:val="32"/>
          <w:szCs w:val="32"/>
        </w:rPr>
        <w:t>2017</w:t>
      </w:r>
      <w:r>
        <w:rPr>
          <w:rFonts w:hint="eastAsia" w:ascii="仿宋_GB2312" w:eastAsia="仿宋_GB2312"/>
          <w:color w:val="000000"/>
          <w:sz w:val="32"/>
          <w:szCs w:val="32"/>
        </w:rPr>
        <w:t>年减少</w:t>
      </w:r>
      <w:r>
        <w:rPr>
          <w:rFonts w:ascii="仿宋_GB2312" w:eastAsia="仿宋_GB2312"/>
          <w:color w:val="000000"/>
          <w:sz w:val="32"/>
          <w:szCs w:val="32"/>
        </w:rPr>
        <w:t>121.04</w:t>
      </w:r>
      <w:r>
        <w:rPr>
          <w:rFonts w:hint="eastAsia" w:ascii="仿宋_GB2312" w:eastAsia="仿宋_GB2312"/>
          <w:color w:val="000000"/>
          <w:sz w:val="32"/>
          <w:szCs w:val="32"/>
        </w:rPr>
        <w:t>万元，下降</w:t>
      </w:r>
      <w:r>
        <w:rPr>
          <w:rFonts w:ascii="仿宋_GB2312" w:eastAsia="仿宋_GB2312"/>
          <w:color w:val="000000"/>
          <w:sz w:val="32"/>
          <w:szCs w:val="32"/>
        </w:rPr>
        <w:t>94.52%</w:t>
      </w:r>
      <w:r>
        <w:rPr>
          <w:rFonts w:hint="eastAsia" w:ascii="仿宋_GB2312" w:eastAsia="仿宋_GB2312"/>
          <w:color w:val="000000"/>
          <w:sz w:val="32"/>
          <w:szCs w:val="32"/>
        </w:rPr>
        <w:t>。主要原因是培训费减少及调整资金拨款渠道。</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年，广元市利州区委党校政府采购支出总额</w:t>
      </w:r>
      <w:r>
        <w:rPr>
          <w:rFonts w:ascii="仿宋_GB2312" w:eastAsia="仿宋_GB2312"/>
          <w:color w:val="000000"/>
          <w:sz w:val="32"/>
          <w:szCs w:val="32"/>
        </w:rPr>
        <w:t>0</w:t>
      </w:r>
      <w:r>
        <w:rPr>
          <w:rFonts w:hint="eastAsia" w:ascii="仿宋_GB2312" w:eastAsia="仿宋_GB2312"/>
          <w:color w:val="000000"/>
          <w:sz w:val="32"/>
          <w:szCs w:val="32"/>
        </w:rPr>
        <w:t>万元，其中：政府采购货物支出</w:t>
      </w:r>
      <w:r>
        <w:rPr>
          <w:rFonts w:ascii="仿宋_GB2312" w:eastAsia="仿宋_GB2312"/>
          <w:color w:val="000000"/>
          <w:sz w:val="32"/>
          <w:szCs w:val="32"/>
        </w:rPr>
        <w:t>0</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ascii="仿宋_GB2312" w:eastAsia="仿宋_GB2312"/>
          <w:color w:val="000000"/>
          <w:sz w:val="32"/>
          <w:szCs w:val="32"/>
        </w:rPr>
        <w:t>0</w:t>
      </w:r>
      <w:r>
        <w:rPr>
          <w:rFonts w:hint="eastAsia" w:ascii="仿宋_GB2312" w:eastAsia="仿宋_GB2312"/>
          <w:color w:val="000000"/>
          <w:sz w:val="32"/>
          <w:szCs w:val="32"/>
        </w:rPr>
        <w:t>万元。授予中小企业合同金额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，其中：授予小微企业合同金额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日，广元市利州区委党校共有车辆</w:t>
      </w:r>
      <w:r>
        <w:rPr>
          <w:rFonts w:ascii="仿宋_GB2312" w:eastAsia="仿宋_GB2312"/>
          <w:color w:val="000000"/>
          <w:sz w:val="32"/>
          <w:szCs w:val="32"/>
        </w:rPr>
        <w:t>0</w:t>
      </w:r>
      <w:r>
        <w:rPr>
          <w:rFonts w:hint="eastAsia" w:ascii="仿宋_GB2312" w:eastAsia="仿宋_GB2312"/>
          <w:color w:val="000000"/>
          <w:sz w:val="32"/>
          <w:szCs w:val="32"/>
        </w:rPr>
        <w:t>辆，其中：部级领导干部用车</w:t>
      </w:r>
      <w:r>
        <w:rPr>
          <w:rFonts w:ascii="仿宋_GB2312" w:eastAsia="仿宋_GB2312"/>
          <w:color w:val="000000"/>
          <w:sz w:val="32"/>
          <w:szCs w:val="32"/>
        </w:rPr>
        <w:t>0</w:t>
      </w:r>
      <w:r>
        <w:rPr>
          <w:rFonts w:hint="eastAsia" w:ascii="仿宋_GB2312" w:eastAsia="仿宋_GB2312"/>
          <w:color w:val="000000"/>
          <w:sz w:val="32"/>
          <w:szCs w:val="32"/>
        </w:rPr>
        <w:t>辆、一般公务用车</w:t>
      </w:r>
      <w:r>
        <w:rPr>
          <w:rFonts w:ascii="仿宋_GB2312" w:eastAsia="仿宋_GB2312"/>
          <w:color w:val="000000"/>
          <w:sz w:val="32"/>
          <w:szCs w:val="32"/>
        </w:rPr>
        <w:t>0</w:t>
      </w:r>
      <w:r>
        <w:rPr>
          <w:rFonts w:hint="eastAsia" w:ascii="仿宋_GB2312" w:eastAsia="仿宋_GB2312"/>
          <w:color w:val="000000"/>
          <w:sz w:val="32"/>
          <w:szCs w:val="32"/>
        </w:rPr>
        <w:t>辆、一般执法执勤用车</w:t>
      </w:r>
      <w:r>
        <w:rPr>
          <w:rFonts w:ascii="仿宋_GB2312" w:eastAsia="仿宋_GB2312"/>
          <w:color w:val="000000"/>
          <w:sz w:val="32"/>
          <w:szCs w:val="32"/>
        </w:rPr>
        <w:t>0</w:t>
      </w:r>
      <w:r>
        <w:rPr>
          <w:rFonts w:hint="eastAsia" w:ascii="仿宋_GB2312" w:eastAsia="仿宋_GB2312"/>
          <w:color w:val="000000"/>
          <w:sz w:val="32"/>
          <w:szCs w:val="32"/>
        </w:rPr>
        <w:t>辆、特种专业技术用车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0</w:t>
      </w:r>
      <w:r>
        <w:rPr>
          <w:rFonts w:hint="eastAsia" w:ascii="仿宋_GB2312" w:eastAsia="仿宋_GB2312"/>
          <w:color w:val="000000"/>
          <w:sz w:val="32"/>
          <w:szCs w:val="32"/>
        </w:rPr>
        <w:t>辆，单价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17"/>
          <w:rFonts w:ascii="黑体" w:hAnsi="黑体" w:eastAsia="黑体"/>
          <w:b w:val="0"/>
        </w:rPr>
      </w:pPr>
      <w:bookmarkStart w:id="53" w:name="_Toc15396613"/>
      <w:bookmarkStart w:id="54" w:name="_Toc15377225"/>
      <w:r>
        <w:rPr>
          <w:rFonts w:hint="eastAsia" w:ascii="黑体" w:hAnsi="黑体" w:eastAsia="黑体"/>
          <w:b/>
          <w:color w:val="000000"/>
          <w:sz w:val="44"/>
          <w:szCs w:val="44"/>
        </w:rPr>
        <w:t>名</w:t>
      </w:r>
      <w:r>
        <w:rPr>
          <w:rStyle w:val="17"/>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firstLineChars="200"/>
        <w:jc w:val="left"/>
        <w:rPr>
          <w:rStyle w:val="14"/>
          <w:rFonts w:ascii="仿宋" w:hAnsi="仿宋" w:eastAsia="仿宋"/>
          <w:b w:val="0"/>
          <w:color w:val="000000"/>
          <w:sz w:val="32"/>
          <w:szCs w:val="32"/>
        </w:rPr>
      </w:pPr>
      <w:r>
        <w:rPr>
          <w:rStyle w:val="14"/>
          <w:rFonts w:ascii="仿宋" w:hAnsi="仿宋" w:eastAsia="仿宋"/>
          <w:b w:val="0"/>
          <w:color w:val="000000"/>
          <w:sz w:val="32"/>
          <w:szCs w:val="32"/>
        </w:rPr>
        <w:t>9</w:t>
      </w:r>
      <w:r>
        <w:rPr>
          <w:rStyle w:val="14"/>
          <w:rFonts w:hint="eastAsia" w:ascii="仿宋" w:hAnsi="仿宋" w:eastAsia="仿宋"/>
          <w:b w:val="0"/>
          <w:color w:val="000000"/>
          <w:sz w:val="32"/>
          <w:szCs w:val="32"/>
        </w:rPr>
        <w:t>、教育支出（类）进修及培训（款）干部教育（项）：指各级党校、行政学院、社会主义学院、国家会计学</w:t>
      </w:r>
      <w:r>
        <w:rPr>
          <w:rStyle w:val="14"/>
          <w:rFonts w:ascii="仿宋" w:hAnsi="仿宋" w:eastAsia="仿宋"/>
          <w:b w:val="0"/>
          <w:color w:val="000000"/>
          <w:sz w:val="32"/>
          <w:szCs w:val="32"/>
        </w:rPr>
        <w:t xml:space="preserve"> </w:t>
      </w:r>
      <w:r>
        <w:rPr>
          <w:rStyle w:val="14"/>
          <w:rFonts w:hint="eastAsia" w:ascii="仿宋" w:hAnsi="仿宋" w:eastAsia="仿宋"/>
          <w:b w:val="0"/>
          <w:color w:val="000000"/>
          <w:sz w:val="32"/>
          <w:szCs w:val="32"/>
        </w:rPr>
        <w:t>院的支出。包括机构运转、招聘师资、举办各类培训班的支出等。</w:t>
      </w:r>
    </w:p>
    <w:p>
      <w:pPr>
        <w:spacing w:line="600" w:lineRule="exact"/>
        <w:ind w:firstLine="640" w:firstLineChars="200"/>
        <w:rPr>
          <w:rStyle w:val="14"/>
          <w:rFonts w:ascii="仿宋" w:hAnsi="仿宋" w:eastAsia="仿宋"/>
          <w:b w:val="0"/>
          <w:color w:val="000000"/>
          <w:sz w:val="32"/>
          <w:szCs w:val="32"/>
        </w:rPr>
      </w:pPr>
      <w:r>
        <w:rPr>
          <w:rStyle w:val="14"/>
          <w:rFonts w:ascii="仿宋" w:hAnsi="仿宋" w:eastAsia="仿宋"/>
          <w:b w:val="0"/>
          <w:color w:val="000000"/>
          <w:sz w:val="32"/>
          <w:szCs w:val="32"/>
        </w:rPr>
        <w:t>10.</w:t>
      </w:r>
      <w:r>
        <w:rPr>
          <w:rStyle w:val="14"/>
          <w:rFonts w:hint="eastAsia" w:ascii="仿宋" w:hAnsi="仿宋" w:eastAsia="仿宋"/>
          <w:b w:val="0"/>
          <w:color w:val="000000"/>
          <w:sz w:val="32"/>
          <w:szCs w:val="32"/>
        </w:rPr>
        <w:t>社会保障和就业（类）行政事业单位离退休（款）机关事业单位基本养老保险缴费（项）</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指机关事业单位实施养老保险制度由单位缴纳的基本养老保险费支出。</w:t>
      </w:r>
      <w:r>
        <w:rPr>
          <w:rStyle w:val="14"/>
          <w:rFonts w:ascii="仿宋" w:hAnsi="仿宋" w:eastAsia="仿宋"/>
          <w:b w:val="0"/>
          <w:color w:val="000000"/>
          <w:sz w:val="32"/>
          <w:szCs w:val="32"/>
        </w:rPr>
        <w:t xml:space="preserve"> </w:t>
      </w:r>
    </w:p>
    <w:p>
      <w:pPr>
        <w:spacing w:line="600" w:lineRule="exact"/>
        <w:ind w:firstLine="640" w:firstLineChars="200"/>
        <w:rPr>
          <w:rStyle w:val="14"/>
          <w:rFonts w:ascii="仿宋" w:hAnsi="仿宋" w:eastAsia="仿宋"/>
          <w:b w:val="0"/>
          <w:color w:val="000000"/>
          <w:sz w:val="32"/>
          <w:szCs w:val="32"/>
        </w:rPr>
      </w:pPr>
      <w:r>
        <w:rPr>
          <w:rStyle w:val="14"/>
          <w:rFonts w:ascii="仿宋" w:hAnsi="仿宋" w:eastAsia="仿宋"/>
          <w:b w:val="0"/>
          <w:color w:val="000000"/>
          <w:sz w:val="32"/>
          <w:szCs w:val="32"/>
        </w:rPr>
        <w:t>11.</w:t>
      </w:r>
      <w:r>
        <w:rPr>
          <w:rStyle w:val="14"/>
          <w:rFonts w:hint="eastAsia" w:ascii="仿宋" w:hAnsi="仿宋" w:eastAsia="仿宋"/>
          <w:b w:val="0"/>
          <w:color w:val="000000"/>
          <w:sz w:val="32"/>
          <w:szCs w:val="32"/>
        </w:rPr>
        <w:t>医疗卫生与计划生育（类）行政事业单位医疗（款）事业单位医疗（项）</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指财政部门集中安排的事业单位基本医疗保险缴费经费，未参加医疗保险的事业单位的公费医疗经费，按国家规定享受离休人员的医疗经费。</w:t>
      </w:r>
    </w:p>
    <w:p>
      <w:pPr>
        <w:spacing w:line="600" w:lineRule="exact"/>
        <w:ind w:firstLine="640" w:firstLineChars="200"/>
        <w:rPr>
          <w:rStyle w:val="14"/>
          <w:rFonts w:ascii="仿宋" w:hAnsi="仿宋" w:eastAsia="仿宋"/>
          <w:b w:val="0"/>
          <w:color w:val="000000"/>
          <w:sz w:val="32"/>
          <w:szCs w:val="32"/>
        </w:rPr>
      </w:pPr>
      <w:r>
        <w:rPr>
          <w:rStyle w:val="14"/>
          <w:rFonts w:ascii="仿宋" w:hAnsi="仿宋" w:eastAsia="仿宋"/>
          <w:b w:val="0"/>
          <w:color w:val="000000"/>
          <w:sz w:val="32"/>
          <w:szCs w:val="32"/>
        </w:rPr>
        <w:t>12.</w:t>
      </w:r>
      <w:r>
        <w:rPr>
          <w:rStyle w:val="14"/>
          <w:rFonts w:hint="eastAsia" w:ascii="仿宋" w:hAnsi="仿宋" w:eastAsia="仿宋"/>
          <w:b w:val="0"/>
          <w:color w:val="000000"/>
          <w:sz w:val="32"/>
          <w:szCs w:val="32"/>
        </w:rPr>
        <w:t>农林水（类）扶贫（款）其他扶贫（项）：指除上述项目以外其他用于扶贫方面的支出。</w:t>
      </w:r>
    </w:p>
    <w:p>
      <w:pPr>
        <w:spacing w:line="600" w:lineRule="exact"/>
        <w:ind w:firstLine="640" w:firstLineChars="200"/>
        <w:rPr>
          <w:rFonts w:ascii="仿宋" w:hAnsi="仿宋" w:eastAsia="仿宋"/>
          <w:color w:val="000000"/>
          <w:sz w:val="32"/>
          <w:szCs w:val="32"/>
        </w:rPr>
      </w:pPr>
      <w:r>
        <w:rPr>
          <w:rStyle w:val="14"/>
          <w:rFonts w:ascii="仿宋" w:hAnsi="仿宋" w:eastAsia="仿宋"/>
          <w:b w:val="0"/>
          <w:color w:val="000000"/>
          <w:sz w:val="32"/>
          <w:szCs w:val="32"/>
        </w:rPr>
        <w:t>13.</w:t>
      </w:r>
      <w:r>
        <w:rPr>
          <w:rStyle w:val="14"/>
          <w:rFonts w:hint="eastAsia" w:ascii="仿宋" w:hAnsi="仿宋" w:eastAsia="仿宋"/>
          <w:b w:val="0"/>
          <w:color w:val="000000"/>
          <w:sz w:val="32"/>
          <w:szCs w:val="32"/>
        </w:rPr>
        <w:t>住房保障（类）住房改革（款）住房公积金（项）</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指行政事业单位按人力资源和社会保障部、财政部规定的基本工资和津贴补贴以及规定比例为职工缴纳的住房公积金。</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（解释本部门决算报表中全部功能分类科目至项级，请参照《</w:t>
      </w:r>
      <w:r>
        <w:rPr>
          <w:rFonts w:ascii="仿宋" w:hAnsi="仿宋" w:eastAsia="仿宋"/>
          <w:color w:val="000000"/>
          <w:sz w:val="32"/>
          <w:szCs w:val="32"/>
        </w:rPr>
        <w:t>2018</w:t>
      </w:r>
      <w:r>
        <w:rPr>
          <w:rFonts w:hint="eastAsia" w:ascii="仿宋" w:hAnsi="仿宋" w:eastAsia="仿宋"/>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经营支出：指事业单位在专业业务活动及其辅助活动之外开展非独立核算经营活动发生的支出。</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bookmarkStart w:id="55" w:name="_Toc15396614"/>
      <w:bookmarkStart w:id="56"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17"/>
          <w:rFonts w:ascii="黑体" w:hAnsi="黑体" w:eastAsia="黑体"/>
          <w:b w:val="0"/>
        </w:rPr>
      </w:pPr>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55"/>
    </w:p>
    <w:p>
      <w:pPr>
        <w:spacing w:line="600" w:lineRule="exact"/>
        <w:jc w:val="center"/>
        <w:outlineLvl w:val="0"/>
        <w:rPr>
          <w:rStyle w:val="17"/>
        </w:rPr>
      </w:pPr>
    </w:p>
    <w:p>
      <w:pPr>
        <w:pStyle w:val="3"/>
        <w:rPr>
          <w:rStyle w:val="17"/>
          <w:rFonts w:ascii="仿宋" w:hAnsi="仿宋" w:eastAsia="仿宋" w:cs="仿宋"/>
          <w:b w:val="0"/>
          <w:bCs w:val="0"/>
          <w:sz w:val="32"/>
          <w:szCs w:val="32"/>
        </w:rPr>
      </w:pPr>
      <w:bookmarkStart w:id="57" w:name="_Toc15396615"/>
      <w:r>
        <w:rPr>
          <w:rStyle w:val="17"/>
          <w:rFonts w:hint="eastAsia" w:ascii="仿宋" w:hAnsi="仿宋" w:eastAsia="仿宋" w:cs="仿宋"/>
          <w:b w:val="0"/>
          <w:bCs w:val="0"/>
          <w:sz w:val="32"/>
          <w:szCs w:val="32"/>
        </w:rPr>
        <w:t>附件</w:t>
      </w:r>
      <w:r>
        <w:rPr>
          <w:rStyle w:val="17"/>
          <w:rFonts w:ascii="仿宋" w:hAnsi="仿宋" w:eastAsia="仿宋" w:cs="仿宋"/>
          <w:b w:val="0"/>
          <w:bCs w:val="0"/>
          <w:sz w:val="32"/>
          <w:szCs w:val="32"/>
        </w:rPr>
        <w:t>1</w:t>
      </w:r>
      <w:bookmarkEnd w:id="57"/>
    </w:p>
    <w:p>
      <w:pPr>
        <w:jc w:val="center"/>
        <w:rPr>
          <w:rFonts w:ascii="仿宋" w:hAnsi="仿宋" w:eastAsia="仿宋" w:cs="仿宋"/>
          <w:sz w:val="32"/>
          <w:szCs w:val="32"/>
        </w:rPr>
      </w:pPr>
      <w:bookmarkStart w:id="58" w:name="_Toc15396617"/>
      <w:r>
        <w:rPr>
          <w:rFonts w:hint="eastAsia" w:ascii="仿宋" w:hAnsi="仿宋" w:eastAsia="仿宋" w:cs="仿宋"/>
          <w:sz w:val="32"/>
          <w:szCs w:val="32"/>
        </w:rPr>
        <w:t>中共广元市利州区党校</w:t>
      </w:r>
      <w:r>
        <w:rPr>
          <w:rFonts w:ascii="仿宋" w:hAnsi="仿宋" w:eastAsia="仿宋" w:cs="仿宋"/>
          <w:sz w:val="32"/>
          <w:szCs w:val="32"/>
        </w:rPr>
        <w:t>2018</w:t>
      </w:r>
      <w:r>
        <w:rPr>
          <w:rFonts w:hint="eastAsia" w:ascii="仿宋" w:hAnsi="仿宋" w:eastAsia="仿宋" w:cs="仿宋"/>
          <w:sz w:val="32"/>
          <w:szCs w:val="32"/>
        </w:rPr>
        <w:t>年部门整体支出</w:t>
      </w:r>
    </w:p>
    <w:p>
      <w:pPr>
        <w:jc w:val="center"/>
        <w:rPr>
          <w:rFonts w:ascii="仿宋" w:hAnsi="仿宋" w:eastAsia="仿宋" w:cs="仿宋"/>
          <w:sz w:val="32"/>
          <w:szCs w:val="32"/>
        </w:rPr>
      </w:pPr>
      <w:r>
        <w:rPr>
          <w:rFonts w:hint="eastAsia" w:ascii="仿宋" w:hAnsi="仿宋" w:eastAsia="仿宋" w:cs="仿宋"/>
          <w:sz w:val="32"/>
          <w:szCs w:val="32"/>
        </w:rPr>
        <w:t>绩效评价报告</w:t>
      </w:r>
    </w:p>
    <w:p>
      <w:pPr>
        <w:numPr>
          <w:ilvl w:val="0"/>
          <w:numId w:val="7"/>
        </w:numPr>
        <w:ind w:left="958" w:leftChars="304" w:hanging="320" w:hangingChars="100"/>
        <w:rPr>
          <w:rFonts w:ascii="仿宋" w:hAnsi="仿宋" w:eastAsia="仿宋" w:cs="仿宋"/>
          <w:sz w:val="32"/>
          <w:szCs w:val="32"/>
        </w:rPr>
      </w:pPr>
      <w:r>
        <w:rPr>
          <w:rFonts w:hint="eastAsia" w:ascii="仿宋" w:hAnsi="仿宋" w:eastAsia="仿宋" w:cs="仿宋"/>
          <w:sz w:val="32"/>
          <w:szCs w:val="32"/>
        </w:rPr>
        <w:t>部门（单位）概况</w:t>
      </w:r>
    </w:p>
    <w:p>
      <w:pPr>
        <w:numPr>
          <w:ilvl w:val="0"/>
          <w:numId w:val="8"/>
        </w:numPr>
        <w:ind w:left="1278" w:leftChars="304" w:hanging="640" w:hangingChars="200"/>
        <w:rPr>
          <w:rFonts w:ascii="仿宋" w:hAnsi="仿宋" w:eastAsia="仿宋" w:cs="仿宋"/>
          <w:sz w:val="32"/>
          <w:szCs w:val="32"/>
        </w:rPr>
      </w:pPr>
      <w:r>
        <w:rPr>
          <w:rFonts w:hint="eastAsia" w:ascii="仿宋" w:hAnsi="仿宋" w:eastAsia="仿宋" w:cs="仿宋"/>
          <w:sz w:val="32"/>
          <w:szCs w:val="32"/>
        </w:rPr>
        <w:t>机构组成</w:t>
      </w:r>
    </w:p>
    <w:p>
      <w:pPr>
        <w:ind w:left="218" w:leftChars="104" w:firstLine="640" w:firstLineChars="200"/>
        <w:rPr>
          <w:rFonts w:ascii="仿宋" w:hAnsi="仿宋" w:eastAsia="仿宋" w:cs="仿宋"/>
          <w:sz w:val="32"/>
          <w:szCs w:val="32"/>
        </w:rPr>
      </w:pPr>
      <w:r>
        <w:rPr>
          <w:rFonts w:hint="eastAsia" w:ascii="仿宋" w:hAnsi="仿宋" w:eastAsia="仿宋" w:cs="仿宋"/>
          <w:sz w:val="32"/>
          <w:szCs w:val="32"/>
        </w:rPr>
        <w:t>中共广元市利州区党校执行的是参公事业单位制度，属一级预算单位。</w:t>
      </w:r>
    </w:p>
    <w:p>
      <w:pPr>
        <w:ind w:firstLine="800" w:firstLineChars="250"/>
        <w:rPr>
          <w:rFonts w:ascii="仿宋" w:hAnsi="仿宋" w:eastAsia="仿宋" w:cs="仿宋"/>
          <w:sz w:val="30"/>
          <w:szCs w:val="30"/>
        </w:rPr>
      </w:pPr>
      <w:r>
        <w:rPr>
          <w:rFonts w:hint="eastAsia" w:ascii="仿宋" w:hAnsi="仿宋" w:eastAsia="仿宋" w:cs="仿宋"/>
          <w:sz w:val="32"/>
          <w:szCs w:val="32"/>
        </w:rPr>
        <w:t>（二）机构职能</w:t>
      </w:r>
      <w:r>
        <w:rPr>
          <w:rFonts w:ascii="仿宋" w:hAnsi="仿宋" w:eastAsia="仿宋" w:cs="仿宋"/>
          <w:sz w:val="32"/>
          <w:szCs w:val="32"/>
        </w:rPr>
        <w:br w:type="textWrapping"/>
      </w:r>
      <w:r>
        <w:rPr>
          <w:rFonts w:hint="eastAsia" w:ascii="仿宋" w:hAnsi="仿宋" w:eastAsia="仿宋" w:cs="仿宋"/>
          <w:sz w:val="30"/>
          <w:szCs w:val="30"/>
        </w:rPr>
        <w:t>负责全区党员、干部的政治理论培训，机关、企事业单位新录（聘）用干部的岗前培训、晋升职务、干部任职培训、干部转岗培训、干部专项业务培训、干部知识更新培训、干部学历培训、转业军官过渡培训等。</w:t>
      </w:r>
    </w:p>
    <w:p>
      <w:pPr>
        <w:ind w:left="857" w:leftChars="408"/>
        <w:rPr>
          <w:rFonts w:ascii="仿宋" w:hAnsi="仿宋" w:eastAsia="仿宋" w:cs="仿宋"/>
          <w:sz w:val="32"/>
          <w:szCs w:val="32"/>
        </w:rPr>
      </w:pPr>
      <w:r>
        <w:rPr>
          <w:rFonts w:hint="eastAsia" w:ascii="仿宋" w:hAnsi="仿宋" w:eastAsia="仿宋" w:cs="仿宋"/>
          <w:sz w:val="32"/>
          <w:szCs w:val="32"/>
        </w:rPr>
        <w:t>（三）人员概况</w:t>
      </w:r>
    </w:p>
    <w:p>
      <w:pPr>
        <w:ind w:firstLine="960" w:firstLineChars="300"/>
        <w:rPr>
          <w:rFonts w:ascii="仿宋" w:hAnsi="仿宋" w:eastAsia="仿宋" w:cs="仿宋"/>
          <w:sz w:val="32"/>
          <w:szCs w:val="32"/>
        </w:rPr>
      </w:pPr>
      <w:r>
        <w:rPr>
          <w:rFonts w:hint="eastAsia" w:ascii="仿宋" w:hAnsi="仿宋" w:eastAsia="仿宋" w:cs="仿宋"/>
          <w:sz w:val="32"/>
          <w:szCs w:val="32"/>
        </w:rPr>
        <w:t>我单位现有在职职工</w:t>
      </w:r>
      <w:r>
        <w:rPr>
          <w:rFonts w:ascii="仿宋" w:hAnsi="仿宋" w:eastAsia="仿宋" w:cs="仿宋"/>
          <w:sz w:val="32"/>
          <w:szCs w:val="32"/>
        </w:rPr>
        <w:t>7</w:t>
      </w:r>
      <w:r>
        <w:rPr>
          <w:rFonts w:hint="eastAsia" w:ascii="仿宋" w:hAnsi="仿宋" w:eastAsia="仿宋" w:cs="仿宋"/>
          <w:sz w:val="32"/>
          <w:szCs w:val="32"/>
        </w:rPr>
        <w:t>人，其中参公人员</w:t>
      </w:r>
      <w:r>
        <w:rPr>
          <w:rFonts w:ascii="仿宋" w:hAnsi="仿宋" w:eastAsia="仿宋" w:cs="仿宋"/>
          <w:sz w:val="32"/>
          <w:szCs w:val="32"/>
        </w:rPr>
        <w:t>3</w:t>
      </w:r>
      <w:r>
        <w:rPr>
          <w:rFonts w:hint="eastAsia" w:ascii="仿宋" w:hAnsi="仿宋" w:eastAsia="仿宋" w:cs="仿宋"/>
          <w:sz w:val="32"/>
          <w:szCs w:val="32"/>
        </w:rPr>
        <w:t>人</w:t>
      </w:r>
      <w:r>
        <w:rPr>
          <w:rFonts w:ascii="仿宋" w:hAnsi="仿宋" w:eastAsia="仿宋" w:cs="仿宋"/>
          <w:sz w:val="32"/>
          <w:szCs w:val="32"/>
        </w:rPr>
        <w:t>,</w:t>
      </w:r>
      <w:r>
        <w:rPr>
          <w:rFonts w:hint="eastAsia" w:ascii="仿宋" w:hAnsi="仿宋" w:eastAsia="仿宋" w:cs="仿宋"/>
          <w:sz w:val="32"/>
          <w:szCs w:val="32"/>
        </w:rPr>
        <w:t>引进人才事业编制</w:t>
      </w:r>
      <w:r>
        <w:rPr>
          <w:rFonts w:ascii="仿宋" w:hAnsi="仿宋" w:eastAsia="仿宋" w:cs="仿宋"/>
          <w:sz w:val="32"/>
          <w:szCs w:val="32"/>
        </w:rPr>
        <w:t>4</w:t>
      </w:r>
      <w:r>
        <w:rPr>
          <w:rFonts w:hint="eastAsia" w:ascii="仿宋" w:hAnsi="仿宋" w:eastAsia="仿宋" w:cs="仿宋"/>
          <w:sz w:val="32"/>
          <w:szCs w:val="32"/>
        </w:rPr>
        <w:t>人。</w:t>
      </w:r>
    </w:p>
    <w:p>
      <w:pPr>
        <w:ind w:left="428" w:leftChars="204" w:firstLine="640" w:firstLineChars="200"/>
        <w:rPr>
          <w:rFonts w:ascii="仿宋" w:hAnsi="仿宋" w:eastAsia="仿宋" w:cs="仿宋"/>
          <w:sz w:val="32"/>
          <w:szCs w:val="32"/>
        </w:rPr>
      </w:pPr>
      <w:r>
        <w:rPr>
          <w:rFonts w:hint="eastAsia" w:ascii="仿宋" w:hAnsi="仿宋" w:eastAsia="仿宋" w:cs="仿宋"/>
          <w:sz w:val="32"/>
          <w:szCs w:val="32"/>
        </w:rPr>
        <w:t>二、部门财政资金收支情况</w:t>
      </w:r>
    </w:p>
    <w:p>
      <w:pPr>
        <w:ind w:left="1278" w:leftChars="456" w:hanging="320" w:hangingChars="100"/>
        <w:rPr>
          <w:rFonts w:ascii="仿宋" w:hAnsi="仿宋" w:eastAsia="仿宋" w:cs="仿宋"/>
          <w:sz w:val="32"/>
          <w:szCs w:val="32"/>
        </w:rPr>
      </w:pPr>
      <w:r>
        <w:rPr>
          <w:rFonts w:hint="eastAsia" w:ascii="仿宋" w:hAnsi="仿宋" w:eastAsia="仿宋" w:cs="仿宋"/>
          <w:sz w:val="32"/>
          <w:szCs w:val="32"/>
        </w:rPr>
        <w:t>（一）部门财政资金收入情况</w:t>
      </w:r>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年本年收入合计</w:t>
      </w:r>
      <w:r>
        <w:rPr>
          <w:rFonts w:ascii="仿宋" w:hAnsi="仿宋" w:eastAsia="仿宋"/>
          <w:color w:val="000000"/>
          <w:sz w:val="32"/>
          <w:szCs w:val="32"/>
        </w:rPr>
        <w:t>83.02</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83.02</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；政府性基金预算财政拨款收入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s="仿宋"/>
          <w:sz w:val="32"/>
          <w:szCs w:val="32"/>
        </w:rPr>
        <w:t>（二）部门财政资金支出情况</w:t>
      </w:r>
      <w:r>
        <w:rPr>
          <w:rFonts w:ascii="仿宋" w:hAnsi="仿宋" w:eastAsia="仿宋" w:cs="仿宋"/>
          <w:sz w:val="32"/>
          <w:szCs w:val="32"/>
        </w:rPr>
        <w:br w:type="textWrapping"/>
      </w: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90.76</w:t>
      </w:r>
      <w:r>
        <w:rPr>
          <w:rFonts w:hint="eastAsia" w:ascii="仿宋" w:hAnsi="仿宋" w:eastAsia="仿宋"/>
          <w:color w:val="000000"/>
          <w:sz w:val="32"/>
          <w:szCs w:val="32"/>
        </w:rPr>
        <w:t>万元，其中：基本支出</w:t>
      </w:r>
      <w:r>
        <w:rPr>
          <w:rFonts w:ascii="仿宋" w:hAnsi="仿宋" w:eastAsia="仿宋"/>
          <w:color w:val="000000"/>
          <w:sz w:val="32"/>
          <w:szCs w:val="32"/>
        </w:rPr>
        <w:t>89.85</w:t>
      </w:r>
      <w:r>
        <w:rPr>
          <w:rFonts w:hint="eastAsia" w:ascii="仿宋" w:hAnsi="仿宋" w:eastAsia="仿宋"/>
          <w:color w:val="000000"/>
          <w:sz w:val="32"/>
          <w:szCs w:val="32"/>
        </w:rPr>
        <w:t>万元，占</w:t>
      </w:r>
      <w:r>
        <w:rPr>
          <w:rFonts w:ascii="仿宋" w:hAnsi="仿宋" w:eastAsia="仿宋"/>
          <w:color w:val="000000"/>
          <w:sz w:val="32"/>
          <w:szCs w:val="32"/>
        </w:rPr>
        <w:t>99%</w:t>
      </w:r>
      <w:r>
        <w:rPr>
          <w:rFonts w:hint="eastAsia" w:ascii="仿宋" w:hAnsi="仿宋" w:eastAsia="仿宋"/>
          <w:color w:val="000000"/>
          <w:sz w:val="32"/>
          <w:szCs w:val="32"/>
        </w:rPr>
        <w:t>；项目支出</w:t>
      </w:r>
      <w:r>
        <w:rPr>
          <w:rFonts w:ascii="仿宋" w:hAnsi="仿宋" w:eastAsia="仿宋"/>
          <w:color w:val="000000"/>
          <w:sz w:val="32"/>
          <w:szCs w:val="32"/>
        </w:rPr>
        <w:t>0.91</w:t>
      </w:r>
      <w:r>
        <w:rPr>
          <w:rFonts w:hint="eastAsia" w:ascii="仿宋" w:hAnsi="仿宋" w:eastAsia="仿宋"/>
          <w:color w:val="000000"/>
          <w:sz w:val="32"/>
          <w:szCs w:val="32"/>
        </w:rPr>
        <w:t>万元，占</w:t>
      </w:r>
      <w:r>
        <w:rPr>
          <w:rFonts w:ascii="仿宋" w:hAnsi="仿宋" w:eastAsia="仿宋"/>
          <w:color w:val="000000"/>
          <w:sz w:val="32"/>
          <w:szCs w:val="32"/>
        </w:rPr>
        <w:t>1%</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三、部门整体预算绩效管理情况</w:t>
      </w:r>
    </w:p>
    <w:p>
      <w:pPr>
        <w:numPr>
          <w:ilvl w:val="0"/>
          <w:numId w:val="9"/>
        </w:numPr>
        <w:ind w:left="958" w:leftChars="304" w:hanging="320" w:hangingChars="100"/>
        <w:rPr>
          <w:rFonts w:ascii="仿宋" w:hAnsi="仿宋" w:eastAsia="仿宋" w:cs="仿宋"/>
          <w:sz w:val="32"/>
          <w:szCs w:val="32"/>
        </w:rPr>
      </w:pPr>
      <w:r>
        <w:rPr>
          <w:rFonts w:hint="eastAsia" w:ascii="仿宋" w:hAnsi="仿宋" w:eastAsia="仿宋" w:cs="仿宋"/>
          <w:sz w:val="32"/>
          <w:szCs w:val="32"/>
        </w:rPr>
        <w:t>部门预算管理</w:t>
      </w:r>
    </w:p>
    <w:p>
      <w:pPr>
        <w:ind w:firstLine="960" w:firstLineChars="300"/>
        <w:rPr>
          <w:rFonts w:ascii="仿宋" w:hAnsi="仿宋" w:eastAsia="仿宋" w:cs="仿宋"/>
          <w:sz w:val="32"/>
          <w:szCs w:val="32"/>
        </w:rPr>
      </w:pPr>
      <w:r>
        <w:rPr>
          <w:rFonts w:hint="eastAsia" w:ascii="仿宋" w:hAnsi="仿宋" w:eastAsia="仿宋" w:cs="仿宋"/>
          <w:sz w:val="32"/>
          <w:szCs w:val="32"/>
        </w:rPr>
        <w:t>区党校成立了以单位负责人为组长、其他人员为成员</w:t>
      </w:r>
    </w:p>
    <w:p>
      <w:pPr>
        <w:spacing w:line="600" w:lineRule="exact"/>
        <w:rPr>
          <w:rFonts w:ascii="仿宋" w:hAnsi="仿宋" w:eastAsia="仿宋" w:cs="仿宋"/>
          <w:sz w:val="32"/>
          <w:szCs w:val="32"/>
        </w:rPr>
      </w:pPr>
      <w:r>
        <w:rPr>
          <w:rFonts w:hint="eastAsia" w:ascii="仿宋" w:hAnsi="仿宋" w:eastAsia="仿宋" w:cs="仿宋"/>
          <w:sz w:val="32"/>
          <w:szCs w:val="32"/>
        </w:rPr>
        <w:t>的绩效管理领导小组。年初制定相应的科室绩效目标，分阶段进行相应的对照检查，确保目标的完成。严格按规定，根据实际需要编制预算，各项支出厉行节约，采取先申请后实施的方法，坚决杜绝超预算支出。全年预算支出完成率达</w:t>
      </w:r>
      <w:r>
        <w:rPr>
          <w:rFonts w:ascii="仿宋" w:hAnsi="仿宋" w:eastAsia="仿宋" w:cs="仿宋"/>
          <w:sz w:val="32"/>
          <w:szCs w:val="32"/>
        </w:rPr>
        <w:t>100%</w:t>
      </w:r>
      <w:r>
        <w:rPr>
          <w:rFonts w:hint="eastAsia" w:ascii="仿宋" w:hAnsi="仿宋" w:eastAsia="仿宋" w:cs="仿宋"/>
          <w:sz w:val="32"/>
          <w:szCs w:val="32"/>
        </w:rPr>
        <w:t>以上，预算支出减少原因主要由于</w:t>
      </w:r>
      <w:r>
        <w:rPr>
          <w:rFonts w:hint="eastAsia" w:ascii="仿宋" w:hAnsi="仿宋" w:eastAsia="仿宋"/>
          <w:color w:val="000000"/>
          <w:sz w:val="32"/>
          <w:szCs w:val="32"/>
        </w:rPr>
        <w:t>培训费专项经费减少等</w:t>
      </w:r>
      <w:r>
        <w:rPr>
          <w:rFonts w:hint="eastAsia" w:ascii="仿宋" w:hAnsi="仿宋" w:eastAsia="仿宋" w:cs="仿宋"/>
          <w:sz w:val="32"/>
          <w:szCs w:val="32"/>
        </w:rPr>
        <w:t>。全年无违纪违规现象发生。</w:t>
      </w:r>
      <w:r>
        <w:rPr>
          <w:rFonts w:ascii="仿宋" w:hAnsi="仿宋" w:eastAsia="仿宋" w:cs="仿宋"/>
          <w:sz w:val="32"/>
          <w:szCs w:val="32"/>
        </w:rPr>
        <w:br w:type="textWrapping"/>
      </w:r>
      <w:r>
        <w:rPr>
          <w:rFonts w:ascii="仿宋" w:hAnsi="仿宋" w:eastAsia="仿宋" w:cs="仿宋"/>
          <w:sz w:val="32"/>
          <w:szCs w:val="32"/>
        </w:rPr>
        <w:t xml:space="preserve">   </w:t>
      </w:r>
      <w:r>
        <w:rPr>
          <w:rFonts w:hint="eastAsia" w:ascii="仿宋" w:hAnsi="仿宋" w:eastAsia="仿宋" w:cs="仿宋"/>
          <w:sz w:val="32"/>
          <w:szCs w:val="32"/>
        </w:rPr>
        <w:t>（二）专项预算管理</w:t>
      </w:r>
      <w:r>
        <w:rPr>
          <w:rFonts w:ascii="仿宋" w:hAnsi="仿宋" w:eastAsia="仿宋" w:cs="仿宋"/>
          <w:sz w:val="32"/>
          <w:szCs w:val="32"/>
        </w:rPr>
        <w:br w:type="textWrapping"/>
      </w:r>
      <w:r>
        <w:rPr>
          <w:rFonts w:ascii="仿宋" w:hAnsi="仿宋" w:eastAsia="仿宋" w:cs="仿宋"/>
          <w:sz w:val="32"/>
          <w:szCs w:val="32"/>
        </w:rPr>
        <w:t xml:space="preserve">    </w:t>
      </w:r>
      <w:r>
        <w:rPr>
          <w:rFonts w:hint="eastAsia" w:ascii="仿宋" w:hAnsi="仿宋" w:eastAsia="仿宋" w:cs="仿宋"/>
          <w:sz w:val="32"/>
          <w:szCs w:val="32"/>
        </w:rPr>
        <w:t>区党校在项目管理实施时先制定工作计划、明确责任领导和具体负责人等，严格项目绩效评估，根据工作进度进行资金拨付使用。全年无项目资金，无违纪违规现象发生。</w:t>
      </w:r>
      <w:r>
        <w:rPr>
          <w:rFonts w:ascii="仿宋" w:hAnsi="仿宋" w:eastAsia="仿宋" w:cs="仿宋"/>
          <w:sz w:val="32"/>
          <w:szCs w:val="32"/>
        </w:rPr>
        <w:br w:type="textWrapping"/>
      </w:r>
      <w:r>
        <w:rPr>
          <w:rFonts w:ascii="仿宋" w:hAnsi="仿宋" w:eastAsia="仿宋" w:cs="仿宋"/>
          <w:sz w:val="32"/>
          <w:szCs w:val="32"/>
        </w:rPr>
        <w:t xml:space="preserve">    </w:t>
      </w:r>
      <w:r>
        <w:rPr>
          <w:rFonts w:hint="eastAsia" w:ascii="仿宋" w:hAnsi="仿宋" w:eastAsia="仿宋" w:cs="仿宋"/>
          <w:sz w:val="32"/>
          <w:szCs w:val="32"/>
        </w:rPr>
        <w:t>（三）结果应用情况</w:t>
      </w:r>
      <w:r>
        <w:rPr>
          <w:rFonts w:ascii="仿宋" w:hAnsi="仿宋" w:eastAsia="仿宋" w:cs="仿宋"/>
          <w:sz w:val="32"/>
          <w:szCs w:val="32"/>
        </w:rPr>
        <w:br w:type="textWrapping"/>
      </w:r>
      <w:r>
        <w:rPr>
          <w:rFonts w:ascii="仿宋" w:hAnsi="仿宋" w:eastAsia="仿宋" w:cs="仿宋"/>
          <w:sz w:val="32"/>
          <w:szCs w:val="32"/>
        </w:rPr>
        <w:t xml:space="preserve">    </w:t>
      </w:r>
      <w:r>
        <w:rPr>
          <w:rFonts w:hint="eastAsia" w:ascii="仿宋" w:hAnsi="仿宋" w:eastAsia="仿宋" w:cs="仿宋"/>
          <w:sz w:val="32"/>
          <w:szCs w:val="32"/>
        </w:rPr>
        <w:t>区党校整体预算管理情况良好，各种资金使用合理合规，公开公正，无徇私舞弊，圆满完成各项目标任务。</w:t>
      </w:r>
      <w:r>
        <w:rPr>
          <w:rFonts w:ascii="仿宋" w:hAnsi="仿宋" w:eastAsia="仿宋" w:cs="仿宋"/>
          <w:sz w:val="32"/>
          <w:szCs w:val="32"/>
        </w:rPr>
        <w:br w:type="textWrapping"/>
      </w:r>
      <w:r>
        <w:rPr>
          <w:rFonts w:ascii="仿宋" w:hAnsi="仿宋" w:eastAsia="仿宋" w:cs="仿宋"/>
          <w:sz w:val="32"/>
          <w:szCs w:val="32"/>
        </w:rPr>
        <w:t xml:space="preserve">     </w:t>
      </w:r>
      <w:r>
        <w:rPr>
          <w:rFonts w:hint="eastAsia" w:ascii="仿宋" w:hAnsi="仿宋" w:eastAsia="仿宋" w:cs="仿宋"/>
          <w:sz w:val="32"/>
          <w:szCs w:val="32"/>
        </w:rPr>
        <w:t>四、评价结论及建议</w:t>
      </w:r>
      <w:r>
        <w:rPr>
          <w:rFonts w:ascii="仿宋" w:hAnsi="仿宋" w:eastAsia="仿宋" w:cs="仿宋"/>
          <w:sz w:val="32"/>
          <w:szCs w:val="32"/>
        </w:rPr>
        <w:br w:type="textWrapping"/>
      </w:r>
      <w:r>
        <w:rPr>
          <w:rFonts w:ascii="仿宋" w:hAnsi="仿宋" w:eastAsia="仿宋" w:cs="仿宋"/>
          <w:sz w:val="32"/>
          <w:szCs w:val="32"/>
        </w:rPr>
        <w:t xml:space="preserve">    </w:t>
      </w:r>
      <w:r>
        <w:rPr>
          <w:rFonts w:hint="eastAsia" w:ascii="仿宋" w:hAnsi="仿宋" w:eastAsia="仿宋" w:cs="仿宋"/>
          <w:sz w:val="32"/>
          <w:szCs w:val="32"/>
        </w:rPr>
        <w:t>（一）评价结论：</w:t>
      </w:r>
      <w:r>
        <w:rPr>
          <w:rFonts w:ascii="仿宋" w:hAnsi="仿宋" w:eastAsia="仿宋" w:cs="仿宋"/>
          <w:sz w:val="32"/>
          <w:szCs w:val="32"/>
        </w:rPr>
        <w:t>2018</w:t>
      </w:r>
      <w:r>
        <w:rPr>
          <w:rFonts w:hint="eastAsia" w:ascii="仿宋" w:hAnsi="仿宋" w:eastAsia="仿宋" w:cs="仿宋"/>
          <w:sz w:val="32"/>
          <w:szCs w:val="32"/>
        </w:rPr>
        <w:t>年区党校在区委的领导下，在市党校的指导下，顺利完成了各项目标任务，通过绩效目标考核，并取得优异成绩。</w:t>
      </w:r>
      <w:r>
        <w:rPr>
          <w:rFonts w:ascii="仿宋" w:hAnsi="仿宋" w:eastAsia="仿宋" w:cs="仿宋"/>
          <w:sz w:val="32"/>
          <w:szCs w:val="32"/>
        </w:rPr>
        <w:br w:type="textWrapping"/>
      </w:r>
      <w:r>
        <w:rPr>
          <w:rFonts w:ascii="仿宋" w:hAnsi="仿宋" w:eastAsia="仿宋" w:cs="仿宋"/>
          <w:sz w:val="32"/>
          <w:szCs w:val="32"/>
        </w:rPr>
        <w:t xml:space="preserve">    </w:t>
      </w:r>
      <w:r>
        <w:rPr>
          <w:rFonts w:hint="eastAsia" w:ascii="仿宋" w:hAnsi="仿宋" w:eastAsia="仿宋" w:cs="仿宋"/>
          <w:sz w:val="32"/>
          <w:szCs w:val="32"/>
        </w:rPr>
        <w:t>（二）存在问题：全年在资金安排和使用上，还存在不及时、不规范的现象。</w:t>
      </w:r>
      <w:r>
        <w:rPr>
          <w:rFonts w:ascii="仿宋" w:hAnsi="仿宋" w:eastAsia="仿宋" w:cs="仿宋"/>
          <w:sz w:val="32"/>
          <w:szCs w:val="32"/>
        </w:rPr>
        <w:br w:type="textWrapping"/>
      </w:r>
      <w:r>
        <w:rPr>
          <w:rFonts w:ascii="仿宋" w:hAnsi="仿宋" w:eastAsia="仿宋" w:cs="仿宋"/>
          <w:sz w:val="32"/>
          <w:szCs w:val="32"/>
        </w:rPr>
        <w:t xml:space="preserve">     </w:t>
      </w:r>
      <w:r>
        <w:rPr>
          <w:rFonts w:hint="eastAsia" w:ascii="仿宋" w:hAnsi="仿宋" w:eastAsia="仿宋" w:cs="仿宋"/>
          <w:sz w:val="32"/>
          <w:szCs w:val="32"/>
        </w:rPr>
        <w:t>（三）改进建议：一是加强制度建设，健全财务管理制度，严格资金审批程序，加大资金监管力，提高资金使用效益。严格落实资金使用用途，确保无违纪违行为发生。</w:t>
      </w:r>
    </w:p>
    <w:bookmarkEnd w:id="58"/>
    <w:p>
      <w:pPr>
        <w:spacing w:line="600" w:lineRule="exact"/>
        <w:jc w:val="center"/>
        <w:outlineLvl w:val="0"/>
        <w:rPr>
          <w:rStyle w:val="17"/>
          <w:rFonts w:ascii="黑体" w:hAnsi="黑体" w:eastAsia="黑体"/>
          <w:b w:val="0"/>
        </w:rPr>
      </w:pPr>
      <w:bookmarkStart w:id="59" w:name="_Toc15396618"/>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6"/>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18"/>
          <w:rFonts w:hint="eastAsia" w:ascii="仿宋" w:hAnsi="仿宋" w:eastAsia="仿宋"/>
          <w:b w:val="0"/>
          <w:bCs w:val="0"/>
        </w:rPr>
        <w:t>入总表</w:t>
      </w:r>
      <w:bookmarkEnd w:id="61"/>
    </w:p>
    <w:p>
      <w:pPr>
        <w:pStyle w:val="3"/>
        <w:rPr>
          <w:rFonts w:ascii="仿宋" w:hAnsi="仿宋" w:eastAsia="仿宋"/>
          <w:color w:val="000000"/>
        </w:rPr>
      </w:pPr>
      <w:bookmarkStart w:id="62"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出总表</w:t>
      </w:r>
      <w:bookmarkEnd w:id="62"/>
    </w:p>
    <w:p>
      <w:pPr>
        <w:pStyle w:val="3"/>
        <w:rPr>
          <w:rFonts w:ascii="仿宋" w:hAnsi="仿宋" w:eastAsia="仿宋"/>
          <w:b w:val="0"/>
          <w:color w:val="000000"/>
        </w:rPr>
      </w:pPr>
      <w:bookmarkStart w:id="63"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63"/>
    </w:p>
    <w:p>
      <w:pPr>
        <w:pStyle w:val="3"/>
        <w:rPr>
          <w:rFonts w:ascii="仿宋" w:hAnsi="仿宋" w:eastAsia="仿宋"/>
          <w:color w:val="000000"/>
        </w:rPr>
      </w:pPr>
      <w:bookmarkStart w:id="64"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政拨款支出决算明细表（政府经济分类科目）</w:t>
      </w:r>
      <w:bookmarkEnd w:id="64"/>
    </w:p>
    <w:p>
      <w:pPr>
        <w:pStyle w:val="3"/>
        <w:rPr>
          <w:rFonts w:ascii="仿宋" w:hAnsi="仿宋" w:eastAsia="仿宋"/>
          <w:color w:val="000000"/>
        </w:rPr>
      </w:pPr>
      <w:bookmarkStart w:id="65" w:name="_Toc15396624"/>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71"/>
    </w:p>
    <w:p>
      <w:pPr>
        <w:pStyle w:val="3"/>
        <w:rPr>
          <w:rFonts w:ascii="仿宋" w:hAnsi="仿宋" w:eastAsia="仿宋"/>
          <w:color w:val="000000"/>
        </w:rPr>
      </w:pPr>
      <w:bookmarkStart w:id="72" w:name="_Toc15396631"/>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10</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901361"/>
    <w:multiLevelType w:val="singleLevel"/>
    <w:tmpl w:val="86901361"/>
    <w:lvl w:ilvl="0" w:tentative="0">
      <w:start w:val="1"/>
      <w:numFmt w:val="chineseCounting"/>
      <w:suff w:val="nothing"/>
      <w:lvlText w:val="（%1）"/>
      <w:lvlJc w:val="left"/>
      <w:rPr>
        <w:rFonts w:hint="eastAsia" w:cs="Times New Roman"/>
      </w:rPr>
    </w:lvl>
  </w:abstractNum>
  <w:abstractNum w:abstractNumId="1">
    <w:nsid w:val="A4F85260"/>
    <w:multiLevelType w:val="singleLevel"/>
    <w:tmpl w:val="A4F85260"/>
    <w:lvl w:ilvl="0" w:tentative="0">
      <w:start w:val="1"/>
      <w:numFmt w:val="chineseCounting"/>
      <w:suff w:val="nothing"/>
      <w:lvlText w:val="（%1）"/>
      <w:lvlJc w:val="left"/>
      <w:rPr>
        <w:rFonts w:hint="eastAsia" w:cs="Times New Roman"/>
      </w:rPr>
    </w:lvl>
  </w:abstractNum>
  <w:abstractNum w:abstractNumId="2">
    <w:nsid w:val="C1F18606"/>
    <w:multiLevelType w:val="singleLevel"/>
    <w:tmpl w:val="C1F18606"/>
    <w:lvl w:ilvl="0" w:tentative="0">
      <w:start w:val="1"/>
      <w:numFmt w:val="decimal"/>
      <w:lvlText w:val="%1."/>
      <w:lvlJc w:val="left"/>
      <w:pPr>
        <w:tabs>
          <w:tab w:val="left" w:pos="312"/>
        </w:tabs>
      </w:pPr>
      <w:rPr>
        <w:rFonts w:cs="Times New Roman"/>
      </w:rPr>
    </w:lvl>
  </w:abstractNum>
  <w:abstractNum w:abstractNumId="3">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F9665CE9"/>
    <w:multiLevelType w:val="singleLevel"/>
    <w:tmpl w:val="F9665CE9"/>
    <w:lvl w:ilvl="0" w:tentative="0">
      <w:start w:val="1"/>
      <w:numFmt w:val="chineseCounting"/>
      <w:suff w:val="nothing"/>
      <w:lvlText w:val="%1、"/>
      <w:lvlJc w:val="left"/>
      <w:rPr>
        <w:rFonts w:hint="eastAsia" w:cs="Times New Roman"/>
      </w:r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7">
    <w:nsid w:val="591251A3"/>
    <w:multiLevelType w:val="singleLevel"/>
    <w:tmpl w:val="591251A3"/>
    <w:lvl w:ilvl="0" w:tentative="0">
      <w:start w:val="1"/>
      <w:numFmt w:val="chineseCounting"/>
      <w:suff w:val="nothing"/>
      <w:lvlText w:val="%1、"/>
      <w:lvlJc w:val="left"/>
      <w:rPr>
        <w:rFonts w:hint="eastAsia" w:cs="Times New Roman"/>
      </w:rPr>
    </w:lvl>
  </w:abstractNum>
  <w:abstractNum w:abstractNumId="8">
    <w:nsid w:val="68B2016B"/>
    <w:multiLevelType w:val="singleLevel"/>
    <w:tmpl w:val="68B2016B"/>
    <w:lvl w:ilvl="0" w:tentative="0">
      <w:start w:val="1"/>
      <w:numFmt w:val="chineseCounting"/>
      <w:suff w:val="nothing"/>
      <w:lvlText w:val="（%1）"/>
      <w:lvlJc w:val="left"/>
      <w:rPr>
        <w:rFonts w:hint="eastAsia" w:cs="Times New Roman"/>
      </w:rPr>
    </w:lvl>
  </w:abstractNum>
  <w:num w:numId="1">
    <w:abstractNumId w:val="7"/>
  </w:num>
  <w:num w:numId="2">
    <w:abstractNumId w:val="8"/>
  </w:num>
  <w:num w:numId="3">
    <w:abstractNumId w:val="2"/>
  </w:num>
  <w:num w:numId="4">
    <w:abstractNumId w:val="6"/>
  </w:num>
  <w:num w:numId="5">
    <w:abstractNumId w:val="4"/>
  </w:num>
  <w:num w:numId="6">
    <w:abstractNumId w:val="3"/>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17DFF"/>
    <w:rsid w:val="00124B75"/>
    <w:rsid w:val="0014729F"/>
    <w:rsid w:val="00157BAB"/>
    <w:rsid w:val="001654D1"/>
    <w:rsid w:val="0018106D"/>
    <w:rsid w:val="001877A7"/>
    <w:rsid w:val="00191536"/>
    <w:rsid w:val="00196687"/>
    <w:rsid w:val="001B4D4F"/>
    <w:rsid w:val="001C0962"/>
    <w:rsid w:val="001D7531"/>
    <w:rsid w:val="001E737D"/>
    <w:rsid w:val="001F0592"/>
    <w:rsid w:val="001F7506"/>
    <w:rsid w:val="002006CD"/>
    <w:rsid w:val="00202B36"/>
    <w:rsid w:val="002034AB"/>
    <w:rsid w:val="00204B7A"/>
    <w:rsid w:val="0021101A"/>
    <w:rsid w:val="00220536"/>
    <w:rsid w:val="00235629"/>
    <w:rsid w:val="00260C38"/>
    <w:rsid w:val="002616C0"/>
    <w:rsid w:val="002662AA"/>
    <w:rsid w:val="00280496"/>
    <w:rsid w:val="00295495"/>
    <w:rsid w:val="002B10A8"/>
    <w:rsid w:val="002B2613"/>
    <w:rsid w:val="002B2ABE"/>
    <w:rsid w:val="002F1818"/>
    <w:rsid w:val="002F567B"/>
    <w:rsid w:val="003062E1"/>
    <w:rsid w:val="003134A5"/>
    <w:rsid w:val="003216A9"/>
    <w:rsid w:val="003667B1"/>
    <w:rsid w:val="0037013F"/>
    <w:rsid w:val="00380C92"/>
    <w:rsid w:val="003A484F"/>
    <w:rsid w:val="003B0BE0"/>
    <w:rsid w:val="003B0C1B"/>
    <w:rsid w:val="003B688C"/>
    <w:rsid w:val="003C0291"/>
    <w:rsid w:val="003C39AE"/>
    <w:rsid w:val="003C7B60"/>
    <w:rsid w:val="003D1CA1"/>
    <w:rsid w:val="003D1FB2"/>
    <w:rsid w:val="003D66DA"/>
    <w:rsid w:val="003E1310"/>
    <w:rsid w:val="003E6F55"/>
    <w:rsid w:val="00406254"/>
    <w:rsid w:val="004223DE"/>
    <w:rsid w:val="00431936"/>
    <w:rsid w:val="00434489"/>
    <w:rsid w:val="00437085"/>
    <w:rsid w:val="00443880"/>
    <w:rsid w:val="004464F4"/>
    <w:rsid w:val="00450728"/>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0799"/>
    <w:rsid w:val="005664BB"/>
    <w:rsid w:val="005722A1"/>
    <w:rsid w:val="0057481D"/>
    <w:rsid w:val="0058486E"/>
    <w:rsid w:val="005D1C8B"/>
    <w:rsid w:val="005D5CED"/>
    <w:rsid w:val="005F1A4C"/>
    <w:rsid w:val="00602203"/>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8422C"/>
    <w:rsid w:val="006A3141"/>
    <w:rsid w:val="006A5E34"/>
    <w:rsid w:val="006B2422"/>
    <w:rsid w:val="006B2B9A"/>
    <w:rsid w:val="006B4DBD"/>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B0F0F"/>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66D3"/>
    <w:rsid w:val="009315F9"/>
    <w:rsid w:val="00946945"/>
    <w:rsid w:val="009476F8"/>
    <w:rsid w:val="00951248"/>
    <w:rsid w:val="0095152F"/>
    <w:rsid w:val="00954C49"/>
    <w:rsid w:val="009603F3"/>
    <w:rsid w:val="0097099F"/>
    <w:rsid w:val="00971997"/>
    <w:rsid w:val="00971FFC"/>
    <w:rsid w:val="00983A6B"/>
    <w:rsid w:val="0098660A"/>
    <w:rsid w:val="009931C3"/>
    <w:rsid w:val="009B2C43"/>
    <w:rsid w:val="009B4EAE"/>
    <w:rsid w:val="009B7573"/>
    <w:rsid w:val="009C22F4"/>
    <w:rsid w:val="009C2E98"/>
    <w:rsid w:val="009D3447"/>
    <w:rsid w:val="009D4711"/>
    <w:rsid w:val="009F1185"/>
    <w:rsid w:val="009F18CD"/>
    <w:rsid w:val="009F2A13"/>
    <w:rsid w:val="00A01BD7"/>
    <w:rsid w:val="00A04EB0"/>
    <w:rsid w:val="00A13CC1"/>
    <w:rsid w:val="00A16847"/>
    <w:rsid w:val="00A237D8"/>
    <w:rsid w:val="00A268C4"/>
    <w:rsid w:val="00A307CD"/>
    <w:rsid w:val="00A40A00"/>
    <w:rsid w:val="00A4142F"/>
    <w:rsid w:val="00A56DF2"/>
    <w:rsid w:val="00A67AB5"/>
    <w:rsid w:val="00A72C7A"/>
    <w:rsid w:val="00A91760"/>
    <w:rsid w:val="00A93B00"/>
    <w:rsid w:val="00A93C21"/>
    <w:rsid w:val="00AC3C6A"/>
    <w:rsid w:val="00AC767F"/>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A7B84"/>
    <w:rsid w:val="00CC09B6"/>
    <w:rsid w:val="00CC666F"/>
    <w:rsid w:val="00CD1E3F"/>
    <w:rsid w:val="00CE44F6"/>
    <w:rsid w:val="00CE49DA"/>
    <w:rsid w:val="00CE7B61"/>
    <w:rsid w:val="00D00095"/>
    <w:rsid w:val="00D117F7"/>
    <w:rsid w:val="00D20620"/>
    <w:rsid w:val="00D26091"/>
    <w:rsid w:val="00D34E7C"/>
    <w:rsid w:val="00D35489"/>
    <w:rsid w:val="00D51276"/>
    <w:rsid w:val="00D7035F"/>
    <w:rsid w:val="00D81997"/>
    <w:rsid w:val="00D93334"/>
    <w:rsid w:val="00DA65AC"/>
    <w:rsid w:val="00DB1913"/>
    <w:rsid w:val="00DC3793"/>
    <w:rsid w:val="00DC410D"/>
    <w:rsid w:val="00DC68CA"/>
    <w:rsid w:val="00DC7CBA"/>
    <w:rsid w:val="00DD73B7"/>
    <w:rsid w:val="00DF28BC"/>
    <w:rsid w:val="00DF34B9"/>
    <w:rsid w:val="00E01053"/>
    <w:rsid w:val="00E07ACF"/>
    <w:rsid w:val="00E331A1"/>
    <w:rsid w:val="00E33202"/>
    <w:rsid w:val="00E336A9"/>
    <w:rsid w:val="00E50624"/>
    <w:rsid w:val="00E528ED"/>
    <w:rsid w:val="00E568DF"/>
    <w:rsid w:val="00E603EA"/>
    <w:rsid w:val="00E64269"/>
    <w:rsid w:val="00E72ED6"/>
    <w:rsid w:val="00E82267"/>
    <w:rsid w:val="00EA010F"/>
    <w:rsid w:val="00ED1B63"/>
    <w:rsid w:val="00ED3C1F"/>
    <w:rsid w:val="00ED4085"/>
    <w:rsid w:val="00ED420E"/>
    <w:rsid w:val="00EE2F57"/>
    <w:rsid w:val="00EE5B22"/>
    <w:rsid w:val="00EF4C34"/>
    <w:rsid w:val="00EF77C6"/>
    <w:rsid w:val="00F05438"/>
    <w:rsid w:val="00F1361C"/>
    <w:rsid w:val="00F160C7"/>
    <w:rsid w:val="00F36D8F"/>
    <w:rsid w:val="00F417B1"/>
    <w:rsid w:val="00F602DF"/>
    <w:rsid w:val="00F81FD9"/>
    <w:rsid w:val="00F841AA"/>
    <w:rsid w:val="00FA23E8"/>
    <w:rsid w:val="00FD3CC1"/>
    <w:rsid w:val="00FD5DB2"/>
    <w:rsid w:val="00FF1E02"/>
    <w:rsid w:val="00FF2C1C"/>
    <w:rsid w:val="00FF30B4"/>
    <w:rsid w:val="01137551"/>
    <w:rsid w:val="0157517E"/>
    <w:rsid w:val="02612B0F"/>
    <w:rsid w:val="066E0F10"/>
    <w:rsid w:val="069B35A7"/>
    <w:rsid w:val="07EB0771"/>
    <w:rsid w:val="090E4643"/>
    <w:rsid w:val="09125892"/>
    <w:rsid w:val="0B88494A"/>
    <w:rsid w:val="0CEC7EAD"/>
    <w:rsid w:val="0CFB78B7"/>
    <w:rsid w:val="0D31645F"/>
    <w:rsid w:val="0D321895"/>
    <w:rsid w:val="0EBA4CCB"/>
    <w:rsid w:val="106177AE"/>
    <w:rsid w:val="10A20DD9"/>
    <w:rsid w:val="10C055FF"/>
    <w:rsid w:val="14895A38"/>
    <w:rsid w:val="14A90139"/>
    <w:rsid w:val="162F736B"/>
    <w:rsid w:val="164679F8"/>
    <w:rsid w:val="16993968"/>
    <w:rsid w:val="169E4756"/>
    <w:rsid w:val="16A329EB"/>
    <w:rsid w:val="16BB723D"/>
    <w:rsid w:val="173B74A3"/>
    <w:rsid w:val="17A8290A"/>
    <w:rsid w:val="18885C59"/>
    <w:rsid w:val="19A60A3B"/>
    <w:rsid w:val="1A2B4D55"/>
    <w:rsid w:val="1BB12D77"/>
    <w:rsid w:val="1C2E1B8F"/>
    <w:rsid w:val="1D9E1CCB"/>
    <w:rsid w:val="1DC65457"/>
    <w:rsid w:val="1EC62A09"/>
    <w:rsid w:val="20FA7B6B"/>
    <w:rsid w:val="21630ABE"/>
    <w:rsid w:val="22870A1D"/>
    <w:rsid w:val="230145A8"/>
    <w:rsid w:val="23631B9E"/>
    <w:rsid w:val="23AE3CDF"/>
    <w:rsid w:val="240371BF"/>
    <w:rsid w:val="256F7B92"/>
    <w:rsid w:val="258F2DC9"/>
    <w:rsid w:val="26190CE9"/>
    <w:rsid w:val="278B7D5D"/>
    <w:rsid w:val="27D34AE5"/>
    <w:rsid w:val="281A5690"/>
    <w:rsid w:val="288C2309"/>
    <w:rsid w:val="293A717E"/>
    <w:rsid w:val="29854A23"/>
    <w:rsid w:val="29FD04D3"/>
    <w:rsid w:val="2C0502B6"/>
    <w:rsid w:val="2C5003AD"/>
    <w:rsid w:val="2CAA78B0"/>
    <w:rsid w:val="2F6645C7"/>
    <w:rsid w:val="30F26F0F"/>
    <w:rsid w:val="319F7F4E"/>
    <w:rsid w:val="32BD0475"/>
    <w:rsid w:val="33167C9E"/>
    <w:rsid w:val="34572045"/>
    <w:rsid w:val="35014863"/>
    <w:rsid w:val="39C03B42"/>
    <w:rsid w:val="3B3F75F7"/>
    <w:rsid w:val="3BA52D35"/>
    <w:rsid w:val="3C224DD3"/>
    <w:rsid w:val="3C8E7DDA"/>
    <w:rsid w:val="3D6B6A17"/>
    <w:rsid w:val="3E35518C"/>
    <w:rsid w:val="3ECE4826"/>
    <w:rsid w:val="3F094F72"/>
    <w:rsid w:val="3F395DD7"/>
    <w:rsid w:val="3F9B5333"/>
    <w:rsid w:val="3FD91F8D"/>
    <w:rsid w:val="4010550D"/>
    <w:rsid w:val="40D370D9"/>
    <w:rsid w:val="40FB6422"/>
    <w:rsid w:val="42572806"/>
    <w:rsid w:val="434E7D51"/>
    <w:rsid w:val="447613BA"/>
    <w:rsid w:val="459B4991"/>
    <w:rsid w:val="466B3878"/>
    <w:rsid w:val="46FA1F0D"/>
    <w:rsid w:val="475630ED"/>
    <w:rsid w:val="485A3EA1"/>
    <w:rsid w:val="494B5639"/>
    <w:rsid w:val="49525489"/>
    <w:rsid w:val="499139F6"/>
    <w:rsid w:val="49C30F5A"/>
    <w:rsid w:val="49E47BC1"/>
    <w:rsid w:val="4A2B1FEF"/>
    <w:rsid w:val="4A56161A"/>
    <w:rsid w:val="4A7B64EB"/>
    <w:rsid w:val="4B256019"/>
    <w:rsid w:val="4BBC5799"/>
    <w:rsid w:val="4E522DBE"/>
    <w:rsid w:val="4F933131"/>
    <w:rsid w:val="4FB63FD5"/>
    <w:rsid w:val="4FB819D1"/>
    <w:rsid w:val="50550161"/>
    <w:rsid w:val="54042B77"/>
    <w:rsid w:val="54A13F2D"/>
    <w:rsid w:val="577F52C5"/>
    <w:rsid w:val="58FC567F"/>
    <w:rsid w:val="59766B52"/>
    <w:rsid w:val="599D2F45"/>
    <w:rsid w:val="5A0D3522"/>
    <w:rsid w:val="5A70652C"/>
    <w:rsid w:val="5A9336A9"/>
    <w:rsid w:val="5B7459DA"/>
    <w:rsid w:val="5BD04E8A"/>
    <w:rsid w:val="5C895BE6"/>
    <w:rsid w:val="5D241652"/>
    <w:rsid w:val="5D5818FD"/>
    <w:rsid w:val="5DCE1DA2"/>
    <w:rsid w:val="5DE85512"/>
    <w:rsid w:val="5E30167A"/>
    <w:rsid w:val="5EC87EEC"/>
    <w:rsid w:val="5ED842D3"/>
    <w:rsid w:val="5F3025FD"/>
    <w:rsid w:val="5F9C6912"/>
    <w:rsid w:val="60073CEC"/>
    <w:rsid w:val="60C75737"/>
    <w:rsid w:val="61155899"/>
    <w:rsid w:val="61422C85"/>
    <w:rsid w:val="6240067C"/>
    <w:rsid w:val="63290F64"/>
    <w:rsid w:val="6341730C"/>
    <w:rsid w:val="63B95678"/>
    <w:rsid w:val="64CF0783"/>
    <w:rsid w:val="6635069D"/>
    <w:rsid w:val="66790C85"/>
    <w:rsid w:val="69D6323E"/>
    <w:rsid w:val="69F21CB8"/>
    <w:rsid w:val="6AC52C8A"/>
    <w:rsid w:val="6AC9783F"/>
    <w:rsid w:val="6B351325"/>
    <w:rsid w:val="6BEA7E61"/>
    <w:rsid w:val="6CAD75D6"/>
    <w:rsid w:val="6F4068E7"/>
    <w:rsid w:val="6F9B038A"/>
    <w:rsid w:val="70783F89"/>
    <w:rsid w:val="70893AB6"/>
    <w:rsid w:val="71927778"/>
    <w:rsid w:val="74C3101C"/>
    <w:rsid w:val="756029D6"/>
    <w:rsid w:val="77086378"/>
    <w:rsid w:val="771D41CC"/>
    <w:rsid w:val="778E7C70"/>
    <w:rsid w:val="77D71A59"/>
    <w:rsid w:val="7A5C0605"/>
    <w:rsid w:val="7C0B4284"/>
    <w:rsid w:val="7C9C2DE5"/>
    <w:rsid w:val="7DAC48E0"/>
    <w:rsid w:val="7E2F2BCC"/>
    <w:rsid w:val="7F89706C"/>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1"/>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kern w:val="0"/>
      <w:sz w:val="18"/>
      <w:szCs w:val="20"/>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paragraph" w:styleId="12">
    <w:name w:val="Normal (Web)"/>
    <w:basedOn w:val="1"/>
    <w:qFormat/>
    <w:uiPriority w:val="99"/>
    <w:pPr>
      <w:spacing w:before="100" w:beforeAutospacing="1" w:after="100" w:afterAutospacing="1"/>
      <w:jc w:val="left"/>
    </w:pPr>
    <w:rPr>
      <w:kern w:val="0"/>
      <w:sz w:val="24"/>
    </w:r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7">
    <w:name w:val="Heading 1 Char"/>
    <w:basedOn w:val="13"/>
    <w:link w:val="2"/>
    <w:qFormat/>
    <w:locked/>
    <w:uiPriority w:val="99"/>
    <w:rPr>
      <w:rFonts w:ascii="Times New Roman" w:hAnsi="Times New Roman" w:cs="Times New Roman"/>
      <w:b/>
      <w:bCs/>
      <w:kern w:val="44"/>
      <w:sz w:val="44"/>
      <w:szCs w:val="44"/>
    </w:rPr>
  </w:style>
  <w:style w:type="character" w:customStyle="1" w:styleId="18">
    <w:name w:val="Heading 2 Char"/>
    <w:basedOn w:val="13"/>
    <w:link w:val="3"/>
    <w:qFormat/>
    <w:locked/>
    <w:uiPriority w:val="99"/>
    <w:rPr>
      <w:rFonts w:ascii="Cambria" w:hAnsi="Cambria" w:eastAsia="宋体" w:cs="Times New Roman"/>
      <w:b/>
      <w:bCs/>
      <w:kern w:val="2"/>
      <w:sz w:val="32"/>
      <w:szCs w:val="32"/>
    </w:rPr>
  </w:style>
  <w:style w:type="character" w:customStyle="1" w:styleId="19">
    <w:name w:val="Heading 3 Char"/>
    <w:basedOn w:val="13"/>
    <w:link w:val="4"/>
    <w:qFormat/>
    <w:locked/>
    <w:uiPriority w:val="99"/>
    <w:rPr>
      <w:rFonts w:ascii="Times New Roman" w:hAnsi="Times New Roman" w:cs="Times New Roman"/>
      <w:b/>
      <w:bCs/>
      <w:kern w:val="2"/>
      <w:sz w:val="32"/>
      <w:szCs w:val="32"/>
    </w:rPr>
  </w:style>
  <w:style w:type="character" w:customStyle="1" w:styleId="20">
    <w:name w:val="Body Text Char"/>
    <w:basedOn w:val="13"/>
    <w:link w:val="5"/>
    <w:semiHidden/>
    <w:qFormat/>
    <w:locked/>
    <w:uiPriority w:val="99"/>
    <w:rPr>
      <w:rFonts w:ascii="Times New Roman" w:hAnsi="Times New Roman" w:cs="Times New Roman"/>
      <w:sz w:val="24"/>
      <w:szCs w:val="24"/>
    </w:rPr>
  </w:style>
  <w:style w:type="character" w:customStyle="1" w:styleId="21">
    <w:name w:val="Balloon Text Char"/>
    <w:basedOn w:val="13"/>
    <w:link w:val="7"/>
    <w:semiHidden/>
    <w:qFormat/>
    <w:locked/>
    <w:uiPriority w:val="99"/>
    <w:rPr>
      <w:rFonts w:ascii="Times New Roman" w:hAnsi="Times New Roman" w:cs="Times New Roman"/>
      <w:kern w:val="2"/>
      <w:sz w:val="18"/>
      <w:szCs w:val="18"/>
    </w:rPr>
  </w:style>
  <w:style w:type="character" w:customStyle="1" w:styleId="22">
    <w:name w:val="Footer Char"/>
    <w:basedOn w:val="13"/>
    <w:link w:val="8"/>
    <w:semiHidden/>
    <w:qFormat/>
    <w:locked/>
    <w:uiPriority w:val="99"/>
    <w:rPr>
      <w:rFonts w:ascii="Times New Roman" w:hAnsi="Times New Roman" w:cs="Times New Roman"/>
      <w:sz w:val="18"/>
      <w:szCs w:val="18"/>
    </w:rPr>
  </w:style>
  <w:style w:type="character" w:customStyle="1" w:styleId="23">
    <w:name w:val="Header Char"/>
    <w:basedOn w:val="13"/>
    <w:link w:val="9"/>
    <w:semiHidden/>
    <w:qFormat/>
    <w:locked/>
    <w:uiPriority w:val="99"/>
    <w:rPr>
      <w:rFonts w:ascii="Times New Roman" w:hAnsi="Times New Roman" w:cs="Times New Roman"/>
      <w:sz w:val="18"/>
      <w:szCs w:val="18"/>
    </w:rPr>
  </w:style>
  <w:style w:type="character" w:customStyle="1" w:styleId="24">
    <w:name w:val="Header Char1"/>
    <w:link w:val="9"/>
    <w:semiHidden/>
    <w:qFormat/>
    <w:locked/>
    <w:uiPriority w:val="99"/>
    <w:rPr>
      <w:sz w:val="18"/>
    </w:rPr>
  </w:style>
  <w:style w:type="character" w:customStyle="1" w:styleId="25">
    <w:name w:val="Footer Char1"/>
    <w:link w:val="8"/>
    <w:qFormat/>
    <w:locked/>
    <w:uiPriority w:val="99"/>
    <w:rPr>
      <w:sz w:val="18"/>
    </w:rPr>
  </w:style>
  <w:style w:type="character" w:customStyle="1" w:styleId="26">
    <w:name w:val="Body Text Char1"/>
    <w:link w:val="5"/>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28">
    <w:name w:val="List Paragraph"/>
    <w:basedOn w:val="1"/>
    <w:qFormat/>
    <w:uiPriority w:val="99"/>
    <w:pPr>
      <w:ind w:firstLine="420" w:firstLineChars="200"/>
    </w:pPr>
  </w:style>
  <w:style w:type="paragraph" w:customStyle="1" w:styleId="29">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四川省财政厅</Company>
  <Pages>25</Pages>
  <Words>1813</Words>
  <Characters>10338</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User</cp:lastModifiedBy>
  <cp:lastPrinted>2019-08-01T00:48:00Z</cp:lastPrinted>
  <dcterms:modified xsi:type="dcterms:W3CDTF">2019-09-19T09:35:37Z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