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42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广元市利州区民族宗教局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16</w:t>
      </w:r>
      <w:bookmarkStart w:id="76" w:name="_GoBack"/>
      <w:bookmarkEnd w:id="76"/>
      <w:r>
        <w:rPr>
          <w:rFonts w:hint="eastAsia"/>
        </w:rPr>
        <w:t>日</w:t>
      </w:r>
    </w:p>
    <w:p/>
    <w:p>
      <w:pPr>
        <w:pStyle w:val="10"/>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pageBreakBefore w:val="0"/>
        <w:kinsoku/>
        <w:wordWrap/>
        <w:overflowPunct/>
        <w:topLinePunct w:val="0"/>
        <w:bidi w:val="0"/>
        <w:spacing w:before="0" w:after="0" w:line="600" w:lineRule="exact"/>
        <w:ind w:left="0" w:leftChars="0" w:firstLine="880" w:firstLineChars="200"/>
        <w:jc w:val="center"/>
        <w:rPr>
          <w:rFonts w:ascii="黑体" w:eastAsia="黑体"/>
          <w:color w:val="000000"/>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3"/>
        <w:pageBreakBefore w:val="0"/>
        <w:kinsoku/>
        <w:wordWrap/>
        <w:overflowPunct/>
        <w:topLinePunct w:val="0"/>
        <w:bidi w:val="0"/>
        <w:spacing w:before="0" w:after="0" w:line="600" w:lineRule="exact"/>
        <w:ind w:left="0" w:leftChars="0" w:firstLine="640" w:firstLineChars="200"/>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pageBreakBefore w:val="0"/>
        <w:kinsoku/>
        <w:wordWrap/>
        <w:overflowPunct/>
        <w:topLinePunct w:val="0"/>
        <w:bidi w:val="0"/>
        <w:adjustRightInd w:val="0"/>
        <w:snapToGrid w:val="0"/>
        <w:spacing w:beforeLines="0" w:line="600" w:lineRule="exact"/>
        <w:ind w:left="0" w:leftChars="0" w:firstLine="640" w:firstLineChars="200"/>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shd w:val="clear" w:color="auto" w:fill="FFFFFF"/>
          <w:lang w:bidi="ar"/>
        </w:rPr>
        <w:t>贯彻执行党中央、国务院和省关于民族、宗教工作的方针政策和国家的法律、法规。组织指导民族宗教政策和法律法规的宣传教育工作。指导、监督监督办理少数民族权益保障事宜。协助组织、人事部门做好少数民族干部的培养、教育和使用工作，联系少数民族干部。依法保护公民宗教信仰自由，保护宗教团体和宗教活动场所的合法权利，保护宗教教职人员履行正常的教务活动，保护信教群众正常的宗教活动。依法对宗教活动和宗教活动场所实施管理，协调宗教团体与政府有关部门的联系，引导宗教团体在法律范围内按照各教特点开展工作，防止和制止不法分子利用宗教进行非法、违法活动。</w:t>
      </w:r>
      <w:r>
        <w:rPr>
          <w:rFonts w:hint="eastAsia" w:hAnsi="宋体" w:cs="仿宋_GB2312"/>
          <w:color w:val="000000"/>
          <w:sz w:val="32"/>
          <w:szCs w:val="32"/>
          <w:shd w:val="clear" w:color="auto" w:fill="FFFFFF"/>
          <w:lang w:bidi="ar"/>
        </w:rPr>
        <w:t>推动宗教界人士进行爱国主义、社会主义、拥护祖国统一和民族团结的自我教育，巩固和发展同宗教界的爱国统一战线，团结和动员广大信教群众为改革开放和经济建设服务。联系宗教界代表人士，协助宗教团体做好教职人员的培养、教育和使用工作。管理民族宗教涉外事务，组织协调民族宗教工作领域的对外交流活动。协助各镇、街道办事处处理民族宗教方面的突发性事件和影响社会稳定的问题。承办区政府和上级民族宗教部门交办的其他事项。</w:t>
      </w:r>
    </w:p>
    <w:p>
      <w:pPr>
        <w:pStyle w:val="5"/>
        <w:pageBreakBefore w:val="0"/>
        <w:kinsoku/>
        <w:wordWrap/>
        <w:overflowPunct/>
        <w:topLinePunct w:val="0"/>
        <w:bidi w:val="0"/>
        <w:adjustRightInd w:val="0"/>
        <w:snapToGrid w:val="0"/>
        <w:spacing w:beforeLines="0" w:line="600" w:lineRule="exact"/>
        <w:ind w:left="0" w:leftChars="0" w:firstLine="640" w:firstLineChars="20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pageBreakBefore w:val="0"/>
        <w:numPr>
          <w:ilvl w:val="0"/>
          <w:numId w:val="1"/>
        </w:numPr>
        <w:kinsoku/>
        <w:wordWrap/>
        <w:overflowPunct/>
        <w:topLinePunct w:val="0"/>
        <w:bidi w:val="0"/>
        <w:adjustRightInd w:val="0"/>
        <w:snapToGrid w:val="0"/>
        <w:spacing w:beforeLines="0" w:line="600" w:lineRule="exact"/>
        <w:ind w:left="0" w:leftChars="0" w:firstLine="640" w:firstLineChars="200"/>
        <w:outlineLvl w:val="2"/>
        <w:rPr>
          <w:rFonts w:hint="eastAsia" w:ascii="仿宋" w:hAnsi="仿宋" w:eastAsia="仿宋" w:cs="仿宋"/>
          <w:sz w:val="32"/>
          <w:szCs w:val="32"/>
          <w:lang w:val="en-US" w:eastAsia="zh-CN"/>
        </w:rPr>
      </w:pPr>
      <w:r>
        <w:rPr>
          <w:rFonts w:hint="eastAsia" w:ascii="仿宋" w:hAnsi="仿宋" w:eastAsia="仿宋" w:cs="仿宋"/>
          <w:sz w:val="32"/>
          <w:szCs w:val="32"/>
          <w:lang w:eastAsia="zh-CN"/>
        </w:rPr>
        <w:t>治理佛道教商业化，清理整顿了滥塑大型重大宗教造缘，取缔了存在长达</w:t>
      </w:r>
      <w:r>
        <w:rPr>
          <w:rFonts w:hint="eastAsia" w:ascii="仿宋" w:hAnsi="仿宋" w:eastAsia="仿宋" w:cs="仿宋"/>
          <w:sz w:val="32"/>
          <w:szCs w:val="32"/>
          <w:lang w:val="en-US" w:eastAsia="zh-CN"/>
        </w:rPr>
        <w:t>20余年的老鹰嘴道观。</w:t>
      </w:r>
    </w:p>
    <w:p>
      <w:pPr>
        <w:pStyle w:val="5"/>
        <w:pageBreakBefore w:val="0"/>
        <w:numPr>
          <w:ilvl w:val="0"/>
          <w:numId w:val="1"/>
        </w:numPr>
        <w:kinsoku/>
        <w:wordWrap/>
        <w:overflowPunct/>
        <w:topLinePunct w:val="0"/>
        <w:bidi w:val="0"/>
        <w:adjustRightInd w:val="0"/>
        <w:snapToGrid w:val="0"/>
        <w:spacing w:beforeLines="0" w:line="600" w:lineRule="exact"/>
        <w:ind w:left="0" w:leftChars="0" w:firstLine="640" w:firstLineChars="20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治理了基督教地下传教，取缔了9个聚会点，教育引导了部分信众到合法堂点参加宗教聚会。</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0" w:leftChars="0" w:firstLine="640" w:firstLineChars="200"/>
        <w:textAlignment w:val="auto"/>
        <w:outlineLvl w:val="2"/>
        <w:rPr>
          <w:rFonts w:hint="eastAsia" w:ascii="仿宋" w:hAnsi="仿宋" w:eastAsia="仿宋"/>
          <w:bCs/>
          <w:color w:val="000000"/>
          <w:sz w:val="32"/>
          <w:szCs w:val="32"/>
        </w:rPr>
      </w:pPr>
      <w:r>
        <w:rPr>
          <w:rFonts w:hint="eastAsia" w:ascii="仿宋" w:hAnsi="仿宋" w:eastAsia="仿宋" w:cs="仿宋"/>
          <w:sz w:val="32"/>
          <w:szCs w:val="32"/>
          <w:lang w:val="en-US" w:eastAsia="zh-CN"/>
        </w:rPr>
        <w:t>3、学习宣传贯彻了新修订《宗教事务条例》，使县区宗教工作力量和宗教人士熟悉了《宗教事务条例》，增强了依法行政和依法行事能力的和意识。</w:t>
      </w:r>
    </w:p>
    <w:p>
      <w:pPr>
        <w:pStyle w:val="3"/>
        <w:pageBreakBefore w:val="0"/>
        <w:kinsoku/>
        <w:wordWrap/>
        <w:overflowPunct/>
        <w:topLinePunct w:val="0"/>
        <w:bidi w:val="0"/>
        <w:spacing w:before="0" w:after="0" w:line="600" w:lineRule="exact"/>
        <w:ind w:left="0" w:leftChars="0" w:firstLine="640" w:firstLineChars="200"/>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ageBreakBefore w:val="0"/>
        <w:kinsoku/>
        <w:wordWrap/>
        <w:overflowPunct/>
        <w:topLinePunct w:val="0"/>
        <w:bidi w:val="0"/>
        <w:spacing w:line="600" w:lineRule="exact"/>
        <w:ind w:left="0" w:leftChars="0" w:firstLine="640" w:firstLineChars="200"/>
        <w:rPr>
          <w:rFonts w:hint="eastAsia" w:ascii="仿宋" w:hAnsi="仿宋" w:eastAsia="仿宋"/>
          <w:color w:val="FF0000"/>
          <w:sz w:val="32"/>
          <w:szCs w:val="32"/>
        </w:rPr>
      </w:pPr>
      <w:r>
        <w:rPr>
          <w:rFonts w:hint="eastAsia" w:ascii="仿宋" w:hAnsi="仿宋" w:eastAsia="仿宋"/>
          <w:bCs/>
          <w:sz w:val="32"/>
          <w:szCs w:val="32"/>
        </w:rPr>
        <w:t>1、</w:t>
      </w:r>
      <w:r>
        <w:rPr>
          <w:rFonts w:hint="eastAsia" w:ascii="仿宋" w:hAnsi="仿宋" w:eastAsia="仿宋"/>
          <w:sz w:val="32"/>
          <w:szCs w:val="32"/>
        </w:rPr>
        <w:t>机构情况：本单位属行政单位，部门决算属1个独立核算机构，与上年同期一样。</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单位人员情况：编制人数2人，控编1人。年末实有人数3人，其中：</w:t>
      </w:r>
      <w:r>
        <w:rPr>
          <w:rFonts w:hint="eastAsia" w:ascii="仿宋" w:hAnsi="仿宋" w:eastAsia="仿宋"/>
          <w:sz w:val="32"/>
          <w:szCs w:val="32"/>
        </w:rPr>
        <w:t>全额拨款公务员2人，工勤控制编1人。</w:t>
      </w:r>
      <w:bookmarkStart w:id="22" w:name="_Toc15396602"/>
      <w:bookmarkStart w:id="23" w:name="_Toc15377204"/>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880" w:firstLineChars="200"/>
        <w:jc w:val="left"/>
        <w:textAlignment w:val="auto"/>
        <w:rPr>
          <w:rStyle w:val="26"/>
          <w:rFonts w:ascii="黑体" w:hAnsi="黑体" w:eastAsia="黑体"/>
          <w:b w:val="0"/>
          <w:bCs w:val="0"/>
        </w:rPr>
      </w:pPr>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26"/>
          <w:rFonts w:hint="eastAsia" w:ascii="黑体" w:hAnsi="黑体" w:eastAsia="黑体"/>
          <w:b w:val="0"/>
          <w:bCs w:val="0"/>
        </w:rPr>
        <w:t>2018年度部门决算情况说明</w:t>
      </w:r>
      <w:bookmarkEnd w:id="22"/>
      <w:bookmarkEnd w:id="23"/>
    </w:p>
    <w:p>
      <w:pPr>
        <w:pageBreakBefore w:val="0"/>
        <w:kinsoku/>
        <w:wordWrap/>
        <w:overflowPunct/>
        <w:topLinePunct w:val="0"/>
        <w:bidi w:val="0"/>
        <w:spacing w:line="600" w:lineRule="exact"/>
        <w:ind w:left="0" w:leftChars="0" w:firstLine="420" w:firstLineChars="200"/>
      </w:pPr>
    </w:p>
    <w:p>
      <w:pPr>
        <w:pStyle w:val="25"/>
        <w:pageBreakBefore w:val="0"/>
        <w:numPr>
          <w:ilvl w:val="0"/>
          <w:numId w:val="2"/>
        </w:numPr>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pageBreakBefore w:val="0"/>
        <w:kinsoku/>
        <w:wordWrap/>
        <w:overflowPunct/>
        <w:topLinePunct w:val="0"/>
        <w:bidi w:val="0"/>
        <w:spacing w:line="600" w:lineRule="exact"/>
        <w:ind w:left="0"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66.3</w:t>
      </w:r>
      <w:r>
        <w:rPr>
          <w:rFonts w:hint="eastAsia" w:ascii="仿宋" w:hAnsi="仿宋" w:eastAsia="仿宋"/>
          <w:color w:val="000000"/>
          <w:sz w:val="32"/>
          <w:szCs w:val="32"/>
        </w:rPr>
        <w:t>万元。与2017年收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132.24万元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119.29万元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62.8万元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增减少</w:t>
      </w:r>
      <w:r>
        <w:rPr>
          <w:rFonts w:hint="eastAsia" w:ascii="仿宋" w:hAnsi="仿宋" w:eastAsia="仿宋"/>
          <w:color w:val="000000"/>
          <w:sz w:val="32"/>
          <w:szCs w:val="32"/>
          <w:lang w:val="en-US" w:eastAsia="zh-CN"/>
        </w:rPr>
        <w:t>52.99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90.44</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79.92%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项目减少。</w:t>
      </w:r>
    </w:p>
    <w:p>
      <w:pPr>
        <w:pageBreakBefore w:val="0"/>
        <w:kinsoku/>
        <w:wordWrap/>
        <w:overflowPunct/>
        <w:topLinePunct w:val="0"/>
        <w:bidi w:val="0"/>
        <w:spacing w:line="600" w:lineRule="exact"/>
        <w:ind w:left="0" w:leftChars="0" w:firstLine="420" w:firstLineChars="200"/>
        <w:rPr>
          <w:rFonts w:ascii="仿宋_GB2312" w:eastAsia="仿宋_GB2312"/>
          <w:color w:val="000000"/>
          <w:sz w:val="32"/>
          <w:szCs w:val="32"/>
        </w:rPr>
      </w:pPr>
      <w:r>
        <w:drawing>
          <wp:anchor distT="0" distB="0" distL="114935" distR="114935" simplePos="0" relativeHeight="251658240" behindDoc="0" locked="0" layoutInCell="1" allowOverlap="1">
            <wp:simplePos x="0" y="0"/>
            <wp:positionH relativeFrom="column">
              <wp:posOffset>309880</wp:posOffset>
            </wp:positionH>
            <wp:positionV relativeFrom="paragraph">
              <wp:posOffset>658495</wp:posOffset>
            </wp:positionV>
            <wp:extent cx="4572000" cy="1572260"/>
            <wp:effectExtent l="4445" t="4445" r="14605" b="234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5"/>
        <w:pageBreakBefore w:val="0"/>
        <w:numPr>
          <w:ilvl w:val="0"/>
          <w:numId w:val="2"/>
        </w:numPr>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pageBreakBefore w:val="0"/>
        <w:kinsoku/>
        <w:wordWrap/>
        <w:overflowPunct/>
        <w:topLinePunct w:val="0"/>
        <w:bidi w:val="0"/>
        <w:spacing w:line="600" w:lineRule="exact"/>
        <w:ind w:left="0" w:leftChars="0"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600" w:lineRule="exact"/>
        <w:ind w:left="0" w:leftChars="0" w:firstLine="420" w:firstLineChars="200"/>
        <w:rPr>
          <w:rFonts w:ascii="仿宋_GB2312" w:eastAsia="仿宋_GB2312"/>
          <w:color w:val="FF0000"/>
          <w:sz w:val="32"/>
          <w:szCs w:val="32"/>
        </w:rPr>
      </w:pPr>
      <w:r>
        <w:drawing>
          <wp:anchor distT="0" distB="0" distL="114935" distR="114935" simplePos="0" relativeHeight="251659264" behindDoc="0" locked="0" layoutInCell="1" allowOverlap="1">
            <wp:simplePos x="0" y="0"/>
            <wp:positionH relativeFrom="column">
              <wp:posOffset>720725</wp:posOffset>
            </wp:positionH>
            <wp:positionV relativeFrom="paragraph">
              <wp:posOffset>528320</wp:posOffset>
            </wp:positionV>
            <wp:extent cx="4572000" cy="1620520"/>
            <wp:effectExtent l="4445" t="4445" r="14605" b="133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pStyle w:val="25"/>
        <w:pageBreakBefore w:val="0"/>
        <w:numPr>
          <w:ilvl w:val="0"/>
          <w:numId w:val="2"/>
        </w:numPr>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66.3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45.35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600" w:lineRule="exact"/>
        <w:ind w:left="0" w:leftChars="0" w:firstLine="420" w:firstLineChars="200"/>
        <w:rPr>
          <w:rFonts w:ascii="仿宋_GB2312" w:eastAsia="仿宋_GB2312"/>
          <w:color w:val="FF0000"/>
          <w:sz w:val="32"/>
          <w:szCs w:val="32"/>
        </w:rPr>
      </w:pPr>
      <w:r>
        <w:drawing>
          <wp:anchor distT="0" distB="0" distL="114935" distR="114935" simplePos="0" relativeHeight="251660288" behindDoc="0" locked="0" layoutInCell="1" allowOverlap="1">
            <wp:simplePos x="0" y="0"/>
            <wp:positionH relativeFrom="column">
              <wp:posOffset>747395</wp:posOffset>
            </wp:positionH>
            <wp:positionV relativeFrom="paragraph">
              <wp:posOffset>457200</wp:posOffset>
            </wp:positionV>
            <wp:extent cx="4572000" cy="1619885"/>
            <wp:effectExtent l="4445" t="4445" r="14605" b="1397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pageBreakBefore w:val="0"/>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600" w:lineRule="exact"/>
        <w:ind w:left="0" w:leftChars="0"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66.3</w:t>
      </w:r>
      <w:r>
        <w:rPr>
          <w:rFonts w:hint="eastAsia" w:ascii="仿宋" w:hAnsi="仿宋" w:eastAsia="仿宋"/>
          <w:color w:val="000000"/>
          <w:sz w:val="32"/>
          <w:szCs w:val="32"/>
        </w:rPr>
        <w:t>万元。与2017年收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132.24万元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119.29万元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62.8万元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增减少</w:t>
      </w:r>
      <w:r>
        <w:rPr>
          <w:rFonts w:hint="eastAsia" w:ascii="仿宋" w:hAnsi="仿宋" w:eastAsia="仿宋"/>
          <w:color w:val="000000"/>
          <w:sz w:val="32"/>
          <w:szCs w:val="32"/>
          <w:lang w:val="en-US" w:eastAsia="zh-CN"/>
        </w:rPr>
        <w:t>52.99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90.44</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79.92%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项目减少。</w:t>
      </w:r>
    </w:p>
    <w:p>
      <w:pPr>
        <w:pageBreakBefore w:val="0"/>
        <w:kinsoku/>
        <w:wordWrap/>
        <w:overflowPunct/>
        <w:topLinePunct w:val="0"/>
        <w:bidi w:val="0"/>
        <w:spacing w:line="600" w:lineRule="exact"/>
        <w:ind w:left="0" w:leftChars="0"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935" distR="114935" simplePos="0" relativeHeight="251661312" behindDoc="0" locked="0" layoutInCell="1" allowOverlap="1">
            <wp:simplePos x="0" y="0"/>
            <wp:positionH relativeFrom="column">
              <wp:posOffset>530860</wp:posOffset>
            </wp:positionH>
            <wp:positionV relativeFrom="paragraph">
              <wp:posOffset>469900</wp:posOffset>
            </wp:positionV>
            <wp:extent cx="4572000" cy="1572260"/>
            <wp:effectExtent l="4445" t="4445" r="14605" b="2349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pageBreakBefore w:val="0"/>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600" w:lineRule="exact"/>
        <w:ind w:left="0" w:leftChars="0"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600" w:lineRule="exact"/>
        <w:ind w:left="0" w:leftChars="0"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66.3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52.99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79.92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项目闰少。</w:t>
      </w:r>
    </w:p>
    <w:p>
      <w:pPr>
        <w:pageBreakBefore w:val="0"/>
        <w:kinsoku/>
        <w:wordWrap/>
        <w:overflowPunct/>
        <w:topLinePunct w:val="0"/>
        <w:bidi w:val="0"/>
        <w:spacing w:line="600" w:lineRule="exact"/>
        <w:ind w:left="0" w:leftChars="0"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935" distR="114935" simplePos="0" relativeHeight="251662336" behindDoc="0" locked="0" layoutInCell="1" allowOverlap="1">
            <wp:simplePos x="0" y="0"/>
            <wp:positionH relativeFrom="column">
              <wp:posOffset>558165</wp:posOffset>
            </wp:positionH>
            <wp:positionV relativeFrom="paragraph">
              <wp:posOffset>875665</wp:posOffset>
            </wp:positionV>
            <wp:extent cx="4572000" cy="1828800"/>
            <wp:effectExtent l="4445" t="4445" r="1460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pageBreakBefore w:val="0"/>
        <w:kinsoku/>
        <w:wordWrap/>
        <w:overflowPunct/>
        <w:topLinePunct w:val="0"/>
        <w:bidi w:val="0"/>
        <w:spacing w:line="600" w:lineRule="exact"/>
        <w:rPr>
          <w:rFonts w:hint="eastAsia" w:ascii="仿宋" w:hAnsi="仿宋" w:eastAsia="仿宋"/>
          <w:color w:val="000000" w:themeColor="text1"/>
          <w:sz w:val="32"/>
          <w:szCs w:val="32"/>
          <w14:textFill>
            <w14:solidFill>
              <w14:schemeClr w14:val="tx1"/>
            </w14:solidFill>
          </w14:textFill>
        </w:rPr>
      </w:pPr>
    </w:p>
    <w:p>
      <w:pPr>
        <w:pageBreakBefore w:val="0"/>
        <w:kinsoku/>
        <w:wordWrap/>
        <w:overflowPunct/>
        <w:topLinePunct w:val="0"/>
        <w:bidi w:val="0"/>
        <w:spacing w:line="600" w:lineRule="exact"/>
        <w:ind w:left="0" w:leftChars="0"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pageBreakBefore w:val="0"/>
        <w:kinsoku/>
        <w:wordWrap/>
        <w:overflowPunct/>
        <w:topLinePunct w:val="0"/>
        <w:bidi w:val="0"/>
        <w:spacing w:line="600" w:lineRule="exact"/>
        <w:ind w:left="0" w:leftChars="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66.3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一般公共服务（类）支</w:t>
      </w:r>
      <w:r>
        <w:rPr>
          <w:rFonts w:hint="eastAsia" w:ascii="仿宋" w:hAnsi="仿宋" w:eastAsia="仿宋"/>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lang w:val="en-US" w:eastAsia="zh-CN"/>
          <w14:textFill>
            <w14:solidFill>
              <w14:schemeClr w14:val="tx1"/>
            </w14:solidFill>
          </w14:textFill>
        </w:rPr>
        <w:t>59.32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89.47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社会保障和就业（类）支出</w:t>
      </w:r>
      <w:r>
        <w:rPr>
          <w:rFonts w:hint="eastAsia" w:ascii="仿宋" w:hAnsi="仿宋" w:eastAsia="仿宋"/>
          <w:b w:val="0"/>
          <w:bCs/>
          <w:color w:val="000000" w:themeColor="text1"/>
          <w:sz w:val="32"/>
          <w:szCs w:val="32"/>
          <w:lang w:val="en-US" w:eastAsia="zh-CN"/>
          <w14:textFill>
            <w14:solidFill>
              <w14:schemeClr w14:val="tx1"/>
            </w14:solidFill>
          </w14:textFill>
        </w:rPr>
        <w:t>4.17</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6.29</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；医疗卫生</w:t>
      </w:r>
      <w:r>
        <w:rPr>
          <w:rFonts w:hint="eastAsia" w:ascii="仿宋" w:hAnsi="仿宋" w:eastAsia="仿宋"/>
          <w:b w:val="0"/>
          <w:bCs/>
          <w:color w:val="000000" w:themeColor="text1"/>
          <w:sz w:val="32"/>
          <w:szCs w:val="32"/>
          <w:lang w:eastAsia="zh-CN"/>
          <w14:textFill>
            <w14:solidFill>
              <w14:schemeClr w14:val="tx1"/>
            </w14:solidFill>
          </w14:textFill>
        </w:rPr>
        <w:t>与计划</w:t>
      </w:r>
      <w:r>
        <w:rPr>
          <w:rFonts w:hint="eastAsia" w:ascii="仿宋" w:hAnsi="仿宋" w:eastAsia="仿宋"/>
          <w:color w:val="000000" w:themeColor="text1"/>
          <w:sz w:val="32"/>
          <w:szCs w:val="32"/>
          <w:lang w:eastAsia="zh-CN"/>
          <w14:textFill>
            <w14:solidFill>
              <w14:schemeClr w14:val="tx1"/>
            </w14:solidFill>
          </w14:textFill>
        </w:rPr>
        <w:t>生育（类）</w:t>
      </w:r>
      <w:r>
        <w:rPr>
          <w:rFonts w:hint="eastAsia" w:ascii="仿宋" w:hAnsi="仿宋" w:eastAsia="仿宋"/>
          <w:color w:val="000000" w:themeColor="text1"/>
          <w:sz w:val="32"/>
          <w:szCs w:val="32"/>
          <w:lang w:val="en-US" w:eastAsia="zh-CN"/>
          <w14:textFill>
            <w14:solidFill>
              <w14:schemeClr w14:val="tx1"/>
            </w14:solidFill>
          </w14:textFill>
        </w:rPr>
        <w:t>1.28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2.30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ageBreakBefore w:val="0"/>
        <w:kinsoku/>
        <w:wordWrap/>
        <w:overflowPunct/>
        <w:topLinePunct w:val="0"/>
        <w:bidi w:val="0"/>
        <w:spacing w:line="600" w:lineRule="exact"/>
        <w:ind w:left="0" w:leftChars="0" w:firstLine="420" w:firstLineChars="200"/>
        <w:rPr>
          <w:rFonts w:ascii="仿宋" w:hAnsi="仿宋" w:eastAsia="仿宋"/>
          <w:color w:val="000000"/>
          <w:sz w:val="32"/>
          <w:szCs w:val="32"/>
        </w:rPr>
      </w:pPr>
      <w:r>
        <w:drawing>
          <wp:anchor distT="0" distB="0" distL="114935" distR="114935" simplePos="0" relativeHeight="251663360" behindDoc="0" locked="0" layoutInCell="1" allowOverlap="1">
            <wp:simplePos x="0" y="0"/>
            <wp:positionH relativeFrom="column">
              <wp:posOffset>748665</wp:posOffset>
            </wp:positionH>
            <wp:positionV relativeFrom="paragraph">
              <wp:posOffset>566420</wp:posOffset>
            </wp:positionV>
            <wp:extent cx="4572000" cy="2124075"/>
            <wp:effectExtent l="4445" t="4445" r="14605" b="508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pageBreakBefore w:val="0"/>
        <w:kinsoku/>
        <w:wordWrap/>
        <w:overflowPunct/>
        <w:topLinePunct w:val="0"/>
        <w:bidi w:val="0"/>
        <w:spacing w:line="600" w:lineRule="exact"/>
        <w:ind w:left="0" w:leftChars="0"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600" w:lineRule="exact"/>
        <w:ind w:left="0" w:leftChars="0" w:firstLine="640"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66.3万元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95.48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民族事务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其他民族事务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79.07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宗教事务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29.26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宗教事务</w:t>
      </w:r>
      <w:r>
        <w:rPr>
          <w:rStyle w:val="15"/>
          <w:rFonts w:hint="eastAsia" w:ascii="仿宋" w:hAnsi="仿宋" w:eastAsia="仿宋"/>
          <w:bCs/>
          <w:color w:val="000000"/>
          <w:sz w:val="32"/>
          <w:szCs w:val="32"/>
        </w:rPr>
        <w:t>（款）一般</w:t>
      </w:r>
      <w:r>
        <w:rPr>
          <w:rStyle w:val="15"/>
          <w:rFonts w:hint="eastAsia" w:ascii="仿宋" w:hAnsi="仿宋" w:eastAsia="仿宋"/>
          <w:bCs/>
          <w:color w:val="000000"/>
          <w:sz w:val="32"/>
          <w:szCs w:val="32"/>
          <w:lang w:eastAsia="zh-CN"/>
        </w:rPr>
        <w:t>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机关事业单位职业年金缴费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住房保障支出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pageBreakBefore w:val="0"/>
        <w:tabs>
          <w:tab w:val="right" w:pos="8306"/>
        </w:tabs>
        <w:kinsoku/>
        <w:wordWrap/>
        <w:overflowPunct/>
        <w:topLinePunct w:val="0"/>
        <w:bidi w:val="0"/>
        <w:spacing w:line="600" w:lineRule="exact"/>
        <w:ind w:left="0" w:leftChars="0" w:firstLine="640" w:firstLineChars="20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36.23</w:t>
      </w:r>
      <w:r>
        <w:rPr>
          <w:rFonts w:hint="eastAsia" w:ascii="仿宋" w:hAnsi="仿宋" w:eastAsia="仿宋"/>
          <w:color w:val="000000"/>
          <w:sz w:val="32"/>
          <w:szCs w:val="32"/>
        </w:rPr>
        <w:t>万元，其中：</w:t>
      </w:r>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30.71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5.52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600" w:lineRule="exact"/>
        <w:ind w:left="0" w:leftChars="0" w:firstLine="640" w:firstLineChars="20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，与预算数持平。</w:t>
      </w:r>
    </w:p>
    <w:p>
      <w:pPr>
        <w:pageBreakBefore w:val="0"/>
        <w:kinsoku/>
        <w:wordWrap/>
        <w:overflowPunct/>
        <w:topLinePunct w:val="0"/>
        <w:bidi w:val="0"/>
        <w:spacing w:line="600" w:lineRule="exact"/>
        <w:ind w:left="0" w:leftChars="0" w:firstLine="640"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60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pageBreakBefore w:val="0"/>
        <w:kinsoku/>
        <w:wordWrap/>
        <w:overflowPunct/>
        <w:topLinePunct w:val="0"/>
        <w:bidi w:val="0"/>
        <w:spacing w:line="600" w:lineRule="exact"/>
        <w:ind w:left="0" w:leftChars="0"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pageBreakBefore w:val="0"/>
        <w:kinsoku/>
        <w:wordWrap/>
        <w:overflowPunct/>
        <w:topLinePunct w:val="0"/>
        <w:bidi w:val="0"/>
        <w:spacing w:line="600" w:lineRule="exact"/>
        <w:ind w:left="0" w:leftChars="0"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pageBreakBefore w:val="0"/>
        <w:kinsoku/>
        <w:wordWrap/>
        <w:overflowPunct/>
        <w:topLinePunct w:val="0"/>
        <w:bidi w:val="0"/>
        <w:spacing w:line="600" w:lineRule="exact"/>
        <w:ind w:left="0" w:leftChars="0"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pageBreakBefore w:val="0"/>
        <w:kinsoku/>
        <w:wordWrap/>
        <w:overflowPunct/>
        <w:topLinePunct w:val="0"/>
        <w:bidi w:val="0"/>
        <w:spacing w:line="600" w:lineRule="exact"/>
        <w:ind w:left="0" w:leftChars="0" w:firstLine="643" w:firstLineChars="20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600" w:lineRule="exact"/>
        <w:ind w:left="0" w:leftChars="0" w:firstLine="643"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接待减少</w:t>
      </w:r>
      <w:r>
        <w:rPr>
          <w:rFonts w:hint="eastAsia" w:ascii="仿宋_GB2312" w:eastAsia="仿宋_GB2312"/>
          <w:color w:val="000000"/>
          <w:sz w:val="32"/>
          <w:szCs w:val="32"/>
        </w:rPr>
        <w:t>。</w:t>
      </w:r>
    </w:p>
    <w:p>
      <w:pPr>
        <w:pageBreakBefore w:val="0"/>
        <w:kinsoku/>
        <w:wordWrap/>
        <w:overflowPunct/>
        <w:topLinePunct w:val="0"/>
        <w:bidi w:val="0"/>
        <w:spacing w:line="600" w:lineRule="exact"/>
        <w:ind w:left="0" w:leftChars="0" w:firstLine="640" w:firstLineChars="200"/>
        <w:rPr>
          <w:rFonts w:hint="eastAsia" w:ascii="仿宋_GB2312" w:eastAsia="仿宋"/>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万元，具体内容包括：</w:t>
      </w:r>
      <w:r>
        <w:rPr>
          <w:rFonts w:hint="eastAsia" w:ascii="仿宋" w:hAnsi="仿宋" w:eastAsia="仿宋"/>
          <w:color w:val="000000"/>
          <w:sz w:val="32"/>
          <w:szCs w:val="32"/>
          <w:lang w:eastAsia="zh-CN"/>
        </w:rPr>
        <w:t>宗教民族维稳</w:t>
      </w:r>
      <w:r>
        <w:rPr>
          <w:rFonts w:hint="eastAsia" w:ascii="仿宋" w:hAnsi="仿宋" w:eastAsia="仿宋"/>
          <w:color w:val="000000"/>
          <w:sz w:val="32"/>
          <w:szCs w:val="32"/>
        </w:rPr>
        <w:t>等</w:t>
      </w:r>
      <w:r>
        <w:rPr>
          <w:rFonts w:hint="eastAsia" w:ascii="仿宋" w:hAnsi="仿宋" w:eastAsia="仿宋"/>
          <w:color w:val="000000"/>
          <w:sz w:val="32"/>
          <w:szCs w:val="32"/>
          <w:lang w:eastAsia="zh-CN"/>
        </w:rPr>
        <w:t>。</w:t>
      </w:r>
    </w:p>
    <w:p>
      <w:pPr>
        <w:pageBreakBefore w:val="0"/>
        <w:kinsoku/>
        <w:wordWrap/>
        <w:overflowPunct/>
        <w:topLinePunct w:val="0"/>
        <w:bidi w:val="0"/>
        <w:spacing w:line="600" w:lineRule="exact"/>
        <w:ind w:left="0" w:lef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pageBreakBefore w:val="0"/>
        <w:kinsoku/>
        <w:wordWrap/>
        <w:overflowPunct/>
        <w:topLinePunct w:val="0"/>
        <w:bidi w:val="0"/>
        <w:spacing w:line="600" w:lineRule="exact"/>
        <w:ind w:left="0" w:leftChars="0" w:firstLine="640" w:firstLineChars="20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bookmarkStart w:id="46" w:name="_Toc15396610"/>
      <w:bookmarkStart w:id="47" w:name="_Toc15377218"/>
    </w:p>
    <w:p>
      <w:pPr>
        <w:pageBreakBefore w:val="0"/>
        <w:kinsoku/>
        <w:wordWrap/>
        <w:overflowPunct/>
        <w:topLinePunct w:val="0"/>
        <w:bidi w:val="0"/>
        <w:spacing w:line="600" w:lineRule="exact"/>
        <w:ind w:left="0" w:leftChars="0" w:firstLine="640" w:firstLineChars="20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3"/>
        </w:numPr>
        <w:kinsoku/>
        <w:wordWrap/>
        <w:overflowPunct/>
        <w:topLinePunct w:val="0"/>
        <w:bidi w:val="0"/>
        <w:spacing w:line="600" w:lineRule="exact"/>
        <w:ind w:left="0" w:leftChars="0" w:firstLine="640" w:firstLineChars="20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5"/>
        <w:pageBreakBefore w:val="0"/>
        <w:numPr>
          <w:ilvl w:val="0"/>
          <w:numId w:val="4"/>
        </w:numPr>
        <w:kinsoku/>
        <w:wordWrap/>
        <w:overflowPunct/>
        <w:topLinePunct w:val="0"/>
        <w:bidi w:val="0"/>
        <w:spacing w:line="600" w:lineRule="exact"/>
        <w:ind w:left="0" w:leftChars="0" w:firstLine="640" w:firstLineChars="200"/>
        <w:rPr>
          <w:rStyle w:val="27"/>
          <w:rFonts w:ascii="黑体" w:hAnsi="黑体" w:eastAsia="黑体"/>
          <w:b w:val="0"/>
        </w:rPr>
      </w:pPr>
      <w:r>
        <w:rPr>
          <w:rStyle w:val="27"/>
          <w:rFonts w:hint="eastAsia" w:ascii="黑体" w:hAnsi="黑体" w:eastAsia="黑体"/>
          <w:b w:val="0"/>
        </w:rPr>
        <w:t>预算绩效情况说明</w:t>
      </w:r>
    </w:p>
    <w:p>
      <w:pPr>
        <w:pageBreakBefore w:val="0"/>
        <w:numPr>
          <w:ilvl w:val="0"/>
          <w:numId w:val="5"/>
        </w:numPr>
        <w:kinsoku/>
        <w:wordWrap/>
        <w:overflowPunct/>
        <w:topLinePunct w:val="0"/>
        <w:bidi w:val="0"/>
        <w:spacing w:line="600" w:lineRule="exact"/>
        <w:ind w:left="0" w:leftChars="0"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ageBreakBefore w:val="0"/>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清真寺阿訇生活补助费、宗教工作维稳特需费、</w:t>
      </w:r>
      <w:r>
        <w:rPr>
          <w:rFonts w:hint="eastAsia" w:ascii="仿宋_GB2312" w:hAnsi="仿宋_GB2312" w:eastAsia="仿宋_GB2312" w:cs="仿宋_GB2312"/>
          <w:sz w:val="32"/>
          <w:szCs w:val="32"/>
          <w:lang w:val="en-US" w:eastAsia="zh-CN"/>
        </w:rPr>
        <w:t>2018年民族事业发展专项资金</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本部门按要求对2018年部门整体支出开展绩效自评，从评价情况来看</w:t>
      </w:r>
      <w:r>
        <w:rPr>
          <w:rFonts w:ascii="仿宋" w:hAnsi="仿宋" w:eastAsia="仿宋" w:cs="仿宋"/>
          <w:sz w:val="28"/>
          <w:szCs w:val="28"/>
          <w:shd w:val="clear" w:fill="FFFFFF"/>
        </w:rPr>
        <w:t>201</w:t>
      </w:r>
      <w:r>
        <w:rPr>
          <w:rFonts w:hint="eastAsia" w:ascii="仿宋" w:hAnsi="仿宋" w:eastAsia="仿宋" w:cs="仿宋"/>
          <w:sz w:val="28"/>
          <w:szCs w:val="28"/>
          <w:shd w:val="clear" w:fill="FFFFFF"/>
          <w:lang w:val="en-US" w:eastAsia="zh-CN"/>
        </w:rPr>
        <w:t>8</w:t>
      </w:r>
      <w:r>
        <w:rPr>
          <w:rFonts w:hint="eastAsia" w:ascii="仿宋" w:hAnsi="仿宋" w:eastAsia="仿宋" w:cs="仿宋"/>
          <w:sz w:val="28"/>
          <w:szCs w:val="28"/>
          <w:shd w:val="clear" w:fill="FFFFFF"/>
        </w:rPr>
        <w:t>年，</w:t>
      </w:r>
      <w:r>
        <w:rPr>
          <w:rFonts w:hint="eastAsia" w:ascii="仿宋" w:hAnsi="仿宋" w:eastAsia="仿宋" w:cs="仿宋"/>
          <w:sz w:val="32"/>
          <w:szCs w:val="32"/>
          <w:shd w:val="clear" w:fill="FFFFFF"/>
        </w:rPr>
        <w:t>我单位积极履职，强化管理，较好的完成了年度工作目标。通过加强预算收支管理，不断建立健全内部管理制度，梳理内部管理流程，部门整体支出管理水平得到提升</w:t>
      </w:r>
      <w:r>
        <w:rPr>
          <w:rFonts w:hint="eastAsia" w:ascii="仿宋" w:hAnsi="仿宋" w:eastAsia="仿宋" w:cs="仿宋"/>
          <w:sz w:val="32"/>
          <w:szCs w:val="32"/>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个项目绩效评价，从评价情况来看</w:t>
      </w:r>
      <w:r>
        <w:rPr>
          <w:rFonts w:hint="eastAsia" w:ascii="仿宋" w:hAnsi="仿宋" w:eastAsia="仿宋" w:cs="仿宋_GB2312"/>
          <w:color w:val="000000" w:themeColor="text1"/>
          <w:sz w:val="32"/>
          <w:szCs w:val="32"/>
          <w:lang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严格按照上级部门及本级财政专项工作资金的相关规定办法进行开支，做到专款专用，无挪用、占用、套取的现象发生。</w:t>
      </w:r>
    </w:p>
    <w:p>
      <w:pPr>
        <w:pageBreakBefore w:val="0"/>
        <w:numPr>
          <w:ilvl w:val="0"/>
          <w:numId w:val="5"/>
        </w:numPr>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清真寺阿訇生活补助费、宗教工作维稳特需费、</w:t>
      </w:r>
      <w:r>
        <w:rPr>
          <w:rFonts w:hint="eastAsia" w:ascii="仿宋_GB2312" w:hAnsi="仿宋_GB2312" w:eastAsia="仿宋_GB2312" w:cs="仿宋_GB2312"/>
          <w:sz w:val="32"/>
          <w:szCs w:val="32"/>
          <w:lang w:val="en-US" w:eastAsia="zh-CN"/>
        </w:rPr>
        <w:t>2018年民族事业发展专项资金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lang w:val="en-US" w:eastAsia="zh-CN"/>
        </w:rPr>
      </w:pPr>
      <w:r>
        <w:rPr>
          <w:rFonts w:hint="eastAsia" w:ascii="仿宋_GB2312" w:hAnsi="仿宋_GB2312" w:eastAsia="仿宋_GB2312" w:cs="仿宋_GB2312"/>
          <w:sz w:val="32"/>
          <w:szCs w:val="32"/>
          <w:lang w:eastAsia="zh-CN"/>
        </w:rPr>
        <w:t>清真寺阿訇生活补助费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维护</w:t>
      </w:r>
      <w:r>
        <w:rPr>
          <w:rFonts w:hint="eastAsia" w:ascii="仿宋" w:hAnsi="仿宋" w:eastAsia="仿宋" w:cs="仿宋"/>
          <w:sz w:val="32"/>
          <w:szCs w:val="32"/>
          <w:shd w:val="clear" w:fill="FFFFFF"/>
        </w:rPr>
        <w:t>伊斯兰教“和平、团结”的宗旨，思想上爱国爱教，信念坚定，行动上与党和政府保持高度一致，自觉维护祖国统一和民族团结的立场坚定，旗帜鲜明地与民族分裂主义和非法宗教活动作斗争</w:t>
      </w:r>
      <w:r>
        <w:rPr>
          <w:rFonts w:hint="eastAsia" w:ascii="仿宋_GB2312" w:hAnsi="仿宋_GB2312" w:eastAsia="仿宋_GB2312" w:cs="仿宋_GB2312"/>
          <w:sz w:val="32"/>
          <w:szCs w:val="32"/>
        </w:rPr>
        <w:t>，发现的主要问题：</w:t>
      </w:r>
      <w:r>
        <w:rPr>
          <w:rFonts w:hint="eastAsia" w:ascii="仿宋" w:hAnsi="仿宋" w:eastAsia="仿宋" w:cs="仿宋_GB2312"/>
          <w:sz w:val="32"/>
          <w:szCs w:val="32"/>
          <w:lang w:eastAsia="zh-CN"/>
        </w:rPr>
        <w:t>一是</w:t>
      </w:r>
      <w:r>
        <w:rPr>
          <w:rFonts w:hint="eastAsia" w:ascii="仿宋" w:hAnsi="仿宋" w:eastAsia="仿宋" w:cs="仿宋_GB2312"/>
          <w:sz w:val="32"/>
          <w:szCs w:val="32"/>
          <w:lang w:val="en-US" w:eastAsia="zh-CN"/>
        </w:rPr>
        <w:t>学习有待提高。二是服务水平有待加强。</w:t>
      </w:r>
      <w:r>
        <w:rPr>
          <w:rFonts w:hint="eastAsia" w:ascii="仿宋" w:hAnsi="仿宋" w:eastAsia="仿宋" w:cs="仿宋_GB2312"/>
          <w:sz w:val="32"/>
          <w:szCs w:val="32"/>
          <w:lang w:eastAsia="zh-CN"/>
        </w:rPr>
        <w:t>下一步改进</w:t>
      </w:r>
      <w:r>
        <w:rPr>
          <w:rFonts w:ascii="仿宋" w:hAnsi="仿宋" w:eastAsia="仿宋" w:cs="仿宋_GB2312"/>
          <w:sz w:val="32"/>
          <w:szCs w:val="32"/>
        </w:rPr>
        <w:t>措施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一是组织阿訇积极参加各类学习。二是</w:t>
      </w:r>
      <w:r>
        <w:rPr>
          <w:rStyle w:val="15"/>
          <w:rFonts w:hint="eastAsia" w:ascii="仿宋" w:hAnsi="仿宋" w:eastAsia="仿宋" w:cs="仿宋"/>
          <w:b w:val="0"/>
          <w:bCs/>
          <w:sz w:val="32"/>
          <w:szCs w:val="32"/>
          <w:shd w:val="clear" w:fill="FFFFFF"/>
          <w:lang w:val="en-US" w:eastAsia="zh-CN"/>
        </w:rPr>
        <w:t>加强</w:t>
      </w:r>
      <w:r>
        <w:rPr>
          <w:rStyle w:val="15"/>
          <w:rFonts w:hint="eastAsia" w:ascii="仿宋" w:hAnsi="仿宋" w:eastAsia="仿宋" w:cs="仿宋"/>
          <w:b w:val="0"/>
          <w:bCs/>
          <w:sz w:val="32"/>
          <w:szCs w:val="32"/>
          <w:shd w:val="clear" w:fill="FFFFFF"/>
        </w:rPr>
        <w:t>服务社会，共创和谐</w:t>
      </w:r>
      <w:r>
        <w:rPr>
          <w:rStyle w:val="15"/>
          <w:rFonts w:hint="eastAsia" w:ascii="仿宋" w:hAnsi="仿宋" w:eastAsia="仿宋" w:cs="仿宋"/>
          <w:b w:val="0"/>
          <w:bCs/>
          <w:sz w:val="32"/>
          <w:szCs w:val="32"/>
          <w:shd w:val="clear" w:fill="FFFFFF"/>
          <w:lang w:eastAsia="zh-CN"/>
        </w:rPr>
        <w:t>的能力提升。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宗教工作维稳特需费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 w:hAnsi="仿宋" w:eastAsia="仿宋" w:cs="仿宋_GB2312"/>
          <w:sz w:val="32"/>
          <w:szCs w:val="32"/>
          <w:lang w:eastAsia="zh-CN"/>
        </w:rPr>
        <w:t>敏感时间节点维稳、非法传教打击、宗教渗透抵御、跨省跨市宗教工作协作，</w:t>
      </w:r>
      <w:r>
        <w:rPr>
          <w:rFonts w:hint="eastAsia" w:ascii="仿宋" w:hAnsi="仿宋" w:eastAsia="仿宋" w:cs="仿宋"/>
          <w:i w:val="0"/>
          <w:caps w:val="0"/>
          <w:color w:val="333333"/>
          <w:spacing w:val="0"/>
          <w:sz w:val="32"/>
          <w:szCs w:val="32"/>
          <w:shd w:val="clear" w:fill="FFFFFF"/>
        </w:rPr>
        <w:t>在全</w:t>
      </w:r>
      <w:r>
        <w:rPr>
          <w:rFonts w:hint="eastAsia" w:ascii="仿宋" w:hAnsi="仿宋" w:eastAsia="仿宋" w:cs="仿宋"/>
          <w:i w:val="0"/>
          <w:caps w:val="0"/>
          <w:color w:val="333333"/>
          <w:spacing w:val="0"/>
          <w:sz w:val="32"/>
          <w:szCs w:val="32"/>
          <w:shd w:val="clear" w:fill="FFFFFF"/>
          <w:lang w:eastAsia="zh-CN"/>
        </w:rPr>
        <w:t>区</w:t>
      </w:r>
      <w:r>
        <w:rPr>
          <w:rFonts w:hint="eastAsia" w:ascii="仿宋" w:hAnsi="仿宋" w:eastAsia="仿宋" w:cs="仿宋"/>
          <w:i w:val="0"/>
          <w:caps w:val="0"/>
          <w:color w:val="333333"/>
          <w:spacing w:val="0"/>
          <w:sz w:val="32"/>
          <w:szCs w:val="32"/>
          <w:shd w:val="clear" w:fill="FFFFFF"/>
        </w:rPr>
        <w:t>范围进行全面排查，密切关注有关民族宗教因素的舆情动向，对于影响安定团结和社会问题的隐患进行充分排查和摸排，对于</w:t>
      </w:r>
      <w:r>
        <w:rPr>
          <w:rFonts w:hint="eastAsia" w:ascii="仿宋" w:hAnsi="仿宋" w:eastAsia="仿宋" w:cs="仿宋"/>
          <w:i w:val="0"/>
          <w:caps w:val="0"/>
          <w:color w:val="333333"/>
          <w:spacing w:val="0"/>
          <w:sz w:val="32"/>
          <w:szCs w:val="32"/>
          <w:shd w:val="clear" w:fill="FFFFFF"/>
          <w:lang w:eastAsia="zh-CN"/>
        </w:rPr>
        <w:t>少数民族</w:t>
      </w:r>
      <w:r>
        <w:rPr>
          <w:rFonts w:hint="eastAsia" w:ascii="仿宋" w:hAnsi="仿宋" w:eastAsia="仿宋" w:cs="仿宋"/>
          <w:i w:val="0"/>
          <w:caps w:val="0"/>
          <w:color w:val="333333"/>
          <w:spacing w:val="0"/>
          <w:sz w:val="32"/>
          <w:szCs w:val="32"/>
          <w:shd w:val="clear" w:fill="FFFFFF"/>
        </w:rPr>
        <w:t>流动人口进行关注和清真食品问题确立风险点，及时进行管控引导，并做好工作应急预案。</w:t>
      </w:r>
      <w:r>
        <w:rPr>
          <w:rFonts w:hint="eastAsia" w:ascii="仿宋_GB2312" w:hAnsi="仿宋_GB2312" w:eastAsia="仿宋_GB2312" w:cs="仿宋_GB2312"/>
          <w:sz w:val="32"/>
          <w:szCs w:val="32"/>
        </w:rPr>
        <w:t>发现的主要问题：</w:t>
      </w:r>
      <w:r>
        <w:rPr>
          <w:rFonts w:hint="eastAsia" w:ascii="仿宋" w:hAnsi="仿宋" w:eastAsia="仿宋" w:cs="仿宋"/>
          <w:sz w:val="32"/>
          <w:szCs w:val="32"/>
          <w:lang w:val="en-US" w:eastAsia="zh-CN"/>
        </w:rPr>
        <w:t>一是专门针对</w:t>
      </w:r>
      <w:r>
        <w:rPr>
          <w:rFonts w:hint="eastAsia" w:ascii="仿宋" w:hAnsi="仿宋" w:eastAsia="仿宋" w:cs="仿宋"/>
          <w:i w:val="0"/>
          <w:caps w:val="0"/>
          <w:color w:val="424040"/>
          <w:spacing w:val="0"/>
          <w:sz w:val="32"/>
          <w:szCs w:val="32"/>
          <w:shd w:val="clear" w:fill="FFFFFF"/>
        </w:rPr>
        <w:t>特困</w:t>
      </w:r>
      <w:r>
        <w:rPr>
          <w:rFonts w:hint="eastAsia" w:ascii="仿宋" w:hAnsi="仿宋" w:eastAsia="仿宋" w:cs="仿宋"/>
          <w:i w:val="0"/>
          <w:caps w:val="0"/>
          <w:color w:val="424040"/>
          <w:spacing w:val="0"/>
          <w:sz w:val="32"/>
          <w:szCs w:val="32"/>
          <w:shd w:val="clear" w:fill="FFFFFF"/>
          <w:lang w:eastAsia="zh-CN"/>
        </w:rPr>
        <w:t>少数</w:t>
      </w:r>
      <w:r>
        <w:rPr>
          <w:rFonts w:hint="eastAsia" w:ascii="仿宋" w:hAnsi="仿宋" w:eastAsia="仿宋" w:cs="仿宋"/>
          <w:i w:val="0"/>
          <w:caps w:val="0"/>
          <w:color w:val="424040"/>
          <w:spacing w:val="0"/>
          <w:sz w:val="32"/>
          <w:szCs w:val="32"/>
          <w:shd w:val="clear" w:fill="FFFFFF"/>
        </w:rPr>
        <w:t>民族扶持的相关政策尚未</w:t>
      </w:r>
      <w:r>
        <w:rPr>
          <w:rFonts w:hint="eastAsia" w:ascii="仿宋" w:hAnsi="仿宋" w:eastAsia="仿宋" w:cs="仿宋"/>
          <w:i w:val="0"/>
          <w:caps w:val="0"/>
          <w:color w:val="424040"/>
          <w:spacing w:val="0"/>
          <w:sz w:val="32"/>
          <w:szCs w:val="32"/>
          <w:shd w:val="clear" w:fill="FFFFFF"/>
          <w:lang w:eastAsia="zh-CN"/>
        </w:rPr>
        <w:t>出台</w:t>
      </w:r>
      <w:r>
        <w:rPr>
          <w:rFonts w:hint="eastAsia" w:ascii="仿宋" w:hAnsi="仿宋" w:eastAsia="仿宋" w:cs="仿宋"/>
          <w:i w:val="0"/>
          <w:caps w:val="0"/>
          <w:color w:val="424040"/>
          <w:spacing w:val="0"/>
          <w:sz w:val="32"/>
          <w:szCs w:val="32"/>
          <w:shd w:val="clear" w:fill="FFFFFF"/>
        </w:rPr>
        <w:t>;</w:t>
      </w:r>
      <w:r>
        <w:rPr>
          <w:rFonts w:hint="eastAsia" w:ascii="仿宋" w:hAnsi="仿宋" w:eastAsia="仿宋" w:cs="仿宋"/>
          <w:i w:val="0"/>
          <w:caps w:val="0"/>
          <w:color w:val="424040"/>
          <w:spacing w:val="0"/>
          <w:sz w:val="32"/>
          <w:szCs w:val="32"/>
          <w:shd w:val="clear" w:fill="FFFFFF"/>
          <w:lang w:val="en-US" w:eastAsia="zh-CN"/>
        </w:rPr>
        <w:t>二是</w:t>
      </w:r>
      <w:r>
        <w:rPr>
          <w:rFonts w:hint="eastAsia" w:ascii="仿宋" w:hAnsi="仿宋" w:eastAsia="仿宋" w:cs="仿宋"/>
          <w:i w:val="0"/>
          <w:caps w:val="0"/>
          <w:color w:val="424040"/>
          <w:spacing w:val="0"/>
          <w:sz w:val="32"/>
          <w:szCs w:val="32"/>
          <w:shd w:val="clear" w:fill="FFFFFF"/>
        </w:rPr>
        <w:t>建设民族团结</w:t>
      </w:r>
      <w:r>
        <w:rPr>
          <w:rFonts w:hint="eastAsia" w:ascii="仿宋" w:hAnsi="仿宋" w:eastAsia="仿宋" w:cs="仿宋"/>
          <w:i w:val="0"/>
          <w:caps w:val="0"/>
          <w:color w:val="424040"/>
          <w:spacing w:val="0"/>
          <w:sz w:val="32"/>
          <w:szCs w:val="32"/>
          <w:shd w:val="clear" w:fill="FFFFFF"/>
          <w:lang w:eastAsia="zh-CN"/>
        </w:rPr>
        <w:t>进步</w:t>
      </w:r>
      <w:r>
        <w:rPr>
          <w:rFonts w:hint="eastAsia" w:ascii="仿宋" w:hAnsi="仿宋" w:eastAsia="仿宋" w:cs="仿宋"/>
          <w:i w:val="0"/>
          <w:caps w:val="0"/>
          <w:color w:val="424040"/>
          <w:spacing w:val="0"/>
          <w:sz w:val="32"/>
          <w:szCs w:val="32"/>
          <w:shd w:val="clear" w:fill="FFFFFF"/>
        </w:rPr>
        <w:t>示范点涉及内容多，需整合相关资金来维持日常运营。</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充分发挥宗教团体桥梁纽带作用，强化社区民族工作站建设和流动少数民族服务管理体系化建设。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val="en-US" w:eastAsia="zh-CN"/>
        </w:rPr>
        <w:t>2018年民族事业发展专项资金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79.07</w:t>
      </w:r>
      <w:r>
        <w:rPr>
          <w:rFonts w:hint="eastAsia" w:ascii="仿宋_GB2312" w:hAnsi="仿宋_GB2312" w:eastAsia="仿宋_GB2312" w:cs="仿宋_GB2312"/>
          <w:sz w:val="32"/>
          <w:szCs w:val="32"/>
        </w:rPr>
        <w:t>%。通过项目实施，保障了</w:t>
      </w:r>
      <w:r>
        <w:rPr>
          <w:rFonts w:hint="eastAsia" w:ascii="仿宋" w:hAnsi="仿宋" w:eastAsia="仿宋" w:cs="仿宋"/>
          <w:i w:val="0"/>
          <w:caps w:val="0"/>
          <w:color w:val="333333"/>
          <w:spacing w:val="0"/>
          <w:sz w:val="32"/>
          <w:szCs w:val="32"/>
        </w:rPr>
        <w:t>开展涉及少数民族矛盾纠纷排查化解</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民族的相关调研</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民族的社会服务管理</w:t>
      </w:r>
      <w:r>
        <w:rPr>
          <w:rFonts w:hint="eastAsia" w:ascii="仿宋" w:hAnsi="仿宋" w:eastAsia="仿宋" w:cs="仿宋"/>
          <w:i w:val="0"/>
          <w:caps w:val="0"/>
          <w:color w:val="333333"/>
          <w:spacing w:val="0"/>
          <w:sz w:val="32"/>
          <w:szCs w:val="32"/>
          <w:lang w:eastAsia="zh-CN"/>
        </w:rPr>
        <w:t>工作</w:t>
      </w:r>
      <w:r>
        <w:rPr>
          <w:rFonts w:hint="eastAsia" w:ascii="仿宋" w:hAnsi="仿宋" w:eastAsia="仿宋" w:cs="仿宋"/>
          <w:i w:val="0"/>
          <w:caps w:val="0"/>
          <w:color w:val="333333"/>
          <w:spacing w:val="0"/>
          <w:sz w:val="32"/>
          <w:szCs w:val="32"/>
        </w:rPr>
        <w:t>。民族工作机动金不属于基本建设项目</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按照民族工作的实际需要，确定资金投向及投入数量，确保项目按照预算及进度实施</w:t>
      </w:r>
      <w:r>
        <w:rPr>
          <w:rFonts w:hint="eastAsia" w:ascii="仿宋" w:hAnsi="仿宋" w:eastAsia="仿宋" w:cs="仿宋"/>
          <w:i w:val="0"/>
          <w:caps w:val="0"/>
          <w:color w:val="333333"/>
          <w:spacing w:val="0"/>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项目实施进度慢</w:t>
      </w:r>
      <w:r>
        <w:rPr>
          <w:rFonts w:hint="eastAsia" w:ascii="仿宋" w:hAnsi="仿宋" w:eastAsia="仿宋" w:cs="仿宋"/>
          <w:i w:val="0"/>
          <w:caps w:val="0"/>
          <w:color w:val="424040"/>
          <w:spacing w:val="0"/>
          <w:sz w:val="32"/>
          <w:szCs w:val="32"/>
          <w:shd w:val="clear" w:fill="FFFFFF"/>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加快</w:t>
      </w:r>
      <w:r>
        <w:rPr>
          <w:rFonts w:hint="eastAsia" w:ascii="仿宋" w:hAnsi="仿宋" w:eastAsia="仿宋" w:cs="仿宋_GB2312"/>
          <w:sz w:val="32"/>
          <w:szCs w:val="32"/>
          <w:lang w:eastAsia="zh-CN"/>
        </w:rPr>
        <w:t>项目实施进度。</w:t>
      </w:r>
    </w:p>
    <w:p>
      <w:pPr>
        <w:pageBreakBefore w:val="0"/>
        <w:numPr>
          <w:ilvl w:val="0"/>
          <w:numId w:val="5"/>
        </w:numPr>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ageBreakBefore w:val="0"/>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广元市利州区民族宗教局</w:t>
      </w:r>
      <w:r>
        <w:rPr>
          <w:rFonts w:hint="eastAsia" w:ascii="仿宋_GB2312" w:hAnsi="仿宋_GB2312" w:eastAsia="仿宋_GB2312" w:cs="仿宋_GB2312"/>
          <w:sz w:val="32"/>
          <w:szCs w:val="32"/>
        </w:rPr>
        <w:t>部门2018年部门整体支出绩效评价报告》见附件。</w:t>
      </w:r>
    </w:p>
    <w:p>
      <w:pPr>
        <w:pageBreakBefore w:val="0"/>
        <w:kinsoku/>
        <w:wordWrap/>
        <w:overflowPunct/>
        <w:topLinePunct w:val="0"/>
        <w:bidi w:val="0"/>
        <w:spacing w:line="600" w:lineRule="exact"/>
        <w:ind w:left="0" w:leftChars="0"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清真寺阿訇生活补助费、宗教工作维稳特需费、</w:t>
      </w:r>
      <w:r>
        <w:rPr>
          <w:rFonts w:hint="eastAsia" w:ascii="仿宋_GB2312" w:hAnsi="仿宋_GB2312" w:eastAsia="仿宋_GB2312" w:cs="仿宋_GB2312"/>
          <w:sz w:val="32"/>
          <w:szCs w:val="32"/>
          <w:lang w:val="en-US" w:eastAsia="zh-CN"/>
        </w:rPr>
        <w:t>2018年民族事业发展专项资金</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清真寺阿訇生活补助费</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宗教工作维稳特需费</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2018年民族事业发展专项资金</w:t>
      </w:r>
      <w:r>
        <w:rPr>
          <w:rFonts w:hint="eastAsia" w:ascii="仿宋_GB2312" w:hAnsi="仿宋_GB2312" w:eastAsia="仿宋_GB2312" w:cs="仿宋_GB2312"/>
          <w:sz w:val="32"/>
          <w:szCs w:val="32"/>
        </w:rPr>
        <w:t>项目2018年绩效评价报告》见附件。</w:t>
      </w:r>
    </w:p>
    <w:p>
      <w:pPr>
        <w:pageBreakBefore w:val="0"/>
        <w:kinsoku/>
        <w:wordWrap/>
        <w:overflowPunct/>
        <w:topLinePunct w:val="0"/>
        <w:bidi w:val="0"/>
        <w:spacing w:line="600" w:lineRule="exact"/>
        <w:ind w:left="0" w:leftChars="0" w:firstLine="640" w:firstLineChars="20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pageBreakBefore w:val="0"/>
        <w:kinsoku/>
        <w:wordWrap/>
        <w:overflowPunct/>
        <w:topLinePunct w:val="0"/>
        <w:bidi w:val="0"/>
        <w:spacing w:line="600" w:lineRule="exact"/>
        <w:ind w:left="0" w:leftChars="0"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pacing w:line="600" w:lineRule="exact"/>
        <w:ind w:left="0" w:leftChars="0"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广元市利州区民族宗教局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5.52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8.82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159.78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项目减少。</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pageBreakBefore w:val="0"/>
        <w:kinsoku/>
        <w:wordWrap/>
        <w:overflowPunct/>
        <w:topLinePunct w:val="0"/>
        <w:autoSpaceDE w:val="0"/>
        <w:autoSpaceDN w:val="0"/>
        <w:bidi w:val="0"/>
        <w:adjustRightInd w:val="0"/>
        <w:spacing w:line="600" w:lineRule="exact"/>
        <w:ind w:left="0" w:leftChars="0"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广元市利州区民族宗教</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600" w:lineRule="exact"/>
        <w:ind w:left="0" w:leftChars="0"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pageBreakBefore w:val="0"/>
        <w:kinsoku/>
        <w:wordWrap/>
        <w:overflowPunct/>
        <w:topLinePunct w:val="0"/>
        <w:autoSpaceDE w:val="0"/>
        <w:autoSpaceDN w:val="0"/>
        <w:bidi w:val="0"/>
        <w:adjustRightInd w:val="0"/>
        <w:spacing w:line="600" w:lineRule="exact"/>
        <w:ind w:left="0" w:leftChars="0"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600" w:lineRule="exact"/>
        <w:ind w:left="0" w:leftChars="0"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广元市利州区民族宗教</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wordWrap/>
        <w:overflowPunct/>
        <w:topLinePunct w:val="0"/>
        <w:autoSpaceDE w:val="0"/>
        <w:autoSpaceDN w:val="0"/>
        <w:bidi w:val="0"/>
        <w:adjustRightInd w:val="0"/>
        <w:spacing w:line="600" w:lineRule="exact"/>
        <w:ind w:left="0" w:leftChars="0"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pageBreakBefore w:val="0"/>
        <w:kinsoku/>
        <w:wordWrap/>
        <w:overflowPunct/>
        <w:topLinePunct w:val="0"/>
        <w:bidi w:val="0"/>
        <w:spacing w:line="600" w:lineRule="exact"/>
        <w:ind w:left="0" w:leftChars="0" w:firstLine="643" w:firstLineChars="200"/>
        <w:rPr>
          <w:rFonts w:ascii="仿宋_GB2312" w:eastAsia="仿宋_GB2312"/>
          <w:b/>
          <w:color w:val="000000"/>
          <w:sz w:val="32"/>
          <w:szCs w:val="32"/>
        </w:rPr>
      </w:pPr>
    </w:p>
    <w:p>
      <w:pPr>
        <w:pageBreakBefore w:val="0"/>
        <w:widowControl/>
        <w:kinsoku/>
        <w:wordWrap/>
        <w:overflowPunct/>
        <w:topLinePunct w:val="0"/>
        <w:bidi w:val="0"/>
        <w:spacing w:line="600" w:lineRule="exact"/>
        <w:ind w:left="0" w:leftChars="0" w:firstLine="643" w:firstLineChars="200"/>
        <w:jc w:val="left"/>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6"/>
        </w:numPr>
        <w:kinsoku/>
        <w:wordWrap/>
        <w:overflowPunct/>
        <w:topLinePunct w:val="0"/>
        <w:bidi w:val="0"/>
        <w:spacing w:line="600" w:lineRule="exact"/>
        <w:ind w:left="0" w:leftChars="0" w:firstLine="883" w:firstLineChars="200"/>
        <w:jc w:val="center"/>
        <w:outlineLvl w:val="0"/>
        <w:rPr>
          <w:rStyle w:val="2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pageBreakBefore w:val="0"/>
        <w:kinsoku/>
        <w:wordWrap/>
        <w:overflowPunct/>
        <w:topLinePunct w:val="0"/>
        <w:bidi w:val="0"/>
        <w:spacing w:line="600" w:lineRule="exact"/>
        <w:ind w:left="0" w:leftChars="0" w:firstLine="883" w:firstLineChars="200"/>
        <w:jc w:val="left"/>
        <w:rPr>
          <w:rFonts w:ascii="宋体"/>
          <w:b/>
          <w:color w:val="000000"/>
          <w:sz w:val="44"/>
          <w:szCs w:val="44"/>
        </w:rPr>
      </w:pP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ageBreakBefore w:val="0"/>
        <w:kinsoku/>
        <w:wordWrap/>
        <w:overflowPunct/>
        <w:topLinePunct w:val="0"/>
        <w:bidi w:val="0"/>
        <w:spacing w:line="600" w:lineRule="exact"/>
        <w:ind w:left="0" w:leftChars="0"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val="0"/>
          <w:color w:val="000000"/>
          <w:sz w:val="32"/>
          <w:szCs w:val="32"/>
          <w:lang w:val="en-US" w:eastAsia="zh-CN"/>
        </w:rPr>
        <w:t>9</w:t>
      </w:r>
      <w:r>
        <w:rPr>
          <w:rStyle w:val="15"/>
          <w:rFonts w:ascii="仿宋" w:hAnsi="仿宋" w:eastAsia="仿宋"/>
          <w:b w:val="0"/>
          <w:bCs w:val="0"/>
          <w:color w:val="000000"/>
          <w:sz w:val="32"/>
          <w:szCs w:val="32"/>
        </w:rPr>
        <w:t>.</w:t>
      </w:r>
      <w:r>
        <w:rPr>
          <w:rStyle w:val="15"/>
          <w:rFonts w:hint="eastAsia" w:ascii="仿宋" w:hAnsi="仿宋" w:eastAsia="仿宋"/>
          <w:b w:val="0"/>
          <w:bCs w:val="0"/>
          <w:color w:val="000000"/>
          <w:sz w:val="32"/>
          <w:szCs w:val="32"/>
        </w:rPr>
        <w:t>一般公共服务（类）</w:t>
      </w:r>
      <w:r>
        <w:rPr>
          <w:rStyle w:val="15"/>
          <w:rFonts w:hint="eastAsia" w:ascii="仿宋" w:hAnsi="仿宋" w:eastAsia="仿宋"/>
          <w:b w:val="0"/>
          <w:bCs w:val="0"/>
          <w:color w:val="000000"/>
          <w:sz w:val="32"/>
          <w:szCs w:val="32"/>
          <w:lang w:eastAsia="zh-CN"/>
        </w:rPr>
        <w:t>民族事务</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eastAsia="zh-CN"/>
        </w:rPr>
        <w:t>其他民族事务</w:t>
      </w:r>
      <w:r>
        <w:rPr>
          <w:rStyle w:val="15"/>
          <w:rFonts w:hint="eastAsia" w:ascii="仿宋" w:hAnsi="仿宋" w:eastAsia="仿宋"/>
          <w:b w:val="0"/>
          <w:bCs w:val="0"/>
          <w:color w:val="000000"/>
          <w:sz w:val="32"/>
          <w:szCs w:val="32"/>
        </w:rPr>
        <w:t>（项）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color w:val="000000"/>
          <w:sz w:val="32"/>
          <w:szCs w:val="32"/>
          <w:lang w:eastAsia="zh-CN"/>
        </w:rPr>
        <w:t>指其他用于民族事务方面支出。</w:t>
      </w:r>
    </w:p>
    <w:p>
      <w:pPr>
        <w:pageBreakBefore w:val="0"/>
        <w:kinsoku/>
        <w:wordWrap/>
        <w:overflowPunct/>
        <w:topLinePunct w:val="0"/>
        <w:bidi w:val="0"/>
        <w:spacing w:line="600" w:lineRule="exact"/>
        <w:ind w:left="0" w:leftChars="0" w:firstLine="640" w:firstLineChars="200"/>
        <w:rPr>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10</w:t>
      </w:r>
      <w:r>
        <w:rPr>
          <w:rStyle w:val="15"/>
          <w:rFonts w:hint="eastAsia" w:ascii="仿宋" w:hAnsi="仿宋" w:eastAsia="仿宋" w:cs="仿宋"/>
          <w:b w:val="0"/>
          <w:bCs w:val="0"/>
          <w:color w:val="000000"/>
          <w:sz w:val="32"/>
          <w:szCs w:val="32"/>
        </w:rPr>
        <w:t>.一般公共服务（类）</w:t>
      </w:r>
      <w:r>
        <w:rPr>
          <w:rStyle w:val="15"/>
          <w:rFonts w:hint="eastAsia" w:ascii="仿宋" w:hAnsi="仿宋" w:eastAsia="仿宋" w:cs="仿宋"/>
          <w:b w:val="0"/>
          <w:bCs w:val="0"/>
          <w:color w:val="000000"/>
          <w:sz w:val="32"/>
          <w:szCs w:val="32"/>
          <w:lang w:eastAsia="zh-CN"/>
        </w:rPr>
        <w:t>宗教事务</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行政运行</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指行政单位基本支出。</w:t>
      </w:r>
    </w:p>
    <w:p>
      <w:pPr>
        <w:pageBreakBefore w:val="0"/>
        <w:kinsoku/>
        <w:wordWrap/>
        <w:overflowPunct/>
        <w:topLinePunct w:val="0"/>
        <w:bidi w:val="0"/>
        <w:spacing w:line="600" w:lineRule="exact"/>
        <w:ind w:left="0" w:leftChars="0" w:firstLine="640"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cs="仿宋"/>
          <w:b w:val="0"/>
          <w:bCs w:val="0"/>
          <w:color w:val="000000"/>
          <w:sz w:val="32"/>
          <w:szCs w:val="32"/>
          <w:lang w:val="en-US" w:eastAsia="zh-CN"/>
        </w:rPr>
        <w:t>11</w:t>
      </w:r>
      <w:r>
        <w:rPr>
          <w:rStyle w:val="15"/>
          <w:rFonts w:hint="eastAsia" w:ascii="仿宋" w:hAnsi="仿宋" w:eastAsia="仿宋" w:cs="仿宋"/>
          <w:b w:val="0"/>
          <w:bCs w:val="0"/>
          <w:color w:val="000000"/>
          <w:sz w:val="32"/>
          <w:szCs w:val="32"/>
        </w:rPr>
        <w:t>.一般公共服务（类）</w:t>
      </w:r>
      <w:r>
        <w:rPr>
          <w:rStyle w:val="15"/>
          <w:rFonts w:hint="eastAsia" w:ascii="仿宋" w:hAnsi="仿宋" w:eastAsia="仿宋" w:cs="仿宋"/>
          <w:b w:val="0"/>
          <w:bCs w:val="0"/>
          <w:color w:val="000000"/>
          <w:sz w:val="32"/>
          <w:szCs w:val="32"/>
          <w:lang w:eastAsia="zh-CN"/>
        </w:rPr>
        <w:t>宗教事务</w:t>
      </w:r>
      <w:r>
        <w:rPr>
          <w:rStyle w:val="15"/>
          <w:rFonts w:hint="eastAsia" w:ascii="仿宋" w:hAnsi="仿宋" w:eastAsia="仿宋" w:cs="仿宋"/>
          <w:b w:val="0"/>
          <w:bCs w:val="0"/>
          <w:color w:val="000000"/>
          <w:sz w:val="32"/>
          <w:szCs w:val="32"/>
        </w:rPr>
        <w:t>（款）一般</w:t>
      </w:r>
      <w:r>
        <w:rPr>
          <w:rStyle w:val="15"/>
          <w:rFonts w:hint="eastAsia" w:ascii="仿宋" w:hAnsi="仿宋" w:eastAsia="仿宋" w:cs="仿宋"/>
          <w:b w:val="0"/>
          <w:bCs w:val="0"/>
          <w:color w:val="000000"/>
          <w:sz w:val="32"/>
          <w:szCs w:val="32"/>
          <w:lang w:eastAsia="zh-CN"/>
        </w:rPr>
        <w:t>行政管理事务</w:t>
      </w:r>
      <w:r>
        <w:rPr>
          <w:rStyle w:val="15"/>
          <w:rFonts w:hint="eastAsia" w:ascii="仿宋" w:hAnsi="仿宋" w:eastAsia="仿宋" w:cs="仿宋"/>
          <w:b w:val="0"/>
          <w:bCs w:val="0"/>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指行政单位未单独设置项级科目的其他项目支出。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12</w:t>
      </w:r>
      <w:r>
        <w:rPr>
          <w:rStyle w:val="15"/>
          <w:rFonts w:ascii="仿宋" w:hAnsi="仿宋" w:eastAsia="仿宋"/>
          <w:bCs/>
          <w:color w:val="000000"/>
          <w:sz w:val="32"/>
          <w:szCs w:val="32"/>
        </w:rPr>
        <w:t>.</w:t>
      </w:r>
      <w:r>
        <w:rPr>
          <w:rStyle w:val="15"/>
          <w:rFonts w:hint="eastAsia" w:ascii="仿宋" w:hAnsi="仿宋" w:eastAsia="仿宋" w:cs="仿宋"/>
          <w:b w:val="0"/>
          <w:bCs w:val="0"/>
          <w:color w:val="000000"/>
          <w:sz w:val="32"/>
          <w:szCs w:val="32"/>
          <w:lang w:eastAsia="zh-CN"/>
        </w:rPr>
        <w:t>社会保障和就业支出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行政事业单位离退休</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机关事业单位基本养老保险缴费支出</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指机类事业单位实施养老保险制度由单位缴纳的基本养老保险费支出。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Style w:val="15"/>
          <w:rFonts w:hint="eastAsia" w:ascii="仿宋" w:hAnsi="仿宋" w:eastAsia="仿宋" w:cs="仿宋"/>
          <w:b w:val="0"/>
          <w:bCs w:val="0"/>
          <w:color w:val="000000"/>
          <w:sz w:val="32"/>
          <w:szCs w:val="32"/>
          <w:lang w:val="en-US" w:eastAsia="zh-CN"/>
        </w:rPr>
      </w:pPr>
      <w:r>
        <w:rPr>
          <w:rStyle w:val="15"/>
          <w:rFonts w:hint="eastAsia" w:ascii="仿宋" w:hAnsi="仿宋" w:eastAsia="仿宋"/>
          <w:bCs/>
          <w:color w:val="000000"/>
          <w:sz w:val="32"/>
          <w:szCs w:val="32"/>
          <w:lang w:val="en-US" w:eastAsia="zh-CN"/>
        </w:rPr>
        <w:t>13</w:t>
      </w:r>
      <w:r>
        <w:rPr>
          <w:rStyle w:val="15"/>
          <w:rFonts w:ascii="仿宋" w:hAnsi="仿宋" w:eastAsia="仿宋"/>
          <w:bCs/>
          <w:color w:val="000000"/>
          <w:sz w:val="32"/>
          <w:szCs w:val="32"/>
        </w:rPr>
        <w:t>.</w:t>
      </w:r>
      <w:r>
        <w:rPr>
          <w:rStyle w:val="15"/>
          <w:rFonts w:hint="eastAsia" w:ascii="仿宋" w:hAnsi="仿宋" w:eastAsia="仿宋" w:cs="仿宋"/>
          <w:b w:val="0"/>
          <w:bCs w:val="0"/>
          <w:color w:val="000000"/>
          <w:sz w:val="32"/>
          <w:szCs w:val="32"/>
          <w:lang w:eastAsia="zh-CN"/>
        </w:rPr>
        <w:t>社会保障和就业支出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行政事业单位离退休</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机关事业单位职业年金缴费支出</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机关事业单位实施养老保险制度由单位实际缴纳的职业年金支出。</w:t>
      </w:r>
    </w:p>
    <w:p>
      <w:pPr>
        <w:pageBreakBefore w:val="0"/>
        <w:kinsoku/>
        <w:wordWrap/>
        <w:overflowPunct/>
        <w:topLinePunct w:val="0"/>
        <w:bidi w:val="0"/>
        <w:spacing w:line="600" w:lineRule="exact"/>
        <w:ind w:left="0" w:leftChars="0"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14</w:t>
      </w:r>
      <w:r>
        <w:rPr>
          <w:rStyle w:val="15"/>
          <w:rFonts w:ascii="仿宋" w:hAnsi="仿宋" w:eastAsia="仿宋"/>
          <w:bCs/>
          <w:color w:val="000000"/>
          <w:sz w:val="32"/>
          <w:szCs w:val="32"/>
        </w:rPr>
        <w:t>.</w:t>
      </w:r>
      <w:r>
        <w:rPr>
          <w:rStyle w:val="15"/>
          <w:rFonts w:hint="eastAsia" w:ascii="仿宋" w:hAnsi="仿宋" w:eastAsia="仿宋" w:cs="仿宋"/>
          <w:b w:val="0"/>
          <w:bCs w:val="0"/>
          <w:color w:val="000000"/>
          <w:sz w:val="32"/>
          <w:szCs w:val="32"/>
          <w:lang w:eastAsia="zh-CN"/>
        </w:rPr>
        <w:t>医疗卫生与计划生育支出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行政事业单位医疗</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事业单位医疗</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指财政部门集中安排和事业单位基本医疗保险缴费经费。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15</w:t>
      </w:r>
      <w:r>
        <w:rPr>
          <w:rStyle w:val="15"/>
          <w:rFonts w:ascii="仿宋" w:hAnsi="仿宋" w:eastAsia="仿宋"/>
          <w:bCs/>
          <w:color w:val="000000"/>
          <w:sz w:val="32"/>
          <w:szCs w:val="32"/>
        </w:rPr>
        <w:t>.</w:t>
      </w:r>
      <w:r>
        <w:rPr>
          <w:rStyle w:val="15"/>
          <w:rFonts w:hint="eastAsia" w:ascii="仿宋" w:hAnsi="仿宋" w:eastAsia="仿宋" w:cs="仿宋"/>
          <w:b w:val="0"/>
          <w:bCs w:val="0"/>
          <w:color w:val="000000"/>
          <w:sz w:val="32"/>
          <w:szCs w:val="32"/>
          <w:lang w:eastAsia="zh-CN"/>
        </w:rPr>
        <w:t>住房保障支出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住房改革支出</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住房公积金</w:t>
      </w:r>
      <w:r>
        <w:rPr>
          <w:rStyle w:val="15"/>
          <w:rFonts w:hint="eastAsia" w:ascii="仿宋" w:hAnsi="仿宋" w:eastAsia="仿宋" w:cs="仿宋"/>
          <w:b w:val="0"/>
          <w:bCs w:val="0"/>
          <w:color w:val="000000"/>
          <w:sz w:val="32"/>
          <w:szCs w:val="32"/>
        </w:rPr>
        <w:t>（项）:</w:t>
      </w:r>
      <w:r>
        <w:rPr>
          <w:rStyle w:val="15"/>
          <w:rFonts w:hint="eastAsia" w:ascii="仿宋" w:hAnsi="仿宋" w:eastAsia="仿宋" w:cs="仿宋"/>
          <w:b w:val="0"/>
          <w:bCs w:val="0"/>
          <w:color w:val="000000"/>
          <w:sz w:val="32"/>
          <w:szCs w:val="32"/>
          <w:lang w:eastAsia="zh-CN"/>
        </w:rPr>
        <w:t>指行政事业单位按人力资源和社会保障、财政部规定的基本工资和津贴补贴以及规定比例为职工缴纳的住房公积金。</w:t>
      </w:r>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ageBreakBefore w:val="0"/>
        <w:kinsoku/>
        <w:wordWrap/>
        <w:overflowPunct/>
        <w:topLinePunct w:val="0"/>
        <w:bidi w:val="0"/>
        <w:spacing w:line="600" w:lineRule="exact"/>
        <w:ind w:left="0" w:leftChars="0"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pacing w:line="600" w:lineRule="exact"/>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600" w:lineRule="exact"/>
        <w:ind w:left="0" w:leftChars="0" w:firstLine="883" w:firstLineChars="200"/>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pageBreakBefore w:val="0"/>
        <w:kinsoku/>
        <w:wordWrap/>
        <w:overflowPunct/>
        <w:topLinePunct w:val="0"/>
        <w:bidi w:val="0"/>
        <w:spacing w:line="600" w:lineRule="exact"/>
        <w:ind w:left="0" w:leftChars="0" w:firstLine="883" w:firstLineChars="200"/>
        <w:jc w:val="center"/>
        <w:outlineLvl w:val="0"/>
        <w:rPr>
          <w:rStyle w:val="26"/>
        </w:rPr>
      </w:pPr>
    </w:p>
    <w:p>
      <w:pPr>
        <w:pStyle w:val="3"/>
        <w:pageBreakBefore w:val="0"/>
        <w:kinsoku/>
        <w:wordWrap/>
        <w:overflowPunct/>
        <w:topLinePunct w:val="0"/>
        <w:bidi w:val="0"/>
        <w:spacing w:before="0" w:after="0" w:line="600" w:lineRule="exact"/>
        <w:ind w:left="0" w:leftChars="0" w:firstLine="640" w:firstLineChars="200"/>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ind w:left="0" w:leftChars="0" w:firstLine="720" w:firstLineChars="200"/>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广元市利州区民族宗教局</w:t>
      </w:r>
      <w:r>
        <w:rPr>
          <w:rFonts w:hint="eastAsia" w:ascii="黑体" w:hAnsi="黑体" w:eastAsia="黑体" w:cs="方正小标宋简体"/>
          <w:sz w:val="36"/>
          <w:szCs w:val="36"/>
        </w:rPr>
        <w:t>部门2018年部门整体支出绩效评价报告</w:t>
      </w:r>
      <w:bookmarkEnd w:id="60"/>
    </w:p>
    <w:p>
      <w:pPr>
        <w:pageBreakBefore w:val="0"/>
        <w:kinsoku/>
        <w:wordWrap/>
        <w:overflowPunct/>
        <w:topLinePunct w:val="0"/>
        <w:bidi w:val="0"/>
        <w:spacing w:line="600" w:lineRule="exact"/>
        <w:ind w:left="0" w:leftChars="0" w:firstLine="640" w:firstLineChars="200"/>
        <w:rPr>
          <w:rFonts w:ascii="黑体" w:hAnsi="黑体" w:eastAsia="黑体" w:cs="黑体"/>
          <w:sz w:val="32"/>
          <w:szCs w:val="32"/>
        </w:rPr>
      </w:pPr>
    </w:p>
    <w:p>
      <w:pPr>
        <w:pageBreakBefore w:val="0"/>
        <w:kinsoku/>
        <w:wordWrap/>
        <w:overflowPunct/>
        <w:topLinePunct w:val="0"/>
        <w:bidi w:val="0"/>
        <w:spacing w:line="60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sz w:val="32"/>
          <w:szCs w:val="32"/>
        </w:rPr>
        <w:t>本单位属行政单位，</w:t>
      </w:r>
    </w:p>
    <w:p>
      <w:pPr>
        <w:pStyle w:val="5"/>
        <w:adjustRightInd w:val="0"/>
        <w:snapToGrid w:val="0"/>
        <w:spacing w:line="600" w:lineRule="exact"/>
        <w:ind w:firstLine="672" w:firstLineChars="210"/>
        <w:rPr>
          <w:rFonts w:ascii="仿宋" w:hAnsi="仿宋" w:eastAsia="仿宋" w:cs="仿宋_GB2312"/>
          <w:sz w:val="32"/>
          <w:szCs w:val="32"/>
        </w:rPr>
      </w:pPr>
      <w:r>
        <w:rPr>
          <w:rFonts w:ascii="仿宋" w:hAnsi="仿宋" w:eastAsia="仿宋" w:cs="仿宋_GB2312"/>
          <w:sz w:val="32"/>
          <w:szCs w:val="32"/>
        </w:rPr>
        <w:t>（二）机构职能。</w:t>
      </w:r>
      <w:r>
        <w:rPr>
          <w:rFonts w:hint="eastAsia"/>
          <w:shd w:val="clear" w:color="auto" w:fill="FFFFFF"/>
          <w:lang w:bidi="ar"/>
        </w:rPr>
        <w:t>贯彻执行党中央、国务院和省关于民族、宗教工作的方针政策和国家的法律、法规。组织指导民族宗教政策和法律法规的宣传教育工作。指导、监督监督办理少数民族权益保障事宜。协助组织、人事部门做好少数民族干部的培养、教育和使用工作，联系少数民族干部。依法保护公民宗教信仰自由，保护宗教团体和宗教活动场所的合法权利，保护宗教教职人员履行正常的教务活动，保护信教群众正常的宗教活动。依法对宗教活动和宗教活动场所实施管理，协调宗教团体与政府有关部门的联系，引导宗教团体在法律范围内按照各教特点开展工作，防止和制止不法分子利用宗教进行非法、违法活动。</w:t>
      </w:r>
      <w:r>
        <w:rPr>
          <w:rFonts w:hint="eastAsia" w:hAnsi="宋体" w:cs="仿宋_GB2312"/>
          <w:color w:val="000000"/>
          <w:sz w:val="32"/>
          <w:szCs w:val="32"/>
          <w:shd w:val="clear" w:color="auto" w:fill="FFFFFF"/>
          <w:lang w:bidi="ar"/>
        </w:rPr>
        <w:t>推动宗教界人士进行爱国主义、社会主义、拥护祖国统一和民族团结的自我教育，巩固和发展同宗教界的爱国统一战线，团结和动员广大信教群众为改革开放和经济建设服务。联系宗教界代表人士，协助宗教团体做好教职人员的培养、教育和使用工作。管理民族宗教涉外事务，组织协调民族宗教工作领域的对外交流活动。协助各镇、街道办事处处理民族宗教方面的突发性事件和影响社会稳定的问题。承办区政府和上级民族宗教部门交办的其他事项。</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olor w:val="000000"/>
          <w:sz w:val="32"/>
          <w:szCs w:val="32"/>
        </w:rPr>
        <w:t>编制人数2人，控编1人。年末实有人数3人，其中：</w:t>
      </w:r>
      <w:r>
        <w:rPr>
          <w:rFonts w:hint="eastAsia" w:ascii="仿宋" w:hAnsi="仿宋" w:eastAsia="仿宋"/>
          <w:sz w:val="32"/>
          <w:szCs w:val="32"/>
        </w:rPr>
        <w:t>全额拨款公务员2人，工勤控制编1人。</w:t>
      </w:r>
    </w:p>
    <w:p>
      <w:pPr>
        <w:pageBreakBefore w:val="0"/>
        <w:kinsoku/>
        <w:wordWrap/>
        <w:overflowPunct/>
        <w:topLinePunct w:val="0"/>
        <w:bidi w:val="0"/>
        <w:spacing w:line="600" w:lineRule="exact"/>
        <w:ind w:left="0" w:leftChars="0"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年本单位本年收入合计</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万元，其中：财政拨款收入</w:t>
      </w:r>
      <w:r>
        <w:rPr>
          <w:rFonts w:hint="eastAsia" w:ascii="仿宋" w:hAnsi="仿宋" w:eastAsia="仿宋"/>
          <w:color w:val="000000"/>
          <w:sz w:val="32"/>
          <w:szCs w:val="32"/>
          <w:lang w:val="en-US" w:eastAsia="zh-CN"/>
        </w:rPr>
        <w:t>69.44</w:t>
      </w:r>
      <w:r>
        <w:rPr>
          <w:rFonts w:hint="eastAsia" w:ascii="仿宋" w:hAnsi="仿宋" w:eastAsia="仿宋"/>
          <w:color w:val="000000"/>
          <w:sz w:val="32"/>
          <w:szCs w:val="32"/>
        </w:rPr>
        <w:t>万元，占总收入100%；事业收入0万元，占0%；经营收入0万元，占0%；附属单位上缴收入0万元，占0%；其他收入0万元，占0%。</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年本单位本年支出合计</w:t>
      </w:r>
      <w:r>
        <w:rPr>
          <w:rFonts w:hint="eastAsia" w:ascii="仿宋" w:hAnsi="仿宋" w:eastAsia="仿宋"/>
          <w:color w:val="000000"/>
          <w:sz w:val="32"/>
          <w:szCs w:val="32"/>
          <w:lang w:val="en-US" w:eastAsia="zh-CN"/>
        </w:rPr>
        <w:t>66.3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54.64</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45.36</w:t>
      </w:r>
      <w:r>
        <w:rPr>
          <w:rFonts w:hint="eastAsia" w:ascii="仿宋" w:hAnsi="仿宋" w:eastAsia="仿宋"/>
          <w:color w:val="000000"/>
          <w:sz w:val="32"/>
          <w:szCs w:val="32"/>
        </w:rPr>
        <w:t>%；上缴上级支出0万元，占0%；经营支出0万元，占0%；对附属单位补助支出0万元，占0%。</w:t>
      </w:r>
    </w:p>
    <w:p>
      <w:pPr>
        <w:pageBreakBefore w:val="0"/>
        <w:kinsoku/>
        <w:wordWrap/>
        <w:overflowPunct/>
        <w:topLinePunct w:val="0"/>
        <w:bidi w:val="0"/>
        <w:spacing w:line="600" w:lineRule="exact"/>
        <w:ind w:left="0" w:leftChars="0"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绩效评价总体良好，主要体现在：预算编制及时，认真执行各项财经纪律，财务管理内控制度健全，资金使用规范，无乱发津补贴、奖金现象。</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专项资金按照文件规定申请申报；所提交的文件、材料符合相关要求，事前经过了内部控制领导小组审核，分管财务领导审核、</w:t>
      </w:r>
      <w:r>
        <w:rPr>
          <w:rFonts w:hint="eastAsia" w:ascii="仿宋" w:hAnsi="仿宋" w:eastAsia="仿宋" w:cs="仿宋_GB2312"/>
          <w:color w:val="000000" w:themeColor="text1"/>
          <w:sz w:val="32"/>
          <w:szCs w:val="32"/>
          <w:lang w:eastAsia="zh-CN"/>
          <w14:textFill>
            <w14:solidFill>
              <w14:schemeClr w14:val="tx1"/>
            </w14:solidFill>
          </w14:textFill>
        </w:rPr>
        <w:t>主任</w:t>
      </w:r>
      <w:r>
        <w:rPr>
          <w:rFonts w:hint="eastAsia" w:ascii="仿宋" w:hAnsi="仿宋" w:eastAsia="仿宋" w:cs="仿宋_GB2312"/>
          <w:color w:val="000000" w:themeColor="text1"/>
          <w:sz w:val="32"/>
          <w:szCs w:val="32"/>
          <w14:textFill>
            <w14:solidFill>
              <w14:schemeClr w14:val="tx1"/>
            </w14:solidFill>
          </w14:textFill>
        </w:rPr>
        <w:t>审批，并达到预期效果。同时，我</w:t>
      </w:r>
      <w:r>
        <w:rPr>
          <w:rFonts w:hint="eastAsia" w:ascii="仿宋" w:hAnsi="仿宋" w:eastAsia="仿宋" w:cs="仿宋_GB2312"/>
          <w:color w:val="000000" w:themeColor="text1"/>
          <w:sz w:val="32"/>
          <w:szCs w:val="32"/>
          <w:lang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严格按照上级部门及本级财政专项工作资金的相关规定办法进行开支，做到专款专用，无挪用、占用、套取的现象发生。</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根据自评结果，2018年度部门整体预算绩效质量好，既保障了本单位职工正常办公和生活秩序，工资薪金正常发放，又顺利完成各项</w:t>
      </w:r>
      <w:r>
        <w:rPr>
          <w:rFonts w:hint="eastAsia" w:ascii="仿宋" w:hAnsi="仿宋" w:eastAsia="仿宋" w:cs="仿宋_GB2312"/>
          <w:color w:val="000000" w:themeColor="text1"/>
          <w:sz w:val="32"/>
          <w:szCs w:val="32"/>
          <w:lang w:eastAsia="zh-CN"/>
          <w14:textFill>
            <w14:solidFill>
              <w14:schemeClr w14:val="tx1"/>
            </w14:solidFill>
          </w14:textFill>
        </w:rPr>
        <w:t>项目</w:t>
      </w:r>
      <w:r>
        <w:rPr>
          <w:rFonts w:hint="eastAsia" w:ascii="仿宋" w:hAnsi="仿宋" w:eastAsia="仿宋" w:cs="仿宋_GB2312"/>
          <w:color w:val="000000" w:themeColor="text1"/>
          <w:sz w:val="32"/>
          <w:szCs w:val="32"/>
          <w14:textFill>
            <w14:solidFill>
              <w14:schemeClr w14:val="tx1"/>
            </w14:solidFill>
          </w14:textFill>
        </w:rPr>
        <w:t>工作任务，同时严肃预算管理，保障各项工作顺利开展，严格履行法定职责，圆满完成了区委、区政府部署的工作任务，准确评价了各项指标的完成情况，群众满意度高。</w:t>
      </w:r>
    </w:p>
    <w:p>
      <w:pPr>
        <w:pageBreakBefore w:val="0"/>
        <w:kinsoku/>
        <w:wordWrap/>
        <w:overflowPunct/>
        <w:topLinePunct w:val="0"/>
        <w:bidi w:val="0"/>
        <w:spacing w:line="600" w:lineRule="exact"/>
        <w:ind w:left="0" w:leftChars="0" w:firstLine="640" w:firstLineChars="200"/>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2018年度，本</w:t>
      </w:r>
      <w:r>
        <w:rPr>
          <w:rFonts w:hint="eastAsia" w:ascii="仿宋" w:hAnsi="仿宋" w:eastAsia="仿宋" w:cs="仿宋_GB2312"/>
          <w:color w:val="000000" w:themeColor="text1"/>
          <w:sz w:val="32"/>
          <w:szCs w:val="32"/>
          <w:lang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（二）存在问题。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在资金使用计划上有待进一步加强,要进一步细化预算编制,编制范围尽可能全面，不漏项。进一步提高预算编制的科学性、合理性、严谨性和可控性。</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（三）改进建议。</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加强预算编制的前瞻性，进一步优化预算编制，避免项目支出与基本支出划分不准或预算支出与实际执行出现较大偏差的情况，执行中确需调剂预算的，按规定程序报经批准。</w:t>
      </w:r>
    </w:p>
    <w:p>
      <w:pPr>
        <w:pageBreakBefore w:val="0"/>
        <w:widowControl/>
        <w:kinsoku/>
        <w:wordWrap/>
        <w:overflowPunct/>
        <w:topLinePunct w:val="0"/>
        <w:bidi w:val="0"/>
        <w:spacing w:line="600" w:lineRule="exact"/>
        <w:ind w:left="0" w:leftChars="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before="0" w:after="0" w:line="600" w:lineRule="exact"/>
        <w:ind w:left="0" w:leftChars="0" w:firstLine="640" w:firstLineChars="200"/>
        <w:rPr>
          <w:rStyle w:val="26"/>
          <w:rFonts w:ascii="仿宋" w:hAnsi="仿宋" w:eastAsia="仿宋"/>
          <w:b w:val="0"/>
          <w:bCs w:val="0"/>
          <w:sz w:val="32"/>
          <w:szCs w:val="32"/>
        </w:rPr>
      </w:pPr>
      <w:bookmarkStart w:id="61" w:name="_Toc15396617"/>
      <w:r>
        <w:rPr>
          <w:rStyle w:val="26"/>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ind w:left="0" w:leftChars="0"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清真寺阿訇生活补助费</w:t>
      </w:r>
      <w:r>
        <w:rPr>
          <w:rFonts w:hint="eastAsia" w:ascii="黑体" w:hAnsi="黑体" w:eastAsia="黑体" w:cs="方正小标宋简体"/>
          <w:sz w:val="44"/>
          <w:szCs w:val="44"/>
        </w:rPr>
        <w:t>项目支出绩效评价报告</w:t>
      </w:r>
    </w:p>
    <w:p>
      <w:pPr>
        <w:pageBreakBefore w:val="0"/>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本着伊斯兰教“和平、团结”的宗旨，思想上爱国爱教，信念坚定，行动上与党和政府保持高度一致，自觉维护祖国统一和民族团结的立场坚定，旗帜鲜明地与民族分裂主义和非法宗教活动作斗争。</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未出现穆斯林群体恶性事件，为伊斯兰教界的安定稳定做出应有的贡献。</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1、项目决策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lang w:eastAsia="zh-CN"/>
        </w:rPr>
        <w:t>引导</w:t>
      </w:r>
      <w:r>
        <w:rPr>
          <w:rFonts w:hint="eastAsia" w:ascii="仿宋" w:hAnsi="仿宋" w:eastAsia="仿宋" w:cs="仿宋"/>
          <w:sz w:val="32"/>
          <w:szCs w:val="32"/>
          <w:shd w:val="clear" w:fill="FFFFFF"/>
        </w:rPr>
        <w:t>伊斯兰教</w:t>
      </w:r>
      <w:r>
        <w:rPr>
          <w:rFonts w:hint="eastAsia" w:ascii="仿宋" w:hAnsi="仿宋" w:eastAsia="仿宋" w:cs="仿宋"/>
          <w:sz w:val="32"/>
          <w:szCs w:val="32"/>
          <w:shd w:val="clear" w:fill="FFFFFF"/>
          <w:lang w:eastAsia="zh-CN"/>
        </w:rPr>
        <w:t>群众</w:t>
      </w:r>
      <w:r>
        <w:rPr>
          <w:rFonts w:hint="eastAsia" w:ascii="仿宋" w:hAnsi="仿宋" w:eastAsia="仿宋" w:cs="仿宋"/>
          <w:sz w:val="32"/>
          <w:szCs w:val="32"/>
          <w:shd w:val="clear" w:fill="FFFFFF"/>
        </w:rPr>
        <w:t>爱国、和平、团结、宽容的精神，反对极端、反对暴力，积极引导穆斯林群众，消除个人极端情绪。决不轻信恶言，维护民族团结，坚决抵制外来非法宣教组织，保障清真寺教务讲坛。积极配合政府部门做好应急事件处置，将矛盾消除在萌芽状态。协调配合有关部门妥善处理涉外来流动穆斯林矛盾纠纷，化解矛盾，维护社会稳定。</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2、项目管理</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w:t>
      </w:r>
      <w:r>
        <w:rPr>
          <w:rFonts w:hint="eastAsia" w:ascii="仿宋" w:hAnsi="仿宋" w:eastAsia="仿宋" w:cs="仿宋_GB2312"/>
          <w:sz w:val="32"/>
          <w:szCs w:val="32"/>
          <w:lang w:eastAsia="zh-CN"/>
        </w:rPr>
        <w:t>共计</w:t>
      </w:r>
      <w:r>
        <w:rPr>
          <w:rFonts w:hint="eastAsia" w:ascii="仿宋" w:hAnsi="仿宋" w:eastAsia="仿宋" w:cs="仿宋_GB2312"/>
          <w:sz w:val="32"/>
          <w:szCs w:val="32"/>
          <w:lang w:val="en-US" w:eastAsia="zh-CN"/>
        </w:rPr>
        <w:t>4.25万元，4人（马长顺、王剑平、王永方、王占荣）每月885元/月/人，</w:t>
      </w:r>
      <w:r>
        <w:rPr>
          <w:rFonts w:hint="eastAsia" w:ascii="仿宋" w:hAnsi="仿宋" w:eastAsia="仿宋" w:cs="仿宋_GB2312"/>
          <w:sz w:val="32"/>
          <w:szCs w:val="32"/>
          <w:lang w:eastAsia="zh-CN"/>
        </w:rPr>
        <w:t>按时发放给每个人。</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保证清真寺阿訇的基本生活，提高政府对阿訇的关怀，</w:t>
      </w:r>
      <w:r>
        <w:rPr>
          <w:rFonts w:hint="eastAsia" w:ascii="仿宋" w:hAnsi="仿宋" w:eastAsia="仿宋" w:cs="仿宋"/>
          <w:sz w:val="32"/>
          <w:szCs w:val="32"/>
          <w:shd w:val="clear" w:fill="FFFFFF"/>
        </w:rPr>
        <w:t>维护民族团结，坚决抵制外来非法宣教组织，保障清真寺教务讲坛。</w:t>
      </w:r>
      <w:r>
        <w:rPr>
          <w:rFonts w:hint="eastAsia" w:ascii="仿宋" w:hAnsi="仿宋" w:eastAsia="仿宋" w:cs="仿宋"/>
          <w:sz w:val="32"/>
          <w:szCs w:val="32"/>
          <w:shd w:val="clear" w:fill="FFFFFF"/>
          <w:lang w:eastAsia="zh-CN"/>
        </w:rPr>
        <w:t>让</w:t>
      </w:r>
      <w:r>
        <w:rPr>
          <w:rFonts w:hint="eastAsia" w:ascii="仿宋" w:hAnsi="仿宋" w:eastAsia="仿宋" w:cs="仿宋_GB2312"/>
          <w:sz w:val="32"/>
          <w:szCs w:val="32"/>
          <w:lang w:eastAsia="zh-CN"/>
        </w:rPr>
        <w:t>阿訇们</w:t>
      </w:r>
      <w:r>
        <w:rPr>
          <w:rFonts w:hint="eastAsia" w:ascii="仿宋" w:hAnsi="仿宋" w:eastAsia="仿宋" w:cs="仿宋"/>
          <w:sz w:val="32"/>
          <w:szCs w:val="32"/>
          <w:shd w:val="clear" w:fill="FFFFFF"/>
        </w:rPr>
        <w:t>积极配合政府部门做好应急事件处置，将矛盾消除在萌芽状态。协调配合有关部门妥善处理涉外来流动穆斯林矛盾纠纷，化解矛盾，维护社会稳定。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1、学习有待提高。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2、服务水平有待加强。</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1、组织阿訇积极参加各类学习。</w:t>
      </w: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eastAsia="zh-CN"/>
        </w:rPr>
      </w:pPr>
      <w:r>
        <w:rPr>
          <w:rStyle w:val="15"/>
          <w:rFonts w:hint="eastAsia" w:ascii="仿宋" w:hAnsi="仿宋" w:eastAsia="仿宋" w:cs="仿宋"/>
          <w:b w:val="0"/>
          <w:bCs/>
          <w:sz w:val="32"/>
          <w:szCs w:val="32"/>
          <w:shd w:val="clear" w:fill="FFFFFF"/>
          <w:lang w:val="en-US" w:eastAsia="zh-CN"/>
        </w:rPr>
        <w:t>2、加强</w:t>
      </w:r>
      <w:r>
        <w:rPr>
          <w:rStyle w:val="15"/>
          <w:rFonts w:hint="eastAsia" w:ascii="仿宋" w:hAnsi="仿宋" w:eastAsia="仿宋" w:cs="仿宋"/>
          <w:b w:val="0"/>
          <w:bCs/>
          <w:sz w:val="32"/>
          <w:szCs w:val="32"/>
          <w:shd w:val="clear" w:fill="FFFFFF"/>
        </w:rPr>
        <w:t>服务社会，共创和谐</w:t>
      </w:r>
      <w:r>
        <w:rPr>
          <w:rStyle w:val="15"/>
          <w:rFonts w:hint="eastAsia" w:ascii="仿宋" w:hAnsi="仿宋" w:eastAsia="仿宋" w:cs="仿宋"/>
          <w:b w:val="0"/>
          <w:bCs/>
          <w:sz w:val="32"/>
          <w:szCs w:val="32"/>
          <w:shd w:val="clear" w:fill="FFFFFF"/>
          <w:lang w:eastAsia="zh-CN"/>
        </w:rPr>
        <w:t>的能力提升。</w:t>
      </w: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eastAsia="zh-CN"/>
        </w:rPr>
      </w:pP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eastAsia="zh-CN"/>
        </w:rPr>
      </w:pP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eastAsia="zh-CN"/>
        </w:rPr>
      </w:pP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eastAsia="zh-CN"/>
        </w:rPr>
      </w:pPr>
    </w:p>
    <w:p>
      <w:pPr>
        <w:pageBreakBefore w:val="0"/>
        <w:kinsoku/>
        <w:wordWrap/>
        <w:overflowPunct/>
        <w:topLinePunct w:val="0"/>
        <w:bidi w:val="0"/>
        <w:spacing w:line="600" w:lineRule="exact"/>
        <w:ind w:left="0" w:leftChars="0" w:firstLine="640" w:firstLineChars="200"/>
        <w:rPr>
          <w:rStyle w:val="15"/>
          <w:rFonts w:hint="eastAsia" w:ascii="仿宋" w:hAnsi="仿宋" w:eastAsia="仿宋" w:cs="仿宋"/>
          <w:b w:val="0"/>
          <w:bCs/>
          <w:sz w:val="32"/>
          <w:szCs w:val="32"/>
          <w:shd w:val="clear" w:fill="FFFFFF"/>
          <w:lang w:val="en-US" w:eastAsia="zh-CN"/>
        </w:rPr>
      </w:pPr>
    </w:p>
    <w:p>
      <w:pPr>
        <w:pageBreakBefore w:val="0"/>
        <w:kinsoku/>
        <w:wordWrap/>
        <w:overflowPunct/>
        <w:topLinePunct w:val="0"/>
        <w:bidi w:val="0"/>
        <w:spacing w:line="600" w:lineRule="exact"/>
        <w:rPr>
          <w:rStyle w:val="15"/>
          <w:rFonts w:hint="eastAsia" w:ascii="仿宋" w:hAnsi="仿宋" w:eastAsia="仿宋" w:cs="仿宋"/>
          <w:b w:val="0"/>
          <w:bCs/>
          <w:sz w:val="32"/>
          <w:szCs w:val="32"/>
          <w:shd w:val="clear" w:fill="FFFFFF"/>
          <w:lang w:val="en-US" w:eastAsia="zh-CN"/>
        </w:rPr>
      </w:pPr>
    </w:p>
    <w:p>
      <w:pPr>
        <w:pageBreakBefore w:val="0"/>
        <w:kinsoku/>
        <w:wordWrap/>
        <w:overflowPunct/>
        <w:topLinePunct w:val="0"/>
        <w:bidi w:val="0"/>
        <w:spacing w:line="600" w:lineRule="exact"/>
        <w:rPr>
          <w:rStyle w:val="15"/>
          <w:rFonts w:hint="eastAsia" w:ascii="仿宋" w:hAnsi="仿宋" w:eastAsia="仿宋" w:cs="仿宋"/>
          <w:b w:val="0"/>
          <w:bCs/>
          <w:sz w:val="32"/>
          <w:szCs w:val="32"/>
          <w:shd w:val="clear" w:fill="FFFFFF"/>
          <w:lang w:val="en-US" w:eastAsia="zh-CN"/>
        </w:rPr>
      </w:pPr>
    </w:p>
    <w:tbl>
      <w:tblPr>
        <w:tblStyle w:val="13"/>
        <w:tblpPr w:leftFromText="180" w:rightFromText="180" w:vertAnchor="text" w:horzAnchor="page" w:tblpX="922" w:tblpY="2002"/>
        <w:tblOverlap w:val="never"/>
        <w:tblW w:w="9960" w:type="dxa"/>
        <w:tblInd w:w="0" w:type="dxa"/>
        <w:tblLayout w:type="fixed"/>
        <w:tblCellMar>
          <w:top w:w="0" w:type="dxa"/>
          <w:left w:w="0" w:type="dxa"/>
          <w:bottom w:w="0" w:type="dxa"/>
          <w:right w:w="0" w:type="dxa"/>
        </w:tblCellMar>
      </w:tblPr>
      <w:tblGrid>
        <w:gridCol w:w="735"/>
        <w:gridCol w:w="1022"/>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清真寺阿訇生活补助费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利州区民族宗教局</w:t>
            </w:r>
          </w:p>
        </w:tc>
      </w:tr>
      <w:tr>
        <w:tblPrEx>
          <w:tblLayout w:type="fixed"/>
          <w:tblCellMar>
            <w:top w:w="0" w:type="dxa"/>
            <w:left w:w="0" w:type="dxa"/>
            <w:bottom w:w="0" w:type="dxa"/>
            <w:right w:w="0" w:type="dxa"/>
          </w:tblCellMar>
        </w:tblPrEx>
        <w:trPr>
          <w:trHeight w:val="276"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预算执行情况(万元)</w:t>
            </w: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4.25</w:t>
            </w:r>
          </w:p>
        </w:tc>
      </w:tr>
      <w:tr>
        <w:tblPrEx>
          <w:tblLayout w:type="fixed"/>
          <w:tblCellMar>
            <w:top w:w="0" w:type="dxa"/>
            <w:left w:w="0" w:type="dxa"/>
            <w:bottom w:w="0" w:type="dxa"/>
            <w:right w:w="0" w:type="dxa"/>
          </w:tblCellMar>
        </w:tblPrEx>
        <w:trPr>
          <w:trHeight w:val="965"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4.25</w:t>
            </w:r>
          </w:p>
        </w:tc>
      </w:tr>
      <w:tr>
        <w:tblPrEx>
          <w:tblLayout w:type="fixed"/>
          <w:tblCellMar>
            <w:top w:w="0" w:type="dxa"/>
            <w:left w:w="0" w:type="dxa"/>
            <w:bottom w:w="0" w:type="dxa"/>
            <w:right w:w="0" w:type="dxa"/>
          </w:tblCellMar>
        </w:tblPrEx>
        <w:trPr>
          <w:trHeight w:val="991"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wordWrap/>
              <w:overflowPunct/>
              <w:topLinePunct w:val="0"/>
              <w:bidi w:val="0"/>
              <w:spacing w:line="600" w:lineRule="exact"/>
              <w:ind w:left="0" w:leftChars="0"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Layout w:type="fixed"/>
          <w:tblCellMar>
            <w:top w:w="0" w:type="dxa"/>
            <w:left w:w="0" w:type="dxa"/>
            <w:bottom w:w="0" w:type="dxa"/>
            <w:right w:w="0" w:type="dxa"/>
          </w:tblCellMar>
        </w:tblPrEx>
        <w:trPr>
          <w:trHeight w:val="350"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年度目标完成情况</w:t>
            </w:r>
          </w:p>
        </w:tc>
        <w:tc>
          <w:tcPr>
            <w:tcW w:w="44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实际完成目标</w:t>
            </w:r>
          </w:p>
        </w:tc>
      </w:tr>
      <w:tr>
        <w:tblPrEx>
          <w:tblLayout w:type="fixed"/>
          <w:tblCellMar>
            <w:top w:w="0" w:type="dxa"/>
            <w:left w:w="0" w:type="dxa"/>
            <w:bottom w:w="0" w:type="dxa"/>
            <w:right w:w="0" w:type="dxa"/>
          </w:tblCellMar>
        </w:tblPrEx>
        <w:trPr>
          <w:trHeight w:val="221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44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480" w:firstLineChars="200"/>
              <w:textAlignment w:val="auto"/>
              <w:rPr>
                <w:rFonts w:hint="eastAsia" w:ascii="仿宋" w:hAnsi="仿宋" w:eastAsia="仿宋" w:cs="仿宋"/>
                <w:sz w:val="24"/>
                <w:szCs w:val="24"/>
              </w:rPr>
            </w:pPr>
            <w:r>
              <w:rPr>
                <w:rFonts w:hint="eastAsia" w:ascii="仿宋" w:hAnsi="仿宋" w:eastAsia="仿宋" w:cs="仿宋"/>
                <w:sz w:val="24"/>
                <w:szCs w:val="24"/>
                <w:shd w:val="clear" w:fill="FFFFFF"/>
              </w:rPr>
              <w:t>伊斯兰教“和平、团结”的宗旨，思想上爱国爱教，信念坚定，行动上与党和政府保持高度一致，自觉维护祖国统一和民族团结的立场坚定，旗帜鲜明地与民族分裂主义和非法宗教活动作斗争。</w:t>
            </w:r>
          </w:p>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480" w:firstLineChars="200"/>
              <w:textAlignment w:val="auto"/>
              <w:rPr>
                <w:rFonts w:hint="eastAsia" w:ascii="仿宋" w:hAnsi="仿宋" w:eastAsia="仿宋" w:cs="仿宋"/>
                <w:sz w:val="24"/>
                <w:szCs w:val="24"/>
              </w:rPr>
            </w:pPr>
            <w:r>
              <w:rPr>
                <w:rFonts w:hint="eastAsia" w:ascii="仿宋" w:hAnsi="仿宋" w:eastAsia="仿宋" w:cs="仿宋"/>
                <w:sz w:val="24"/>
                <w:szCs w:val="24"/>
                <w:shd w:val="clear" w:fill="FFFFFF"/>
              </w:rPr>
              <w:t>未出现穆斯林群体恶性事件，为伊斯兰教界的安定稳定做出应有的贡献。</w:t>
            </w:r>
          </w:p>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1042"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4人，按885元/月/人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4人，按885元/月/人</w:t>
            </w:r>
          </w:p>
        </w:tc>
      </w:tr>
      <w:tr>
        <w:tblPrEx>
          <w:tblLayout w:type="fixed"/>
          <w:tblCellMar>
            <w:top w:w="0" w:type="dxa"/>
            <w:left w:w="0" w:type="dxa"/>
            <w:bottom w:w="0" w:type="dxa"/>
            <w:right w:w="0" w:type="dxa"/>
          </w:tblCellMar>
        </w:tblPrEx>
        <w:trPr>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按时发放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12个月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12个月</w:t>
            </w:r>
          </w:p>
        </w:tc>
      </w:tr>
      <w:tr>
        <w:tblPrEx>
          <w:tblLayout w:type="fixed"/>
          <w:tblCellMar>
            <w:top w:w="0" w:type="dxa"/>
            <w:left w:w="0" w:type="dxa"/>
            <w:bottom w:w="0" w:type="dxa"/>
            <w:right w:w="0" w:type="dxa"/>
          </w:tblCellMar>
        </w:tblPrEx>
        <w:trPr>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提高阿訇工作质量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政府对阿訇关怀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政府对阿訇关怀</w:t>
            </w:r>
          </w:p>
        </w:tc>
      </w:tr>
      <w:tr>
        <w:tblPrEx>
          <w:tblLayout w:type="fixed"/>
          <w:tblCellMar>
            <w:top w:w="0" w:type="dxa"/>
            <w:left w:w="0" w:type="dxa"/>
            <w:bottom w:w="0" w:type="dxa"/>
            <w:right w:w="0" w:type="dxa"/>
          </w:tblCellMar>
        </w:tblPrEx>
        <w:trPr>
          <w:trHeight w:val="105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ind w:left="0" w:leftChars="0" w:firstLine="480" w:firstLineChars="200"/>
              <w:jc w:val="left"/>
              <w:rPr>
                <w:rFonts w:hint="eastAsia" w:ascii="仿宋" w:hAnsi="仿宋" w:eastAsia="仿宋" w:cs="仿宋"/>
                <w:color w:val="000000"/>
                <w:sz w:val="24"/>
                <w:szCs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600" w:lineRule="exact"/>
              <w:ind w:left="0" w:leftChars="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群众满意</w:t>
            </w:r>
          </w:p>
        </w:tc>
      </w:tr>
    </w:tbl>
    <w:p>
      <w:pPr>
        <w:keepNext w:val="0"/>
        <w:keepLines w:val="0"/>
        <w:pageBreakBefore w:val="0"/>
        <w:kinsoku/>
        <w:wordWrap/>
        <w:overflowPunct/>
        <w:topLinePunct w:val="0"/>
        <w:autoSpaceDE/>
        <w:autoSpaceDN/>
        <w:bidi w:val="0"/>
        <w:adjustRightInd/>
        <w:snapToGrid/>
        <w:spacing w:line="400" w:lineRule="exact"/>
        <w:rPr>
          <w:rStyle w:val="15"/>
          <w:rFonts w:hint="eastAsia" w:ascii="仿宋" w:hAnsi="仿宋" w:eastAsia="仿宋" w:cs="仿宋"/>
          <w:b w:val="0"/>
          <w:bCs/>
          <w:sz w:val="32"/>
          <w:szCs w:val="32"/>
          <w:shd w:val="clear" w:fill="FFFFFF"/>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5" w:lineRule="atLeast"/>
        <w:ind w:left="0" w:right="601" w:firstLine="640" w:firstLineChars="200"/>
        <w:jc w:val="both"/>
        <w:textAlignment w:val="auto"/>
        <w:rPr>
          <w:rFonts w:hint="eastAsia" w:ascii="仿宋" w:hAnsi="仿宋" w:eastAsia="仿宋" w:cs="仿宋"/>
          <w:b w:val="0"/>
          <w:bCs/>
          <w:sz w:val="32"/>
          <w:szCs w:val="32"/>
          <w:lang w:eastAsia="zh-CN"/>
        </w:rPr>
      </w:pPr>
    </w:p>
    <w:p>
      <w:pPr>
        <w:pageBreakBefore w:val="0"/>
        <w:kinsoku/>
        <w:wordWrap/>
        <w:overflowPunct/>
        <w:topLinePunct w:val="0"/>
        <w:bidi w:val="0"/>
        <w:spacing w:line="600" w:lineRule="exact"/>
        <w:ind w:left="0" w:leftChars="0" w:firstLine="640" w:firstLineChars="200"/>
        <w:rPr>
          <w:rFonts w:hint="default" w:ascii="仿宋" w:hAnsi="仿宋" w:eastAsia="仿宋" w:cs="仿宋_GB2312"/>
          <w:sz w:val="32"/>
          <w:szCs w:val="32"/>
          <w:lang w:val="en-US" w:eastAsia="zh-CN"/>
        </w:rPr>
      </w:pPr>
    </w:p>
    <w:p>
      <w:pPr>
        <w:pageBreakBefore w:val="0"/>
        <w:kinsoku/>
        <w:wordWrap/>
        <w:overflowPunct/>
        <w:topLinePunct w:val="0"/>
        <w:bidi w:val="0"/>
        <w:spacing w:line="600" w:lineRule="exact"/>
        <w:ind w:left="0" w:leftChars="0" w:firstLine="880" w:firstLineChars="200"/>
        <w:jc w:val="center"/>
        <w:rPr>
          <w:rFonts w:ascii="黑体" w:hAnsi="黑体" w:eastAsia="黑体" w:cs="方正小标宋简体"/>
          <w:sz w:val="44"/>
          <w:szCs w:val="44"/>
        </w:rPr>
      </w:pPr>
      <w:bookmarkStart w:id="62" w:name="_Toc15396618"/>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宗教工作维稳特需费</w:t>
      </w:r>
      <w:r>
        <w:rPr>
          <w:rFonts w:hint="eastAsia" w:ascii="黑体" w:hAnsi="黑体" w:eastAsia="黑体" w:cs="方正小标宋简体"/>
          <w:sz w:val="44"/>
          <w:szCs w:val="44"/>
        </w:rPr>
        <w:t>项目支出绩效评价报告</w:t>
      </w:r>
    </w:p>
    <w:p>
      <w:pPr>
        <w:pageBreakBefore w:val="0"/>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ageBreakBefore w:val="0"/>
        <w:kinsoku/>
        <w:wordWrap/>
        <w:overflowPunct/>
        <w:topLinePunct w:val="0"/>
        <w:bidi w:val="0"/>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_GB2312"/>
          <w:sz w:val="32"/>
          <w:szCs w:val="32"/>
          <w:lang w:eastAsia="zh-CN"/>
        </w:rPr>
        <w:t>用于敏感时间节点维稳、非法传教打击、宗教渗透抵御、跨省跨市宗教工作协作，</w:t>
      </w:r>
      <w:r>
        <w:rPr>
          <w:rFonts w:hint="eastAsia" w:ascii="仿宋" w:hAnsi="仿宋" w:eastAsia="仿宋" w:cs="仿宋"/>
          <w:i w:val="0"/>
          <w:caps w:val="0"/>
          <w:color w:val="333333"/>
          <w:spacing w:val="0"/>
          <w:sz w:val="32"/>
          <w:szCs w:val="32"/>
          <w:shd w:val="clear" w:fill="FFFFFF"/>
        </w:rPr>
        <w:t>在全</w:t>
      </w:r>
      <w:r>
        <w:rPr>
          <w:rFonts w:hint="eastAsia" w:ascii="仿宋" w:hAnsi="仿宋" w:eastAsia="仿宋" w:cs="仿宋"/>
          <w:i w:val="0"/>
          <w:caps w:val="0"/>
          <w:color w:val="333333"/>
          <w:spacing w:val="0"/>
          <w:sz w:val="32"/>
          <w:szCs w:val="32"/>
          <w:shd w:val="clear" w:fill="FFFFFF"/>
          <w:lang w:eastAsia="zh-CN"/>
        </w:rPr>
        <w:t>区</w:t>
      </w:r>
      <w:r>
        <w:rPr>
          <w:rFonts w:hint="eastAsia" w:ascii="仿宋" w:hAnsi="仿宋" w:eastAsia="仿宋" w:cs="仿宋"/>
          <w:i w:val="0"/>
          <w:caps w:val="0"/>
          <w:color w:val="333333"/>
          <w:spacing w:val="0"/>
          <w:sz w:val="32"/>
          <w:szCs w:val="32"/>
          <w:shd w:val="clear" w:fill="FFFFFF"/>
        </w:rPr>
        <w:t>范围进行全面排查，密切关注有关民族宗教因素的舆情动向，对于影响安定团结和社会问题的隐患进行充分排查和摸排，对于涉民族和流动人口进行关注和清真食品问题确立风险点，及时进行管控引导，并做好工作应急预案。</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建立了各宗教活动场所安全责任制，开展了敏感节点及重要时段安保维稳工作。重大节日期间，加强值班和责任安全，严防境外宗教渗透和非法宗教活动，一年来无因民族宗教问题引发的重特大或恶性事件发生。</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1、项目决策</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为敏感时间节点维稳、非法传教打击、宗教渗透抵御、跨省跨市宗教工作协作。</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2、项目管理</w:t>
      </w:r>
    </w:p>
    <w:p>
      <w:pPr>
        <w:pageBreakBefore w:val="0"/>
        <w:kinsoku/>
        <w:wordWrap/>
        <w:overflowPunct/>
        <w:topLinePunct w:val="0"/>
        <w:bidi w:val="0"/>
        <w:spacing w:line="600" w:lineRule="exact"/>
        <w:ind w:left="0" w:leftChars="0"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资金</w:t>
      </w:r>
      <w:r>
        <w:rPr>
          <w:rFonts w:hint="eastAsia" w:ascii="仿宋" w:hAnsi="仿宋" w:eastAsia="仿宋" w:cs="仿宋_GB2312"/>
          <w:sz w:val="32"/>
          <w:szCs w:val="32"/>
          <w:lang w:eastAsia="zh-CN"/>
        </w:rPr>
        <w:t>共计</w:t>
      </w:r>
      <w:r>
        <w:rPr>
          <w:rFonts w:hint="eastAsia" w:ascii="仿宋" w:hAnsi="仿宋" w:eastAsia="仿宋" w:cs="仿宋_GB2312"/>
          <w:sz w:val="32"/>
          <w:szCs w:val="32"/>
          <w:lang w:val="en-US" w:eastAsia="zh-CN"/>
        </w:rPr>
        <w:t>1万元，主要用于</w:t>
      </w:r>
      <w:r>
        <w:rPr>
          <w:rFonts w:hint="eastAsia" w:ascii="仿宋" w:hAnsi="仿宋" w:eastAsia="仿宋" w:cs="仿宋_GB2312"/>
          <w:sz w:val="32"/>
          <w:szCs w:val="32"/>
          <w:lang w:eastAsia="zh-CN"/>
        </w:rPr>
        <w:t>敏感时间节点维稳、非法传教打击、宗教渗透抵御、跨省跨市宗教工作协作时办公、差旅及宣传等支出。</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12"/>
        <w:keepNext w:val="0"/>
        <w:keepLines w:val="0"/>
        <w:pageBreakBefore w:val="0"/>
        <w:widowControl/>
        <w:suppressLineNumbers w:val="0"/>
        <w:shd w:val="clear" w:fill="FFFFFF"/>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i w:val="0"/>
          <w:caps w:val="0"/>
          <w:color w:val="424040"/>
          <w:spacing w:val="0"/>
          <w:sz w:val="32"/>
          <w:szCs w:val="32"/>
        </w:rPr>
      </w:pPr>
      <w:r>
        <w:rPr>
          <w:rFonts w:hint="eastAsia" w:ascii="仿宋" w:hAnsi="仿宋" w:eastAsia="仿宋" w:cs="仿宋"/>
          <w:i w:val="0"/>
          <w:caps w:val="0"/>
          <w:color w:val="424040"/>
          <w:spacing w:val="0"/>
          <w:sz w:val="32"/>
          <w:szCs w:val="32"/>
          <w:shd w:val="clear" w:fill="FFFFFF"/>
        </w:rPr>
        <w:t>积极探索重大事项社会稳定风险评估化解机制。对民族宗教领域的一些不稳定因素提前进行稳定风险评估，做到事前有评估、有预防，及时跟踪、及时化解，把不稳定因素化解在基层一线</w:t>
      </w:r>
      <w:r>
        <w:rPr>
          <w:rFonts w:hint="eastAsia" w:ascii="仿宋" w:hAnsi="仿宋" w:eastAsia="仿宋" w:cs="仿宋"/>
          <w:i w:val="0"/>
          <w:caps w:val="0"/>
          <w:color w:val="424040"/>
          <w:spacing w:val="0"/>
          <w:sz w:val="32"/>
          <w:szCs w:val="32"/>
          <w:shd w:val="clear" w:fill="FFFFFF"/>
          <w:lang w:eastAsia="zh-CN"/>
        </w:rPr>
        <w:t>。</w:t>
      </w:r>
      <w:r>
        <w:rPr>
          <w:rFonts w:hint="eastAsia" w:ascii="仿宋" w:hAnsi="仿宋" w:eastAsia="仿宋" w:cs="仿宋"/>
          <w:i w:val="0"/>
          <w:caps w:val="0"/>
          <w:color w:val="424040"/>
          <w:spacing w:val="0"/>
          <w:sz w:val="32"/>
          <w:szCs w:val="32"/>
          <w:shd w:val="clear" w:fill="FFFFFF"/>
        </w:rPr>
        <w:t>全面推动矛盾纠纷调处化解机制。重点落实群体性事件应急机制</w:t>
      </w:r>
      <w:r>
        <w:rPr>
          <w:rFonts w:hint="eastAsia" w:ascii="仿宋" w:hAnsi="仿宋" w:eastAsia="仿宋" w:cs="仿宋"/>
          <w:i w:val="0"/>
          <w:caps w:val="0"/>
          <w:color w:val="424040"/>
          <w:spacing w:val="0"/>
          <w:sz w:val="32"/>
          <w:szCs w:val="32"/>
          <w:shd w:val="clear" w:fill="FFFFFF"/>
          <w:lang w:eastAsia="zh-CN"/>
        </w:rPr>
        <w:t>，</w:t>
      </w:r>
      <w:r>
        <w:rPr>
          <w:rFonts w:hint="eastAsia" w:ascii="仿宋" w:hAnsi="仿宋" w:eastAsia="仿宋" w:cs="仿宋"/>
          <w:i w:val="0"/>
          <w:caps w:val="0"/>
          <w:color w:val="424040"/>
          <w:spacing w:val="0"/>
          <w:sz w:val="32"/>
          <w:szCs w:val="32"/>
          <w:shd w:val="clear" w:fill="FFFFFF"/>
        </w:rPr>
        <w:t>制定群体事件应急机</w:t>
      </w:r>
      <w:r>
        <w:rPr>
          <w:rFonts w:hint="eastAsia" w:ascii="仿宋" w:hAnsi="仿宋" w:eastAsia="仿宋" w:cs="仿宋"/>
          <w:i w:val="0"/>
          <w:caps w:val="0"/>
          <w:color w:val="424040"/>
          <w:spacing w:val="0"/>
          <w:sz w:val="32"/>
          <w:szCs w:val="32"/>
          <w:shd w:val="clear" w:fill="FFFFFF"/>
          <w:lang w:eastAsia="zh-CN"/>
        </w:rPr>
        <w:t>制，</w:t>
      </w:r>
      <w:r>
        <w:rPr>
          <w:rFonts w:hint="eastAsia" w:ascii="仿宋" w:hAnsi="仿宋" w:eastAsia="仿宋" w:cs="仿宋"/>
          <w:i w:val="0"/>
          <w:caps w:val="0"/>
          <w:color w:val="424040"/>
          <w:spacing w:val="0"/>
          <w:sz w:val="32"/>
          <w:szCs w:val="32"/>
          <w:shd w:val="clear" w:fill="FFFFFF"/>
        </w:rPr>
        <w:t>严格控制事态发展，及时处置，确保把群体性事件解决在萌芽状态。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424040"/>
          <w:spacing w:val="0"/>
          <w:sz w:val="32"/>
          <w:szCs w:val="32"/>
          <w:shd w:val="clear" w:fill="FFFFFF"/>
        </w:rPr>
      </w:pPr>
      <w:r>
        <w:rPr>
          <w:rFonts w:hint="eastAsia" w:ascii="仿宋" w:hAnsi="仿宋" w:eastAsia="仿宋" w:cs="仿宋"/>
          <w:sz w:val="32"/>
          <w:szCs w:val="32"/>
          <w:lang w:val="en-US" w:eastAsia="zh-CN"/>
        </w:rPr>
        <w:t>1、</w:t>
      </w:r>
      <w:r>
        <w:rPr>
          <w:rFonts w:hint="eastAsia" w:ascii="仿宋" w:hAnsi="仿宋" w:eastAsia="仿宋" w:cs="仿宋"/>
          <w:i w:val="0"/>
          <w:caps w:val="0"/>
          <w:color w:val="424040"/>
          <w:spacing w:val="0"/>
          <w:sz w:val="32"/>
          <w:szCs w:val="32"/>
          <w:shd w:val="clear" w:fill="FFFFFF"/>
        </w:rPr>
        <w:t>扶持特困民族的相关政策尚未得到落实;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424040"/>
          <w:spacing w:val="0"/>
          <w:sz w:val="32"/>
          <w:szCs w:val="32"/>
          <w:shd w:val="clear" w:fill="FFFFFF"/>
          <w:lang w:val="en-US" w:eastAsia="zh-CN"/>
        </w:rPr>
        <w:t>2、</w:t>
      </w:r>
      <w:r>
        <w:rPr>
          <w:rFonts w:hint="eastAsia" w:ascii="仿宋" w:hAnsi="仿宋" w:eastAsia="仿宋" w:cs="仿宋"/>
          <w:i w:val="0"/>
          <w:caps w:val="0"/>
          <w:color w:val="424040"/>
          <w:spacing w:val="0"/>
          <w:sz w:val="32"/>
          <w:szCs w:val="32"/>
          <w:shd w:val="clear" w:fill="FFFFFF"/>
        </w:rPr>
        <w:t>建设民族团结示范点涉及内容多、资金少，需整合相关资金来维持日常运营。</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pageBreakBefore w:val="0"/>
        <w:kinsoku/>
        <w:wordWrap/>
        <w:overflowPunct/>
        <w:topLinePunct w:val="0"/>
        <w:bidi w:val="0"/>
        <w:spacing w:line="600" w:lineRule="exact"/>
        <w:ind w:left="0" w:leftChars="0" w:firstLine="640" w:firstLineChars="200"/>
        <w:rPr>
          <w:rFonts w:hint="eastAsia" w:ascii="仿宋" w:hAnsi="仿宋" w:eastAsia="仿宋" w:cs="仿宋"/>
          <w:i w:val="0"/>
          <w:caps w:val="0"/>
          <w:color w:val="424040"/>
          <w:spacing w:val="0"/>
          <w:sz w:val="32"/>
          <w:szCs w:val="32"/>
          <w:shd w:val="clear" w:fill="FFFFFF"/>
        </w:rPr>
      </w:pPr>
      <w:r>
        <w:rPr>
          <w:rFonts w:hint="eastAsia" w:ascii="仿宋" w:hAnsi="仿宋" w:eastAsia="仿宋" w:cs="仿宋"/>
          <w:sz w:val="32"/>
          <w:szCs w:val="32"/>
          <w:lang w:val="en-US" w:eastAsia="zh-CN"/>
        </w:rPr>
        <w:t>1、</w:t>
      </w:r>
      <w:r>
        <w:rPr>
          <w:rFonts w:hint="eastAsia" w:ascii="仿宋" w:hAnsi="仿宋" w:eastAsia="仿宋" w:cs="仿宋"/>
          <w:i w:val="0"/>
          <w:caps w:val="0"/>
          <w:color w:val="424040"/>
          <w:spacing w:val="0"/>
          <w:sz w:val="32"/>
          <w:szCs w:val="32"/>
          <w:shd w:val="clear" w:fill="FFFFFF"/>
        </w:rPr>
        <w:t>狠抓宗教团体和宗教场所自身建设。</w:t>
      </w:r>
    </w:p>
    <w:p>
      <w:pPr>
        <w:pageBreakBefore w:val="0"/>
        <w:kinsoku/>
        <w:wordWrap/>
        <w:overflowPunct/>
        <w:topLinePunct w:val="0"/>
        <w:bidi w:val="0"/>
        <w:spacing w:line="600" w:lineRule="exact"/>
        <w:ind w:left="0" w:leftChars="0" w:firstLine="640" w:firstLineChars="200"/>
        <w:rPr>
          <w:rFonts w:hint="eastAsia" w:ascii="仿宋" w:hAnsi="仿宋" w:eastAsia="仿宋" w:cs="仿宋"/>
          <w:i w:val="0"/>
          <w:caps w:val="0"/>
          <w:color w:val="424040"/>
          <w:spacing w:val="0"/>
          <w:sz w:val="32"/>
          <w:szCs w:val="32"/>
          <w:shd w:val="clear" w:fill="FFFFFF"/>
        </w:rPr>
      </w:pPr>
      <w:r>
        <w:rPr>
          <w:rFonts w:hint="eastAsia" w:ascii="仿宋" w:hAnsi="仿宋" w:eastAsia="仿宋" w:cs="仿宋"/>
          <w:i w:val="0"/>
          <w:caps w:val="0"/>
          <w:color w:val="424040"/>
          <w:spacing w:val="0"/>
          <w:sz w:val="32"/>
          <w:szCs w:val="32"/>
          <w:shd w:val="clear" w:fill="FFFFFF"/>
          <w:lang w:val="en-US" w:eastAsia="zh-CN"/>
        </w:rPr>
        <w:t>2、</w:t>
      </w:r>
      <w:r>
        <w:rPr>
          <w:rFonts w:hint="eastAsia" w:ascii="仿宋" w:hAnsi="仿宋" w:eastAsia="仿宋" w:cs="仿宋"/>
          <w:i w:val="0"/>
          <w:caps w:val="0"/>
          <w:color w:val="424040"/>
          <w:spacing w:val="0"/>
          <w:sz w:val="32"/>
          <w:szCs w:val="32"/>
          <w:shd w:val="clear" w:fill="FFFFFF"/>
        </w:rPr>
        <w:t>积极引导宗教功能。</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宗教工作维稳</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广元市利州区民族宗教局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1万</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1万</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仿宋" w:hAnsi="仿宋" w:eastAsia="仿宋" w:cs="仿宋_GB2312"/>
                <w:sz w:val="24"/>
                <w:szCs w:val="24"/>
                <w:lang w:eastAsia="zh-CN"/>
              </w:rPr>
              <w:t>敏感时间节点维稳、非法传教打击、宗教渗透抵御、跨省跨市宗教工作协作，</w:t>
            </w:r>
            <w:r>
              <w:rPr>
                <w:rFonts w:hint="eastAsia" w:ascii="仿宋" w:hAnsi="仿宋" w:eastAsia="仿宋" w:cs="仿宋"/>
                <w:i w:val="0"/>
                <w:caps w:val="0"/>
                <w:color w:val="333333"/>
                <w:spacing w:val="0"/>
                <w:sz w:val="24"/>
                <w:szCs w:val="24"/>
                <w:shd w:val="clear" w:fill="FFFFFF"/>
              </w:rPr>
              <w:t>在全</w:t>
            </w:r>
            <w:r>
              <w:rPr>
                <w:rFonts w:hint="eastAsia" w:ascii="仿宋" w:hAnsi="仿宋" w:eastAsia="仿宋" w:cs="仿宋"/>
                <w:i w:val="0"/>
                <w:caps w:val="0"/>
                <w:color w:val="333333"/>
                <w:spacing w:val="0"/>
                <w:sz w:val="24"/>
                <w:szCs w:val="24"/>
                <w:shd w:val="clear" w:fill="FFFFFF"/>
                <w:lang w:eastAsia="zh-CN"/>
              </w:rPr>
              <w:t>区</w:t>
            </w:r>
            <w:r>
              <w:rPr>
                <w:rFonts w:hint="eastAsia" w:ascii="仿宋" w:hAnsi="仿宋" w:eastAsia="仿宋" w:cs="仿宋"/>
                <w:i w:val="0"/>
                <w:caps w:val="0"/>
                <w:color w:val="333333"/>
                <w:spacing w:val="0"/>
                <w:sz w:val="24"/>
                <w:szCs w:val="24"/>
                <w:shd w:val="clear" w:fill="FFFFFF"/>
              </w:rPr>
              <w:t>范围进行全面排查，密切关注有关民族宗教因素的舆情动向，对于影响安定团结和社会问题的隐患进行充分排查和摸排，对于涉民族和流动人口进行关注和清真食品问题确立风险点，及时进行管控引导，并做好工作应急预案</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建立了各宗教活动场所安全责任制，开展了敏感节点及重要时段安保维稳工作。重大节日期间，加强值班和责任安全，严防境外宗教渗透和非法宗教活动，一年来无因民族宗教问题引发的重特大或恶性事件发生。</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思想引领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加强对信教群众的正确思想引领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加强对信教群众的正确思想引领</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政治教育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保证教职人员及信教群众爱国爱教、遵纪守法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保证教职人员及信教群众爱国爱教、遵纪守法</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12月31日</w:t>
            </w:r>
            <w:r>
              <w:rPr>
                <w:rFonts w:hint="eastAsia" w:ascii="仿宋" w:hAnsi="仿宋" w:eastAsia="仿宋" w:cs="仿宋"/>
                <w:color w:val="000000"/>
                <w:sz w:val="24"/>
                <w:lang w:eastAsia="zh-CN"/>
              </w:rPr>
              <w:t>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楷体_GB2312" w:hAnsi="楷体_GB2312" w:eastAsia="楷体_GB2312" w:cs="楷体_GB2312"/>
                <w:color w:val="000000"/>
                <w:kern w:val="0"/>
                <w:sz w:val="24"/>
                <w:szCs w:val="24"/>
                <w:lang w:val="en-US" w:eastAsia="zh-CN" w:bidi="ar"/>
              </w:rPr>
              <w:t>正确引导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rPr>
                <w:rFonts w:hint="eastAsia" w:ascii="仿宋" w:hAnsi="仿宋" w:eastAsia="仿宋" w:cs="仿宋"/>
                <w:color w:val="000000"/>
                <w:sz w:val="24"/>
              </w:rPr>
            </w:pPr>
            <w:r>
              <w:rPr>
                <w:rFonts w:ascii="楷体_GB2312" w:hAnsi="楷体_GB2312" w:eastAsia="楷体_GB2312" w:cs="楷体_GB2312"/>
                <w:color w:val="000000"/>
                <w:kern w:val="0"/>
                <w:sz w:val="24"/>
                <w:szCs w:val="24"/>
                <w:lang w:val="en-US" w:eastAsia="zh-CN" w:bidi="ar"/>
              </w:rPr>
              <w:t xml:space="preserve"> </w:t>
            </w:r>
            <w:r>
              <w:rPr>
                <w:rFonts w:hint="eastAsia" w:ascii="楷体_GB2312" w:hAnsi="楷体_GB2312" w:eastAsia="楷体_GB2312" w:cs="楷体_GB2312"/>
                <w:color w:val="000000"/>
                <w:kern w:val="0"/>
                <w:sz w:val="24"/>
                <w:szCs w:val="24"/>
                <w:lang w:val="en-US" w:eastAsia="zh-CN" w:bidi="ar"/>
              </w:rPr>
              <w:t>正确引导教职人员及信教群众进行正常的宗教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正确引导教职人员及信教群众进行正常的宗教</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提高认识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提高教职人员及信教群众对党的领导的高度认识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提高教职人员及信教群众对党的领导的高度认识</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100%</w:t>
            </w:r>
          </w:p>
        </w:tc>
      </w:tr>
    </w:tbl>
    <w:p>
      <w:pPr>
        <w:pageBreakBefore w:val="0"/>
        <w:kinsoku/>
        <w:wordWrap/>
        <w:overflowPunct/>
        <w:topLinePunct w:val="0"/>
        <w:bidi w:val="0"/>
        <w:spacing w:line="600" w:lineRule="exact"/>
        <w:ind w:left="0" w:leftChars="0" w:firstLine="880" w:firstLineChars="200"/>
        <w:jc w:val="center"/>
        <w:rPr>
          <w:rFonts w:hint="eastAsia" w:ascii="黑体" w:hAnsi="黑体" w:eastAsia="黑体" w:cs="方正小标宋简体"/>
          <w:sz w:val="44"/>
          <w:szCs w:val="44"/>
          <w:lang w:val="en-US" w:eastAsia="zh-CN"/>
        </w:rPr>
      </w:pPr>
    </w:p>
    <w:p>
      <w:pPr>
        <w:pageBreakBefore w:val="0"/>
        <w:kinsoku/>
        <w:wordWrap/>
        <w:overflowPunct/>
        <w:topLinePunct w:val="0"/>
        <w:bidi w:val="0"/>
        <w:spacing w:line="600" w:lineRule="exact"/>
        <w:ind w:left="0" w:leftChars="0"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lang w:val="en-US" w:eastAsia="zh-CN"/>
        </w:rPr>
        <w:t>2018年民族事业发展专项资金</w:t>
      </w:r>
      <w:r>
        <w:rPr>
          <w:rFonts w:hint="eastAsia" w:ascii="黑体" w:hAnsi="黑体" w:eastAsia="黑体" w:cs="方正小标宋简体"/>
          <w:sz w:val="44"/>
          <w:szCs w:val="44"/>
        </w:rPr>
        <w:t>项目支出绩效评价报告</w:t>
      </w:r>
    </w:p>
    <w:p>
      <w:pPr>
        <w:pageBreakBefore w:val="0"/>
        <w:kinsoku/>
        <w:wordWrap/>
        <w:overflowPunct/>
        <w:topLinePunct w:val="0"/>
        <w:bidi w:val="0"/>
        <w:spacing w:line="600" w:lineRule="exact"/>
        <w:ind w:left="0" w:leftChars="0" w:firstLine="640" w:firstLineChars="200"/>
        <w:rPr>
          <w:rFonts w:ascii="仿宋_GB2312" w:hAnsi="仿宋_GB2312" w:eastAsia="仿宋_GB2312" w:cs="仿宋_GB2312"/>
          <w:sz w:val="32"/>
          <w:szCs w:val="32"/>
        </w:rPr>
      </w:pP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caps w:val="0"/>
          <w:color w:val="333333"/>
          <w:spacing w:val="0"/>
          <w:sz w:val="32"/>
          <w:szCs w:val="32"/>
        </w:rPr>
        <w:t>项目的主要内容是开展涉及少数民族矛盾纠纷排查化解</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民族的相关调研</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民族的社会服务管理</w:t>
      </w:r>
      <w:r>
        <w:rPr>
          <w:rFonts w:hint="eastAsia" w:ascii="仿宋" w:hAnsi="仿宋" w:eastAsia="仿宋" w:cs="仿宋"/>
          <w:i w:val="0"/>
          <w:caps w:val="0"/>
          <w:color w:val="333333"/>
          <w:spacing w:val="0"/>
          <w:sz w:val="32"/>
          <w:szCs w:val="32"/>
          <w:lang w:eastAsia="zh-CN"/>
        </w:rPr>
        <w:t>工作</w:t>
      </w:r>
      <w:r>
        <w:rPr>
          <w:rFonts w:hint="eastAsia" w:ascii="仿宋" w:hAnsi="仿宋" w:eastAsia="仿宋" w:cs="仿宋"/>
          <w:i w:val="0"/>
          <w:caps w:val="0"/>
          <w:color w:val="333333"/>
          <w:spacing w:val="0"/>
          <w:sz w:val="32"/>
          <w:szCs w:val="32"/>
        </w:rPr>
        <w:t>。民族工作机动金不属于基本建设项目</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按照民族工作的实际需要，确定资金投向及投入数量，确保项目按照预算及进度实施</w:t>
      </w:r>
      <w:r>
        <w:rPr>
          <w:rFonts w:hint="eastAsia" w:ascii="仿宋" w:hAnsi="仿宋" w:eastAsia="仿宋" w:cs="仿宋"/>
          <w:i w:val="0"/>
          <w:caps w:val="0"/>
          <w:color w:val="333333"/>
          <w:spacing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二、评价结论及绩效分析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caps w:val="0"/>
          <w:color w:val="333333"/>
          <w:spacing w:val="0"/>
          <w:sz w:val="32"/>
          <w:szCs w:val="32"/>
        </w:rPr>
        <w:t>总体上看，项目目标明确、组织监管体系完善</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该项目资金较好地实现了绩效目标</w:t>
      </w:r>
      <w:r>
        <w:rPr>
          <w:rFonts w:hint="eastAsia" w:ascii="仿宋" w:hAnsi="仿宋" w:eastAsia="仿宋" w:cs="仿宋"/>
          <w:sz w:val="32"/>
          <w:szCs w:val="32"/>
          <w:lang w:eastAsia="zh-CN"/>
        </w:rPr>
        <w:t>。</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1、项目决策</w:t>
      </w:r>
    </w:p>
    <w:p>
      <w:pPr>
        <w:pageBreakBefore w:val="0"/>
        <w:kinsoku/>
        <w:wordWrap/>
        <w:overflowPunct/>
        <w:topLinePunct w:val="0"/>
        <w:bidi w:val="0"/>
        <w:spacing w:line="600" w:lineRule="exact"/>
        <w:ind w:left="0" w:leftChars="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开展涉及少数民族矛盾纠纷排查化解</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民族的相关调研</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民族的社会服务管理</w:t>
      </w:r>
      <w:r>
        <w:rPr>
          <w:rFonts w:hint="eastAsia" w:ascii="仿宋" w:hAnsi="仿宋" w:eastAsia="仿宋" w:cs="仿宋"/>
          <w:i w:val="0"/>
          <w:caps w:val="0"/>
          <w:color w:val="333333"/>
          <w:spacing w:val="0"/>
          <w:sz w:val="32"/>
          <w:szCs w:val="32"/>
          <w:lang w:eastAsia="zh-CN"/>
        </w:rPr>
        <w:t>工作</w:t>
      </w:r>
      <w:r>
        <w:rPr>
          <w:rFonts w:hint="eastAsia" w:ascii="仿宋" w:hAnsi="仿宋" w:eastAsia="仿宋" w:cs="仿宋"/>
          <w:i w:val="0"/>
          <w:caps w:val="0"/>
          <w:color w:val="333333"/>
          <w:spacing w:val="0"/>
          <w:sz w:val="32"/>
          <w:szCs w:val="32"/>
        </w:rPr>
        <w:t>。</w:t>
      </w:r>
    </w:p>
    <w:p>
      <w:pPr>
        <w:pageBreakBefore w:val="0"/>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2、项目管理</w:t>
      </w:r>
    </w:p>
    <w:p>
      <w:pPr>
        <w:pageBreakBefore w:val="0"/>
        <w:kinsoku/>
        <w:wordWrap/>
        <w:overflowPunct/>
        <w:topLinePunct w:val="0"/>
        <w:bidi w:val="0"/>
        <w:spacing w:line="600" w:lineRule="exact"/>
        <w:ind w:left="0" w:leftChars="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主要用于</w:t>
      </w:r>
      <w:r>
        <w:rPr>
          <w:rFonts w:hint="eastAsia" w:ascii="仿宋" w:hAnsi="仿宋" w:eastAsia="仿宋" w:cs="仿宋"/>
          <w:i w:val="0"/>
          <w:caps w:val="0"/>
          <w:color w:val="333333"/>
          <w:spacing w:val="0"/>
          <w:sz w:val="32"/>
          <w:szCs w:val="32"/>
          <w:lang w:eastAsia="zh-CN"/>
        </w:rPr>
        <w:t>民族</w:t>
      </w:r>
      <w:r>
        <w:rPr>
          <w:rFonts w:hint="eastAsia" w:ascii="仿宋" w:hAnsi="仿宋" w:eastAsia="仿宋" w:cs="仿宋"/>
          <w:i w:val="0"/>
          <w:caps w:val="0"/>
          <w:color w:val="333333"/>
          <w:spacing w:val="0"/>
          <w:sz w:val="32"/>
          <w:szCs w:val="32"/>
        </w:rPr>
        <w:t>管理工作的推进</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深入开展少数民族服务管理及时排查化解涉及少数民族的各类矛盾纠纷，维护和谐稳</w:t>
      </w:r>
      <w:r>
        <w:rPr>
          <w:rFonts w:hint="eastAsia" w:ascii="仿宋" w:hAnsi="仿宋" w:eastAsia="仿宋" w:cs="仿宋"/>
          <w:i w:val="0"/>
          <w:caps w:val="0"/>
          <w:color w:val="333333"/>
          <w:spacing w:val="0"/>
          <w:sz w:val="32"/>
          <w:szCs w:val="32"/>
          <w:lang w:eastAsia="zh-CN"/>
        </w:rPr>
        <w:t>定，</w:t>
      </w:r>
      <w:r>
        <w:rPr>
          <w:rFonts w:hint="eastAsia" w:ascii="仿宋" w:hAnsi="仿宋" w:eastAsia="仿宋" w:cs="仿宋"/>
          <w:i w:val="0"/>
          <w:caps w:val="0"/>
          <w:color w:val="333333"/>
          <w:spacing w:val="0"/>
          <w:sz w:val="32"/>
          <w:szCs w:val="32"/>
        </w:rPr>
        <w:t>及时解决少数民族群众的特殊困难和诉求。该项目实际拨付预算资金</w:t>
      </w:r>
      <w:r>
        <w:rPr>
          <w:rFonts w:hint="eastAsia" w:ascii="仿宋" w:hAnsi="仿宋" w:eastAsia="仿宋" w:cs="仿宋"/>
          <w:i w:val="0"/>
          <w:caps w:val="0"/>
          <w:color w:val="333333"/>
          <w:spacing w:val="0"/>
          <w:sz w:val="32"/>
          <w:szCs w:val="32"/>
          <w:lang w:val="en-US" w:eastAsia="zh-CN"/>
        </w:rPr>
        <w:t>15</w:t>
      </w:r>
      <w:r>
        <w:rPr>
          <w:rFonts w:hint="eastAsia" w:ascii="仿宋" w:hAnsi="仿宋" w:eastAsia="仿宋" w:cs="仿宋"/>
          <w:i w:val="0"/>
          <w:caps w:val="0"/>
          <w:color w:val="333333"/>
          <w:spacing w:val="0"/>
          <w:sz w:val="32"/>
          <w:szCs w:val="32"/>
        </w:rPr>
        <w:t>万元，截止201</w:t>
      </w:r>
      <w:r>
        <w:rPr>
          <w:rFonts w:hint="eastAsia" w:ascii="仿宋" w:hAnsi="仿宋" w:eastAsia="仿宋" w:cs="仿宋"/>
          <w:i w:val="0"/>
          <w:caps w:val="0"/>
          <w:color w:val="333333"/>
          <w:spacing w:val="0"/>
          <w:sz w:val="32"/>
          <w:szCs w:val="32"/>
          <w:lang w:val="en-US" w:eastAsia="zh-CN"/>
        </w:rPr>
        <w:t>8</w:t>
      </w:r>
      <w:r>
        <w:rPr>
          <w:rFonts w:hint="eastAsia" w:ascii="仿宋" w:hAnsi="仿宋" w:eastAsia="仿宋" w:cs="仿宋"/>
          <w:i w:val="0"/>
          <w:caps w:val="0"/>
          <w:color w:val="333333"/>
          <w:spacing w:val="0"/>
          <w:sz w:val="32"/>
          <w:szCs w:val="32"/>
        </w:rPr>
        <w:t>年12月31日，经费已使用</w:t>
      </w:r>
      <w:r>
        <w:rPr>
          <w:rFonts w:hint="eastAsia" w:ascii="仿宋" w:hAnsi="仿宋" w:eastAsia="仿宋" w:cs="仿宋"/>
          <w:i w:val="0"/>
          <w:caps w:val="0"/>
          <w:color w:val="333333"/>
          <w:spacing w:val="0"/>
          <w:sz w:val="32"/>
          <w:szCs w:val="32"/>
          <w:lang w:val="en-US" w:eastAsia="zh-CN"/>
        </w:rPr>
        <w:t>11.86</w:t>
      </w:r>
      <w:r>
        <w:rPr>
          <w:rFonts w:hint="eastAsia" w:ascii="仿宋" w:hAnsi="仿宋" w:eastAsia="仿宋" w:cs="仿宋"/>
          <w:i w:val="0"/>
          <w:caps w:val="0"/>
          <w:color w:val="333333"/>
          <w:spacing w:val="0"/>
          <w:sz w:val="32"/>
          <w:szCs w:val="32"/>
        </w:rPr>
        <w:t>万元，本年结转</w:t>
      </w:r>
      <w:r>
        <w:rPr>
          <w:rFonts w:hint="eastAsia" w:ascii="仿宋" w:hAnsi="仿宋" w:eastAsia="仿宋" w:cs="仿宋"/>
          <w:i w:val="0"/>
          <w:caps w:val="0"/>
          <w:color w:val="333333"/>
          <w:spacing w:val="0"/>
          <w:sz w:val="32"/>
          <w:szCs w:val="32"/>
          <w:lang w:val="en-US" w:eastAsia="zh-CN"/>
        </w:rPr>
        <w:t>3.14</w:t>
      </w:r>
      <w:r>
        <w:rPr>
          <w:rFonts w:hint="eastAsia" w:ascii="仿宋" w:hAnsi="仿宋" w:eastAsia="仿宋" w:cs="仿宋"/>
          <w:i w:val="0"/>
          <w:caps w:val="0"/>
          <w:color w:val="333333"/>
          <w:spacing w:val="0"/>
          <w:sz w:val="32"/>
          <w:szCs w:val="32"/>
        </w:rPr>
        <w:t>万元。资金使用率</w:t>
      </w:r>
      <w:r>
        <w:rPr>
          <w:rFonts w:hint="eastAsia" w:ascii="仿宋" w:hAnsi="仿宋" w:eastAsia="仿宋" w:cs="仿宋"/>
          <w:i w:val="0"/>
          <w:caps w:val="0"/>
          <w:color w:val="333333"/>
          <w:spacing w:val="0"/>
          <w:sz w:val="32"/>
          <w:szCs w:val="32"/>
          <w:lang w:val="en-US" w:eastAsia="zh-CN"/>
        </w:rPr>
        <w:t>79.07</w:t>
      </w:r>
      <w:r>
        <w:rPr>
          <w:rFonts w:hint="eastAsia" w:ascii="仿宋" w:hAnsi="仿宋" w:eastAsia="仿宋" w:cs="仿宋"/>
          <w:i w:val="0"/>
          <w:caps w:val="0"/>
          <w:color w:val="333333"/>
          <w:spacing w:val="0"/>
          <w:sz w:val="32"/>
          <w:szCs w:val="32"/>
        </w:rPr>
        <w:t>%。</w:t>
      </w:r>
    </w:p>
    <w:p>
      <w:pPr>
        <w:pageBreakBefore w:val="0"/>
        <w:numPr>
          <w:ilvl w:val="0"/>
          <w:numId w:val="1"/>
        </w:numPr>
        <w:kinsoku/>
        <w:wordWrap/>
        <w:overflowPunct/>
        <w:topLinePunct w:val="0"/>
        <w:bidi w:val="0"/>
        <w:spacing w:line="60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项目绩效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通过民族团结进步宣传教育，矛盾纠纷及时排查化解，少数民族特殊困难的救助等，有效维护了社会和谐稳定，体现了社会主义社会的优势性。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
          <w:i w:val="0"/>
          <w:caps w:val="0"/>
          <w:color w:val="333333"/>
          <w:spacing w:val="0"/>
          <w:sz w:val="32"/>
          <w:szCs w:val="32"/>
          <w:lang w:eastAsia="zh-CN"/>
        </w:rPr>
        <w:t>三、</w:t>
      </w:r>
      <w:r>
        <w:rPr>
          <w:rFonts w:ascii="仿宋" w:hAnsi="仿宋" w:eastAsia="仿宋" w:cs="仿宋_GB2312"/>
          <w:sz w:val="32"/>
          <w:szCs w:val="32"/>
        </w:rPr>
        <w:t>存在主要问题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项目实施进度慢。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加快项目进度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民族工作机动金</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广元市利州区民族宗教局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15万</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15万</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sz w:val="24"/>
                <w:szCs w:val="24"/>
              </w:rPr>
            </w:pPr>
            <w:r>
              <w:rPr>
                <w:rFonts w:hint="eastAsia" w:ascii="仿宋" w:hAnsi="仿宋" w:eastAsia="仿宋" w:cs="仿宋"/>
                <w:i w:val="0"/>
                <w:caps w:val="0"/>
                <w:color w:val="333333"/>
                <w:spacing w:val="0"/>
                <w:sz w:val="24"/>
                <w:szCs w:val="24"/>
              </w:rPr>
              <w:t>开展涉及少数民族矛盾纠纷排查化解</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民族的相关调研</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民族的社会服务管理</w:t>
            </w:r>
            <w:r>
              <w:rPr>
                <w:rFonts w:hint="eastAsia" w:ascii="仿宋" w:hAnsi="仿宋" w:eastAsia="仿宋" w:cs="仿宋"/>
                <w:i w:val="0"/>
                <w:caps w:val="0"/>
                <w:color w:val="333333"/>
                <w:spacing w:val="0"/>
                <w:sz w:val="24"/>
                <w:szCs w:val="24"/>
                <w:lang w:eastAsia="zh-CN"/>
              </w:rPr>
              <w:t>工作</w:t>
            </w:r>
            <w:r>
              <w:rPr>
                <w:rFonts w:hint="eastAsia" w:ascii="仿宋" w:hAnsi="仿宋" w:eastAsia="仿宋" w:cs="仿宋"/>
                <w:i w:val="0"/>
                <w:caps w:val="0"/>
                <w:color w:val="333333"/>
                <w:spacing w:val="0"/>
                <w:sz w:val="24"/>
                <w:szCs w:val="24"/>
              </w:rPr>
              <w:t>。民族工作机动金不属于基本建设项目</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按照民族工作的实际需要，确定资金投向及投入数量，确保项目按照预算及进度实施</w:t>
            </w:r>
            <w:r>
              <w:rPr>
                <w:rFonts w:hint="eastAsia" w:ascii="仿宋" w:hAnsi="仿宋" w:eastAsia="仿宋" w:cs="仿宋"/>
                <w:i w:val="0"/>
                <w:caps w:val="0"/>
                <w:color w:val="333333"/>
                <w:spacing w:val="0"/>
                <w:sz w:val="24"/>
                <w:szCs w:val="24"/>
                <w:lang w:eastAsia="zh-CN"/>
              </w:rPr>
              <w:t>。</w:t>
            </w:r>
          </w:p>
          <w:p>
            <w:pPr>
              <w:widowControl/>
              <w:jc w:val="both"/>
              <w:textAlignment w:val="center"/>
              <w:rPr>
                <w:rFonts w:hint="default" w:ascii="宋体" w:hAnsi="宋体" w:eastAsia="宋体" w:cs="宋体"/>
                <w:color w:val="000000"/>
                <w:sz w:val="24"/>
                <w:lang w:val="en-US" w:eastAsia="zh-CN"/>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通过民族团结进步宣传教育，矛盾纠纷及时排查化解，少数民族特殊困难的救助等，有效维护了社会和谐稳定，体现了社会主义社会的优势性。</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工作指导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加强对少数民族居住区的工作指导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加强对少数民族居住区的工作指导</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工作开展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保证少数民族工作正常开展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保证少数民族工作正常开展</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业务培训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10人</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楷体_GB2312" w:hAnsi="楷体_GB2312" w:eastAsia="楷体_GB2312" w:cs="楷体_GB2312"/>
                <w:color w:val="000000"/>
                <w:kern w:val="0"/>
                <w:sz w:val="24"/>
                <w:szCs w:val="24"/>
                <w:lang w:val="en-US" w:eastAsia="zh-CN" w:bidi="ar"/>
              </w:rPr>
              <w:t>正确引导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rPr>
                <w:rFonts w:hint="eastAsia" w:ascii="仿宋" w:hAnsi="仿宋" w:eastAsia="仿宋" w:cs="仿宋"/>
                <w:color w:val="000000"/>
                <w:sz w:val="24"/>
              </w:rPr>
            </w:pPr>
            <w:r>
              <w:rPr>
                <w:rFonts w:ascii="楷体_GB2312" w:hAnsi="楷体_GB2312" w:eastAsia="楷体_GB2312" w:cs="楷体_GB2312"/>
                <w:color w:val="000000"/>
                <w:kern w:val="0"/>
                <w:sz w:val="24"/>
                <w:szCs w:val="24"/>
                <w:lang w:val="en-US" w:eastAsia="zh-CN" w:bidi="ar"/>
              </w:rPr>
              <w:t xml:space="preserve"> </w:t>
            </w:r>
            <w:r>
              <w:rPr>
                <w:rFonts w:hint="eastAsia" w:ascii="楷体_GB2312" w:hAnsi="楷体_GB2312" w:eastAsia="楷体_GB2312" w:cs="楷体_GB2312"/>
                <w:color w:val="000000"/>
                <w:kern w:val="0"/>
                <w:sz w:val="24"/>
                <w:szCs w:val="24"/>
                <w:lang w:val="en-US" w:eastAsia="zh-CN" w:bidi="ar"/>
              </w:rPr>
              <w:t>正确引导民族地区发展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正确引导民族地区发展</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提高认识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提高少数民族群众对党的领导的高度认识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楷体_GB2312" w:hAnsi="楷体_GB2312" w:eastAsia="楷体_GB2312" w:cs="楷体_GB2312"/>
                <w:color w:val="000000"/>
                <w:kern w:val="0"/>
                <w:sz w:val="24"/>
                <w:szCs w:val="24"/>
                <w:lang w:val="en-US" w:eastAsia="zh-CN" w:bidi="ar"/>
              </w:rPr>
              <w:t>提高少数民族群众对党的领导的高度认识</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100%</w:t>
            </w:r>
          </w:p>
        </w:tc>
      </w:tr>
    </w:tbl>
    <w:p>
      <w:pPr>
        <w:pageBreakBefore w:val="0"/>
        <w:kinsoku/>
        <w:wordWrap/>
        <w:overflowPunct/>
        <w:topLinePunct w:val="0"/>
        <w:bidi w:val="0"/>
        <w:spacing w:line="600" w:lineRule="exact"/>
        <w:ind w:left="0" w:leftChars="0" w:firstLine="880" w:firstLineChars="200"/>
        <w:jc w:val="center"/>
        <w:outlineLvl w:val="0"/>
        <w:rPr>
          <w:rFonts w:hint="eastAsia" w:ascii="黑体" w:hAnsi="黑体" w:eastAsia="黑体"/>
          <w:color w:val="000000"/>
          <w:sz w:val="44"/>
          <w:szCs w:val="44"/>
        </w:rPr>
      </w:pPr>
    </w:p>
    <w:p>
      <w:pPr>
        <w:pageBreakBefore w:val="0"/>
        <w:kinsoku/>
        <w:wordWrap/>
        <w:overflowPunct/>
        <w:topLinePunct w:val="0"/>
        <w:bidi w:val="0"/>
        <w:spacing w:line="600" w:lineRule="exact"/>
        <w:ind w:left="0" w:leftChars="0" w:firstLine="880" w:firstLineChars="200"/>
        <w:jc w:val="center"/>
        <w:outlineLvl w:val="0"/>
        <w:rPr>
          <w:rFonts w:hint="eastAsia" w:ascii="黑体" w:hAnsi="黑体" w:eastAsia="黑体"/>
          <w:color w:val="000000"/>
          <w:sz w:val="44"/>
          <w:szCs w:val="44"/>
        </w:rPr>
      </w:pPr>
    </w:p>
    <w:p>
      <w:pPr>
        <w:pageBreakBefore w:val="0"/>
        <w:kinsoku/>
        <w:wordWrap/>
        <w:overflowPunct/>
        <w:topLinePunct w:val="0"/>
        <w:bidi w:val="0"/>
        <w:spacing w:line="600" w:lineRule="exact"/>
        <w:ind w:left="0" w:leftChars="0" w:firstLine="880" w:firstLineChars="200"/>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2"/>
    </w:p>
    <w:p>
      <w:pPr>
        <w:pageBreakBefore w:val="0"/>
        <w:kinsoku/>
        <w:wordWrap/>
        <w:overflowPunct/>
        <w:topLinePunct w:val="0"/>
        <w:bidi w:val="0"/>
        <w:spacing w:line="600" w:lineRule="exact"/>
        <w:ind w:left="0" w:leftChars="0" w:firstLine="880" w:firstLineChars="200"/>
        <w:jc w:val="center"/>
        <w:outlineLvl w:val="0"/>
        <w:rPr>
          <w:rFonts w:ascii="仿宋" w:hAnsi="仿宋" w:eastAsia="仿宋"/>
          <w:b/>
          <w:color w:val="000000"/>
          <w:sz w:val="44"/>
          <w:szCs w:val="44"/>
        </w:rPr>
      </w:pPr>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3"/>
        <w:pageBreakBefore w:val="0"/>
        <w:kinsoku/>
        <w:wordWrap/>
        <w:overflowPunct/>
        <w:topLinePunct w:val="0"/>
        <w:bidi w:val="0"/>
        <w:spacing w:before="0" w:after="0" w:line="600" w:lineRule="exact"/>
        <w:ind w:left="0" w:leftChars="0" w:firstLine="640" w:firstLineChars="200"/>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3"/>
        <w:pageBreakBefore w:val="0"/>
        <w:kinsoku/>
        <w:wordWrap/>
        <w:overflowPunct/>
        <w:topLinePunct w:val="0"/>
        <w:bidi w:val="0"/>
        <w:spacing w:before="0" w:after="0" w:line="600" w:lineRule="exact"/>
        <w:ind w:left="0" w:leftChars="0" w:firstLine="640" w:firstLineChars="200"/>
        <w:rPr>
          <w:rFonts w:ascii="仿宋" w:hAnsi="仿宋" w:eastAsia="仿宋"/>
          <w:color w:val="000000" w:themeColor="text1"/>
          <w14:textFill>
            <w14:solidFill>
              <w14:schemeClr w14:val="tx1"/>
            </w14:solidFill>
          </w14:textFill>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667" w:right="1406" w:bottom="1157" w:left="1406"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B9FF0"/>
    <w:multiLevelType w:val="singleLevel"/>
    <w:tmpl w:val="999B9FF0"/>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5D67FE0"/>
    <w:rsid w:val="07C55C99"/>
    <w:rsid w:val="0ED9733D"/>
    <w:rsid w:val="10C055FF"/>
    <w:rsid w:val="155E25AE"/>
    <w:rsid w:val="16BB723D"/>
    <w:rsid w:val="1A6A3ED5"/>
    <w:rsid w:val="1CE86417"/>
    <w:rsid w:val="1FDE4D92"/>
    <w:rsid w:val="240371BF"/>
    <w:rsid w:val="2507555B"/>
    <w:rsid w:val="289C34A3"/>
    <w:rsid w:val="29100C87"/>
    <w:rsid w:val="29FD04D3"/>
    <w:rsid w:val="2C2653AB"/>
    <w:rsid w:val="2EFE43B2"/>
    <w:rsid w:val="319F7F4E"/>
    <w:rsid w:val="31C1650D"/>
    <w:rsid w:val="35252FA0"/>
    <w:rsid w:val="352E2504"/>
    <w:rsid w:val="389D4BE1"/>
    <w:rsid w:val="3AF5718D"/>
    <w:rsid w:val="3C9B0213"/>
    <w:rsid w:val="3CDD79A7"/>
    <w:rsid w:val="4E836C56"/>
    <w:rsid w:val="52DB353E"/>
    <w:rsid w:val="54403B71"/>
    <w:rsid w:val="54FE6EFB"/>
    <w:rsid w:val="569E0A48"/>
    <w:rsid w:val="621D2E0F"/>
    <w:rsid w:val="62765DA1"/>
    <w:rsid w:val="6AEB5115"/>
    <w:rsid w:val="6BB5492F"/>
    <w:rsid w:val="72C408D0"/>
    <w:rsid w:val="7556703B"/>
    <w:rsid w:val="79EA356C"/>
    <w:rsid w:val="7BB70C55"/>
    <w:rsid w:val="7E817E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uiPriority w:val="99"/>
    <w:rPr>
      <w:color w:val="000000"/>
      <w:u w:val="none"/>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19&#20915;&#31639;&#25209;&#22797;&#21450;&#20844;&#24320;&#25968;&#25454;&#21442;&#25968;\&#20316;&#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19&#20915;&#31639;&#25209;&#22797;&#21450;&#20844;&#24320;&#25968;&#25454;&#21442;&#25968;\&#20316;&#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19&#20915;&#31639;&#25209;&#22797;&#21450;&#20844;&#24320;&#25968;&#25454;&#21442;&#25968;\&#20316;&#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19&#20915;&#31639;&#25209;&#22797;&#21450;&#20844;&#24320;&#25968;&#25454;&#21442;&#25968;\&#20316;&#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19&#20915;&#31639;&#25209;&#22797;&#21450;&#20844;&#24320;&#25968;&#25454;&#21442;&#25968;\&#20316;&#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19&#20915;&#31639;&#25209;&#22797;&#21450;&#20844;&#24320;&#25968;&#25454;&#21442;&#25968;\&#20316;&#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1194444444444"/>
          <c:y val="0.0561389337641357"/>
          <c:w val="0.894638888888889"/>
          <c:h val="0.473975341552816"/>
        </c:manualLayout>
      </c:layout>
      <c:barChart>
        <c:barDir val="col"/>
        <c:grouping val="clustered"/>
        <c:varyColors val="0"/>
        <c:ser>
          <c:idx val="0"/>
          <c:order val="0"/>
          <c:spPr>
            <a:solidFill>
              <a:schemeClr val="accent1"/>
            </a:solidFill>
            <a:ln>
              <a:noFill/>
            </a:ln>
            <a:effectLst/>
          </c:spPr>
          <c:invertIfNegative val="0"/>
          <c:dLbls>
            <c:delete val="1"/>
          </c:dLbls>
          <c:cat>
            <c:multiLvlStrRef>
              <c:f>[作图表.xlsx]Sheet1!$C$6:$H$7</c:f>
              <c:multiLvlStrCache>
                <c:ptCount val="6"/>
                <c:lvl>
                  <c:pt idx="0">
                    <c:v>收入</c:v>
                  </c:pt>
                  <c:pt idx="1">
                    <c:v>支出</c:v>
                  </c:pt>
                  <c:pt idx="4">
                    <c:v>收入</c:v>
                  </c:pt>
                  <c:pt idx="5">
                    <c:v>支出</c:v>
                  </c:pt>
                </c:lvl>
                <c:lvl>
                  <c:pt idx="0">
                    <c:v>2018年</c:v>
                  </c:pt>
                  <c:pt idx="4">
                    <c:v>2017年</c:v>
                  </c:pt>
                </c:lvl>
              </c:multiLvlStrCache>
            </c:multiLvlStrRef>
          </c:cat>
          <c:val>
            <c:numRef>
              <c:f>[作图表.xlsx]Sheet1!$C$8:$H$8</c:f>
              <c:numCache>
                <c:formatCode>General</c:formatCode>
                <c:ptCount val="6"/>
                <c:pt idx="0">
                  <c:v>69.44</c:v>
                </c:pt>
                <c:pt idx="1">
                  <c:v>66.3</c:v>
                </c:pt>
                <c:pt idx="4">
                  <c:v>132.24</c:v>
                </c:pt>
                <c:pt idx="5">
                  <c:v>119.29</c:v>
                </c:pt>
              </c:numCache>
            </c:numRef>
          </c:val>
        </c:ser>
        <c:dLbls>
          <c:showLegendKey val="0"/>
          <c:showVal val="0"/>
          <c:showCatName val="0"/>
          <c:showSerName val="0"/>
          <c:showPercent val="0"/>
          <c:showBubbleSize val="0"/>
        </c:dLbls>
        <c:gapWidth val="219"/>
        <c:overlap val="-27"/>
        <c:axId val="823382263"/>
        <c:axId val="839258904"/>
      </c:barChart>
      <c:catAx>
        <c:axId val="823382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258904"/>
        <c:crosses val="autoZero"/>
        <c:auto val="1"/>
        <c:lblAlgn val="ctr"/>
        <c:lblOffset val="100"/>
        <c:noMultiLvlLbl val="0"/>
      </c:catAx>
      <c:valAx>
        <c:axId val="83925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3382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00833333333333"/>
          <c:y val="0.253915361546151"/>
          <c:w val="0.907277777777778"/>
          <c:h val="0.473975341552816"/>
        </c:manualLayout>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[作图表.xlsx]Sheet1!$C$6:$H$7</c:f>
              <c:multiLvlStrCache>
                <c:ptCount val="6"/>
                <c:lvl>
                  <c:pt idx="0">
                    <c:v>收入</c:v>
                  </c:pt>
                </c:lvl>
                <c:lvl>
                  <c:pt idx="0">
                    <c:v>2018年</c:v>
                  </c:pt>
                </c:lvl>
              </c:multiLvlStrCache>
            </c:multiLvlStrRef>
          </c:cat>
          <c:val>
            <c:numRef>
              <c:f>[作图表.xlsx]Sheet1!$C$8:$H$8</c:f>
              <c:numCache>
                <c:formatCode>General</c:formatCode>
                <c:ptCount val="6"/>
                <c:pt idx="0">
                  <c:v>69.44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[作图表.xlsx]Sheet1!$C$6:$D$7</c:f>
              <c:multiLvlStrCache>
                <c:ptCount val="2"/>
                <c:lvl>
                  <c:pt idx="0">
                    <c:v>基本支出</c:v>
                  </c:pt>
                  <c:pt idx="1">
                    <c:v>项目支出</c:v>
                  </c:pt>
                </c:lvl>
                <c:lvl>
                  <c:pt idx="0">
                    <c:v>2018年</c:v>
                  </c:pt>
                </c:lvl>
              </c:multiLvlStrCache>
            </c:multiLvlStrRef>
          </c:cat>
          <c:val>
            <c:numRef>
              <c:f>[作图表.xlsx]Sheet1!$C$8:$D$8</c:f>
              <c:numCache>
                <c:formatCode>General</c:formatCode>
                <c:ptCount val="2"/>
                <c:pt idx="0">
                  <c:v>36.23</c:v>
                </c:pt>
                <c:pt idx="1">
                  <c:v>30.07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9097222222222"/>
          <c:y val="0.8569188553508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1194444444444"/>
          <c:y val="0.0561389337641357"/>
          <c:w val="0.894638888888889"/>
          <c:h val="0.473975341552816"/>
        </c:manualLayout>
      </c:layout>
      <c:barChart>
        <c:barDir val="col"/>
        <c:grouping val="clustered"/>
        <c:varyColors val="0"/>
        <c:ser>
          <c:idx val="0"/>
          <c:order val="0"/>
          <c:spPr>
            <a:solidFill>
              <a:schemeClr val="accent1"/>
            </a:solidFill>
            <a:ln>
              <a:noFill/>
            </a:ln>
            <a:effectLst/>
          </c:spPr>
          <c:invertIfNegative val="0"/>
          <c:dLbls>
            <c:delete val="1"/>
          </c:dLbls>
          <c:cat>
            <c:multiLvlStrRef>
              <c:f>[作图表.xlsx]Sheet1!$C$6:$H$7</c:f>
              <c:multiLvlStrCache>
                <c:ptCount val="6"/>
                <c:lvl>
                  <c:pt idx="0">
                    <c:v>收入</c:v>
                  </c:pt>
                  <c:pt idx="1">
                    <c:v>支出</c:v>
                  </c:pt>
                  <c:pt idx="4">
                    <c:v>收入</c:v>
                  </c:pt>
                  <c:pt idx="5">
                    <c:v>支出</c:v>
                  </c:pt>
                </c:lvl>
                <c:lvl>
                  <c:pt idx="0">
                    <c:v>2018年</c:v>
                  </c:pt>
                  <c:pt idx="4">
                    <c:v>2017年</c:v>
                  </c:pt>
                </c:lvl>
              </c:multiLvlStrCache>
            </c:multiLvlStrRef>
          </c:cat>
          <c:val>
            <c:numRef>
              <c:f>[作图表.xlsx]Sheet1!$C$8:$H$8</c:f>
              <c:numCache>
                <c:formatCode>General</c:formatCode>
                <c:ptCount val="6"/>
                <c:pt idx="0">
                  <c:v>69.44</c:v>
                </c:pt>
                <c:pt idx="1">
                  <c:v>66.3</c:v>
                </c:pt>
                <c:pt idx="4">
                  <c:v>132.24</c:v>
                </c:pt>
                <c:pt idx="5">
                  <c:v>119.29</c:v>
                </c:pt>
              </c:numCache>
            </c:numRef>
          </c:val>
        </c:ser>
        <c:dLbls>
          <c:showLegendKey val="0"/>
          <c:showVal val="0"/>
          <c:showCatName val="0"/>
          <c:showSerName val="0"/>
          <c:showPercent val="0"/>
          <c:showBubbleSize val="0"/>
        </c:dLbls>
        <c:gapWidth val="219"/>
        <c:overlap val="-27"/>
        <c:axId val="823382263"/>
        <c:axId val="839258904"/>
      </c:barChart>
      <c:catAx>
        <c:axId val="823382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258904"/>
        <c:crosses val="autoZero"/>
        <c:auto val="1"/>
        <c:lblAlgn val="ctr"/>
        <c:lblOffset val="100"/>
        <c:noMultiLvlLbl val="0"/>
      </c:catAx>
      <c:valAx>
        <c:axId val="83925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3382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50833333333333"/>
          <c:y val="0.288888888888889"/>
          <c:w val="0.894638888888889"/>
          <c:h val="0.451875"/>
        </c:manualLayout>
      </c:layout>
      <c:barChart>
        <c:barDir val="col"/>
        <c:grouping val="clustered"/>
        <c:varyColors val="0"/>
        <c:ser>
          <c:idx val="0"/>
          <c:order val="0"/>
          <c:spPr>
            <a:solidFill>
              <a:schemeClr val="accent1"/>
            </a:solidFill>
            <a:ln>
              <a:noFill/>
            </a:ln>
            <a:effectLst/>
          </c:spPr>
          <c:invertIfNegative val="0"/>
          <c:dLbls>
            <c:delete val="1"/>
          </c:dLbls>
          <c:cat>
            <c:multiLvlStrRef>
              <c:f>[作图表.xlsx]Sheet1!$D$6:$E$7</c:f>
              <c:multiLvlStrCache>
                <c:ptCount val="2"/>
                <c:lvl>
                  <c:pt idx="0">
                    <c:v>支出</c:v>
                  </c:pt>
                  <c:pt idx="1">
                    <c:v>支出</c:v>
                  </c:pt>
                </c:lvl>
                <c:lvl>
                  <c:pt idx="0">
                    <c:v>2018年</c:v>
                  </c:pt>
                  <c:pt idx="1">
                    <c:v>2017年</c:v>
                  </c:pt>
                </c:lvl>
              </c:multiLvlStrCache>
            </c:multiLvlStrRef>
          </c:cat>
          <c:val>
            <c:numRef>
              <c:f>[作图表.xlsx]Sheet1!$D$8:$E$8</c:f>
              <c:numCache>
                <c:formatCode>General</c:formatCode>
                <c:ptCount val="2"/>
                <c:pt idx="0">
                  <c:v>66.3</c:v>
                </c:pt>
                <c:pt idx="1">
                  <c:v>119.29</c:v>
                </c:pt>
              </c:numCache>
            </c:numRef>
          </c:val>
        </c:ser>
        <c:dLbls>
          <c:showLegendKey val="0"/>
          <c:showVal val="0"/>
          <c:showCatName val="0"/>
          <c:showSerName val="0"/>
          <c:showPercent val="0"/>
          <c:showBubbleSize val="0"/>
        </c:dLbls>
        <c:gapWidth val="219"/>
        <c:overlap val="-27"/>
        <c:axId val="727024732"/>
        <c:axId val="502602712"/>
      </c:barChart>
      <c:catAx>
        <c:axId val="7270247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2602712"/>
        <c:crosses val="autoZero"/>
        <c:auto val="1"/>
        <c:lblAlgn val="ctr"/>
        <c:lblOffset val="100"/>
        <c:noMultiLvlLbl val="0"/>
      </c:catAx>
      <c:valAx>
        <c:axId val="502602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0247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[作图表.xlsx]Sheet1!$D$6:$G$7</c:f>
              <c:multiLvlStrCache>
                <c:ptCount val="4"/>
                <c:lvl>
                  <c:pt idx="0">
                    <c:v>一般公共服务</c:v>
                  </c:pt>
                  <c:pt idx="1">
                    <c:v>社会保障和就业</c:v>
                  </c:pt>
                  <c:pt idx="2">
                    <c:v>医疗卫生与计划生育</c:v>
                  </c:pt>
                  <c:pt idx="3">
                    <c:v>住房保障</c:v>
                  </c:pt>
                </c:lvl>
                <c:lvl>
                  <c:pt idx="0">
                    <c:v>2018年支出</c:v>
                  </c:pt>
                </c:lvl>
              </c:multiLvlStrCache>
            </c:multiLvlStrRef>
          </c:cat>
          <c:val>
            <c:numRef>
              <c:f>[作图表.xlsx]Sheet1!$D$8:$G$8</c:f>
              <c:numCache>
                <c:formatCode>General</c:formatCode>
                <c:ptCount val="4"/>
                <c:pt idx="0">
                  <c:v>59.32</c:v>
                </c:pt>
                <c:pt idx="1">
                  <c:v>4.17</c:v>
                </c:pt>
                <c:pt idx="2">
                  <c:v>1.28</c:v>
                </c:pt>
                <c:pt idx="3">
                  <c:v>1.52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风语</cp:lastModifiedBy>
  <cp:lastPrinted>2019-08-01T00:48:00Z</cp:lastPrinted>
  <dcterms:modified xsi:type="dcterms:W3CDTF">2019-09-25T09:34:39Z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