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D6" w:rsidRDefault="001C22D6">
      <w:pPr>
        <w:spacing w:line="600" w:lineRule="exact"/>
        <w:jc w:val="center"/>
        <w:outlineLvl w:val="0"/>
        <w:rPr>
          <w:rFonts w:ascii="方正小标宋简体" w:eastAsia="方正小标宋简体" w:hAnsi="宋体"/>
          <w:color w:val="000000"/>
          <w:sz w:val="72"/>
          <w:szCs w:val="72"/>
        </w:rPr>
      </w:pPr>
      <w:bookmarkStart w:id="0" w:name="_Toc15306267"/>
    </w:p>
    <w:p w:rsidR="001C22D6" w:rsidRDefault="001C22D6">
      <w:pPr>
        <w:spacing w:line="600" w:lineRule="exact"/>
        <w:jc w:val="center"/>
        <w:outlineLvl w:val="0"/>
        <w:rPr>
          <w:rFonts w:ascii="方正小标宋简体" w:eastAsia="方正小标宋简体" w:hAnsi="宋体"/>
          <w:color w:val="000000"/>
          <w:sz w:val="72"/>
          <w:szCs w:val="72"/>
        </w:rPr>
      </w:pPr>
    </w:p>
    <w:p w:rsidR="001C22D6" w:rsidRDefault="001C22D6">
      <w:pPr>
        <w:spacing w:line="600" w:lineRule="exact"/>
        <w:jc w:val="center"/>
        <w:outlineLvl w:val="0"/>
        <w:rPr>
          <w:rFonts w:ascii="方正小标宋简体" w:eastAsia="方正小标宋简体" w:hAnsi="宋体"/>
          <w:color w:val="000000"/>
          <w:sz w:val="72"/>
          <w:szCs w:val="72"/>
        </w:rPr>
      </w:pPr>
    </w:p>
    <w:p w:rsidR="001C22D6" w:rsidRDefault="001C22D6">
      <w:pPr>
        <w:spacing w:line="600" w:lineRule="exact"/>
        <w:jc w:val="center"/>
        <w:outlineLvl w:val="0"/>
        <w:rPr>
          <w:rFonts w:ascii="方正小标宋简体" w:eastAsia="方正小标宋简体" w:hAnsi="宋体"/>
          <w:color w:val="000000"/>
          <w:sz w:val="72"/>
          <w:szCs w:val="72"/>
        </w:rPr>
      </w:pPr>
    </w:p>
    <w:p w:rsidR="001C22D6" w:rsidRDefault="00184C5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96597"/>
      <w:bookmarkStart w:id="4" w:name="_Toc15396475"/>
      <w:bookmarkStart w:id="5" w:name="_Toc15377193"/>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1C22D6" w:rsidRDefault="00184C5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78442"/>
      <w:bookmarkStart w:id="9" w:name="_Toc15396476"/>
      <w:bookmarkStart w:id="10" w:name="_Toc15377426"/>
      <w:r>
        <w:rPr>
          <w:rFonts w:ascii="方正小标宋简体" w:eastAsia="方正小标宋简体" w:hAnsi="宋体" w:hint="eastAsia"/>
          <w:color w:val="000000"/>
          <w:sz w:val="72"/>
          <w:szCs w:val="72"/>
        </w:rPr>
        <w:t>广元市利州区</w:t>
      </w:r>
      <w:bookmarkStart w:id="11" w:name="_Toc15306268"/>
      <w:bookmarkEnd w:id="0"/>
      <w:r>
        <w:rPr>
          <w:rFonts w:ascii="方正小标宋简体" w:eastAsia="方正小标宋简体" w:hAnsi="宋体" w:hint="eastAsia"/>
          <w:color w:val="000000"/>
          <w:sz w:val="72"/>
          <w:szCs w:val="72"/>
        </w:rPr>
        <w:t>公共资源交易服务中心部门决算</w:t>
      </w:r>
      <w:bookmarkEnd w:id="6"/>
      <w:bookmarkEnd w:id="7"/>
      <w:bookmarkEnd w:id="8"/>
      <w:bookmarkEnd w:id="9"/>
      <w:bookmarkEnd w:id="10"/>
      <w:bookmarkEnd w:id="11"/>
    </w:p>
    <w:p w:rsidR="001C22D6" w:rsidRDefault="00184C5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C22D6" w:rsidRDefault="001C22D6">
      <w:pPr>
        <w:widowControl/>
        <w:jc w:val="center"/>
        <w:rPr>
          <w:rFonts w:ascii="黑体" w:eastAsia="黑体" w:hAnsi="黑体" w:cs="黑体"/>
          <w:sz w:val="28"/>
          <w:szCs w:val="28"/>
        </w:rPr>
      </w:pPr>
    </w:p>
    <w:p w:rsidR="001C22D6" w:rsidRPr="00F35EB4" w:rsidRDefault="00184C5A">
      <w:pPr>
        <w:pStyle w:val="10"/>
        <w:rPr>
          <w:rFonts w:ascii="宋体" w:eastAsia="宋体" w:hAnsi="宋体"/>
        </w:rPr>
      </w:pPr>
      <w:r w:rsidRPr="00F35EB4">
        <w:rPr>
          <w:rFonts w:ascii="宋体" w:eastAsia="宋体" w:hAnsi="宋体" w:hint="eastAsia"/>
        </w:rPr>
        <w:t>公开时间：2020年9月3日</w:t>
      </w:r>
    </w:p>
    <w:p w:rsidR="001C22D6" w:rsidRPr="00F35EB4" w:rsidRDefault="001C22D6">
      <w:pPr>
        <w:rPr>
          <w:rFonts w:ascii="宋体" w:hAnsi="宋体"/>
        </w:rPr>
      </w:pPr>
    </w:p>
    <w:p w:rsidR="001C22D6" w:rsidRPr="00F35EB4" w:rsidRDefault="00184C5A">
      <w:pPr>
        <w:pStyle w:val="10"/>
        <w:adjustRightInd w:val="0"/>
        <w:snapToGrid w:val="0"/>
        <w:spacing w:line="440" w:lineRule="exact"/>
        <w:jc w:val="left"/>
        <w:rPr>
          <w:rFonts w:ascii="宋体" w:eastAsia="宋体" w:hAnsi="宋体" w:cs="黑体"/>
          <w:sz w:val="24"/>
          <w:szCs w:val="24"/>
        </w:rPr>
      </w:pPr>
      <w:r w:rsidRPr="00F35EB4">
        <w:rPr>
          <w:rFonts w:ascii="宋体" w:eastAsia="宋体" w:hAnsi="宋体" w:hint="eastAsia"/>
          <w:sz w:val="24"/>
          <w:szCs w:val="24"/>
        </w:rPr>
        <w:t>第一部分部门概况</w:t>
      </w:r>
      <w:r w:rsidR="00941085">
        <w:rPr>
          <w:rFonts w:ascii="宋体" w:eastAsia="宋体" w:hAnsi="宋体"/>
          <w:sz w:val="24"/>
          <w:szCs w:val="24"/>
        </w:rPr>
        <w:t>………………………………………………………</w:t>
      </w:r>
      <w:r w:rsidRPr="00F35EB4">
        <w:rPr>
          <w:rFonts w:ascii="宋体" w:eastAsia="宋体" w:hAnsi="宋体" w:hint="eastAsia"/>
          <w:sz w:val="24"/>
          <w:szCs w:val="24"/>
        </w:rPr>
        <w:t>4</w:t>
      </w:r>
    </w:p>
    <w:p w:rsidR="001C22D6" w:rsidRPr="00F35EB4" w:rsidRDefault="00184C5A">
      <w:pPr>
        <w:pStyle w:val="20"/>
        <w:adjustRightInd w:val="0"/>
        <w:snapToGrid w:val="0"/>
        <w:spacing w:line="440" w:lineRule="exact"/>
        <w:jc w:val="left"/>
        <w:rPr>
          <w:rFonts w:ascii="宋体" w:hAnsi="宋体"/>
          <w:sz w:val="24"/>
        </w:rPr>
      </w:pPr>
      <w:r w:rsidRPr="00F35EB4">
        <w:rPr>
          <w:rFonts w:ascii="宋体" w:hAnsi="宋体" w:hint="eastAsia"/>
          <w:sz w:val="24"/>
        </w:rPr>
        <w:t>一、基本职能及主要工作</w:t>
      </w:r>
      <w:r w:rsidR="00941085">
        <w:rPr>
          <w:rFonts w:ascii="宋体" w:hAnsi="宋体"/>
          <w:sz w:val="24"/>
        </w:rPr>
        <w:t>…………………………………………</w:t>
      </w:r>
      <w:r w:rsidR="00941085">
        <w:rPr>
          <w:rFonts w:ascii="宋体" w:hAnsi="宋体" w:hint="eastAsia"/>
          <w:sz w:val="24"/>
        </w:rPr>
        <w:t>.</w:t>
      </w:r>
      <w:r w:rsidRPr="00F35EB4">
        <w:rPr>
          <w:rFonts w:ascii="宋体" w:hAnsi="宋体" w:hint="eastAsia"/>
          <w:sz w:val="24"/>
        </w:rPr>
        <w:t>4</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二、机构设置</w:t>
      </w:r>
      <w:r w:rsidR="00941085">
        <w:rPr>
          <w:rFonts w:ascii="宋体" w:hAnsi="宋体"/>
          <w:sz w:val="24"/>
        </w:rPr>
        <w:t>………………………………………………………</w:t>
      </w:r>
      <w:r w:rsidRPr="00F35EB4">
        <w:rPr>
          <w:rFonts w:ascii="宋体" w:hAnsi="宋体" w:hint="eastAsia"/>
          <w:sz w:val="24"/>
        </w:rPr>
        <w:t>.6</w:t>
      </w:r>
    </w:p>
    <w:p w:rsidR="001C22D6" w:rsidRPr="00F35EB4" w:rsidRDefault="00184C5A">
      <w:pPr>
        <w:pStyle w:val="10"/>
        <w:adjustRightInd w:val="0"/>
        <w:snapToGrid w:val="0"/>
        <w:spacing w:line="440" w:lineRule="exact"/>
        <w:jc w:val="left"/>
        <w:rPr>
          <w:rFonts w:ascii="宋体" w:eastAsia="宋体" w:hAnsi="宋体"/>
          <w:sz w:val="24"/>
          <w:szCs w:val="24"/>
        </w:rPr>
      </w:pPr>
      <w:r w:rsidRPr="00F35EB4">
        <w:rPr>
          <w:rFonts w:ascii="宋体" w:eastAsia="宋体" w:hAnsi="宋体" w:hint="eastAsia"/>
          <w:sz w:val="24"/>
          <w:szCs w:val="24"/>
        </w:rPr>
        <w:t>第二部分度部门决算情况说明</w:t>
      </w:r>
      <w:r w:rsidR="00AA369A" w:rsidRPr="00F35EB4">
        <w:rPr>
          <w:rFonts w:ascii="宋体" w:eastAsia="宋体" w:hAnsi="宋体"/>
          <w:sz w:val="24"/>
          <w:szCs w:val="24"/>
        </w:rPr>
        <w:t>…………………………………………</w:t>
      </w:r>
      <w:r w:rsidRPr="00F35EB4">
        <w:rPr>
          <w:rFonts w:ascii="宋体" w:eastAsia="宋体" w:hAnsi="宋体" w:hint="eastAsia"/>
          <w:sz w:val="24"/>
          <w:szCs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一、收入支出决算总体情况说明</w:t>
      </w:r>
      <w:r w:rsidR="00AA369A" w:rsidRPr="00F35EB4">
        <w:rPr>
          <w:rFonts w:ascii="宋体" w:hAnsi="宋体"/>
          <w:sz w:val="24"/>
        </w:rPr>
        <w:t>…………………………………</w:t>
      </w:r>
      <w:r w:rsidR="002F393F" w:rsidRPr="00F35EB4">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二、收入决算情况说明</w:t>
      </w:r>
      <w:r w:rsidR="00AA369A" w:rsidRPr="00F35EB4">
        <w:rPr>
          <w:rFonts w:ascii="宋体" w:hAnsi="宋体"/>
          <w:sz w:val="24"/>
        </w:rPr>
        <w:t>……………………………………………</w:t>
      </w:r>
      <w:r w:rsidR="002F393F" w:rsidRPr="00F35EB4">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三、支出决算情况说明</w:t>
      </w:r>
      <w:r w:rsidR="00AA369A" w:rsidRPr="00F35EB4">
        <w:rPr>
          <w:rFonts w:ascii="宋体" w:hAnsi="宋体"/>
          <w:sz w:val="24"/>
        </w:rPr>
        <w:t>……………………………………………</w:t>
      </w:r>
      <w:r w:rsidR="002F393F" w:rsidRPr="00F35EB4">
        <w:rPr>
          <w:rFonts w:ascii="宋体" w:hAnsi="宋体" w:hint="eastAsia"/>
          <w:sz w:val="24"/>
        </w:rPr>
        <w:t>9</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四、财政拨款收入支出决算总体情况说明</w:t>
      </w:r>
      <w:r w:rsidR="00AA369A" w:rsidRPr="00F35EB4">
        <w:rPr>
          <w:rFonts w:ascii="宋体" w:hAnsi="宋体"/>
          <w:sz w:val="24"/>
        </w:rPr>
        <w:t>………………………</w:t>
      </w:r>
      <w:r w:rsidR="00941085">
        <w:rPr>
          <w:rFonts w:ascii="宋体" w:hAnsi="宋体" w:hint="eastAsia"/>
          <w:sz w:val="24"/>
        </w:rPr>
        <w:t>9</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五、一般公共预算财政拨款支出决算情况说明</w:t>
      </w:r>
      <w:r w:rsidR="00AA369A" w:rsidRPr="00F35EB4">
        <w:rPr>
          <w:rFonts w:ascii="宋体" w:hAnsi="宋体"/>
          <w:sz w:val="24"/>
        </w:rPr>
        <w:t>………………</w:t>
      </w:r>
      <w:r w:rsidRPr="00F35EB4">
        <w:rPr>
          <w:rFonts w:ascii="宋体" w:hAnsi="宋体"/>
          <w:sz w:val="24"/>
        </w:rPr>
        <w:t>…</w:t>
      </w:r>
      <w:r w:rsidR="00941085">
        <w:rPr>
          <w:rFonts w:ascii="宋体" w:hAnsi="宋体" w:hint="eastAsia"/>
          <w:sz w:val="24"/>
        </w:rPr>
        <w:t>10</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六、一般公共预算财政拨款基本支出决算情况说明</w:t>
      </w:r>
      <w:r w:rsidR="00AA369A" w:rsidRPr="00F35EB4">
        <w:rPr>
          <w:rFonts w:ascii="宋体" w:hAnsi="宋体"/>
          <w:sz w:val="24"/>
        </w:rPr>
        <w:t>……………</w:t>
      </w:r>
      <w:r w:rsidR="002F393F" w:rsidRPr="00F35EB4">
        <w:rPr>
          <w:rFonts w:ascii="宋体" w:hAnsi="宋体" w:hint="eastAsia"/>
          <w:sz w:val="24"/>
        </w:rPr>
        <w:t>13</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七、</w:t>
      </w:r>
      <w:r w:rsidRPr="00F35EB4">
        <w:rPr>
          <w:rFonts w:ascii="宋体" w:hAnsi="宋体"/>
          <w:sz w:val="24"/>
        </w:rPr>
        <w:t>“</w:t>
      </w:r>
      <w:r w:rsidRPr="00F35EB4">
        <w:rPr>
          <w:rFonts w:ascii="宋体" w:hAnsi="宋体" w:hint="eastAsia"/>
          <w:sz w:val="24"/>
        </w:rPr>
        <w:t>三公”经费财政拨款支出决算情况说明</w:t>
      </w:r>
      <w:r w:rsidR="00AA369A" w:rsidRPr="00F35EB4">
        <w:rPr>
          <w:rFonts w:ascii="宋体" w:hAnsi="宋体"/>
          <w:sz w:val="24"/>
        </w:rPr>
        <w:t>…………………</w:t>
      </w:r>
      <w:r w:rsidR="00941085">
        <w:rPr>
          <w:rFonts w:ascii="宋体" w:hAnsi="宋体" w:hint="eastAsia"/>
          <w:sz w:val="24"/>
        </w:rPr>
        <w:t>13</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八、政府性基金预算支出决算情况说明</w:t>
      </w:r>
      <w:r w:rsidR="00AA369A" w:rsidRPr="00F35EB4">
        <w:rPr>
          <w:rFonts w:ascii="宋体" w:hAnsi="宋体"/>
          <w:sz w:val="24"/>
        </w:rPr>
        <w:t>…………………………</w:t>
      </w:r>
      <w:r w:rsidR="002F393F" w:rsidRPr="00F35EB4">
        <w:rPr>
          <w:rFonts w:ascii="宋体" w:hAnsi="宋体" w:hint="eastAsia"/>
          <w:sz w:val="24"/>
        </w:rPr>
        <w:t>15</w:t>
      </w:r>
    </w:p>
    <w:p w:rsidR="001C22D6" w:rsidRPr="00F35EB4" w:rsidRDefault="00184C5A">
      <w:pPr>
        <w:pStyle w:val="20"/>
        <w:adjustRightInd w:val="0"/>
        <w:snapToGrid w:val="0"/>
        <w:spacing w:line="440" w:lineRule="exact"/>
        <w:ind w:leftChars="0"/>
        <w:jc w:val="left"/>
        <w:rPr>
          <w:rFonts w:ascii="宋体" w:hAnsi="宋体"/>
          <w:sz w:val="24"/>
        </w:rPr>
      </w:pPr>
      <w:r w:rsidRPr="00F35EB4">
        <w:rPr>
          <w:rFonts w:ascii="宋体" w:hAnsi="宋体" w:hint="eastAsia"/>
          <w:sz w:val="24"/>
        </w:rPr>
        <w:t>九、</w:t>
      </w:r>
      <w:r w:rsidRPr="00F35EB4">
        <w:rPr>
          <w:rFonts w:ascii="宋体" w:hAnsi="宋体"/>
          <w:sz w:val="24"/>
        </w:rPr>
        <w:t xml:space="preserve"> 国</w:t>
      </w:r>
      <w:r w:rsidRPr="00F35EB4">
        <w:rPr>
          <w:rFonts w:ascii="宋体" w:hAnsi="宋体" w:hint="eastAsia"/>
          <w:sz w:val="24"/>
        </w:rPr>
        <w:t>有资本经营预算支出决算情况说明</w:t>
      </w:r>
      <w:r w:rsidR="00941085">
        <w:rPr>
          <w:rFonts w:ascii="宋体" w:hAnsi="宋体"/>
          <w:sz w:val="24"/>
        </w:rPr>
        <w:t>……………………</w:t>
      </w:r>
      <w:r w:rsidR="002F393F" w:rsidRPr="00F35EB4">
        <w:rPr>
          <w:rFonts w:ascii="宋体" w:hAnsi="宋体" w:hint="eastAsia"/>
          <w:sz w:val="24"/>
        </w:rPr>
        <w:t>15</w:t>
      </w:r>
    </w:p>
    <w:p w:rsidR="001C22D6" w:rsidRPr="00F35EB4" w:rsidRDefault="00184C5A">
      <w:pPr>
        <w:adjustRightInd w:val="0"/>
        <w:snapToGrid w:val="0"/>
        <w:spacing w:line="440" w:lineRule="exact"/>
        <w:ind w:firstLineChars="200" w:firstLine="480"/>
        <w:jc w:val="left"/>
        <w:rPr>
          <w:rFonts w:ascii="宋体" w:hAnsi="宋体" w:cs="黑体"/>
          <w:sz w:val="24"/>
        </w:rPr>
      </w:pPr>
      <w:r w:rsidRPr="00F35EB4">
        <w:rPr>
          <w:rStyle w:val="a8"/>
          <w:rFonts w:ascii="宋体" w:hAnsi="宋体" w:hint="eastAsia"/>
          <w:color w:val="000000"/>
          <w:sz w:val="24"/>
          <w:u w:val="none"/>
        </w:rPr>
        <w:t>十、</w:t>
      </w:r>
      <w:r w:rsidRPr="00F35EB4">
        <w:rPr>
          <w:rFonts w:ascii="宋体" w:hAnsi="宋体" w:hint="eastAsia"/>
          <w:sz w:val="24"/>
        </w:rPr>
        <w:t>其他重要事项的情况说明</w:t>
      </w:r>
      <w:r w:rsidRPr="00F35EB4">
        <w:rPr>
          <w:rFonts w:ascii="宋体" w:hAnsi="宋体"/>
          <w:sz w:val="24"/>
        </w:rPr>
        <w:tab/>
      </w:r>
      <w:r w:rsidR="00AA369A" w:rsidRPr="00F35EB4">
        <w:rPr>
          <w:rFonts w:ascii="宋体" w:hAnsi="宋体"/>
          <w:sz w:val="24"/>
        </w:rPr>
        <w:t>…………………………………</w:t>
      </w:r>
      <w:r w:rsidR="002F393F" w:rsidRPr="00F35EB4">
        <w:rPr>
          <w:rFonts w:ascii="宋体" w:hAnsi="宋体" w:hint="eastAsia"/>
          <w:sz w:val="24"/>
        </w:rPr>
        <w:t>15</w:t>
      </w:r>
    </w:p>
    <w:p w:rsidR="001C22D6" w:rsidRPr="00F35EB4" w:rsidRDefault="00184C5A">
      <w:pPr>
        <w:pStyle w:val="10"/>
        <w:adjustRightInd w:val="0"/>
        <w:snapToGrid w:val="0"/>
        <w:spacing w:line="440" w:lineRule="exact"/>
        <w:jc w:val="left"/>
        <w:rPr>
          <w:rFonts w:ascii="宋体" w:eastAsia="宋体" w:hAnsi="宋体" w:cs="黑体"/>
          <w:sz w:val="24"/>
          <w:szCs w:val="24"/>
        </w:rPr>
      </w:pPr>
      <w:r w:rsidRPr="00F35EB4">
        <w:rPr>
          <w:rFonts w:ascii="宋体" w:eastAsia="宋体" w:hAnsi="宋体" w:hint="eastAsia"/>
          <w:sz w:val="24"/>
          <w:szCs w:val="24"/>
        </w:rPr>
        <w:t>第三部分名词解释</w:t>
      </w:r>
      <w:r w:rsidR="00AA369A" w:rsidRPr="00F35EB4">
        <w:rPr>
          <w:rFonts w:ascii="宋体" w:eastAsia="宋体" w:hAnsi="宋体"/>
          <w:sz w:val="24"/>
          <w:szCs w:val="24"/>
        </w:rPr>
        <w:t>………………………………………………………</w:t>
      </w:r>
      <w:r w:rsidR="002F393F" w:rsidRPr="00F35EB4">
        <w:rPr>
          <w:rFonts w:ascii="宋体" w:eastAsia="宋体" w:hAnsi="宋体" w:hint="eastAsia"/>
          <w:sz w:val="24"/>
          <w:szCs w:val="24"/>
        </w:rPr>
        <w:t>19</w:t>
      </w:r>
    </w:p>
    <w:p w:rsidR="001C22D6" w:rsidRPr="00F35EB4" w:rsidRDefault="00184C5A">
      <w:pPr>
        <w:pStyle w:val="10"/>
        <w:adjustRightInd w:val="0"/>
        <w:snapToGrid w:val="0"/>
        <w:spacing w:line="440" w:lineRule="exact"/>
        <w:jc w:val="left"/>
        <w:rPr>
          <w:rFonts w:ascii="宋体" w:eastAsia="宋体" w:hAnsi="宋体" w:cs="黑体"/>
          <w:sz w:val="24"/>
          <w:szCs w:val="24"/>
        </w:rPr>
      </w:pPr>
      <w:r w:rsidRPr="00F35EB4">
        <w:rPr>
          <w:rFonts w:ascii="宋体" w:eastAsia="宋体" w:hAnsi="宋体" w:hint="eastAsia"/>
          <w:sz w:val="24"/>
          <w:szCs w:val="24"/>
        </w:rPr>
        <w:t>第四部分附件</w:t>
      </w:r>
      <w:r w:rsidR="00AA369A" w:rsidRPr="00F35EB4">
        <w:rPr>
          <w:rFonts w:ascii="宋体" w:eastAsia="宋体" w:hAnsi="宋体"/>
          <w:sz w:val="24"/>
          <w:szCs w:val="24"/>
        </w:rPr>
        <w:t>……………………………………………………………</w:t>
      </w:r>
      <w:r w:rsidR="002F393F" w:rsidRPr="00F35EB4">
        <w:rPr>
          <w:rFonts w:ascii="宋体" w:eastAsia="宋体" w:hAnsi="宋体" w:hint="eastAsia"/>
          <w:sz w:val="24"/>
          <w:szCs w:val="24"/>
        </w:rPr>
        <w:t>21</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附件</w:t>
      </w:r>
      <w:r w:rsidRPr="00F35EB4">
        <w:rPr>
          <w:rFonts w:ascii="宋体" w:hAnsi="宋体"/>
          <w:sz w:val="24"/>
        </w:rPr>
        <w:t>1………………………………………………………………</w:t>
      </w:r>
      <w:r w:rsidR="00941085">
        <w:rPr>
          <w:rFonts w:ascii="宋体" w:hAnsi="宋体" w:hint="eastAsia"/>
          <w:sz w:val="24"/>
        </w:rPr>
        <w:t>.</w:t>
      </w:r>
      <w:r w:rsidR="002F393F" w:rsidRPr="00F35EB4">
        <w:rPr>
          <w:rFonts w:ascii="宋体" w:hAnsi="宋体" w:hint="eastAsia"/>
          <w:sz w:val="24"/>
        </w:rPr>
        <w:t>21</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附件</w:t>
      </w:r>
      <w:r w:rsidRPr="00F35EB4">
        <w:rPr>
          <w:rFonts w:ascii="宋体" w:hAnsi="宋体"/>
          <w:sz w:val="24"/>
        </w:rPr>
        <w:t>2………………………………………………………………</w:t>
      </w:r>
      <w:r w:rsidR="00AF7994">
        <w:rPr>
          <w:rFonts w:ascii="宋体" w:hAnsi="宋体" w:hint="eastAsia"/>
          <w:sz w:val="24"/>
        </w:rPr>
        <w:t>24</w:t>
      </w:r>
    </w:p>
    <w:p w:rsidR="001C22D6" w:rsidRPr="00F35EB4" w:rsidRDefault="00184C5A">
      <w:pPr>
        <w:pStyle w:val="10"/>
        <w:adjustRightInd w:val="0"/>
        <w:snapToGrid w:val="0"/>
        <w:spacing w:line="440" w:lineRule="exact"/>
        <w:jc w:val="left"/>
        <w:rPr>
          <w:rFonts w:ascii="宋体" w:eastAsia="宋体" w:hAnsi="宋体" w:cs="黑体"/>
          <w:sz w:val="24"/>
          <w:szCs w:val="24"/>
        </w:rPr>
      </w:pPr>
      <w:r w:rsidRPr="00F35EB4">
        <w:rPr>
          <w:rFonts w:ascii="宋体" w:eastAsia="宋体" w:hAnsi="宋体" w:hint="eastAsia"/>
          <w:sz w:val="24"/>
          <w:szCs w:val="24"/>
        </w:rPr>
        <w:t>第五部分附表</w:t>
      </w:r>
      <w:r w:rsidRPr="00F35EB4">
        <w:rPr>
          <w:rFonts w:ascii="宋体" w:eastAsia="宋体" w:hAnsi="宋体"/>
          <w:sz w:val="24"/>
          <w:szCs w:val="24"/>
        </w:rPr>
        <w:t>……………………………………………………………</w:t>
      </w:r>
      <w:r w:rsidR="00AF7994">
        <w:rPr>
          <w:rFonts w:ascii="宋体" w:eastAsia="宋体" w:hAnsi="宋体" w:hint="eastAsia"/>
          <w:sz w:val="24"/>
          <w:szCs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一、收入支出决算总表</w:t>
      </w:r>
      <w:r w:rsidRPr="00F35EB4">
        <w:rPr>
          <w:rFonts w:ascii="宋体" w:hAnsi="宋体"/>
          <w:sz w:val="24"/>
        </w:rPr>
        <w:t>…………………………………………</w:t>
      </w:r>
      <w:r w:rsidR="00941085">
        <w:rPr>
          <w:rFonts w:ascii="宋体" w:hAnsi="宋体" w:hint="eastAsia"/>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二、收入决算表</w:t>
      </w:r>
      <w:r w:rsidRPr="00F35EB4">
        <w:rPr>
          <w:rFonts w:ascii="宋体" w:hAnsi="宋体"/>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三、支出决算表</w:t>
      </w:r>
      <w:r w:rsidRPr="00F35EB4">
        <w:rPr>
          <w:rFonts w:ascii="宋体" w:hAnsi="宋体"/>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四、财政拨款收入支出决算总表</w:t>
      </w:r>
      <w:r w:rsidRPr="00F35EB4">
        <w:rPr>
          <w:rFonts w:ascii="宋体" w:hAnsi="宋体"/>
          <w:sz w:val="24"/>
        </w:rPr>
        <w:t>………………………………</w:t>
      </w:r>
      <w:r w:rsidRPr="00F35EB4">
        <w:rPr>
          <w:rFonts w:ascii="宋体" w:hAnsi="宋体" w:hint="eastAsia"/>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sz w:val="24"/>
        </w:rPr>
      </w:pPr>
      <w:r w:rsidRPr="00F35EB4">
        <w:rPr>
          <w:rFonts w:ascii="宋体" w:hAnsi="宋体" w:hint="eastAsia"/>
          <w:sz w:val="24"/>
        </w:rPr>
        <w:t>五、财政拨款支出决算明细表</w:t>
      </w:r>
      <w:r w:rsidRPr="00F35EB4">
        <w:rPr>
          <w:rFonts w:ascii="宋体" w:hAnsi="宋体"/>
          <w:sz w:val="24"/>
        </w:rPr>
        <w:t>…………………………………</w:t>
      </w:r>
      <w:r w:rsidRPr="00F35EB4">
        <w:rPr>
          <w:rFonts w:ascii="宋体" w:hAnsi="宋体" w:hint="eastAsia"/>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六、一般公共预算财政拨款支出决算表</w:t>
      </w:r>
      <w:r w:rsidRPr="00F35EB4">
        <w:rPr>
          <w:rFonts w:ascii="宋体" w:hAnsi="宋体"/>
          <w:sz w:val="24"/>
        </w:rPr>
        <w:t>………………………</w:t>
      </w:r>
      <w:r w:rsidRPr="00F35EB4">
        <w:rPr>
          <w:rFonts w:ascii="宋体" w:hAnsi="宋体" w:hint="eastAsia"/>
          <w:sz w:val="24"/>
        </w:rPr>
        <w:t>..</w:t>
      </w:r>
      <w:r w:rsidR="002F393F" w:rsidRPr="00F35EB4">
        <w:rPr>
          <w:rFonts w:ascii="宋体" w:hAnsi="宋体" w:hint="eastAsia"/>
          <w:sz w:val="24"/>
        </w:rPr>
        <w:t>2</w:t>
      </w:r>
      <w:r w:rsidR="00650E41">
        <w:rPr>
          <w:rFonts w:ascii="宋体" w:hAnsi="宋体" w:hint="eastAsia"/>
          <w:sz w:val="24"/>
        </w:rPr>
        <w:t>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lastRenderedPageBreak/>
        <w:t>七、一般公共预算财政拨款支出决算明细表</w:t>
      </w:r>
      <w:r w:rsidRPr="00F35EB4">
        <w:rPr>
          <w:rFonts w:ascii="宋体" w:hAnsi="宋体"/>
          <w:sz w:val="24"/>
        </w:rPr>
        <w:t>…………………</w:t>
      </w:r>
      <w:r w:rsidR="00941085">
        <w:rPr>
          <w:rFonts w:ascii="宋体" w:hAnsi="宋体" w:hint="eastAsia"/>
          <w:sz w:val="24"/>
        </w:rPr>
        <w:t>.</w:t>
      </w:r>
      <w:r w:rsidR="00650E41">
        <w:rPr>
          <w:rFonts w:ascii="宋体" w:hAnsi="宋体" w:hint="eastAsia"/>
          <w:sz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八、一般公共预算财政拨款基本支出决算表</w:t>
      </w:r>
      <w:r w:rsidRPr="00F35EB4">
        <w:rPr>
          <w:rFonts w:ascii="宋体" w:hAnsi="宋体"/>
          <w:sz w:val="24"/>
        </w:rPr>
        <w:t>…………………</w:t>
      </w:r>
      <w:r w:rsidRPr="00F35EB4">
        <w:rPr>
          <w:rFonts w:ascii="宋体" w:hAnsi="宋体" w:hint="eastAsia"/>
          <w:sz w:val="24"/>
        </w:rPr>
        <w:t>.</w:t>
      </w:r>
      <w:r w:rsidR="00650E41">
        <w:rPr>
          <w:rFonts w:ascii="宋体" w:hAnsi="宋体" w:hint="eastAsia"/>
          <w:sz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九、一般公共预算财政拨款项目支出决算表</w:t>
      </w:r>
      <w:r w:rsidR="00941085">
        <w:rPr>
          <w:rFonts w:ascii="宋体" w:hAnsi="宋体"/>
          <w:sz w:val="24"/>
        </w:rPr>
        <w:t>…………………</w:t>
      </w:r>
      <w:r w:rsidR="00650E41">
        <w:rPr>
          <w:rFonts w:ascii="宋体" w:hAnsi="宋体" w:hint="eastAsia"/>
          <w:sz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十、一般公共预算财政拨款“三公”经费支出决算表</w:t>
      </w:r>
      <w:r w:rsidRPr="00F35EB4">
        <w:rPr>
          <w:rFonts w:ascii="宋体" w:hAnsi="宋体"/>
          <w:sz w:val="24"/>
        </w:rPr>
        <w:t>…………</w:t>
      </w:r>
      <w:r w:rsidR="00650E41">
        <w:rPr>
          <w:rFonts w:ascii="宋体" w:hAnsi="宋体" w:hint="eastAsia"/>
          <w:sz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十一、政府性基金预算财政拨款收入支出决算表</w:t>
      </w:r>
      <w:r w:rsidRPr="00F35EB4">
        <w:rPr>
          <w:rFonts w:ascii="宋体" w:hAnsi="宋体"/>
          <w:sz w:val="24"/>
        </w:rPr>
        <w:t>………………</w:t>
      </w:r>
      <w:r w:rsidR="00650E41">
        <w:rPr>
          <w:rFonts w:ascii="宋体" w:hAnsi="宋体" w:hint="eastAsia"/>
          <w:sz w:val="24"/>
        </w:rPr>
        <w:t>27</w:t>
      </w:r>
    </w:p>
    <w:p w:rsidR="001C22D6" w:rsidRPr="00F35EB4" w:rsidRDefault="00184C5A">
      <w:pPr>
        <w:pStyle w:val="20"/>
        <w:adjustRightInd w:val="0"/>
        <w:snapToGrid w:val="0"/>
        <w:spacing w:line="440" w:lineRule="exact"/>
        <w:jc w:val="left"/>
        <w:rPr>
          <w:rFonts w:ascii="宋体" w:hAnsi="宋体" w:cs="黑体"/>
          <w:sz w:val="24"/>
        </w:rPr>
      </w:pPr>
      <w:r w:rsidRPr="00F35EB4">
        <w:rPr>
          <w:rFonts w:ascii="宋体" w:hAnsi="宋体" w:hint="eastAsia"/>
          <w:sz w:val="24"/>
        </w:rPr>
        <w:t>十二、政府性基金预算财政拨款“三公”经费支出决算表</w:t>
      </w:r>
      <w:r w:rsidRPr="00F35EB4">
        <w:rPr>
          <w:rFonts w:ascii="宋体" w:hAnsi="宋体"/>
          <w:sz w:val="24"/>
        </w:rPr>
        <w:t>……</w:t>
      </w:r>
      <w:r w:rsidR="00650E41">
        <w:rPr>
          <w:rFonts w:ascii="宋体" w:hAnsi="宋体" w:hint="eastAsia"/>
          <w:sz w:val="24"/>
        </w:rPr>
        <w:t>27</w:t>
      </w:r>
    </w:p>
    <w:p w:rsidR="001C22D6" w:rsidRPr="00F35EB4" w:rsidRDefault="00184C5A" w:rsidP="00184C5A">
      <w:pPr>
        <w:pStyle w:val="20"/>
        <w:adjustRightInd w:val="0"/>
        <w:snapToGrid w:val="0"/>
        <w:spacing w:line="440" w:lineRule="exact"/>
        <w:jc w:val="left"/>
        <w:rPr>
          <w:rFonts w:ascii="宋体" w:hAnsi="宋体" w:cs="黑体"/>
          <w:sz w:val="24"/>
        </w:rPr>
      </w:pPr>
      <w:r w:rsidRPr="00F35EB4">
        <w:rPr>
          <w:rFonts w:ascii="宋体" w:hAnsi="宋体" w:hint="eastAsia"/>
          <w:sz w:val="24"/>
        </w:rPr>
        <w:t>十三、国有资本经营预算支出决算表</w:t>
      </w:r>
      <w:r w:rsidRPr="00F35EB4">
        <w:rPr>
          <w:rFonts w:ascii="宋体" w:hAnsi="宋体"/>
          <w:sz w:val="24"/>
        </w:rPr>
        <w:t>……………………………</w:t>
      </w:r>
      <w:r w:rsidR="00650E41">
        <w:rPr>
          <w:rFonts w:ascii="宋体" w:hAnsi="宋体" w:hint="eastAsia"/>
          <w:sz w:val="24"/>
        </w:rPr>
        <w:t>27</w:t>
      </w:r>
    </w:p>
    <w:p w:rsidR="001C22D6" w:rsidRPr="00F35EB4" w:rsidRDefault="00184C5A">
      <w:pPr>
        <w:widowControl/>
        <w:spacing w:line="440" w:lineRule="exact"/>
        <w:jc w:val="left"/>
        <w:rPr>
          <w:rFonts w:ascii="宋体" w:hAnsi="宋体"/>
          <w:bCs/>
          <w:kern w:val="44"/>
          <w:sz w:val="24"/>
        </w:rPr>
      </w:pPr>
      <w:bookmarkStart w:id="12" w:name="_Toc15377196"/>
      <w:bookmarkStart w:id="13" w:name="_Toc15396599"/>
      <w:r w:rsidRPr="00F35EB4">
        <w:rPr>
          <w:rFonts w:ascii="宋体" w:hAnsi="宋体"/>
          <w:b/>
          <w:sz w:val="24"/>
        </w:rPr>
        <w:br w:type="page"/>
      </w:r>
    </w:p>
    <w:p w:rsidR="001C22D6" w:rsidRDefault="00184C5A">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1C22D6" w:rsidRDefault="001C22D6">
      <w:pPr>
        <w:widowControl/>
        <w:jc w:val="left"/>
        <w:rPr>
          <w:rFonts w:ascii="黑体" w:eastAsia="黑体"/>
          <w:color w:val="000000"/>
          <w:sz w:val="32"/>
          <w:szCs w:val="32"/>
        </w:rPr>
      </w:pPr>
    </w:p>
    <w:p w:rsidR="001C22D6" w:rsidRDefault="00184C5A">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C22D6" w:rsidRPr="00F35EB4" w:rsidRDefault="00184C5A" w:rsidP="00AA369A">
      <w:pPr>
        <w:pStyle w:val="a3"/>
        <w:adjustRightInd w:val="0"/>
        <w:snapToGrid w:val="0"/>
        <w:spacing w:before="93" w:line="600" w:lineRule="exact"/>
        <w:ind w:firstLineChars="210" w:firstLine="588"/>
        <w:outlineLvl w:val="2"/>
        <w:rPr>
          <w:rFonts w:ascii="仿宋" w:eastAsia="仿宋" w:hAnsi="仿宋"/>
          <w:color w:val="000000"/>
          <w:kern w:val="2"/>
          <w:sz w:val="32"/>
          <w:szCs w:val="32"/>
        </w:rPr>
      </w:pPr>
      <w:bookmarkStart w:id="16" w:name="_Toc15378445"/>
      <w:bookmarkStart w:id="17" w:name="_Toc15377198"/>
      <w:r>
        <w:rPr>
          <w:rFonts w:ascii="仿宋" w:eastAsia="仿宋" w:hAnsi="仿宋" w:hint="eastAsia"/>
          <w:bCs/>
          <w:color w:val="000000"/>
          <w:sz w:val="28"/>
          <w:szCs w:val="32"/>
        </w:rPr>
        <w:t>（</w:t>
      </w:r>
      <w:r w:rsidRPr="00F35EB4">
        <w:rPr>
          <w:rFonts w:ascii="仿宋" w:eastAsia="仿宋" w:hAnsi="仿宋" w:hint="eastAsia"/>
          <w:color w:val="000000"/>
          <w:kern w:val="2"/>
          <w:sz w:val="32"/>
          <w:szCs w:val="32"/>
        </w:rPr>
        <w:t>一）主要职能。</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1、贯彻实施公共资源交易服务相关法律、法规和政策，为公共资源交易活动提供场所、设施和服务。</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2、制定公共资源交易现场管理规章制度、工作流程并组织实施，指导全区公共资源交易活动现场和管理工作。</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3、承担全区工程建设招投标现场服务和管理工作，负责政府采购活动现场服务和管理工作，负责国有产权、特许经营权出（转）让等现场服务和管理工作，负责国有土地、矿业权出（转）让提供交易服务。</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4、承担区公共资源交易中心信息技术平台建设和管理；按照有关规定发布场内交易信息，为交易各方提供交易资讯、鉴证等服务。</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5、查验进场交易项目相关手续和参与交易活动各方主体资格。</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6、建立公共资源交易从业者场内信誉评价制度，协助有关部门建立公共资源交易信用评价体系。</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7、负责项目交易现场监督管理工作，记录、制止和纠</w:t>
      </w:r>
      <w:r w:rsidRPr="00F35EB4">
        <w:rPr>
          <w:rFonts w:ascii="仿宋" w:eastAsia="仿宋" w:hAnsi="仿宋" w:hint="eastAsia"/>
          <w:color w:val="000000"/>
          <w:kern w:val="2"/>
          <w:sz w:val="32"/>
          <w:szCs w:val="32"/>
        </w:rPr>
        <w:lastRenderedPageBreak/>
        <w:t>正违反交易现场管理制度的行为，接受有关咨询、投诉，并按职责分工及时处理。</w:t>
      </w:r>
    </w:p>
    <w:p w:rsidR="001C22D6" w:rsidRPr="00F35EB4" w:rsidRDefault="00184C5A" w:rsidP="00AA369A">
      <w:pPr>
        <w:pStyle w:val="a3"/>
        <w:adjustRightInd w:val="0"/>
        <w:snapToGrid w:val="0"/>
        <w:spacing w:before="93" w:line="600" w:lineRule="exact"/>
        <w:ind w:firstLineChars="210" w:firstLine="672"/>
        <w:outlineLvl w:val="2"/>
        <w:rPr>
          <w:rFonts w:ascii="仿宋" w:eastAsia="仿宋" w:hAnsi="仿宋"/>
          <w:color w:val="000000"/>
          <w:kern w:val="2"/>
          <w:sz w:val="32"/>
          <w:szCs w:val="32"/>
        </w:rPr>
      </w:pPr>
      <w:r w:rsidRPr="00F35EB4">
        <w:rPr>
          <w:rFonts w:ascii="仿宋" w:eastAsia="仿宋" w:hAnsi="仿宋" w:hint="eastAsia"/>
          <w:color w:val="000000"/>
          <w:kern w:val="2"/>
          <w:sz w:val="32"/>
          <w:szCs w:val="32"/>
        </w:rPr>
        <w:t>8、承办区政府交办的其他事项。</w:t>
      </w:r>
    </w:p>
    <w:p w:rsidR="001C22D6" w:rsidRDefault="00184C5A" w:rsidP="00AA369A">
      <w:pPr>
        <w:pStyle w:val="a3"/>
        <w:adjustRightInd w:val="0"/>
        <w:snapToGrid w:val="0"/>
        <w:spacing w:before="93" w:line="600" w:lineRule="exact"/>
        <w:ind w:firstLineChars="210" w:firstLine="588"/>
        <w:outlineLvl w:val="2"/>
        <w:rPr>
          <w:rFonts w:ascii="仿宋" w:eastAsia="仿宋" w:hAnsi="仿宋"/>
          <w:bCs/>
          <w:color w:val="000000"/>
          <w:sz w:val="32"/>
          <w:szCs w:val="32"/>
        </w:rPr>
      </w:pPr>
      <w:r>
        <w:rPr>
          <w:rFonts w:ascii="仿宋" w:eastAsia="仿宋" w:hAnsi="仿宋" w:hint="eastAsia"/>
          <w:bCs/>
          <w:color w:val="000000"/>
          <w:sz w:val="28"/>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p>
    <w:p w:rsidR="001C22D6" w:rsidRPr="00F35EB4" w:rsidRDefault="00184C5A">
      <w:pPr>
        <w:spacing w:line="576" w:lineRule="exact"/>
        <w:ind w:firstLineChars="200" w:firstLine="640"/>
        <w:rPr>
          <w:rFonts w:ascii="仿宋" w:eastAsia="仿宋" w:hAnsi="仿宋"/>
          <w:color w:val="000000"/>
          <w:sz w:val="32"/>
          <w:szCs w:val="32"/>
        </w:rPr>
      </w:pPr>
      <w:r>
        <w:rPr>
          <w:rFonts w:ascii="方正仿宋简体" w:eastAsia="方正仿宋简体" w:hAnsi="方正仿宋简体" w:cs="仿宋_GB2312" w:hint="eastAsia"/>
          <w:kern w:val="0"/>
          <w:sz w:val="32"/>
          <w:szCs w:val="32"/>
        </w:rPr>
        <w:t>2</w:t>
      </w:r>
      <w:r w:rsidRPr="00F35EB4">
        <w:rPr>
          <w:rFonts w:ascii="仿宋" w:eastAsia="仿宋" w:hAnsi="仿宋" w:hint="eastAsia"/>
          <w:color w:val="000000"/>
          <w:sz w:val="32"/>
          <w:szCs w:val="32"/>
        </w:rPr>
        <w:t>019年，在区委、区政府的坚强领导下，区公共资源交易中心以“公开透明、公平竞争、公正诚信、廉洁高效”为原则，认真履职，扎实工作，优质高效地完成各项招投标工作，整体推进公共资源交易服务工作。</w:t>
      </w:r>
    </w:p>
    <w:p w:rsidR="001C22D6" w:rsidRDefault="00184C5A">
      <w:pPr>
        <w:spacing w:line="576" w:lineRule="exact"/>
        <w:rPr>
          <w:rFonts w:ascii="方正仿宋简体" w:eastAsia="方正仿宋简体" w:hAnsi="方正仿宋简体" w:cs="仿宋_GB2312"/>
          <w:kern w:val="0"/>
          <w:sz w:val="32"/>
          <w:szCs w:val="32"/>
        </w:rPr>
      </w:pPr>
      <w:r>
        <w:rPr>
          <w:rFonts w:ascii="楷体_GB2312" w:eastAsia="楷体_GB2312" w:hAnsi="楷体_GB2312" w:cs="楷体_GB2312" w:hint="eastAsia"/>
          <w:b/>
          <w:kern w:val="0"/>
          <w:sz w:val="32"/>
          <w:szCs w:val="32"/>
        </w:rPr>
        <w:t xml:space="preserve">    （一）公共资源交易有序进行</w:t>
      </w:r>
      <w:r>
        <w:rPr>
          <w:rFonts w:ascii="仿宋_GB2312" w:eastAsia="仿宋_GB2312" w:hAnsi="仿宋_GB2312" w:cs="仿宋_GB2312" w:hint="eastAsia"/>
          <w:kern w:val="0"/>
          <w:sz w:val="32"/>
          <w:szCs w:val="32"/>
        </w:rPr>
        <w:t>。</w:t>
      </w:r>
      <w:r>
        <w:rPr>
          <w:rFonts w:ascii="方正仿宋简体" w:eastAsia="方正仿宋简体" w:hAnsi="方正仿宋简体" w:cs="仿宋_GB2312" w:hint="eastAsia"/>
          <w:kern w:val="0"/>
          <w:sz w:val="32"/>
          <w:szCs w:val="32"/>
        </w:rPr>
        <w:t>今</w:t>
      </w:r>
      <w:r w:rsidRPr="00F35EB4">
        <w:rPr>
          <w:rFonts w:ascii="仿宋" w:eastAsia="仿宋" w:hAnsi="仿宋" w:hint="eastAsia"/>
          <w:color w:val="000000"/>
          <w:sz w:val="32"/>
          <w:szCs w:val="32"/>
        </w:rPr>
        <w:t>年，中心继续实行流程化、分段式交易管理模式，加强与省、市信息平台对接，推行大数据全程监控，加大交易信息公开力度。截止目前，中心共受理项目76宗，受理金额：70852.49万元，成交金额23660.28万元.其中政府采购项目29宗，受理金额5389万元，成交2877.79万元，节约资金126.21万元，节资率2.3%， 政府投资固定价比选项目16宗，发包价合计：1888.49万元，中标金额1888.49万元；国有土地出让（拍卖）类17宗，成交金额18894万元（7宗流拍，金额：44900万元）</w:t>
      </w:r>
      <w:r>
        <w:rPr>
          <w:rFonts w:ascii="方正仿宋简体" w:eastAsia="方正仿宋简体" w:hAnsi="方正仿宋简体" w:cs="仿宋_GB2312" w:hint="eastAsia"/>
          <w:kern w:val="0"/>
          <w:sz w:val="32"/>
          <w:szCs w:val="32"/>
        </w:rPr>
        <w:t>。</w:t>
      </w:r>
    </w:p>
    <w:p w:rsidR="001C22D6" w:rsidRPr="00F35EB4" w:rsidRDefault="00184C5A">
      <w:pPr>
        <w:spacing w:line="576" w:lineRule="exact"/>
        <w:ind w:firstLineChars="200" w:firstLine="643"/>
        <w:rPr>
          <w:rFonts w:ascii="仿宋" w:eastAsia="仿宋" w:hAnsi="仿宋"/>
          <w:color w:val="000000"/>
          <w:sz w:val="32"/>
          <w:szCs w:val="32"/>
        </w:rPr>
      </w:pP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sz w:val="32"/>
          <w:szCs w:val="32"/>
        </w:rPr>
        <w:t>农权流转平台持续推进。</w:t>
      </w:r>
      <w:r>
        <w:rPr>
          <w:rFonts w:ascii="方正仿宋简体" w:eastAsia="方正仿宋简体" w:hAnsi="方正仿宋简体" w:cs="仿宋_GB2312" w:hint="eastAsia"/>
          <w:kern w:val="0"/>
          <w:sz w:val="32"/>
          <w:szCs w:val="32"/>
        </w:rPr>
        <w:t>通</w:t>
      </w:r>
      <w:r w:rsidRPr="00F35EB4">
        <w:rPr>
          <w:rFonts w:ascii="仿宋" w:eastAsia="仿宋" w:hAnsi="仿宋" w:hint="eastAsia"/>
          <w:color w:val="000000"/>
          <w:sz w:val="32"/>
          <w:szCs w:val="32"/>
        </w:rPr>
        <w:t>过前期的调查、摸底及会商，确立了乡（镇）、村（社区）农村产权交易流转交易的组织、管理机构及交易服务人员；制定了农村产权流转交易管理办法交易规则等交易管理制度；明确了进场交易项目；制定了《广元市利州区农村产权交易平台建设实施方案》，明确了农村产权交易平台建设建设内容和建设标准；按照实</w:t>
      </w:r>
      <w:r w:rsidRPr="00F35EB4">
        <w:rPr>
          <w:rFonts w:ascii="仿宋" w:eastAsia="仿宋" w:hAnsi="仿宋" w:hint="eastAsia"/>
          <w:color w:val="000000"/>
          <w:sz w:val="32"/>
          <w:szCs w:val="32"/>
        </w:rPr>
        <w:lastRenderedPageBreak/>
        <w:t>施方案，已完成门头招牌和标识标牌制作、悬挂，硬件设施设备建设已完成采购，12月底前全面完成建设，今年内实现实质性交易。</w:t>
      </w:r>
    </w:p>
    <w:p w:rsidR="001C22D6" w:rsidRPr="00F35EB4" w:rsidRDefault="00184C5A">
      <w:pPr>
        <w:spacing w:line="576" w:lineRule="exact"/>
        <w:rPr>
          <w:rFonts w:ascii="仿宋" w:eastAsia="仿宋" w:hAnsi="仿宋"/>
          <w:color w:val="000000"/>
          <w:sz w:val="32"/>
          <w:szCs w:val="32"/>
        </w:rPr>
      </w:pPr>
      <w:r>
        <w:rPr>
          <w:rFonts w:ascii="楷体_GB2312" w:eastAsia="楷体_GB2312" w:hAnsi="楷体_GB2312" w:cs="楷体_GB2312" w:hint="eastAsia"/>
          <w:b/>
          <w:kern w:val="0"/>
          <w:sz w:val="32"/>
          <w:szCs w:val="32"/>
        </w:rPr>
        <w:t>三、脱贫帮扶工作扎实开展。</w:t>
      </w:r>
      <w:r>
        <w:rPr>
          <w:rFonts w:ascii="方正仿宋简体" w:eastAsia="方正仿宋简体" w:hAnsi="方正仿宋简体" w:cs="仿宋_GB2312" w:hint="eastAsia"/>
          <w:kern w:val="0"/>
          <w:sz w:val="32"/>
          <w:szCs w:val="32"/>
        </w:rPr>
        <w:t>从</w:t>
      </w:r>
      <w:r w:rsidRPr="00F35EB4">
        <w:rPr>
          <w:rFonts w:ascii="仿宋" w:eastAsia="仿宋" w:hAnsi="仿宋" w:hint="eastAsia"/>
          <w:color w:val="000000"/>
          <w:sz w:val="32"/>
          <w:szCs w:val="32"/>
        </w:rPr>
        <w:t>严落实结对帮扶部门责任，年初制定年度帮扶工作要点和脱贫奔康实施方案，帮扶干部与贫困户制定“一户一策”帮扶工作计划。严肃帮扶纪律，第一书记、驻村工作队和帮扶干部按照每月入户要求，扎实开展“扶贫帮扶周”“三同”等活动，认真做好阻击返贫、“大排查、大调研、大提升”行动和“两不愁三保障”回头看大排查工作，及时发现扶贫领域中的问题，建立问题整改台账，确保一户不返贫。</w:t>
      </w:r>
    </w:p>
    <w:p w:rsidR="001C22D6" w:rsidRDefault="00184C5A">
      <w:pPr>
        <w:pStyle w:val="2"/>
        <w:rPr>
          <w:rStyle w:val="2Char"/>
        </w:rPr>
      </w:pPr>
      <w:bookmarkStart w:id="18" w:name="_Toc15377200"/>
      <w:bookmarkStart w:id="19" w:name="_Toc15396601"/>
      <w:bookmarkEnd w:id="16"/>
      <w:bookmarkEnd w:id="17"/>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8"/>
      <w:bookmarkEnd w:id="19"/>
    </w:p>
    <w:p w:rsidR="001C22D6" w:rsidRPr="00F35EB4" w:rsidRDefault="00184C5A">
      <w:pPr>
        <w:ind w:firstLineChars="250" w:firstLine="800"/>
        <w:rPr>
          <w:rFonts w:ascii="仿宋" w:eastAsia="仿宋" w:hAnsi="仿宋"/>
          <w:color w:val="000000"/>
          <w:sz w:val="32"/>
          <w:szCs w:val="32"/>
        </w:rPr>
      </w:pPr>
      <w:r>
        <w:rPr>
          <w:rFonts w:ascii="仿宋" w:eastAsia="仿宋" w:hAnsi="仿宋" w:hint="eastAsia"/>
          <w:sz w:val="32"/>
          <w:szCs w:val="32"/>
        </w:rPr>
        <w:t>区</w:t>
      </w:r>
      <w:r w:rsidRPr="00F35EB4">
        <w:rPr>
          <w:rFonts w:ascii="仿宋" w:eastAsia="仿宋" w:hAnsi="仿宋" w:hint="eastAsia"/>
          <w:color w:val="000000"/>
          <w:sz w:val="32"/>
          <w:szCs w:val="32"/>
        </w:rPr>
        <w:t>公共资源交易服务中心下属二级单位0个，其中行政单位0个，参照公务员法管理的事业单位0个，其他事业单位0个。</w:t>
      </w:r>
    </w:p>
    <w:p w:rsidR="001C22D6" w:rsidRPr="00F35EB4" w:rsidRDefault="00184C5A">
      <w:pPr>
        <w:pStyle w:val="a3"/>
        <w:adjustRightInd w:val="0"/>
        <w:snapToGrid w:val="0"/>
        <w:spacing w:beforeLines="0" w:line="600" w:lineRule="exact"/>
        <w:ind w:firstLineChars="210" w:firstLine="672"/>
        <w:rPr>
          <w:rFonts w:ascii="仿宋" w:eastAsia="仿宋" w:hAnsi="仿宋"/>
          <w:color w:val="000000"/>
          <w:kern w:val="2"/>
          <w:sz w:val="32"/>
          <w:szCs w:val="32"/>
        </w:rPr>
      </w:pPr>
      <w:r w:rsidRPr="00F35EB4">
        <w:rPr>
          <w:rFonts w:ascii="仿宋" w:eastAsia="仿宋" w:hAnsi="仿宋" w:hint="eastAsia"/>
          <w:color w:val="000000"/>
          <w:kern w:val="2"/>
          <w:sz w:val="32"/>
          <w:szCs w:val="32"/>
        </w:rPr>
        <w:t>纳入区公共资源交易服务中心2019年度部门决算编制范围的二级预算单位包括：（无）</w:t>
      </w:r>
    </w:p>
    <w:p w:rsidR="001C22D6" w:rsidRPr="00F35EB4" w:rsidRDefault="00184C5A">
      <w:pPr>
        <w:widowControl/>
        <w:jc w:val="left"/>
        <w:rPr>
          <w:rFonts w:ascii="仿宋" w:eastAsia="仿宋" w:hAnsi="仿宋"/>
          <w:color w:val="000000"/>
          <w:sz w:val="32"/>
          <w:szCs w:val="32"/>
        </w:rPr>
      </w:pPr>
      <w:r>
        <w:rPr>
          <w:rFonts w:ascii="仿宋" w:eastAsia="仿宋" w:hAnsi="仿宋"/>
          <w:color w:val="000000"/>
          <w:sz w:val="32"/>
          <w:szCs w:val="32"/>
        </w:rPr>
        <w:br w:type="page"/>
      </w:r>
    </w:p>
    <w:p w:rsidR="001C22D6" w:rsidRDefault="00184C5A">
      <w:pPr>
        <w:pStyle w:val="1"/>
        <w:ind w:right="440"/>
        <w:jc w:val="right"/>
        <w:rPr>
          <w:rStyle w:val="1Char"/>
          <w:rFonts w:ascii="黑体" w:eastAsia="黑体" w:hAnsi="黑体"/>
        </w:rPr>
      </w:pPr>
      <w:bookmarkStart w:id="20" w:name="_Toc15377204"/>
      <w:bookmarkStart w:id="21" w:name="_Toc15396602"/>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20"/>
      <w:bookmarkEnd w:id="21"/>
    </w:p>
    <w:p w:rsidR="001C22D6" w:rsidRDefault="001C22D6"/>
    <w:p w:rsidR="001C22D6" w:rsidRDefault="00184C5A">
      <w:pPr>
        <w:pStyle w:val="a9"/>
        <w:numPr>
          <w:ilvl w:val="0"/>
          <w:numId w:val="1"/>
        </w:numPr>
        <w:spacing w:line="600" w:lineRule="exact"/>
        <w:ind w:firstLineChars="0"/>
        <w:outlineLvl w:val="1"/>
        <w:rPr>
          <w:rStyle w:val="2Char"/>
          <w:rFonts w:ascii="黑体" w:eastAsia="黑体" w:hAnsi="黑体"/>
          <w:b w:val="0"/>
        </w:rPr>
      </w:pPr>
      <w:bookmarkStart w:id="22" w:name="_Toc15396603"/>
      <w:bookmarkStart w:id="23"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1C22D6" w:rsidRDefault="00184C5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2019年度收入总计113.48万元。与2018年收入102.77万元相比，收入总计增加10.71万元，增长10.42</w:t>
      </w:r>
      <w:r>
        <w:rPr>
          <w:rFonts w:ascii="仿宋" w:eastAsia="仿宋" w:hAnsi="仿宋"/>
          <w:color w:val="000000"/>
          <w:sz w:val="32"/>
          <w:szCs w:val="32"/>
        </w:rPr>
        <w:t>%</w:t>
      </w:r>
      <w:r>
        <w:rPr>
          <w:rFonts w:ascii="仿宋" w:eastAsia="仿宋" w:hAnsi="仿宋" w:hint="eastAsia"/>
          <w:color w:val="000000"/>
          <w:sz w:val="32"/>
          <w:szCs w:val="32"/>
        </w:rPr>
        <w:t>。2019年支出总计118.05万元。与2018年支出105.79万元相比，支出增加12.26万元，增长11.59</w:t>
      </w:r>
      <w:r>
        <w:rPr>
          <w:rFonts w:ascii="仿宋" w:eastAsia="仿宋" w:hAnsi="仿宋"/>
          <w:color w:val="000000"/>
          <w:sz w:val="32"/>
          <w:szCs w:val="32"/>
        </w:rPr>
        <w:t>%</w:t>
      </w:r>
      <w:r>
        <w:rPr>
          <w:rFonts w:ascii="仿宋" w:eastAsia="仿宋" w:hAnsi="仿宋" w:hint="eastAsia"/>
          <w:color w:val="000000"/>
          <w:sz w:val="32"/>
          <w:szCs w:val="32"/>
        </w:rPr>
        <w:t>。主要变动原因是人员及项目经费增加。</w:t>
      </w:r>
    </w:p>
    <w:p w:rsidR="001C22D6" w:rsidRDefault="00184C5A">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8240" behindDoc="0" locked="0" layoutInCell="1" allowOverlap="1">
            <wp:simplePos x="0" y="0"/>
            <wp:positionH relativeFrom="column">
              <wp:posOffset>144145</wp:posOffset>
            </wp:positionH>
            <wp:positionV relativeFrom="paragraph">
              <wp:posOffset>118745</wp:posOffset>
            </wp:positionV>
            <wp:extent cx="5080000" cy="3810000"/>
            <wp:effectExtent l="4445" t="4445" r="209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C22D6" w:rsidRDefault="00184C5A">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1C22D6" w:rsidRDefault="001C22D6">
      <w:pPr>
        <w:spacing w:line="600" w:lineRule="exact"/>
        <w:ind w:firstLineChars="200" w:firstLine="640"/>
        <w:jc w:val="left"/>
        <w:rPr>
          <w:rFonts w:ascii="仿宋_GB2312" w:eastAsia="仿宋_GB2312"/>
          <w:color w:val="000000"/>
          <w:sz w:val="32"/>
          <w:szCs w:val="32"/>
        </w:rPr>
      </w:pPr>
    </w:p>
    <w:p w:rsidR="001C22D6" w:rsidRDefault="00184C5A">
      <w:pPr>
        <w:pStyle w:val="a9"/>
        <w:numPr>
          <w:ilvl w:val="0"/>
          <w:numId w:val="1"/>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1C22D6" w:rsidRDefault="00184C5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9年本年收入合计113.48万元，其中：一般公共预算财政拨款收入113.47万元，占99.99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；其他收入0.01万元，占0.01</w:t>
      </w:r>
      <w:r>
        <w:rPr>
          <w:rFonts w:ascii="仿宋" w:eastAsia="仿宋" w:hAnsi="仿宋"/>
          <w:color w:val="000000"/>
          <w:sz w:val="32"/>
          <w:szCs w:val="32"/>
        </w:rPr>
        <w:t>%</w:t>
      </w:r>
      <w:r>
        <w:rPr>
          <w:rFonts w:ascii="仿宋" w:eastAsia="仿宋" w:hAnsi="仿宋" w:hint="eastAsia"/>
          <w:color w:val="000000"/>
          <w:sz w:val="32"/>
          <w:szCs w:val="32"/>
        </w:rPr>
        <w:t>。</w:t>
      </w:r>
    </w:p>
    <w:p w:rsidR="001C22D6" w:rsidRDefault="00184C5A">
      <w:pPr>
        <w:spacing w:line="600" w:lineRule="exact"/>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306070</wp:posOffset>
            </wp:positionH>
            <wp:positionV relativeFrom="paragraph">
              <wp:posOffset>204470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C22D6" w:rsidRDefault="00184C5A">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（图2：收入决算结构图）</w:t>
      </w:r>
    </w:p>
    <w:p w:rsidR="001C22D6" w:rsidRDefault="001C22D6">
      <w:pPr>
        <w:spacing w:line="600" w:lineRule="exact"/>
        <w:ind w:firstLineChars="200" w:firstLine="640"/>
        <w:rPr>
          <w:rFonts w:ascii="仿宋_GB2312" w:eastAsia="仿宋_GB2312"/>
          <w:color w:val="FF0000"/>
          <w:sz w:val="32"/>
          <w:szCs w:val="32"/>
        </w:rPr>
      </w:pPr>
    </w:p>
    <w:p w:rsidR="001C22D6" w:rsidRDefault="00184C5A">
      <w:pPr>
        <w:pStyle w:val="a9"/>
        <w:numPr>
          <w:ilvl w:val="0"/>
          <w:numId w:val="1"/>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1C22D6" w:rsidRDefault="00184C5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9年本年支出合计118.05万元，其中：基本支出108.49万元，占92</w:t>
      </w:r>
      <w:r>
        <w:rPr>
          <w:rFonts w:ascii="仿宋" w:eastAsia="仿宋" w:hAnsi="仿宋"/>
          <w:color w:val="000000"/>
          <w:sz w:val="32"/>
          <w:szCs w:val="32"/>
        </w:rPr>
        <w:t>%</w:t>
      </w:r>
      <w:r>
        <w:rPr>
          <w:rFonts w:ascii="仿宋" w:eastAsia="仿宋" w:hAnsi="仿宋" w:hint="eastAsia"/>
          <w:color w:val="000000"/>
          <w:sz w:val="32"/>
          <w:szCs w:val="32"/>
        </w:rPr>
        <w:t>；项目支出9.56万元，占8</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w:t>
      </w:r>
      <w:r>
        <w:rPr>
          <w:rFonts w:ascii="仿宋" w:eastAsia="仿宋" w:hAnsi="仿宋" w:hint="eastAsia"/>
          <w:noProof/>
          <w:color w:val="000000"/>
          <w:sz w:val="32"/>
          <w:szCs w:val="32"/>
        </w:rPr>
        <w:lastRenderedPageBreak/>
        <w:drawing>
          <wp:anchor distT="0" distB="0" distL="114300" distR="114300" simplePos="0" relativeHeight="251660288" behindDoc="0" locked="0" layoutInCell="1" allowOverlap="1">
            <wp:simplePos x="0" y="0"/>
            <wp:positionH relativeFrom="column">
              <wp:posOffset>410845</wp:posOffset>
            </wp:positionH>
            <wp:positionV relativeFrom="paragraph">
              <wp:posOffset>699770</wp:posOffset>
            </wp:positionV>
            <wp:extent cx="4699635" cy="3685540"/>
            <wp:effectExtent l="5080" t="4445" r="19685" b="57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color w:val="000000"/>
          <w:sz w:val="32"/>
          <w:szCs w:val="32"/>
        </w:rPr>
        <w:t>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1C22D6" w:rsidRDefault="001C22D6">
      <w:pPr>
        <w:spacing w:line="600" w:lineRule="exact"/>
        <w:ind w:firstLineChars="200" w:firstLine="640"/>
        <w:outlineLvl w:val="1"/>
        <w:rPr>
          <w:rFonts w:ascii="仿宋" w:eastAsia="仿宋" w:hAnsi="仿宋"/>
          <w:color w:val="000000"/>
          <w:sz w:val="32"/>
          <w:szCs w:val="32"/>
        </w:rPr>
      </w:pPr>
    </w:p>
    <w:p w:rsidR="001C22D6" w:rsidRDefault="00184C5A">
      <w:pPr>
        <w:spacing w:line="600" w:lineRule="exact"/>
        <w:ind w:firstLineChars="200" w:firstLine="640"/>
        <w:jc w:val="center"/>
        <w:rPr>
          <w:rFonts w:ascii="仿宋_GB2312" w:eastAsia="仿宋_GB2312"/>
          <w:color w:val="FF0000"/>
          <w:sz w:val="32"/>
          <w:szCs w:val="32"/>
        </w:rPr>
      </w:pPr>
      <w:r>
        <w:rPr>
          <w:rFonts w:ascii="仿宋" w:eastAsia="仿宋" w:hAnsi="仿宋" w:hint="eastAsia"/>
          <w:color w:val="000000"/>
          <w:sz w:val="32"/>
          <w:szCs w:val="32"/>
        </w:rPr>
        <w:t>（图3：支出决算结构图）</w:t>
      </w:r>
    </w:p>
    <w:p w:rsidR="001C22D6" w:rsidRDefault="00184C5A">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1C22D6" w:rsidRDefault="00184C5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9年财政拨款收入总计113.47万元、与2018年收入102.77万元相比，收入总计增加10.7万元，增长10.41</w:t>
      </w:r>
      <w:r>
        <w:rPr>
          <w:rFonts w:ascii="仿宋" w:eastAsia="仿宋" w:hAnsi="仿宋"/>
          <w:color w:val="000000"/>
          <w:sz w:val="32"/>
          <w:szCs w:val="32"/>
        </w:rPr>
        <w:t>%</w:t>
      </w:r>
      <w:r>
        <w:rPr>
          <w:rFonts w:ascii="仿宋" w:eastAsia="仿宋" w:hAnsi="仿宋" w:hint="eastAsia"/>
          <w:color w:val="000000"/>
          <w:sz w:val="32"/>
          <w:szCs w:val="32"/>
        </w:rPr>
        <w:t>。2019年财政拨款支出总计118.05万元。与</w:t>
      </w:r>
      <w:r>
        <w:rPr>
          <w:rFonts w:ascii="仿宋" w:eastAsia="仿宋" w:hAnsi="仿宋"/>
          <w:color w:val="000000"/>
          <w:sz w:val="32"/>
          <w:szCs w:val="32"/>
        </w:rPr>
        <w:t>201</w:t>
      </w:r>
      <w:r>
        <w:rPr>
          <w:rFonts w:ascii="仿宋" w:eastAsia="仿宋" w:hAnsi="仿宋" w:hint="eastAsia"/>
          <w:color w:val="000000"/>
          <w:sz w:val="32"/>
          <w:szCs w:val="32"/>
        </w:rPr>
        <w:t>8年支出105.79万元，支出总计增加12.26万元，增长11.59</w:t>
      </w:r>
      <w:r>
        <w:rPr>
          <w:rFonts w:ascii="仿宋" w:eastAsia="仿宋" w:hAnsi="仿宋"/>
          <w:color w:val="000000"/>
          <w:sz w:val="32"/>
          <w:szCs w:val="32"/>
        </w:rPr>
        <w:t>%</w:t>
      </w:r>
      <w:r>
        <w:rPr>
          <w:rFonts w:ascii="仿宋" w:eastAsia="仿宋" w:hAnsi="仿宋" w:hint="eastAsia"/>
          <w:color w:val="000000"/>
          <w:sz w:val="32"/>
          <w:szCs w:val="32"/>
        </w:rPr>
        <w:t>。主要变动原因是人员及项目经费增加。</w:t>
      </w:r>
    </w:p>
    <w:p w:rsidR="001C22D6" w:rsidRDefault="001C22D6">
      <w:pPr>
        <w:spacing w:line="600" w:lineRule="exact"/>
        <w:rPr>
          <w:rFonts w:ascii="仿宋" w:eastAsia="仿宋" w:hAnsi="仿宋"/>
          <w:color w:val="000000"/>
          <w:sz w:val="32"/>
          <w:szCs w:val="32"/>
        </w:rPr>
      </w:pPr>
    </w:p>
    <w:p w:rsidR="001C22D6" w:rsidRDefault="001C22D6">
      <w:pPr>
        <w:spacing w:line="600" w:lineRule="exact"/>
        <w:rPr>
          <w:rFonts w:ascii="仿宋" w:eastAsia="仿宋" w:hAnsi="仿宋"/>
          <w:color w:val="000000"/>
          <w:sz w:val="32"/>
          <w:szCs w:val="32"/>
        </w:rPr>
      </w:pPr>
    </w:p>
    <w:p w:rsidR="001C22D6" w:rsidRDefault="001C22D6">
      <w:pPr>
        <w:spacing w:line="600" w:lineRule="exact"/>
        <w:rPr>
          <w:rFonts w:ascii="仿宋" w:eastAsia="仿宋" w:hAnsi="仿宋"/>
          <w:color w:val="000000"/>
          <w:sz w:val="32"/>
          <w:szCs w:val="32"/>
        </w:rPr>
      </w:pPr>
    </w:p>
    <w:p w:rsidR="001C22D6" w:rsidRDefault="00184C5A">
      <w:pPr>
        <w:spacing w:line="600" w:lineRule="exact"/>
        <w:ind w:firstLineChars="200" w:firstLine="640"/>
        <w:jc w:val="center"/>
        <w:rPr>
          <w:rFonts w:ascii="仿宋" w:eastAsia="仿宋" w:hAnsi="仿宋"/>
          <w:b/>
          <w:color w:val="00B050"/>
          <w:sz w:val="32"/>
          <w:szCs w:val="32"/>
        </w:rPr>
      </w:pPr>
      <w:r>
        <w:rPr>
          <w:rFonts w:ascii="仿宋" w:eastAsia="仿宋" w:hAnsi="仿宋" w:hint="eastAsia"/>
          <w:noProof/>
          <w:color w:val="000000"/>
          <w:sz w:val="32"/>
          <w:szCs w:val="32"/>
        </w:rPr>
        <w:lastRenderedPageBreak/>
        <w:drawing>
          <wp:anchor distT="0" distB="0" distL="114300" distR="114300" simplePos="0" relativeHeight="251661312" behindDoc="0" locked="0" layoutInCell="1" allowOverlap="1">
            <wp:simplePos x="0" y="0"/>
            <wp:positionH relativeFrom="column">
              <wp:posOffset>410845</wp:posOffset>
            </wp:positionH>
            <wp:positionV relativeFrom="paragraph">
              <wp:posOffset>-3519805</wp:posOffset>
            </wp:positionV>
            <wp:extent cx="4841875" cy="3191510"/>
            <wp:effectExtent l="4445" t="4445" r="11430" b="2349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color w:val="000000"/>
          <w:sz w:val="32"/>
          <w:szCs w:val="32"/>
        </w:rPr>
        <w:t>（图4：财政拨款收、支决算总计变动情况）</w:t>
      </w:r>
    </w:p>
    <w:p w:rsidR="001C22D6" w:rsidRDefault="00184C5A">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1C22D6" w:rsidRDefault="00184C5A">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1C22D6" w:rsidRDefault="00184C5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9年一般公共预算财政拨款支出118.05万元，占本年支出合计的100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8年一般公共预算财政拨款支出105.79万元相比，一般公共预算财政拨款增加12.26万元，增长11.59</w:t>
      </w:r>
      <w:r>
        <w:rPr>
          <w:rFonts w:ascii="仿宋" w:eastAsia="仿宋" w:hAnsi="仿宋"/>
          <w:color w:val="000000"/>
          <w:sz w:val="32"/>
          <w:szCs w:val="32"/>
        </w:rPr>
        <w:t>%</w:t>
      </w:r>
      <w:r>
        <w:rPr>
          <w:rFonts w:ascii="仿宋" w:eastAsia="仿宋" w:hAnsi="仿宋" w:hint="eastAsia"/>
          <w:color w:val="000000"/>
          <w:sz w:val="32"/>
          <w:szCs w:val="32"/>
        </w:rPr>
        <w:t>。主要变动原因是</w:t>
      </w:r>
      <w:r w:rsidR="00980A94">
        <w:rPr>
          <w:rFonts w:ascii="仿宋" w:eastAsia="仿宋" w:hAnsi="仿宋" w:hint="eastAsia"/>
          <w:color w:val="000000"/>
          <w:sz w:val="32"/>
          <w:szCs w:val="32"/>
        </w:rPr>
        <w:t>正常收支变动</w:t>
      </w:r>
      <w:r>
        <w:rPr>
          <w:rFonts w:ascii="仿宋" w:eastAsia="仿宋" w:hAnsi="仿宋" w:hint="eastAsia"/>
          <w:color w:val="000000"/>
          <w:sz w:val="32"/>
          <w:szCs w:val="32"/>
        </w:rPr>
        <w:t>。</w:t>
      </w:r>
    </w:p>
    <w:p w:rsidR="001C22D6" w:rsidRDefault="00184C5A">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9504" behindDoc="0" locked="0" layoutInCell="1" allowOverlap="1">
            <wp:simplePos x="0" y="0"/>
            <wp:positionH relativeFrom="column">
              <wp:posOffset>309245</wp:posOffset>
            </wp:positionH>
            <wp:positionV relativeFrom="paragraph">
              <wp:posOffset>137795</wp:posOffset>
            </wp:positionV>
            <wp:extent cx="4595495" cy="3000375"/>
            <wp:effectExtent l="4445" t="4445" r="1016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color w:val="000000"/>
          <w:sz w:val="32"/>
          <w:szCs w:val="32"/>
        </w:rPr>
        <w:t>（图5：一般公共预算财政拨款支出决算变动情况）</w:t>
      </w:r>
    </w:p>
    <w:p w:rsidR="001C22D6" w:rsidRDefault="00184C5A">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lastRenderedPageBreak/>
        <w:t>（二）一般公共预算财政拨款支出决算结构情况</w:t>
      </w:r>
      <w:bookmarkEnd w:id="33"/>
    </w:p>
    <w:p w:rsidR="001C22D6" w:rsidRDefault="00184C5A">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678720" behindDoc="0" locked="0" layoutInCell="1" allowOverlap="1">
            <wp:simplePos x="0" y="0"/>
            <wp:positionH relativeFrom="column">
              <wp:posOffset>309245</wp:posOffset>
            </wp:positionH>
            <wp:positionV relativeFrom="paragraph">
              <wp:posOffset>3481070</wp:posOffset>
            </wp:positionV>
            <wp:extent cx="4889500" cy="3658235"/>
            <wp:effectExtent l="4445" t="4445" r="20955" b="1397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9年一般公共预算财政拨款支出118.04万元，主要用于以下方面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支出88.77万元，占75.21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文化旅游体育与传媒（类）支出0元，占0</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支出10.51万元，占8.9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4.15万元，占3.51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农林水</w:t>
      </w:r>
      <w:r>
        <w:rPr>
          <w:rFonts w:ascii="仿宋" w:eastAsia="仿宋" w:hAnsi="仿宋" w:hint="eastAsia"/>
          <w:b/>
          <w:color w:val="000000"/>
          <w:sz w:val="32"/>
          <w:szCs w:val="32"/>
        </w:rPr>
        <w:t>（类）</w:t>
      </w:r>
      <w:r>
        <w:rPr>
          <w:rFonts w:ascii="仿宋" w:eastAsia="仿宋" w:hAnsi="仿宋" w:hint="eastAsia"/>
          <w:color w:val="000000"/>
          <w:sz w:val="32"/>
          <w:szCs w:val="32"/>
        </w:rPr>
        <w:t>支出 7.77万元，占6.58</w:t>
      </w:r>
      <w:r>
        <w:rPr>
          <w:rFonts w:ascii="仿宋" w:eastAsia="仿宋" w:hAnsi="仿宋"/>
          <w:color w:val="000000"/>
          <w:sz w:val="32"/>
          <w:szCs w:val="32"/>
        </w:rPr>
        <w:t>%</w:t>
      </w:r>
      <w:r>
        <w:rPr>
          <w:rFonts w:ascii="仿宋" w:eastAsia="仿宋" w:hAnsi="仿宋" w:hint="eastAsia"/>
          <w:color w:val="000000"/>
          <w:sz w:val="32"/>
          <w:szCs w:val="32"/>
        </w:rPr>
        <w:t>；住房保障支出6.84万元，占5.8</w:t>
      </w:r>
      <w:r>
        <w:rPr>
          <w:rFonts w:ascii="仿宋" w:eastAsia="仿宋" w:hAnsi="仿宋"/>
          <w:color w:val="000000"/>
          <w:sz w:val="32"/>
          <w:szCs w:val="32"/>
        </w:rPr>
        <w:t>%</w:t>
      </w:r>
      <w:r>
        <w:rPr>
          <w:rFonts w:ascii="仿宋" w:eastAsia="仿宋" w:hAnsi="仿宋" w:hint="eastAsia"/>
          <w:color w:val="000000"/>
          <w:sz w:val="32"/>
          <w:szCs w:val="32"/>
        </w:rPr>
        <w:t>；主要变动原因是</w:t>
      </w:r>
      <w:r w:rsidR="000D4045">
        <w:rPr>
          <w:rFonts w:ascii="仿宋" w:eastAsia="仿宋" w:hAnsi="仿宋" w:hint="eastAsia"/>
          <w:color w:val="000000"/>
          <w:sz w:val="32"/>
          <w:szCs w:val="32"/>
        </w:rPr>
        <w:t>正常收支变动</w:t>
      </w:r>
      <w:r>
        <w:rPr>
          <w:rFonts w:ascii="仿宋" w:eastAsia="仿宋" w:hAnsi="仿宋" w:hint="eastAsia"/>
          <w:color w:val="000000"/>
          <w:sz w:val="32"/>
          <w:szCs w:val="32"/>
        </w:rPr>
        <w:t>。</w:t>
      </w:r>
    </w:p>
    <w:p w:rsidR="001C22D6" w:rsidRDefault="001C22D6">
      <w:pPr>
        <w:spacing w:line="600" w:lineRule="exact"/>
        <w:ind w:firstLine="640"/>
        <w:rPr>
          <w:rFonts w:ascii="仿宋" w:eastAsia="仿宋" w:hAnsi="仿宋"/>
          <w:color w:val="000000"/>
          <w:sz w:val="32"/>
          <w:szCs w:val="32"/>
        </w:rPr>
      </w:pPr>
    </w:p>
    <w:p w:rsidR="001C22D6" w:rsidRDefault="00184C5A">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1C22D6" w:rsidRDefault="001C22D6">
      <w:pPr>
        <w:spacing w:line="600" w:lineRule="exact"/>
        <w:ind w:firstLineChars="200" w:firstLine="640"/>
        <w:rPr>
          <w:rFonts w:ascii="仿宋" w:eastAsia="仿宋" w:hAnsi="仿宋"/>
          <w:color w:val="000000"/>
          <w:sz w:val="32"/>
          <w:szCs w:val="32"/>
        </w:rPr>
      </w:pPr>
    </w:p>
    <w:p w:rsidR="001C22D6" w:rsidRDefault="00184C5A">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1C22D6" w:rsidRDefault="00184C5A">
      <w:pPr>
        <w:spacing w:line="600" w:lineRule="exact"/>
        <w:ind w:firstLineChars="200" w:firstLine="643"/>
        <w:outlineLvl w:val="2"/>
        <w:rPr>
          <w:rFonts w:ascii="仿宋" w:eastAsia="仿宋" w:hAnsi="仿宋"/>
          <w:color w:val="FF0000"/>
          <w:sz w:val="32"/>
          <w:szCs w:val="32"/>
        </w:rPr>
      </w:pPr>
      <w:bookmarkStart w:id="35" w:name="_Toc15378460"/>
      <w:bookmarkStart w:id="36" w:name="_Toc15377213"/>
      <w:bookmarkStart w:id="37" w:name="_Toc15377444"/>
      <w:r>
        <w:rPr>
          <w:rFonts w:ascii="仿宋" w:eastAsia="仿宋" w:hAnsi="仿宋" w:hint="eastAsia"/>
          <w:b/>
          <w:color w:val="000000"/>
          <w:sz w:val="32"/>
          <w:szCs w:val="32"/>
        </w:rPr>
        <w:lastRenderedPageBreak/>
        <w:t>2019年般公共预算支出决算数为118.04</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5"/>
      <w:bookmarkEnd w:id="36"/>
      <w:bookmarkEnd w:id="37"/>
    </w:p>
    <w:p w:rsidR="001C22D6" w:rsidRPr="000D4045" w:rsidRDefault="00184C5A">
      <w:pPr>
        <w:spacing w:line="600" w:lineRule="exact"/>
        <w:ind w:firstLineChars="200" w:firstLine="643"/>
        <w:rPr>
          <w:rFonts w:ascii="仿宋" w:eastAsia="仿宋" w:hAnsi="仿宋"/>
          <w:bCs/>
          <w:color w:val="000000" w:themeColor="text1"/>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一般公共服务（类）政府办公厅（室）及相关机构事务（款）行政运行（项）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支出决算为86.98万元，完成预算100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cs="仿宋" w:hint="eastAsia"/>
          <w:sz w:val="32"/>
          <w:szCs w:val="32"/>
        </w:rPr>
        <w:t>全额支出</w:t>
      </w:r>
      <w:r>
        <w:rPr>
          <w:rStyle w:val="a7"/>
          <w:rFonts w:ascii="仿宋" w:eastAsia="仿宋" w:hAnsi="仿宋" w:hint="eastAsia"/>
          <w:b w:val="0"/>
          <w:bCs/>
          <w:color w:val="000000"/>
          <w:sz w:val="32"/>
          <w:szCs w:val="32"/>
        </w:rPr>
        <w:t>。</w:t>
      </w:r>
      <w:r>
        <w:rPr>
          <w:rStyle w:val="a7"/>
          <w:rFonts w:ascii="仿宋" w:eastAsia="仿宋" w:hAnsi="仿宋" w:hint="eastAsia"/>
          <w:color w:val="000000"/>
          <w:sz w:val="32"/>
          <w:szCs w:val="32"/>
        </w:rPr>
        <w:t>一般行政管理事务（项）：</w:t>
      </w:r>
      <w:r>
        <w:rPr>
          <w:rStyle w:val="a7"/>
          <w:rFonts w:ascii="仿宋" w:eastAsia="仿宋" w:hAnsi="仿宋" w:hint="eastAsia"/>
          <w:b w:val="0"/>
          <w:bCs/>
          <w:color w:val="000000"/>
          <w:sz w:val="32"/>
          <w:szCs w:val="32"/>
        </w:rPr>
        <w:t>支出决算为1.79万元，完成预算34.42</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Pr="000D4045">
        <w:rPr>
          <w:rStyle w:val="a7"/>
          <w:rFonts w:ascii="仿宋" w:eastAsia="仿宋" w:hAnsi="仿宋" w:hint="eastAsia"/>
          <w:b w:val="0"/>
          <w:bCs/>
          <w:color w:val="000000" w:themeColor="text1"/>
          <w:sz w:val="32"/>
          <w:szCs w:val="32"/>
        </w:rPr>
        <w:t>决算数</w:t>
      </w:r>
      <w:r w:rsidR="000D4045" w:rsidRPr="000D4045">
        <w:rPr>
          <w:rStyle w:val="a7"/>
          <w:rFonts w:ascii="仿宋" w:eastAsia="仿宋" w:hAnsi="仿宋" w:hint="eastAsia"/>
          <w:b w:val="0"/>
          <w:bCs/>
          <w:color w:val="000000" w:themeColor="text1"/>
          <w:sz w:val="32"/>
          <w:szCs w:val="32"/>
        </w:rPr>
        <w:t>小</w:t>
      </w:r>
      <w:r w:rsidRPr="000D4045">
        <w:rPr>
          <w:rStyle w:val="a7"/>
          <w:rFonts w:ascii="仿宋" w:eastAsia="仿宋" w:hAnsi="仿宋" w:hint="eastAsia"/>
          <w:b w:val="0"/>
          <w:bCs/>
          <w:color w:val="000000" w:themeColor="text1"/>
          <w:sz w:val="32"/>
          <w:szCs w:val="32"/>
        </w:rPr>
        <w:t>于预算数的主要原因是</w:t>
      </w:r>
      <w:r w:rsidR="000D4045" w:rsidRPr="000D4045">
        <w:rPr>
          <w:rFonts w:ascii="仿宋" w:eastAsia="仿宋" w:hAnsi="仿宋" w:cs="仿宋" w:hint="eastAsia"/>
          <w:color w:val="000000" w:themeColor="text1"/>
          <w:sz w:val="32"/>
          <w:szCs w:val="32"/>
        </w:rPr>
        <w:t>空调及消防是按半年及季度</w:t>
      </w:r>
      <w:r w:rsidRPr="000D4045">
        <w:rPr>
          <w:rFonts w:ascii="仿宋" w:eastAsia="仿宋" w:hAnsi="仿宋" w:cs="仿宋" w:hint="eastAsia"/>
          <w:color w:val="000000" w:themeColor="text1"/>
          <w:sz w:val="32"/>
          <w:szCs w:val="32"/>
        </w:rPr>
        <w:t>支出</w:t>
      </w:r>
      <w:r w:rsidR="000D4045" w:rsidRPr="000D4045">
        <w:rPr>
          <w:rFonts w:ascii="仿宋" w:eastAsia="仿宋" w:hAnsi="仿宋" w:cs="仿宋" w:hint="eastAsia"/>
          <w:color w:val="000000" w:themeColor="text1"/>
          <w:sz w:val="32"/>
          <w:szCs w:val="32"/>
        </w:rPr>
        <w:t xml:space="preserve"> </w:t>
      </w:r>
      <w:r w:rsidRPr="000D4045">
        <w:rPr>
          <w:rStyle w:val="a7"/>
          <w:rFonts w:ascii="仿宋" w:eastAsia="仿宋" w:hAnsi="仿宋" w:hint="eastAsia"/>
          <w:b w:val="0"/>
          <w:bCs/>
          <w:color w:val="000000" w:themeColor="text1"/>
          <w:sz w:val="32"/>
          <w:szCs w:val="32"/>
        </w:rPr>
        <w:t>。</w:t>
      </w:r>
    </w:p>
    <w:p w:rsidR="001C22D6" w:rsidRDefault="00184C5A">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2.</w:t>
      </w:r>
      <w:r>
        <w:rPr>
          <w:rStyle w:val="a7"/>
          <w:rFonts w:ascii="仿宋" w:eastAsia="仿宋" w:hAnsi="仿宋" w:hint="eastAsia"/>
          <w:bCs/>
          <w:sz w:val="32"/>
          <w:szCs w:val="32"/>
        </w:rPr>
        <w:t>社会保障和就业（类）行政事业单位离退休（款）机关事业单位基本养老保险缴费支出（项）</w:t>
      </w:r>
      <w:r>
        <w:rPr>
          <w:rStyle w:val="a7"/>
          <w:rFonts w:ascii="仿宋" w:eastAsia="仿宋" w:hAnsi="仿宋"/>
          <w:bCs/>
          <w:sz w:val="32"/>
          <w:szCs w:val="32"/>
        </w:rPr>
        <w:t>:</w:t>
      </w:r>
      <w:r>
        <w:rPr>
          <w:rStyle w:val="a7"/>
          <w:rFonts w:ascii="仿宋" w:eastAsia="仿宋" w:hAnsi="仿宋" w:hint="eastAsia"/>
          <w:b w:val="0"/>
          <w:bCs/>
          <w:sz w:val="32"/>
          <w:szCs w:val="32"/>
        </w:rPr>
        <w:t>支出决算为9.69万元，完成预算100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cs="仿宋" w:hint="eastAsia"/>
          <w:sz w:val="32"/>
          <w:szCs w:val="32"/>
        </w:rPr>
        <w:t>全额支出</w:t>
      </w:r>
      <w:r>
        <w:rPr>
          <w:rStyle w:val="a7"/>
          <w:rFonts w:ascii="仿宋" w:eastAsia="仿宋" w:hAnsi="仿宋" w:hint="eastAsia"/>
          <w:b w:val="0"/>
          <w:bCs/>
          <w:color w:val="000000"/>
          <w:sz w:val="32"/>
          <w:szCs w:val="32"/>
        </w:rPr>
        <w:t>。</w:t>
      </w:r>
      <w:r>
        <w:rPr>
          <w:rStyle w:val="a7"/>
          <w:rFonts w:ascii="仿宋" w:eastAsia="仿宋" w:hAnsi="仿宋" w:hint="eastAsia"/>
          <w:sz w:val="32"/>
          <w:szCs w:val="32"/>
        </w:rPr>
        <w:t>其他社会保障和就业支出（项）:</w:t>
      </w:r>
      <w:r>
        <w:rPr>
          <w:rStyle w:val="a7"/>
          <w:rFonts w:ascii="仿宋" w:eastAsia="仿宋" w:hAnsi="仿宋" w:hint="eastAsia"/>
          <w:b w:val="0"/>
          <w:bCs/>
          <w:sz w:val="32"/>
          <w:szCs w:val="32"/>
        </w:rPr>
        <w:t>0.82万元，完成预算100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cs="仿宋" w:hint="eastAsia"/>
          <w:sz w:val="32"/>
          <w:szCs w:val="32"/>
        </w:rPr>
        <w:t>全额支出</w:t>
      </w:r>
      <w:r>
        <w:rPr>
          <w:rStyle w:val="a7"/>
          <w:rFonts w:ascii="仿宋" w:eastAsia="仿宋" w:hAnsi="仿宋" w:hint="eastAsia"/>
          <w:b w:val="0"/>
          <w:bCs/>
          <w:color w:val="000000"/>
          <w:sz w:val="32"/>
          <w:szCs w:val="32"/>
        </w:rPr>
        <w:t>。</w:t>
      </w:r>
    </w:p>
    <w:p w:rsidR="001C22D6" w:rsidRDefault="00184C5A">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Pr>
          <w:rStyle w:val="a7"/>
          <w:rFonts w:ascii="仿宋" w:eastAsia="仿宋" w:hAnsi="仿宋"/>
          <w:bCs/>
          <w:sz w:val="32"/>
          <w:szCs w:val="32"/>
        </w:rPr>
        <w:t>.</w:t>
      </w:r>
      <w:r>
        <w:rPr>
          <w:rStyle w:val="a7"/>
          <w:rFonts w:ascii="仿宋" w:eastAsia="仿宋" w:hAnsi="仿宋" w:hint="eastAsia"/>
          <w:bCs/>
          <w:sz w:val="32"/>
          <w:szCs w:val="32"/>
        </w:rPr>
        <w:t>卫生健康支出（类）行政事业单位医疗（款）行政单位医疗（项）</w:t>
      </w:r>
      <w:r>
        <w:rPr>
          <w:rStyle w:val="a7"/>
          <w:rFonts w:ascii="仿宋" w:eastAsia="仿宋" w:hAnsi="仿宋"/>
          <w:bCs/>
          <w:sz w:val="32"/>
          <w:szCs w:val="32"/>
        </w:rPr>
        <w:t>:</w:t>
      </w:r>
      <w:r>
        <w:rPr>
          <w:rStyle w:val="a7"/>
          <w:rFonts w:ascii="仿宋" w:eastAsia="仿宋" w:hAnsi="仿宋" w:hint="eastAsia"/>
          <w:b w:val="0"/>
          <w:bCs/>
          <w:sz w:val="32"/>
          <w:szCs w:val="32"/>
        </w:rPr>
        <w:t>支出决算为4.15万元，完成预算100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cs="仿宋" w:hint="eastAsia"/>
          <w:sz w:val="32"/>
          <w:szCs w:val="32"/>
        </w:rPr>
        <w:t>全额支出</w:t>
      </w:r>
      <w:r>
        <w:rPr>
          <w:rStyle w:val="a7"/>
          <w:rFonts w:ascii="仿宋" w:eastAsia="仿宋" w:hAnsi="仿宋" w:hint="eastAsia"/>
          <w:b w:val="0"/>
          <w:bCs/>
          <w:color w:val="000000"/>
          <w:sz w:val="32"/>
          <w:szCs w:val="32"/>
        </w:rPr>
        <w:t>。</w:t>
      </w:r>
    </w:p>
    <w:p w:rsidR="001C22D6" w:rsidRDefault="00184C5A">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sz w:val="32"/>
          <w:szCs w:val="32"/>
        </w:rPr>
        <w:t>4.农林水支出</w:t>
      </w:r>
      <w:r>
        <w:rPr>
          <w:rStyle w:val="a7"/>
          <w:rFonts w:ascii="仿宋" w:eastAsia="仿宋" w:hAnsi="仿宋" w:hint="eastAsia"/>
          <w:bCs/>
          <w:sz w:val="32"/>
          <w:szCs w:val="32"/>
        </w:rPr>
        <w:t>（类）扶贫（款）其他扶贫支出（项）</w:t>
      </w:r>
      <w:r>
        <w:rPr>
          <w:rStyle w:val="a7"/>
          <w:rFonts w:ascii="仿宋" w:eastAsia="仿宋" w:hAnsi="仿宋"/>
          <w:bCs/>
          <w:sz w:val="32"/>
          <w:szCs w:val="32"/>
        </w:rPr>
        <w:t>:</w:t>
      </w:r>
      <w:r>
        <w:rPr>
          <w:rStyle w:val="a7"/>
          <w:rFonts w:ascii="仿宋" w:eastAsia="仿宋" w:hAnsi="仿宋" w:hint="eastAsia"/>
          <w:b w:val="0"/>
          <w:bCs/>
          <w:sz w:val="32"/>
          <w:szCs w:val="32"/>
        </w:rPr>
        <w:t>支出决算为7.77万元，完成预算0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color w:val="000000"/>
          <w:sz w:val="32"/>
          <w:szCs w:val="32"/>
        </w:rPr>
        <w:t>决算数大于预算数的主要原因是</w:t>
      </w:r>
      <w:r>
        <w:rPr>
          <w:rFonts w:ascii="仿宋" w:eastAsia="仿宋" w:hAnsi="仿宋" w:cs="仿宋" w:hint="eastAsia"/>
          <w:sz w:val="32"/>
          <w:szCs w:val="32"/>
        </w:rPr>
        <w:t>此项目为2018财政应返还额度，于2019年支出</w:t>
      </w:r>
      <w:r>
        <w:rPr>
          <w:rStyle w:val="a7"/>
          <w:rFonts w:ascii="仿宋" w:eastAsia="仿宋" w:hAnsi="仿宋" w:hint="eastAsia"/>
          <w:b w:val="0"/>
          <w:bCs/>
          <w:color w:val="000000"/>
          <w:sz w:val="32"/>
          <w:szCs w:val="32"/>
        </w:rPr>
        <w:t>。</w:t>
      </w:r>
    </w:p>
    <w:p w:rsidR="001C22D6" w:rsidRDefault="00184C5A">
      <w:pPr>
        <w:spacing w:line="600" w:lineRule="exact"/>
        <w:ind w:firstLineChars="200" w:firstLine="643"/>
        <w:rPr>
          <w:rFonts w:ascii="仿宋" w:eastAsia="仿宋" w:hAnsi="仿宋"/>
          <w:b/>
          <w:color w:val="000000"/>
          <w:sz w:val="32"/>
          <w:szCs w:val="32"/>
        </w:rPr>
      </w:pPr>
      <w:r>
        <w:rPr>
          <w:rStyle w:val="a7"/>
          <w:rFonts w:ascii="仿宋" w:eastAsia="仿宋" w:hAnsi="仿宋" w:hint="eastAsia"/>
          <w:sz w:val="32"/>
          <w:szCs w:val="32"/>
        </w:rPr>
        <w:t>5.住房保障支出</w:t>
      </w:r>
      <w:r>
        <w:rPr>
          <w:rStyle w:val="a7"/>
          <w:rFonts w:ascii="仿宋" w:eastAsia="仿宋" w:hAnsi="仿宋" w:hint="eastAsia"/>
          <w:bCs/>
          <w:sz w:val="32"/>
          <w:szCs w:val="32"/>
        </w:rPr>
        <w:t>（类）住房改革支出（款）住房公积金（项）</w:t>
      </w:r>
      <w:r>
        <w:rPr>
          <w:rStyle w:val="a7"/>
          <w:rFonts w:ascii="仿宋" w:eastAsia="仿宋" w:hAnsi="仿宋"/>
          <w:bCs/>
          <w:sz w:val="32"/>
          <w:szCs w:val="32"/>
        </w:rPr>
        <w:t>:</w:t>
      </w:r>
      <w:r>
        <w:rPr>
          <w:rStyle w:val="a7"/>
          <w:rFonts w:ascii="仿宋" w:eastAsia="仿宋" w:hAnsi="仿宋" w:hint="eastAsia"/>
          <w:b w:val="0"/>
          <w:bCs/>
          <w:sz w:val="32"/>
          <w:szCs w:val="32"/>
        </w:rPr>
        <w:t>支出决算为6.84万元，完成预算100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cs="仿宋" w:hint="eastAsia"/>
          <w:sz w:val="32"/>
          <w:szCs w:val="32"/>
        </w:rPr>
        <w:t>全额支出</w:t>
      </w:r>
      <w:r>
        <w:rPr>
          <w:rStyle w:val="a7"/>
          <w:rFonts w:ascii="仿宋" w:eastAsia="仿宋" w:hAnsi="仿宋" w:hint="eastAsia"/>
          <w:b w:val="0"/>
          <w:bCs/>
          <w:color w:val="000000"/>
          <w:sz w:val="32"/>
          <w:szCs w:val="32"/>
        </w:rPr>
        <w:t>。。</w:t>
      </w:r>
    </w:p>
    <w:p w:rsidR="001C22D6" w:rsidRDefault="001C22D6">
      <w:pPr>
        <w:spacing w:line="600" w:lineRule="exact"/>
        <w:ind w:firstLine="640"/>
        <w:rPr>
          <w:rFonts w:ascii="仿宋" w:eastAsia="仿宋" w:hAnsi="仿宋"/>
          <w:b/>
          <w:color w:val="000000"/>
          <w:sz w:val="32"/>
          <w:szCs w:val="32"/>
        </w:rPr>
      </w:pPr>
    </w:p>
    <w:p w:rsidR="001C22D6" w:rsidRDefault="00184C5A">
      <w:pPr>
        <w:tabs>
          <w:tab w:val="right" w:pos="8306"/>
        </w:tabs>
        <w:spacing w:line="600" w:lineRule="exact"/>
        <w:ind w:firstLine="640"/>
        <w:outlineLvl w:val="1"/>
        <w:rPr>
          <w:rStyle w:val="2Char"/>
        </w:rPr>
      </w:pPr>
      <w:bookmarkStart w:id="38" w:name="_Toc15377214"/>
      <w:bookmarkStart w:id="39" w:name="_Toc15396608"/>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1C22D6" w:rsidRDefault="00184C5A">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9年一般公共预算财政拨款基本支出108.48万元，其中：</w:t>
      </w:r>
    </w:p>
    <w:p w:rsidR="001C22D6" w:rsidRDefault="00184C5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102.26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6.22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C22D6" w:rsidRDefault="00184C5A">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1C22D6" w:rsidRDefault="00184C5A">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1C22D6" w:rsidRPr="000D4045" w:rsidRDefault="00184C5A">
      <w:pPr>
        <w:spacing w:line="600" w:lineRule="exact"/>
        <w:ind w:firstLine="640"/>
        <w:rPr>
          <w:rFonts w:ascii="仿宋" w:eastAsia="仿宋" w:hAnsi="仿宋"/>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9年“三公”经费财政拨款支出决算为0.4万元，完成预算0</w:t>
      </w:r>
      <w:r>
        <w:rPr>
          <w:rFonts w:ascii="仿宋" w:eastAsia="仿宋" w:hAnsi="仿宋"/>
          <w:color w:val="000000"/>
          <w:sz w:val="32"/>
          <w:szCs w:val="32"/>
        </w:rPr>
        <w:t>%</w:t>
      </w:r>
      <w:r>
        <w:rPr>
          <w:rFonts w:ascii="仿宋" w:eastAsia="仿宋" w:hAnsi="仿宋" w:hint="eastAsia"/>
          <w:color w:val="000000"/>
          <w:sz w:val="32"/>
          <w:szCs w:val="32"/>
        </w:rPr>
        <w:t>.</w:t>
      </w:r>
      <w:r w:rsidRPr="000D4045">
        <w:rPr>
          <w:rFonts w:ascii="仿宋" w:eastAsia="仿宋" w:hAnsi="仿宋" w:hint="eastAsia"/>
          <w:sz w:val="32"/>
          <w:szCs w:val="32"/>
        </w:rPr>
        <w:t>决算数</w:t>
      </w:r>
      <w:r w:rsidR="000D4045" w:rsidRPr="000D4045">
        <w:rPr>
          <w:rFonts w:ascii="仿宋" w:eastAsia="仿宋" w:hAnsi="仿宋" w:hint="eastAsia"/>
          <w:sz w:val="32"/>
          <w:szCs w:val="32"/>
        </w:rPr>
        <w:t>小于</w:t>
      </w:r>
      <w:r w:rsidRPr="000D4045">
        <w:rPr>
          <w:rFonts w:ascii="仿宋" w:eastAsia="仿宋" w:hAnsi="仿宋" w:hint="eastAsia"/>
          <w:sz w:val="32"/>
          <w:szCs w:val="32"/>
        </w:rPr>
        <w:t>预算数的主要原因是我单位严格按照公务接待制度执行</w:t>
      </w:r>
      <w:r w:rsidR="000D4045" w:rsidRPr="000D4045">
        <w:rPr>
          <w:rFonts w:ascii="仿宋" w:eastAsia="仿宋" w:hAnsi="仿宋" w:hint="eastAsia"/>
          <w:sz w:val="32"/>
          <w:szCs w:val="32"/>
        </w:rPr>
        <w:t>，并且我中心属行政审批局下属单位</w:t>
      </w:r>
      <w:r w:rsidRPr="000D4045">
        <w:rPr>
          <w:rFonts w:ascii="仿宋" w:eastAsia="仿宋" w:hAnsi="仿宋" w:hint="eastAsia"/>
          <w:sz w:val="32"/>
          <w:szCs w:val="32"/>
        </w:rPr>
        <w:t>。</w:t>
      </w:r>
    </w:p>
    <w:p w:rsidR="001C22D6" w:rsidRPr="000D4045" w:rsidRDefault="00184C5A">
      <w:pPr>
        <w:spacing w:line="600" w:lineRule="exact"/>
        <w:ind w:firstLine="640"/>
        <w:outlineLvl w:val="2"/>
        <w:rPr>
          <w:rFonts w:ascii="仿宋" w:eastAsia="仿宋" w:hAnsi="仿宋"/>
          <w:b/>
          <w:sz w:val="32"/>
          <w:szCs w:val="32"/>
        </w:rPr>
      </w:pPr>
      <w:bookmarkStart w:id="43" w:name="_Toc15377217"/>
      <w:r w:rsidRPr="000D4045">
        <w:rPr>
          <w:rFonts w:ascii="仿宋" w:eastAsia="仿宋" w:hAnsi="仿宋" w:hint="eastAsia"/>
          <w:b/>
          <w:sz w:val="32"/>
          <w:szCs w:val="32"/>
        </w:rPr>
        <w:t>（二）“三公”经费财政拨款支出决算具体情况说明</w:t>
      </w:r>
      <w:bookmarkEnd w:id="43"/>
    </w:p>
    <w:p w:rsidR="001C22D6" w:rsidRDefault="00184C5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w:t>
      </w:r>
      <w:r>
        <w:rPr>
          <w:rFonts w:ascii="仿宋" w:eastAsia="仿宋" w:hAnsi="仿宋" w:hint="eastAsia"/>
          <w:color w:val="000000"/>
          <w:sz w:val="32"/>
          <w:szCs w:val="32"/>
        </w:rPr>
        <w:lastRenderedPageBreak/>
        <w:t>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C22D6" w:rsidRDefault="00184C5A">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1C22D6" w:rsidRDefault="00184C5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。主要原因是…</w:t>
      </w:r>
    </w:p>
    <w:p w:rsidR="001C22D6" w:rsidRDefault="00184C5A">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1C22D6" w:rsidRDefault="00184C5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1C22D6" w:rsidRDefault="00184C5A">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0万元。全年按规定更新购置公务用车0辆，金额0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月底，单位共有公务用车0辆，其中：主要领导干部用车0辆、机要通信用车0辆、应急保障用车0辆、 执法执勤用车0辆…</w:t>
      </w:r>
    </w:p>
    <w:p w:rsidR="001C22D6" w:rsidRDefault="00184C5A">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1C22D6" w:rsidRDefault="00184C5A">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。主要原因是压缩三公经费支出。</w:t>
      </w:r>
    </w:p>
    <w:p w:rsidR="001C22D6" w:rsidRDefault="00184C5A">
      <w:pPr>
        <w:spacing w:line="600" w:lineRule="exact"/>
        <w:rPr>
          <w:rFonts w:ascii="仿宋_GB2312" w:eastAsia="仿宋_GB2312"/>
          <w:color w:val="000000"/>
          <w:sz w:val="32"/>
          <w:szCs w:val="32"/>
        </w:rPr>
      </w:pPr>
      <w:r>
        <w:rPr>
          <w:rFonts w:ascii="仿宋" w:eastAsia="仿宋" w:hAnsi="仿宋" w:hint="eastAsia"/>
          <w:b/>
          <w:color w:val="000000"/>
          <w:sz w:val="32"/>
          <w:szCs w:val="32"/>
        </w:rPr>
        <w:t>无国内公务接待支出</w:t>
      </w:r>
    </w:p>
    <w:p w:rsidR="001C22D6" w:rsidRDefault="00184C5A">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无外事接待支出</w:t>
      </w:r>
      <w:bookmarkStart w:id="44" w:name="_Toc15396610"/>
      <w:bookmarkStart w:id="45" w:name="_Toc15377218"/>
    </w:p>
    <w:p w:rsidR="001C22D6" w:rsidRDefault="001C22D6">
      <w:pPr>
        <w:spacing w:line="600" w:lineRule="exact"/>
        <w:ind w:firstLineChars="200" w:firstLine="643"/>
        <w:rPr>
          <w:rFonts w:ascii="仿宋" w:eastAsia="仿宋" w:hAnsi="仿宋"/>
          <w:b/>
          <w:color w:val="000000"/>
          <w:sz w:val="32"/>
          <w:szCs w:val="32"/>
        </w:rPr>
      </w:pPr>
    </w:p>
    <w:p w:rsidR="001C22D6" w:rsidRDefault="00184C5A">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1C22D6" w:rsidRDefault="00184C5A">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1C22D6" w:rsidRDefault="001C22D6">
      <w:pPr>
        <w:spacing w:line="600" w:lineRule="exact"/>
        <w:ind w:firstLine="640"/>
        <w:rPr>
          <w:rFonts w:ascii="仿宋_GB2312" w:eastAsia="仿宋_GB2312"/>
          <w:color w:val="000000"/>
          <w:sz w:val="32"/>
          <w:szCs w:val="32"/>
        </w:rPr>
      </w:pPr>
    </w:p>
    <w:p w:rsidR="001C22D6" w:rsidRDefault="00184C5A">
      <w:pPr>
        <w:numPr>
          <w:ilvl w:val="0"/>
          <w:numId w:val="3"/>
        </w:numPr>
        <w:spacing w:line="600" w:lineRule="exact"/>
        <w:ind w:firstLine="640"/>
        <w:outlineLvl w:val="1"/>
        <w:rPr>
          <w:rStyle w:val="2Char"/>
          <w:rFonts w:ascii="黑体" w:eastAsia="黑体" w:hAnsi="黑体"/>
          <w:b w:val="0"/>
        </w:rPr>
      </w:pPr>
      <w:bookmarkStart w:id="46" w:name="_Toc15396611"/>
      <w:bookmarkStart w:id="47" w:name="_Toc15377219"/>
      <w:r>
        <w:rPr>
          <w:rStyle w:val="2Char"/>
          <w:rFonts w:ascii="黑体" w:eastAsia="黑体" w:hAnsi="黑体" w:hint="eastAsia"/>
          <w:b w:val="0"/>
        </w:rPr>
        <w:t>国有资本经营预算支出决算情况说明</w:t>
      </w:r>
      <w:bookmarkEnd w:id="46"/>
      <w:bookmarkEnd w:id="47"/>
    </w:p>
    <w:p w:rsidR="001C22D6" w:rsidRDefault="00184C5A">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1C22D6" w:rsidRDefault="001C22D6">
      <w:pPr>
        <w:spacing w:line="580" w:lineRule="exact"/>
        <w:jc w:val="center"/>
        <w:rPr>
          <w:rFonts w:ascii="方正小标宋简体" w:eastAsia="方正小标宋简体" w:hAnsi="方正小标宋简体" w:cs="方正小标宋简体"/>
          <w:sz w:val="44"/>
          <w:szCs w:val="44"/>
        </w:rPr>
      </w:pPr>
    </w:p>
    <w:p w:rsidR="001C22D6" w:rsidRDefault="00184C5A">
      <w:pPr>
        <w:spacing w:line="600" w:lineRule="exact"/>
        <w:ind w:firstLineChars="250" w:firstLine="800"/>
        <w:outlineLvl w:val="1"/>
        <w:rPr>
          <w:rStyle w:val="2Char"/>
          <w:rFonts w:ascii="黑体" w:eastAsia="黑体" w:hAnsi="黑体"/>
        </w:rPr>
      </w:pPr>
      <w:bookmarkStart w:id="48" w:name="_Toc15377221"/>
      <w:bookmarkStart w:id="49"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1C22D6" w:rsidRDefault="00184C5A">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1C22D6" w:rsidRDefault="00184C5A">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9年，机关运行经费支出6.22万元，比</w:t>
      </w:r>
      <w:r>
        <w:rPr>
          <w:rFonts w:ascii="仿宋_GB2312" w:eastAsia="仿宋_GB2312"/>
          <w:color w:val="000000"/>
          <w:sz w:val="32"/>
          <w:szCs w:val="32"/>
        </w:rPr>
        <w:t>201</w:t>
      </w:r>
      <w:r>
        <w:rPr>
          <w:rFonts w:ascii="仿宋_GB2312" w:eastAsia="仿宋_GB2312" w:hint="eastAsia"/>
          <w:color w:val="000000"/>
          <w:sz w:val="32"/>
          <w:szCs w:val="32"/>
        </w:rPr>
        <w:t>8年减少5.22万元，下降45.63</w:t>
      </w:r>
      <w:r>
        <w:rPr>
          <w:rFonts w:ascii="仿宋_GB2312" w:eastAsia="仿宋_GB2312"/>
          <w:color w:val="000000"/>
          <w:sz w:val="32"/>
          <w:szCs w:val="32"/>
        </w:rPr>
        <w:t>%</w:t>
      </w:r>
      <w:r>
        <w:rPr>
          <w:rFonts w:ascii="仿宋_GB2312" w:eastAsia="仿宋_GB2312" w:hint="eastAsia"/>
          <w:color w:val="000000"/>
          <w:sz w:val="32"/>
          <w:szCs w:val="32"/>
        </w:rPr>
        <w:t>，,小于与</w:t>
      </w:r>
      <w:r>
        <w:rPr>
          <w:rFonts w:ascii="仿宋_GB2312" w:eastAsia="仿宋_GB2312"/>
          <w:color w:val="000000"/>
          <w:sz w:val="32"/>
          <w:szCs w:val="32"/>
        </w:rPr>
        <w:t>201</w:t>
      </w:r>
      <w:r>
        <w:rPr>
          <w:rFonts w:ascii="仿宋_GB2312" w:eastAsia="仿宋_GB2312" w:hint="eastAsia"/>
          <w:color w:val="000000"/>
          <w:sz w:val="32"/>
          <w:szCs w:val="32"/>
        </w:rPr>
        <w:t>8年决算数主要原因是正常收支变动。</w:t>
      </w:r>
    </w:p>
    <w:p w:rsidR="001C22D6" w:rsidRDefault="00184C5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1C22D6" w:rsidRDefault="00184C5A">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区公共资源交易服务中心政府采购支出总额75.79万元，其中：政府采购货物支出75.79万元、政府采购工程支出0万元、政府采购服务支出0万元。主要用于各乡镇、街道办农村产权交易平台建设。授予中小企业合同金额0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w:t>
      </w:r>
    </w:p>
    <w:p w:rsidR="001C22D6" w:rsidRDefault="00184C5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t>（三）国有资产占有使用情况</w:t>
      </w:r>
      <w:bookmarkEnd w:id="52"/>
    </w:p>
    <w:p w:rsidR="001C22D6" w:rsidRDefault="00184C5A">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日，0共有车辆0辆，其中：主要领导干部用车0辆、机要通信用车0辆、应急保障用车0辆、其他用车0辆。单价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w:t>
      </w:r>
      <w:r>
        <w:rPr>
          <w:rFonts w:ascii="仿宋_GB2312" w:eastAsia="仿宋_GB2312" w:hint="eastAsia"/>
          <w:color w:val="000000"/>
          <w:sz w:val="32"/>
          <w:szCs w:val="32"/>
        </w:rPr>
        <w:lastRenderedPageBreak/>
        <w:t>以上专用设备0台（套）。</w:t>
      </w:r>
      <w:bookmarkStart w:id="53" w:name="_GoBack"/>
      <w:bookmarkEnd w:id="53"/>
    </w:p>
    <w:p w:rsidR="001C22D6" w:rsidRDefault="00184C5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C22D6" w:rsidRDefault="00184C5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中心在年初预算编制阶段，组织对大厅维保费项目开展了预算事前绩效评估，对1个项目编制了绩效目标，预算执行过程中，选取1个项目开展绩效监控，年终执行完毕后，对1个项目开展了绩效目标完成情况梳理填报。</w:t>
      </w:r>
    </w:p>
    <w:p w:rsidR="001C22D6" w:rsidRDefault="00184C5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安全有保障，全年无安全事故，为广大群众提供良好的政务服务环境。本部门还自行组织了1个项目支出绩效评价，从评价情况来看确保三大设备设施安全有效运转，给办事群众提供舒适安全的办事场所。</w:t>
      </w:r>
    </w:p>
    <w:p w:rsidR="001C22D6" w:rsidRDefault="00184C5A">
      <w:pPr>
        <w:numPr>
          <w:ilvl w:val="0"/>
          <w:numId w:val="4"/>
        </w:num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项目绩效目标完成情况</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本部门在2019年度部门决算中反映“大厅维保费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1个项目绩效目标实际完成情况。</w:t>
      </w:r>
    </w:p>
    <w:p w:rsidR="001C22D6" w:rsidRDefault="00184C5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（1）“大厅维保费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情况综述。项目全年预算数5.2万元，执行数为1.79万元，完成预算的34.42%。通过项目实施，保障大厅消防设施、电梯、空调、正常安全运行，方便了办事群众及工作人员、并为群众提供了舒适安全的办事场所。</w:t>
      </w:r>
    </w:p>
    <w:p w:rsidR="001C22D6" w:rsidRDefault="001C22D6">
      <w:pPr>
        <w:spacing w:line="580" w:lineRule="exact"/>
        <w:ind w:firstLineChars="200" w:firstLine="640"/>
        <w:rPr>
          <w:rFonts w:ascii="仿宋_GB2312" w:eastAsia="仿宋_GB2312" w:hAnsi="仿宋_GB2312" w:cs="仿宋_GB2312"/>
          <w:sz w:val="32"/>
          <w:szCs w:val="32"/>
        </w:rPr>
      </w:pPr>
    </w:p>
    <w:p w:rsidR="001C22D6" w:rsidRDefault="001C22D6">
      <w:pPr>
        <w:spacing w:line="580" w:lineRule="exact"/>
        <w:ind w:firstLineChars="200" w:firstLine="640"/>
        <w:rPr>
          <w:rFonts w:ascii="仿宋_GB2312" w:eastAsia="仿宋_GB2312" w:hAnsi="仿宋_GB2312" w:cs="仿宋_GB2312"/>
          <w:sz w:val="32"/>
          <w:szCs w:val="32"/>
        </w:rPr>
      </w:pPr>
    </w:p>
    <w:p w:rsidR="001C22D6" w:rsidRDefault="001C22D6">
      <w:pPr>
        <w:spacing w:line="580" w:lineRule="exact"/>
        <w:ind w:firstLineChars="200" w:firstLine="640"/>
        <w:rPr>
          <w:rFonts w:ascii="仿宋_GB2312" w:eastAsia="仿宋_GB2312" w:hAnsi="仿宋_GB2312" w:cs="仿宋_GB2312"/>
          <w:sz w:val="32"/>
          <w:szCs w:val="32"/>
        </w:rPr>
      </w:pPr>
    </w:p>
    <w:p w:rsidR="001C22D6" w:rsidRDefault="001C22D6">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1C22D6">
        <w:trPr>
          <w:trHeight w:val="1034"/>
          <w:jc w:val="center"/>
        </w:trPr>
        <w:tc>
          <w:tcPr>
            <w:tcW w:w="9960" w:type="dxa"/>
            <w:gridSpan w:val="6"/>
            <w:tcBorders>
              <w:top w:val="nil"/>
              <w:left w:val="nil"/>
              <w:bottom w:val="nil"/>
              <w:right w:val="nil"/>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22D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大厅维保费</w:t>
            </w:r>
          </w:p>
        </w:tc>
      </w:tr>
      <w:tr w:rsidR="001C22D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广元市利州区公共资源交易服务中心</w:t>
            </w:r>
          </w:p>
        </w:tc>
      </w:tr>
      <w:tr w:rsidR="001C22D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5.2万元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1.79万元</w:t>
            </w:r>
          </w:p>
        </w:tc>
      </w:tr>
      <w:tr w:rsidR="001C22D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5.2万元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1.79万元</w:t>
            </w:r>
          </w:p>
        </w:tc>
      </w:tr>
      <w:tr w:rsidR="001C22D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jc w:val="center"/>
              <w:rPr>
                <w:rFonts w:ascii="宋体" w:hAnsi="宋体" w:cs="宋体"/>
                <w:color w:val="000000"/>
                <w:sz w:val="24"/>
              </w:rPr>
            </w:pPr>
          </w:p>
        </w:tc>
      </w:tr>
      <w:tr w:rsidR="001C22D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22D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color w:val="000000"/>
                <w:sz w:val="24"/>
              </w:rPr>
              <w:t>确保消防设施、电梯、空调、正常安全运行，为工作人员及办事群众提供良好的工作及办事环境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tabs>
                <w:tab w:val="left" w:pos="706"/>
              </w:tabs>
              <w:jc w:val="left"/>
              <w:textAlignment w:val="center"/>
              <w:rPr>
                <w:rFonts w:ascii="宋体" w:hAnsi="宋体" w:cs="宋体"/>
                <w:color w:val="000000"/>
                <w:sz w:val="24"/>
              </w:rPr>
            </w:pPr>
            <w:r>
              <w:rPr>
                <w:rFonts w:ascii="宋体" w:hAnsi="宋体" w:cs="宋体" w:hint="eastAsia"/>
                <w:color w:val="000000"/>
                <w:sz w:val="24"/>
              </w:rPr>
              <w:tab/>
              <w:t>安全有保障，全年无安全事故</w:t>
            </w:r>
          </w:p>
        </w:tc>
      </w:tr>
      <w:tr w:rsidR="001C22D6">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22D6">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大厅空调、消防、电梯定期维护检测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确保三大设备设施安全有效运转</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确保三大设备设施安全有效运转</w:t>
            </w:r>
          </w:p>
        </w:tc>
      </w:tr>
      <w:tr w:rsidR="001C22D6">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确保消防设施、电梯正常安全运行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为工作人员及办事群众提供良好的工作及办事环境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为工作人员及办事群众提供良好的工作及办事环境</w:t>
            </w:r>
          </w:p>
        </w:tc>
      </w:tr>
      <w:tr w:rsidR="001C22D6">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及时维修维护</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给办事群众提供舒适安全的办事场所</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给办事群众提供舒适安全的办事场所</w:t>
            </w:r>
          </w:p>
        </w:tc>
      </w:tr>
      <w:tr w:rsidR="001C22D6">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方便群众办事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为广大群众提供良好的政务服务环境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为广大群众提供良好的政务服务环境</w:t>
            </w:r>
          </w:p>
        </w:tc>
      </w:tr>
      <w:tr w:rsidR="001C22D6">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C22D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安全有保障，全年元安全事故。</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安全有保障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22D6" w:rsidRDefault="00184C5A">
            <w:pPr>
              <w:widowControl/>
              <w:jc w:val="center"/>
              <w:textAlignment w:val="center"/>
              <w:rPr>
                <w:rFonts w:ascii="宋体" w:hAnsi="宋体" w:cs="宋体"/>
                <w:color w:val="000000"/>
                <w:sz w:val="24"/>
              </w:rPr>
            </w:pPr>
            <w:r>
              <w:rPr>
                <w:rFonts w:ascii="宋体" w:hAnsi="宋体" w:cs="宋体" w:hint="eastAsia"/>
                <w:color w:val="000000"/>
                <w:sz w:val="24"/>
              </w:rPr>
              <w:t>群众满意度达到100%</w:t>
            </w:r>
          </w:p>
        </w:tc>
      </w:tr>
    </w:tbl>
    <w:p w:rsidR="001C22D6" w:rsidRDefault="001C22D6">
      <w:pPr>
        <w:spacing w:line="580" w:lineRule="exact"/>
        <w:ind w:left="630"/>
        <w:rPr>
          <w:rFonts w:ascii="仿宋_GB2312" w:eastAsia="仿宋_GB2312" w:hAnsi="仿宋_GB2312" w:cs="仿宋_GB2312"/>
          <w:sz w:val="32"/>
          <w:szCs w:val="32"/>
        </w:rPr>
      </w:pPr>
    </w:p>
    <w:p w:rsidR="001C22D6" w:rsidRDefault="001C22D6">
      <w:pPr>
        <w:spacing w:line="580" w:lineRule="exact"/>
        <w:ind w:left="630"/>
        <w:rPr>
          <w:rFonts w:ascii="仿宋_GB2312" w:eastAsia="仿宋_GB2312" w:hAnsi="仿宋_GB2312" w:cs="仿宋_GB2312"/>
          <w:sz w:val="32"/>
          <w:szCs w:val="32"/>
        </w:rPr>
      </w:pPr>
    </w:p>
    <w:p w:rsidR="001C22D6" w:rsidRDefault="00184C5A">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1C22D6" w:rsidRPr="00F35EB4" w:rsidRDefault="00184C5A" w:rsidP="00F35EB4">
      <w:pPr>
        <w:spacing w:line="576" w:lineRule="exact"/>
        <w:rPr>
          <w:rFonts w:ascii="仿宋" w:eastAsia="仿宋" w:hAnsi="仿宋"/>
          <w:color w:val="000000"/>
          <w:sz w:val="32"/>
          <w:szCs w:val="32"/>
        </w:rPr>
      </w:pPr>
      <w:r w:rsidRPr="00F35EB4">
        <w:rPr>
          <w:rFonts w:ascii="仿宋" w:eastAsia="仿宋" w:hAnsi="仿宋" w:hint="eastAsia"/>
          <w:color w:val="000000"/>
          <w:sz w:val="32"/>
          <w:szCs w:val="32"/>
        </w:rPr>
        <w:t>本部门按要求对2019年部门整体支出绩效评价情况开展自评，《广元市利州区公共资源交易服务中心2019年部门整体支出绩效评价报告》见附件（附件1）。</w:t>
      </w:r>
    </w:p>
    <w:p w:rsidR="001C22D6" w:rsidRPr="00F35EB4" w:rsidRDefault="00184C5A" w:rsidP="00F35EB4">
      <w:pPr>
        <w:spacing w:line="576" w:lineRule="exact"/>
        <w:rPr>
          <w:rFonts w:ascii="仿宋" w:eastAsia="仿宋" w:hAnsi="仿宋"/>
          <w:color w:val="000000"/>
          <w:sz w:val="32"/>
          <w:szCs w:val="32"/>
        </w:rPr>
      </w:pPr>
      <w:r w:rsidRPr="00F35EB4">
        <w:rPr>
          <w:rFonts w:ascii="仿宋" w:eastAsia="仿宋" w:hAnsi="仿宋" w:hint="eastAsia"/>
          <w:color w:val="000000"/>
          <w:sz w:val="32"/>
          <w:szCs w:val="32"/>
        </w:rPr>
        <w:t>本部门自行组织对“大厅维保费”项目开展了绩效评价，《广元市利州区公共资源交易服务中心项目2019年绩效评价报告》见附件（附件2）。</w:t>
      </w:r>
    </w:p>
    <w:p w:rsidR="001C22D6" w:rsidRDefault="00184C5A">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C22D6" w:rsidRDefault="00184C5A">
      <w:pPr>
        <w:numPr>
          <w:ilvl w:val="0"/>
          <w:numId w:val="5"/>
        </w:numPr>
        <w:spacing w:line="600" w:lineRule="exact"/>
        <w:ind w:firstLineChars="150" w:firstLine="660"/>
        <w:jc w:val="center"/>
        <w:outlineLvl w:val="0"/>
        <w:rPr>
          <w:rStyle w:val="1Char"/>
          <w:rFonts w:ascii="黑体" w:eastAsia="黑体" w:hAnsi="黑体"/>
          <w:b w:val="0"/>
        </w:rPr>
      </w:pPr>
      <w:bookmarkStart w:id="54" w:name="_Toc15396613"/>
      <w:bookmarkStart w:id="55"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4"/>
      <w:bookmarkEnd w:id="55"/>
    </w:p>
    <w:p w:rsidR="001C22D6" w:rsidRDefault="001C22D6">
      <w:pPr>
        <w:spacing w:line="600" w:lineRule="exact"/>
        <w:jc w:val="left"/>
        <w:rPr>
          <w:rFonts w:ascii="宋体"/>
          <w:b/>
          <w:color w:val="000000"/>
          <w:sz w:val="44"/>
          <w:szCs w:val="44"/>
        </w:rPr>
      </w:pP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9.一般公共服务支出（201）政府办公厅（室）及相关机构事务（03）行政运行（01）：反映行政单位(包括实行</w:t>
      </w:r>
      <w:r>
        <w:rPr>
          <w:rFonts w:ascii="仿宋_GB2312" w:eastAsia="仿宋_GB2312" w:hint="eastAsia"/>
          <w:sz w:val="32"/>
          <w:szCs w:val="32"/>
        </w:rPr>
        <w:lastRenderedPageBreak/>
        <w:t>公务员管理的事业单位)的基本支出。</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10.社会保障和就业支出（208）行政事业单位离退休（05）机关事业单位基本养老保险缴费支出（05）：反映机关事业单位实施养老保险制度由单位缴纳的基本养老保险费支出。</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医疗卫生与计划生育支出（210）行政事业单位医疗（11）事业单位医疗（02）：反映财政部门集中安排的事业单位基本医疗保险缴费经费，未参加医疗保险的事业单位的公费医疗经费，按国家规定享受离休人员待遇的医疗经费。</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12.住房保障支出（221）住房改革支出（02）住房公积金（01）：反映行政事业单位按人力资源和社会保障部、财政部规定的基本工资和津贴补贴以及规定比例为职工缴纳的住房公积金。</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13.基本支出：指为保障机构正常运转、完成日常工作任务而发生的人员支出和公用支出。</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14.项目支出：指在基本支出之外为完成特定行政任务和事业发展目标所发生的支出。 </w:t>
      </w:r>
    </w:p>
    <w:p w:rsidR="001C22D6" w:rsidRDefault="00184C5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15.经营支出：指事业单位在专业业务活动及其辅助活动之外开展非独立核算经营活动发生的支出。</w:t>
      </w:r>
    </w:p>
    <w:p w:rsidR="001C22D6" w:rsidRDefault="00184C5A">
      <w:pPr>
        <w:ind w:firstLineChars="200" w:firstLine="640"/>
        <w:rPr>
          <w:rFonts w:ascii="仿宋_GB2312" w:eastAsia="仿宋_GB2312"/>
          <w:color w:val="000000"/>
          <w:sz w:val="32"/>
          <w:szCs w:val="32"/>
        </w:rPr>
      </w:pPr>
      <w:r>
        <w:rPr>
          <w:rFonts w:ascii="仿宋_GB2312" w:eastAsia="仿宋_GB2312" w:hint="eastAsia"/>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w:t>
      </w:r>
    </w:p>
    <w:p w:rsidR="001C22D6" w:rsidRDefault="00184C5A">
      <w:pPr>
        <w:spacing w:line="600" w:lineRule="exact"/>
        <w:jc w:val="center"/>
        <w:outlineLvl w:val="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w:t>
      </w:r>
      <w:r>
        <w:rPr>
          <w:rFonts w:ascii="仿宋_GB2312" w:eastAsia="仿宋_GB2312" w:hint="eastAsia"/>
          <w:sz w:val="32"/>
          <w:szCs w:val="32"/>
        </w:rPr>
        <w:lastRenderedPageBreak/>
        <w:t>公及印刷费、邮电费、差旅费、会议费、福利费、日常维修费、专用材料及一般设备购置费、办公用房水电费、办公用房取暖费、办公用房物业管理费、公务用车运行维护费以及</w:t>
      </w:r>
    </w:p>
    <w:p w:rsidR="001C22D6" w:rsidRDefault="00184C5A">
      <w:pPr>
        <w:spacing w:line="600" w:lineRule="exact"/>
        <w:outlineLvl w:val="0"/>
        <w:rPr>
          <w:rFonts w:ascii="仿宋_GB2312" w:eastAsia="仿宋_GB2312"/>
          <w:sz w:val="32"/>
          <w:szCs w:val="32"/>
        </w:rPr>
      </w:pPr>
      <w:r>
        <w:rPr>
          <w:rFonts w:ascii="仿宋_GB2312" w:eastAsia="仿宋_GB2312" w:hint="eastAsia"/>
          <w:sz w:val="32"/>
          <w:szCs w:val="32"/>
        </w:rPr>
        <w:t>其他费用。</w:t>
      </w:r>
      <w:bookmarkStart w:id="56" w:name="_Toc15396614"/>
      <w:bookmarkStart w:id="57" w:name="_Toc15377226"/>
    </w:p>
    <w:p w:rsidR="001C22D6" w:rsidRDefault="001C22D6">
      <w:pPr>
        <w:spacing w:line="600" w:lineRule="exact"/>
        <w:jc w:val="center"/>
        <w:outlineLvl w:val="0"/>
        <w:rPr>
          <w:rFonts w:ascii="黑体" w:eastAsia="黑体" w:hAnsi="黑体"/>
          <w:color w:val="000000"/>
          <w:sz w:val="44"/>
          <w:szCs w:val="44"/>
        </w:rPr>
      </w:pPr>
    </w:p>
    <w:p w:rsidR="001C22D6" w:rsidRDefault="001C22D6">
      <w:pPr>
        <w:spacing w:line="600" w:lineRule="exact"/>
        <w:jc w:val="center"/>
        <w:outlineLvl w:val="0"/>
        <w:rPr>
          <w:rFonts w:ascii="黑体" w:eastAsia="黑体" w:hAnsi="黑体"/>
          <w:color w:val="000000"/>
          <w:sz w:val="44"/>
          <w:szCs w:val="44"/>
        </w:rPr>
      </w:pPr>
    </w:p>
    <w:p w:rsidR="001C22D6" w:rsidRDefault="001C22D6">
      <w:pPr>
        <w:spacing w:line="600" w:lineRule="exact"/>
        <w:jc w:val="center"/>
        <w:outlineLvl w:val="0"/>
        <w:rPr>
          <w:rFonts w:ascii="黑体" w:eastAsia="黑体" w:hAnsi="黑体"/>
          <w:color w:val="000000"/>
          <w:sz w:val="44"/>
          <w:szCs w:val="44"/>
        </w:rPr>
      </w:pPr>
    </w:p>
    <w:p w:rsidR="001C22D6" w:rsidRDefault="001C22D6">
      <w:pPr>
        <w:spacing w:line="600" w:lineRule="exact"/>
        <w:jc w:val="center"/>
        <w:outlineLvl w:val="0"/>
        <w:rPr>
          <w:rFonts w:ascii="黑体" w:eastAsia="黑体" w:hAnsi="黑体"/>
          <w:color w:val="000000"/>
          <w:sz w:val="44"/>
          <w:szCs w:val="44"/>
        </w:rPr>
      </w:pPr>
    </w:p>
    <w:p w:rsidR="001C22D6" w:rsidRDefault="001C22D6">
      <w:pPr>
        <w:spacing w:line="600" w:lineRule="exact"/>
        <w:jc w:val="center"/>
        <w:outlineLvl w:val="0"/>
        <w:rPr>
          <w:rFonts w:ascii="黑体" w:eastAsia="黑体" w:hAnsi="黑体"/>
          <w:color w:val="000000"/>
          <w:sz w:val="44"/>
          <w:szCs w:val="44"/>
        </w:rPr>
      </w:pPr>
    </w:p>
    <w:p w:rsidR="001C22D6" w:rsidRDefault="00184C5A">
      <w:pPr>
        <w:spacing w:line="600" w:lineRule="exact"/>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6"/>
    </w:p>
    <w:p w:rsidR="001C22D6" w:rsidRDefault="00184C5A">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1C22D6" w:rsidRDefault="001C22D6">
      <w:pPr>
        <w:spacing w:line="580" w:lineRule="exact"/>
        <w:jc w:val="center"/>
        <w:rPr>
          <w:rFonts w:ascii="方正小标宋简体" w:eastAsia="方正小标宋简体" w:hAnsi="方正小标宋简体" w:cs="方正小标宋简体"/>
          <w:sz w:val="44"/>
          <w:szCs w:val="44"/>
        </w:rPr>
      </w:pPr>
    </w:p>
    <w:p w:rsidR="001C22D6" w:rsidRDefault="00184C5A">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广元市利州区公共资源交易服务中心</w:t>
      </w:r>
    </w:p>
    <w:p w:rsidR="001C22D6" w:rsidRDefault="00184C5A">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1C22D6" w:rsidRDefault="00184C5A">
      <w:pPr>
        <w:widowControl/>
        <w:spacing w:line="580" w:lineRule="exact"/>
        <w:ind w:firstLineChars="200" w:firstLine="640"/>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1C22D6" w:rsidRDefault="001C22D6">
      <w:pPr>
        <w:widowControl/>
        <w:adjustRightInd w:val="0"/>
        <w:snapToGrid w:val="0"/>
        <w:spacing w:line="580" w:lineRule="exact"/>
        <w:ind w:firstLineChars="200" w:firstLine="480"/>
        <w:jc w:val="left"/>
        <w:rPr>
          <w:rFonts w:ascii="黑体" w:eastAsia="黑体" w:hAnsi="宋体" w:cs="宋体"/>
          <w:color w:val="000000"/>
          <w:kern w:val="0"/>
          <w:sz w:val="24"/>
          <w:szCs w:val="32"/>
          <w:shd w:val="clear" w:color="auto" w:fill="FFFFFF"/>
        </w:rPr>
      </w:pPr>
    </w:p>
    <w:p w:rsidR="001C22D6" w:rsidRDefault="00184C5A">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1C22D6" w:rsidRDefault="00184C5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区公共资源交易服务中心属一级预算单位，内设综合受理股，交易组织股，交易评审股，交易监督股。</w:t>
      </w:r>
    </w:p>
    <w:p w:rsidR="001C22D6" w:rsidRDefault="00184C5A">
      <w:pPr>
        <w:widowControl/>
        <w:numPr>
          <w:ilvl w:val="0"/>
          <w:numId w:val="6"/>
        </w:numPr>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1、贯彻实施公共资源交易服务相关法律、法规和政策，为公共资源交易活动提供场所、设施和服务。</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2、制定公共资源交易现场管理规章制度、工作流程并组织实施，指导全区公共资源交易活动现场和管理工作。</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3、承担全区工程建设招投标现场服务和管理工作，负责政府采购活动现场服务和管理工作，负责国有产权、特许经营权出（转）让等现场服务和管理工作，负责国有土地、矿业权出（转）让提供交易服务。</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4、承担区公共资源交易中心信息技术平台建设和管理；按照有关规定发布场内交易信息，为交易各方提供交易资讯、鉴证等服务。</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5、查验进场交易项目相关手续和参与交易活动各方主体资格。</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6、建立公共资源交易从业者场内信誉评价制度，协助有关部门建立公共资源交易信用评价体系。</w:t>
      </w:r>
    </w:p>
    <w:p w:rsidR="001C22D6" w:rsidRDefault="00184C5A" w:rsidP="00AA369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7、负责项目交易现场监督管理工作，记录、制止和纠正违反交易现场管理制度的行为，接受有关咨询、投诉，并按职责分工及时处理。</w:t>
      </w:r>
    </w:p>
    <w:p w:rsidR="001C22D6" w:rsidRDefault="00184C5A" w:rsidP="00AA369A">
      <w:pPr>
        <w:pStyle w:val="a3"/>
        <w:adjustRightInd w:val="0"/>
        <w:snapToGrid w:val="0"/>
        <w:spacing w:before="93" w:line="600" w:lineRule="exact"/>
        <w:ind w:firstLineChars="210" w:firstLine="672"/>
        <w:outlineLvl w:val="2"/>
        <w:rPr>
          <w:rFonts w:hAnsi="宋体" w:cs="宋体"/>
          <w:color w:val="000000"/>
          <w:sz w:val="32"/>
          <w:szCs w:val="32"/>
          <w:shd w:val="clear" w:color="auto" w:fill="FFFFFF"/>
        </w:rPr>
      </w:pPr>
      <w:r>
        <w:rPr>
          <w:rFonts w:ascii="仿宋" w:eastAsia="仿宋" w:hAnsi="仿宋" w:hint="eastAsia"/>
          <w:bCs/>
          <w:color w:val="000000"/>
          <w:sz w:val="32"/>
          <w:szCs w:val="32"/>
        </w:rPr>
        <w:t>8、承办区政府交办的其他事项。</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 w:eastAsia="仿宋" w:hAnsi="仿宋" w:cs="仿宋_GB2312" w:hint="eastAsia"/>
          <w:sz w:val="32"/>
          <w:szCs w:val="32"/>
        </w:rPr>
        <w:t>广元市利州区公共资源交易中心共有编制数9名。事业人员9名。</w:t>
      </w:r>
    </w:p>
    <w:p w:rsidR="001C22D6" w:rsidRDefault="00184C5A">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D526B6" w:rsidRDefault="00184C5A"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2019年</w:t>
      </w:r>
      <w:r w:rsidR="00D526B6">
        <w:rPr>
          <w:rFonts w:ascii="仿宋" w:eastAsia="仿宋" w:hAnsi="仿宋" w:hint="eastAsia"/>
          <w:color w:val="000000"/>
          <w:sz w:val="32"/>
          <w:szCs w:val="32"/>
        </w:rPr>
        <w:t>收入合计113.48万元，其中：一般公共预算财政拨款</w:t>
      </w:r>
      <w:r w:rsidR="00D526B6" w:rsidRPr="00D526B6">
        <w:rPr>
          <w:rFonts w:ascii="仿宋_GB2312" w:eastAsia="仿宋_GB2312" w:hAnsi="宋体" w:cs="宋体" w:hint="eastAsia"/>
          <w:color w:val="000000"/>
          <w:kern w:val="0"/>
          <w:sz w:val="32"/>
          <w:szCs w:val="32"/>
          <w:shd w:val="clear" w:color="auto" w:fill="FFFFFF"/>
          <w:lang w:val="zh-CN"/>
        </w:rPr>
        <w:t>收入113.47万元，占99.99</w:t>
      </w:r>
      <w:r w:rsidR="00D526B6" w:rsidRPr="00D526B6">
        <w:rPr>
          <w:rFonts w:ascii="仿宋_GB2312" w:eastAsia="仿宋_GB2312" w:hAnsi="宋体" w:cs="宋体"/>
          <w:color w:val="000000"/>
          <w:kern w:val="0"/>
          <w:sz w:val="32"/>
          <w:szCs w:val="32"/>
          <w:shd w:val="clear" w:color="auto" w:fill="FFFFFF"/>
          <w:lang w:val="zh-CN"/>
        </w:rPr>
        <w:t>%</w:t>
      </w:r>
      <w:r w:rsidR="00D526B6" w:rsidRPr="00D526B6">
        <w:rPr>
          <w:rFonts w:ascii="仿宋_GB2312" w:eastAsia="仿宋_GB2312" w:hAnsi="宋体" w:cs="宋体" w:hint="eastAsia"/>
          <w:color w:val="000000"/>
          <w:kern w:val="0"/>
          <w:sz w:val="32"/>
          <w:szCs w:val="32"/>
          <w:shd w:val="clear" w:color="auto" w:fill="FFFFFF"/>
          <w:lang w:val="zh-CN"/>
        </w:rPr>
        <w:t>；其他收</w:t>
      </w:r>
      <w:r w:rsidR="00D526B6">
        <w:rPr>
          <w:rFonts w:ascii="仿宋" w:eastAsia="仿宋" w:hAnsi="仿宋" w:hint="eastAsia"/>
          <w:color w:val="000000"/>
          <w:sz w:val="32"/>
          <w:szCs w:val="32"/>
        </w:rPr>
        <w:t>入0.01万元，占0.01</w:t>
      </w:r>
      <w:r w:rsidR="00D526B6">
        <w:rPr>
          <w:rFonts w:ascii="仿宋" w:eastAsia="仿宋" w:hAnsi="仿宋"/>
          <w:color w:val="000000"/>
          <w:sz w:val="32"/>
          <w:szCs w:val="32"/>
        </w:rPr>
        <w:t>%</w:t>
      </w:r>
      <w:r w:rsidR="00D526B6">
        <w:rPr>
          <w:rFonts w:ascii="仿宋" w:eastAsia="仿宋" w:hAnsi="仿宋" w:hint="eastAsia"/>
          <w:color w:val="000000"/>
          <w:sz w:val="32"/>
          <w:szCs w:val="32"/>
        </w:rPr>
        <w:t>。</w:t>
      </w:r>
    </w:p>
    <w:p w:rsidR="001C22D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（二）</w:t>
      </w:r>
      <w:r w:rsidR="00184C5A">
        <w:rPr>
          <w:rFonts w:ascii="仿宋_GB2312" w:eastAsia="仿宋_GB2312" w:hAnsi="宋体" w:cs="宋体" w:hint="eastAsia"/>
          <w:color w:val="000000"/>
          <w:kern w:val="0"/>
          <w:sz w:val="32"/>
          <w:szCs w:val="32"/>
          <w:shd w:val="clear" w:color="auto" w:fill="FFFFFF"/>
          <w:lang w:val="zh-CN"/>
        </w:rPr>
        <w:t>部门财政资金支出情况。</w:t>
      </w:r>
    </w:p>
    <w:p w:rsidR="001C22D6" w:rsidRDefault="00184C5A">
      <w:pPr>
        <w:widowControl/>
        <w:adjustRightInd w:val="0"/>
        <w:snapToGrid w:val="0"/>
        <w:spacing w:line="580" w:lineRule="exact"/>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2019年</w:t>
      </w:r>
      <w:r w:rsidR="00D526B6">
        <w:rPr>
          <w:rFonts w:ascii="仿宋" w:eastAsia="仿宋" w:hAnsi="仿宋" w:hint="eastAsia"/>
          <w:color w:val="000000"/>
          <w:sz w:val="32"/>
          <w:szCs w:val="32"/>
        </w:rPr>
        <w:t>支出合计118.05万元，其中：基本支出108.49万元，占92</w:t>
      </w:r>
      <w:r w:rsidR="00D526B6">
        <w:rPr>
          <w:rFonts w:ascii="仿宋" w:eastAsia="仿宋" w:hAnsi="仿宋"/>
          <w:color w:val="000000"/>
          <w:sz w:val="32"/>
          <w:szCs w:val="32"/>
        </w:rPr>
        <w:t>%</w:t>
      </w:r>
      <w:r w:rsidR="00D526B6">
        <w:rPr>
          <w:rFonts w:ascii="仿宋" w:eastAsia="仿宋" w:hAnsi="仿宋" w:hint="eastAsia"/>
          <w:color w:val="000000"/>
          <w:sz w:val="32"/>
          <w:szCs w:val="32"/>
        </w:rPr>
        <w:t>；项目支出9.56万元，占8</w:t>
      </w:r>
      <w:r w:rsidR="00D526B6">
        <w:rPr>
          <w:rFonts w:ascii="仿宋" w:eastAsia="仿宋" w:hAnsi="仿宋"/>
          <w:color w:val="000000"/>
          <w:sz w:val="32"/>
          <w:szCs w:val="32"/>
        </w:rPr>
        <w:t>%</w:t>
      </w:r>
    </w:p>
    <w:p w:rsidR="00D526B6" w:rsidRPr="00D526B6" w:rsidRDefault="00D526B6" w:rsidP="00D526B6">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sidRPr="00D526B6">
        <w:rPr>
          <w:rFonts w:ascii="黑体" w:eastAsia="黑体" w:hAnsi="宋体" w:cs="宋体" w:hint="eastAsia"/>
          <w:color w:val="000000"/>
          <w:kern w:val="0"/>
          <w:sz w:val="32"/>
          <w:szCs w:val="32"/>
          <w:shd w:val="clear" w:color="auto" w:fill="FFFFFF"/>
        </w:rPr>
        <w:t>三、部门整体预算绩效管理情况</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黑体" w:eastAsia="黑体" w:hAnsi="宋体" w:cs="宋体" w:hint="eastAsia"/>
          <w:color w:val="000000"/>
          <w:kern w:val="0"/>
          <w:sz w:val="32"/>
          <w:szCs w:val="32"/>
          <w:shd w:val="clear" w:color="auto" w:fill="FFFFFF"/>
        </w:rPr>
        <w:tab/>
        <w:t>（</w:t>
      </w:r>
      <w:r w:rsidRPr="00D526B6">
        <w:rPr>
          <w:rFonts w:ascii="仿宋_GB2312" w:eastAsia="仿宋_GB2312" w:hAnsi="宋体" w:cs="宋体" w:hint="eastAsia"/>
          <w:color w:val="000000"/>
          <w:kern w:val="0"/>
          <w:sz w:val="32"/>
          <w:szCs w:val="32"/>
          <w:shd w:val="clear" w:color="auto" w:fill="FFFFFF"/>
        </w:rPr>
        <w:t>一）部门预算管理。</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认真制定绩效目标、计划目标完成情况、预算编制准确、严格控制支出、预算动态调整、按进度执行、预算完成情况良好，无违规事件。</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（二）结果应用情况。</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我们对预算执行情况进行了详细地自评、管理情况良好，各种资金使用公正公开，不违规违纪，社会满意度良好。</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四、评价结论及建议</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（一）评价结论：按照预算绩效管理要求，我中心顺利完成了绩效目标考核。</w:t>
      </w:r>
    </w:p>
    <w:p w:rsidR="00D526B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ab/>
        <w:t>（二）存在问题：绩效管理工作创新不够，方法和制度上都还有待进一步加强。</w:t>
      </w:r>
    </w:p>
    <w:p w:rsidR="001C22D6" w:rsidRPr="00D526B6" w:rsidRDefault="00D526B6" w:rsidP="00D526B6">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sidRPr="00D526B6">
        <w:rPr>
          <w:rFonts w:ascii="仿宋_GB2312" w:eastAsia="仿宋_GB2312" w:hAnsi="宋体" w:cs="宋体" w:hint="eastAsia"/>
          <w:color w:val="000000"/>
          <w:kern w:val="0"/>
          <w:sz w:val="32"/>
          <w:szCs w:val="32"/>
          <w:shd w:val="clear" w:color="auto" w:fill="FFFFFF"/>
        </w:rPr>
        <w:t>（三）改进建议：加强项目精细化管理，向管理要质量、要效益，进一步提升财政资金的使用效益。</w:t>
      </w:r>
      <w:r w:rsidR="00184C5A" w:rsidRPr="00D526B6">
        <w:rPr>
          <w:rFonts w:ascii="仿宋_GB2312" w:eastAsia="仿宋_GB2312" w:hAnsi="宋体" w:cs="宋体" w:hint="eastAsia"/>
          <w:color w:val="000000"/>
          <w:kern w:val="0"/>
          <w:sz w:val="32"/>
          <w:szCs w:val="32"/>
          <w:shd w:val="clear" w:color="auto" w:fill="FFFFFF"/>
        </w:rPr>
        <w:t>三、部门整体预算绩效管理情况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包括部门绩效目标制定、目标实现、预算编制准确、支出控制、预算动态调整、执行进度、预算完成情况和违规记录等情况。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1C22D6" w:rsidRDefault="00184C5A">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2E451E" w:rsidRDefault="002E451E">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按照预算绩效管理要求，我中心顺利完成了绩效目标考核。</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2E451E" w:rsidRDefault="002E451E">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绩效管理工作创新不够，方法和制度都还有待进一步加强。</w:t>
      </w:r>
    </w:p>
    <w:p w:rsidR="001C22D6" w:rsidRDefault="00184C5A">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1C22D6" w:rsidRDefault="002E45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加强项目精细化管理，向管理要质量、要效益，进一步提升财政资金的使用效益。</w:t>
      </w:r>
    </w:p>
    <w:p w:rsidR="001C22D6" w:rsidRDefault="001C22D6">
      <w:pPr>
        <w:spacing w:line="580" w:lineRule="exact"/>
        <w:ind w:firstLineChars="200" w:firstLine="640"/>
        <w:rPr>
          <w:rFonts w:ascii="仿宋_GB2312" w:eastAsia="仿宋_GB2312" w:hAnsi="仿宋_GB2312" w:cs="仿宋_GB2312"/>
          <w:sz w:val="32"/>
          <w:szCs w:val="32"/>
        </w:rPr>
      </w:pPr>
    </w:p>
    <w:p w:rsidR="00D1281D" w:rsidRDefault="00D1281D">
      <w:pPr>
        <w:spacing w:line="580" w:lineRule="exact"/>
        <w:rPr>
          <w:rFonts w:ascii="黑体" w:eastAsia="黑体" w:hAnsi="黑体" w:cs="黑体"/>
          <w:sz w:val="32"/>
          <w:szCs w:val="32"/>
        </w:rPr>
      </w:pPr>
    </w:p>
    <w:p w:rsidR="00D1281D" w:rsidRPr="00D1281D" w:rsidRDefault="00184C5A" w:rsidP="00D1281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2E451E" w:rsidRDefault="002E451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大厅维保费</w:t>
      </w:r>
      <w:r w:rsidR="00184C5A">
        <w:rPr>
          <w:rFonts w:ascii="方正小标宋简体" w:eastAsia="方正小标宋简体" w:hAnsi="宋体" w:hint="eastAsia"/>
          <w:color w:val="000000"/>
          <w:kern w:val="0"/>
          <w:sz w:val="44"/>
          <w:szCs w:val="44"/>
          <w:lang w:val="zh-CN"/>
        </w:rPr>
        <w:t>项目</w:t>
      </w:r>
    </w:p>
    <w:p w:rsidR="001C22D6" w:rsidRDefault="00184C5A">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1C22D6" w:rsidRDefault="001C22D6">
      <w:pPr>
        <w:spacing w:line="600" w:lineRule="exact"/>
        <w:rPr>
          <w:rFonts w:ascii="宋体" w:hAnsi="宋体"/>
          <w:sz w:val="32"/>
          <w:szCs w:val="32"/>
          <w:lang w:val="zh-CN"/>
        </w:rPr>
      </w:pPr>
    </w:p>
    <w:p w:rsidR="001C22D6" w:rsidRDefault="00184C5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E451E" w:rsidRDefault="00F35EB4" w:rsidP="00D1281D">
      <w:pPr>
        <w:adjustRightInd w:val="0"/>
        <w:snapToGrid w:val="0"/>
        <w:spacing w:line="600" w:lineRule="exact"/>
        <w:ind w:firstLine="720"/>
        <w:rPr>
          <w:rFonts w:ascii="仿宋_GB2312" w:eastAsia="仿宋_GB2312" w:hAnsi="宋体"/>
          <w:sz w:val="32"/>
          <w:szCs w:val="32"/>
          <w:lang w:val="zh-CN"/>
        </w:rPr>
      </w:pPr>
      <w:r w:rsidRPr="00F35EB4">
        <w:rPr>
          <w:rFonts w:ascii="仿宋_GB2312" w:eastAsia="仿宋_GB2312" w:hAnsi="宋体" w:hint="eastAsia"/>
          <w:sz w:val="32"/>
          <w:szCs w:val="32"/>
          <w:lang w:val="zh-CN"/>
        </w:rPr>
        <w:lastRenderedPageBreak/>
        <w:t>该</w:t>
      </w:r>
      <w:r>
        <w:rPr>
          <w:rFonts w:ascii="仿宋_GB2312" w:eastAsia="仿宋_GB2312" w:hAnsi="宋体" w:hint="eastAsia"/>
          <w:sz w:val="32"/>
          <w:szCs w:val="32"/>
          <w:lang w:val="zh-CN"/>
        </w:rPr>
        <w:t>项目</w:t>
      </w:r>
      <w:r w:rsidR="00A1339C">
        <w:rPr>
          <w:rFonts w:ascii="仿宋_GB2312" w:eastAsia="仿宋_GB2312" w:hAnsi="宋体" w:hint="eastAsia"/>
          <w:sz w:val="32"/>
          <w:szCs w:val="32"/>
          <w:lang w:val="zh-CN"/>
        </w:rPr>
        <w:t>由广元市人民政府政务服务中心统一签订协议，总面积按30000</w:t>
      </w:r>
      <w:r w:rsidR="007906CB">
        <w:rPr>
          <w:rFonts w:ascii="仿宋_GB2312" w:eastAsia="仿宋_GB2312" w:hAnsi="宋体" w:hint="eastAsia"/>
          <w:sz w:val="32"/>
          <w:szCs w:val="32"/>
          <w:lang w:val="zh-CN"/>
        </w:rPr>
        <w:t>㎡</w:t>
      </w:r>
      <w:r w:rsidR="00A1339C">
        <w:rPr>
          <w:rFonts w:ascii="仿宋_GB2312" w:eastAsia="仿宋_GB2312" w:hAnsi="宋体" w:hint="eastAsia"/>
          <w:sz w:val="32"/>
          <w:szCs w:val="32"/>
          <w:lang w:val="zh-CN"/>
        </w:rPr>
        <w:t>计算，市政务中心按25000</w:t>
      </w:r>
      <w:r w:rsidR="007906CB">
        <w:rPr>
          <w:rFonts w:ascii="仿宋_GB2312" w:eastAsia="仿宋_GB2312" w:hAnsi="宋体" w:hint="eastAsia"/>
          <w:sz w:val="32"/>
          <w:szCs w:val="32"/>
          <w:lang w:val="zh-CN"/>
        </w:rPr>
        <w:t>㎡</w:t>
      </w:r>
      <w:r w:rsidR="00A1339C">
        <w:rPr>
          <w:rFonts w:ascii="仿宋_GB2312" w:eastAsia="仿宋_GB2312" w:hAnsi="宋体" w:hint="eastAsia"/>
          <w:sz w:val="32"/>
          <w:szCs w:val="32"/>
          <w:lang w:val="zh-CN"/>
        </w:rPr>
        <w:t>平方米计，将分摊给利州</w:t>
      </w:r>
      <w:r w:rsidR="007906CB">
        <w:rPr>
          <w:rFonts w:ascii="仿宋_GB2312" w:eastAsia="仿宋_GB2312" w:hAnsi="宋体" w:hint="eastAsia"/>
          <w:sz w:val="32"/>
          <w:szCs w:val="32"/>
          <w:lang w:val="zh-CN"/>
        </w:rPr>
        <w:t>区</w:t>
      </w:r>
      <w:r w:rsidR="00A1339C">
        <w:rPr>
          <w:rFonts w:ascii="仿宋_GB2312" w:eastAsia="仿宋_GB2312" w:hAnsi="宋体" w:hint="eastAsia"/>
          <w:sz w:val="32"/>
          <w:szCs w:val="32"/>
          <w:lang w:val="zh-CN"/>
        </w:rPr>
        <w:t>政务中心5000</w:t>
      </w:r>
      <w:r w:rsidR="007906CB">
        <w:rPr>
          <w:rFonts w:ascii="仿宋_GB2312" w:eastAsia="仿宋_GB2312" w:hAnsi="宋体" w:hint="eastAsia"/>
          <w:sz w:val="32"/>
          <w:szCs w:val="32"/>
          <w:lang w:val="zh-CN"/>
        </w:rPr>
        <w:t>㎡</w:t>
      </w:r>
      <w:r w:rsidR="00A1339C">
        <w:rPr>
          <w:rFonts w:ascii="仿宋_GB2312" w:eastAsia="仿宋_GB2312" w:hAnsi="宋体" w:hint="eastAsia"/>
          <w:sz w:val="32"/>
          <w:szCs w:val="32"/>
          <w:lang w:val="zh-CN"/>
        </w:rPr>
        <w:t>计</w:t>
      </w:r>
      <w:r w:rsidR="007906CB">
        <w:rPr>
          <w:rFonts w:ascii="仿宋_GB2312" w:eastAsia="仿宋_GB2312" w:hAnsi="宋体" w:hint="eastAsia"/>
          <w:sz w:val="32"/>
          <w:szCs w:val="32"/>
          <w:lang w:val="zh-CN"/>
        </w:rPr>
        <w:t>。电梯5部，区政务中心承担2部费用，政务中心于2015年7月通过党组会决定市中心分摊的维保费将由交易中心承担。</w:t>
      </w:r>
      <w:r w:rsidR="00D1281D">
        <w:rPr>
          <w:rFonts w:ascii="仿宋_GB2312" w:eastAsia="仿宋_GB2312" w:hAnsi="宋体" w:hint="eastAsia"/>
          <w:sz w:val="32"/>
          <w:szCs w:val="32"/>
          <w:lang w:val="zh-CN"/>
        </w:rPr>
        <w:t>分别承担费用为：（1）空调设备进行维护保养，在空调使用高峰期提前排除隐患，保障空调设备运转正常，空调外机、室内风口每半年清洗一次，冬夏两季对集控系统每月进行维护。（2）电梯每月保养2次，（3）消防设施设备共3个系统；将对这个3个系统进行维护保养。</w:t>
      </w:r>
    </w:p>
    <w:p w:rsidR="00AC5E73" w:rsidRDefault="00D1281D" w:rsidP="00D1281D">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二、评价结论及建议</w:t>
      </w:r>
    </w:p>
    <w:p w:rsidR="00CE3871" w:rsidRPr="00D1281D" w:rsidRDefault="00CE3871" w:rsidP="00D1281D">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仿宋_GB2312" w:cs="仿宋_GB2312" w:hint="eastAsia"/>
          <w:sz w:val="32"/>
          <w:szCs w:val="32"/>
        </w:rPr>
        <w:t>项目全年预算数5.2万元，执行数为1.79万元，完成预算的34.42%。通过项目实施，保障大厅消防设施、电梯、空调、正常安全运行，方便了办事群众及工作人员、并为群众提供了舒适安全的办事场所。</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D1281D" w:rsidTr="00800026">
        <w:trPr>
          <w:trHeight w:val="1034"/>
          <w:jc w:val="center"/>
        </w:trPr>
        <w:tc>
          <w:tcPr>
            <w:tcW w:w="9960" w:type="dxa"/>
            <w:gridSpan w:val="6"/>
            <w:tcBorders>
              <w:top w:val="nil"/>
              <w:left w:val="nil"/>
              <w:bottom w:val="nil"/>
              <w:right w:val="nil"/>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D1281D" w:rsidTr="0080002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大厅维保费</w:t>
            </w:r>
          </w:p>
        </w:tc>
      </w:tr>
      <w:tr w:rsidR="00D1281D" w:rsidTr="0080002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广元市利州区公共资源交易服务中心</w:t>
            </w:r>
          </w:p>
        </w:tc>
      </w:tr>
      <w:tr w:rsidR="00D1281D" w:rsidTr="0080002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5.2万元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1.79万元</w:t>
            </w:r>
          </w:p>
        </w:tc>
      </w:tr>
      <w:tr w:rsidR="00D1281D" w:rsidTr="0080002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5.2万元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1.79万元</w:t>
            </w:r>
          </w:p>
        </w:tc>
      </w:tr>
      <w:tr w:rsidR="00D1281D" w:rsidTr="0080002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jc w:val="center"/>
              <w:rPr>
                <w:rFonts w:ascii="宋体" w:hAnsi="宋体" w:cs="宋体"/>
                <w:color w:val="000000"/>
                <w:sz w:val="24"/>
              </w:rPr>
            </w:pPr>
          </w:p>
        </w:tc>
      </w:tr>
      <w:tr w:rsidR="00D1281D" w:rsidTr="0080002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1281D" w:rsidTr="0080002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color w:val="000000"/>
                <w:sz w:val="24"/>
              </w:rPr>
              <w:t>确保消防设施、电梯、空调、正常安全运行，为工作人员及办事群众提供良好的工作及办事环境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tabs>
                <w:tab w:val="left" w:pos="706"/>
              </w:tabs>
              <w:jc w:val="left"/>
              <w:textAlignment w:val="center"/>
              <w:rPr>
                <w:rFonts w:ascii="宋体" w:hAnsi="宋体" w:cs="宋体"/>
                <w:color w:val="000000"/>
                <w:sz w:val="24"/>
              </w:rPr>
            </w:pPr>
            <w:r>
              <w:rPr>
                <w:rFonts w:ascii="宋体" w:hAnsi="宋体" w:cs="宋体" w:hint="eastAsia"/>
                <w:color w:val="000000"/>
                <w:sz w:val="24"/>
              </w:rPr>
              <w:tab/>
              <w:t>安全有保障，全年无安全事故</w:t>
            </w:r>
          </w:p>
        </w:tc>
      </w:tr>
      <w:tr w:rsidR="00D1281D" w:rsidTr="00800026">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D1281D" w:rsidTr="00800026">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大厅空调、消防、电梯定期维护检测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确保三大设备设施安全有效运转</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确保三大设备设施安全有效运转</w:t>
            </w:r>
          </w:p>
        </w:tc>
      </w:tr>
      <w:tr w:rsidR="00D1281D" w:rsidTr="00800026">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确保消防设施、电梯正常安全运行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为工作人员及办事群众提供良好的工作及办事环境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为工作人员及办事群众提供良好的工作及办事环境</w:t>
            </w:r>
          </w:p>
        </w:tc>
      </w:tr>
      <w:tr w:rsidR="00D1281D" w:rsidTr="00800026">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及时维修维护</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给办事群众提供舒适安全的办事场所</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给办事群众提供舒适安全的办事场所</w:t>
            </w:r>
          </w:p>
        </w:tc>
      </w:tr>
      <w:tr w:rsidR="00D1281D" w:rsidTr="00800026">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方便群众办事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为广大群众提供良好的政务服务环境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281D" w:rsidRDefault="00D1281D" w:rsidP="000E34B7">
            <w:pPr>
              <w:widowControl/>
              <w:jc w:val="center"/>
              <w:textAlignment w:val="center"/>
              <w:rPr>
                <w:rFonts w:ascii="宋体" w:hAnsi="宋体" w:cs="宋体"/>
                <w:color w:val="000000"/>
                <w:sz w:val="24"/>
              </w:rPr>
            </w:pPr>
            <w:r>
              <w:rPr>
                <w:rFonts w:ascii="宋体" w:hAnsi="宋体" w:cs="宋体" w:hint="eastAsia"/>
                <w:color w:val="000000"/>
                <w:sz w:val="24"/>
              </w:rPr>
              <w:t>为广大群众提供良好的政务服务环境</w:t>
            </w:r>
          </w:p>
        </w:tc>
      </w:tr>
      <w:tr w:rsidR="00800026" w:rsidTr="00800026">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hint="eastAsia"/>
                <w:color w:val="000000"/>
                <w:sz w:val="24"/>
              </w:rPr>
            </w:pPr>
            <w:r>
              <w:rPr>
                <w:rFonts w:ascii="宋体" w:hAnsi="宋体" w:cs="宋体" w:hint="eastAsia"/>
                <w:color w:val="000000"/>
                <w:sz w:val="24"/>
              </w:rPr>
              <w:t>安全有保障，全年元安全事故。</w:t>
            </w:r>
          </w:p>
          <w:p w:rsidR="00AC3BE7" w:rsidRDefault="00AC3BE7" w:rsidP="00800026">
            <w:pPr>
              <w:widowControl/>
              <w:jc w:val="center"/>
              <w:textAlignment w:val="center"/>
              <w:rPr>
                <w:rFonts w:ascii="宋体" w:hAnsi="宋体" w:cs="宋体" w:hint="eastAsia"/>
                <w:color w:val="000000"/>
                <w:sz w:val="24"/>
              </w:rPr>
            </w:pPr>
          </w:p>
          <w:p w:rsidR="00AC3BE7" w:rsidRDefault="00AC3BE7" w:rsidP="0080002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color w:val="000000"/>
                <w:sz w:val="24"/>
              </w:rPr>
            </w:pPr>
            <w:r>
              <w:rPr>
                <w:rFonts w:ascii="宋体" w:hAnsi="宋体" w:cs="宋体" w:hint="eastAsia"/>
                <w:color w:val="000000"/>
                <w:sz w:val="24"/>
              </w:rPr>
              <w:t>安全有保障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026" w:rsidRDefault="00800026" w:rsidP="00800026">
            <w:pPr>
              <w:widowControl/>
              <w:jc w:val="center"/>
              <w:textAlignment w:val="center"/>
              <w:rPr>
                <w:rFonts w:ascii="宋体" w:hAnsi="宋体" w:cs="宋体"/>
                <w:color w:val="000000"/>
                <w:sz w:val="24"/>
              </w:rPr>
            </w:pPr>
            <w:r>
              <w:rPr>
                <w:rFonts w:ascii="宋体" w:hAnsi="宋体" w:cs="宋体" w:hint="eastAsia"/>
                <w:color w:val="000000"/>
                <w:sz w:val="24"/>
              </w:rPr>
              <w:t>群众满意度达到100%</w:t>
            </w:r>
          </w:p>
        </w:tc>
      </w:tr>
    </w:tbl>
    <w:p w:rsidR="001F4724" w:rsidRDefault="001F4724" w:rsidP="001F4724">
      <w:pPr>
        <w:spacing w:line="600" w:lineRule="exact"/>
        <w:outlineLvl w:val="0"/>
        <w:rPr>
          <w:rFonts w:ascii="黑体" w:eastAsia="黑体" w:hAnsi="黑体" w:hint="eastAsia"/>
          <w:color w:val="000000"/>
          <w:sz w:val="44"/>
          <w:szCs w:val="44"/>
        </w:rPr>
      </w:pPr>
      <w:bookmarkStart w:id="58" w:name="_Toc15396618"/>
    </w:p>
    <w:p w:rsidR="001F4724" w:rsidRDefault="001F4724" w:rsidP="00AC3BE7">
      <w:pPr>
        <w:spacing w:line="600" w:lineRule="exact"/>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F4724" w:rsidP="001F4724">
      <w:pPr>
        <w:spacing w:line="600" w:lineRule="exact"/>
        <w:jc w:val="center"/>
        <w:outlineLvl w:val="0"/>
        <w:rPr>
          <w:rFonts w:ascii="黑体" w:eastAsia="黑体" w:hAnsi="黑体" w:hint="eastAsia"/>
          <w:color w:val="000000"/>
          <w:sz w:val="44"/>
          <w:szCs w:val="44"/>
        </w:rPr>
      </w:pPr>
    </w:p>
    <w:p w:rsidR="001F4724" w:rsidRDefault="00184C5A" w:rsidP="001F4724">
      <w:pPr>
        <w:spacing w:line="600" w:lineRule="exact"/>
        <w:jc w:val="center"/>
        <w:outlineLvl w:val="0"/>
        <w:rPr>
          <w:rStyle w:val="1Char"/>
          <w:rFonts w:ascii="黑体" w:eastAsia="黑体" w:hAnsi="黑体" w:hint="eastAsia"/>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Start w:id="59" w:name="_Toc15396619"/>
      <w:bookmarkEnd w:id="57"/>
      <w:bookmarkEnd w:id="58"/>
    </w:p>
    <w:p w:rsidR="001C22D6" w:rsidRPr="001F4724" w:rsidRDefault="00184C5A" w:rsidP="001F4724">
      <w:pPr>
        <w:spacing w:line="600" w:lineRule="exact"/>
        <w:outlineLvl w:val="0"/>
        <w:rPr>
          <w:rFonts w:ascii="黑体" w:eastAsia="黑体" w:hAnsi="黑体"/>
          <w:bCs/>
          <w:kern w:val="44"/>
          <w:sz w:val="44"/>
          <w:szCs w:val="44"/>
        </w:rPr>
      </w:pPr>
      <w:r>
        <w:rPr>
          <w:rFonts w:ascii="仿宋" w:eastAsia="仿宋" w:hAnsi="仿宋" w:hint="eastAsia"/>
          <w:color w:val="000000"/>
        </w:rPr>
        <w:t>一、收</w:t>
      </w:r>
      <w:r>
        <w:rPr>
          <w:rStyle w:val="2Char"/>
          <w:rFonts w:ascii="仿宋" w:eastAsia="仿宋" w:hAnsi="仿宋" w:hint="eastAsia"/>
        </w:rPr>
        <w:t>入支出决算总表</w:t>
      </w:r>
      <w:bookmarkEnd w:id="59"/>
    </w:p>
    <w:p w:rsidR="001C22D6" w:rsidRDefault="00184C5A">
      <w:pPr>
        <w:pStyle w:val="2"/>
        <w:rPr>
          <w:rFonts w:ascii="仿宋" w:eastAsia="仿宋" w:hAnsi="仿宋"/>
          <w:color w:val="000000"/>
        </w:rPr>
      </w:pPr>
      <w:bookmarkStart w:id="60" w:name="_Toc15396620"/>
      <w:r>
        <w:rPr>
          <w:rFonts w:ascii="仿宋" w:eastAsia="仿宋" w:hAnsi="仿宋" w:hint="eastAsia"/>
          <w:b w:val="0"/>
          <w:color w:val="000000"/>
        </w:rPr>
        <w:t>二、收</w:t>
      </w:r>
      <w:r>
        <w:rPr>
          <w:rStyle w:val="2Char"/>
          <w:rFonts w:ascii="仿宋" w:eastAsia="仿宋" w:hAnsi="仿宋" w:hint="eastAsia"/>
        </w:rPr>
        <w:t>入决算表</w:t>
      </w:r>
      <w:bookmarkEnd w:id="60"/>
    </w:p>
    <w:p w:rsidR="001C22D6" w:rsidRDefault="00184C5A">
      <w:pPr>
        <w:pStyle w:val="2"/>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1"/>
    </w:p>
    <w:p w:rsidR="001C22D6" w:rsidRDefault="00184C5A">
      <w:pPr>
        <w:pStyle w:val="2"/>
        <w:rPr>
          <w:rFonts w:ascii="仿宋" w:eastAsia="仿宋" w:hAnsi="仿宋"/>
          <w:b w:val="0"/>
          <w:color w:val="000000"/>
        </w:rPr>
      </w:pPr>
      <w:bookmarkStart w:id="6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2"/>
    </w:p>
    <w:p w:rsidR="001C22D6" w:rsidRDefault="00184C5A">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4" w:name="_Toc15396624"/>
      <w:bookmarkEnd w:id="63"/>
    </w:p>
    <w:p w:rsidR="001C22D6" w:rsidRDefault="00184C5A">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1C22D6" w:rsidRDefault="00184C5A">
      <w:pPr>
        <w:pStyle w:val="2"/>
        <w:rPr>
          <w:rFonts w:ascii="仿宋" w:eastAsia="仿宋" w:hAnsi="仿宋"/>
          <w:color w:val="000000"/>
        </w:rPr>
      </w:pPr>
      <w:bookmarkStart w:id="6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5"/>
    </w:p>
    <w:p w:rsidR="001C22D6" w:rsidRDefault="00184C5A">
      <w:pPr>
        <w:pStyle w:val="2"/>
        <w:rPr>
          <w:rFonts w:ascii="仿宋" w:eastAsia="仿宋" w:hAnsi="仿宋"/>
          <w:color w:val="000000"/>
        </w:rPr>
      </w:pPr>
      <w:bookmarkStart w:id="6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1C22D6" w:rsidRDefault="00184C5A">
      <w:pPr>
        <w:pStyle w:val="2"/>
        <w:rPr>
          <w:rFonts w:ascii="仿宋" w:eastAsia="仿宋" w:hAnsi="仿宋"/>
          <w:color w:val="000000"/>
        </w:rPr>
      </w:pPr>
      <w:bookmarkStart w:id="6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1C22D6" w:rsidRDefault="00184C5A">
      <w:pPr>
        <w:pStyle w:val="2"/>
        <w:rPr>
          <w:rFonts w:ascii="仿宋" w:eastAsia="仿宋" w:hAnsi="仿宋"/>
          <w:color w:val="000000"/>
        </w:rPr>
      </w:pPr>
      <w:bookmarkStart w:id="6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8"/>
    </w:p>
    <w:p w:rsidR="001C22D6" w:rsidRDefault="00184C5A">
      <w:pPr>
        <w:pStyle w:val="2"/>
        <w:rPr>
          <w:rFonts w:ascii="仿宋" w:eastAsia="仿宋" w:hAnsi="仿宋"/>
          <w:color w:val="000000"/>
        </w:rPr>
      </w:pPr>
      <w:bookmarkStart w:id="6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9"/>
    </w:p>
    <w:p w:rsidR="001C22D6" w:rsidRDefault="00184C5A">
      <w:pPr>
        <w:pStyle w:val="2"/>
        <w:rPr>
          <w:rFonts w:ascii="仿宋" w:eastAsia="仿宋" w:hAnsi="仿宋"/>
          <w:color w:val="000000"/>
        </w:rPr>
      </w:pPr>
      <w:bookmarkStart w:id="7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0"/>
    </w:p>
    <w:p w:rsidR="001C22D6" w:rsidRDefault="00184C5A">
      <w:pPr>
        <w:pStyle w:val="2"/>
        <w:rPr>
          <w:rFonts w:ascii="仿宋" w:eastAsia="仿宋" w:hAnsi="仿宋"/>
          <w:color w:val="000000"/>
        </w:rPr>
      </w:pPr>
      <w:bookmarkStart w:id="7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1"/>
    </w:p>
    <w:p w:rsidR="001C22D6" w:rsidRDefault="001C22D6"/>
    <w:sectPr w:rsidR="001C22D6" w:rsidSect="001C22D6">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C9" w:rsidRDefault="00265CC9" w:rsidP="001C22D6">
      <w:r>
        <w:separator/>
      </w:r>
    </w:p>
  </w:endnote>
  <w:endnote w:type="continuationSeparator" w:id="1">
    <w:p w:rsidR="00265CC9" w:rsidRDefault="00265CC9" w:rsidP="001C2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84C5A" w:rsidRDefault="005F18C9">
        <w:pPr>
          <w:pStyle w:val="a5"/>
          <w:jc w:val="center"/>
        </w:pPr>
        <w:fldSimple w:instr="PAGE   \* MERGEFORMAT">
          <w:r w:rsidR="00AC3BE7" w:rsidRPr="00AC3BE7">
            <w:rPr>
              <w:noProof/>
              <w:lang w:val="zh-CN"/>
            </w:rPr>
            <w:t>27</w:t>
          </w:r>
        </w:fldSimple>
      </w:p>
    </w:sdtContent>
  </w:sdt>
  <w:p w:rsidR="00184C5A" w:rsidRDefault="00184C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C9" w:rsidRDefault="00265CC9" w:rsidP="001C22D6">
      <w:r>
        <w:separator/>
      </w:r>
    </w:p>
  </w:footnote>
  <w:footnote w:type="continuationSeparator" w:id="1">
    <w:p w:rsidR="00265CC9" w:rsidRDefault="00265CC9" w:rsidP="001C2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A" w:rsidRDefault="00184C5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2"/>
      <w:numFmt w:val="chineseCounting"/>
      <w:suff w:val="nothing"/>
      <w:lvlText w:val="（%1）"/>
      <w:lvlJc w:val="left"/>
    </w:lvl>
  </w:abstractNum>
  <w:abstractNum w:abstractNumId="1">
    <w:nsid w:val="00000007"/>
    <w:multiLevelType w:val="singleLevel"/>
    <w:tmpl w:val="00000007"/>
    <w:lvl w:ilvl="0">
      <w:start w:val="9"/>
      <w:numFmt w:val="chineseCounting"/>
      <w:suff w:val="nothing"/>
      <w:lvlText w:val="%1、"/>
      <w:lvlJc w:val="left"/>
      <w:rPr>
        <w:rFonts w:hint="eastAsia"/>
      </w:rPr>
    </w:lvl>
  </w:abstractNum>
  <w:abstractNum w:abstractNumId="2">
    <w:nsid w:val="00000008"/>
    <w:multiLevelType w:val="singleLevel"/>
    <w:tmpl w:val="00000008"/>
    <w:lvl w:ilvl="0">
      <w:start w:val="1"/>
      <w:numFmt w:val="decimal"/>
      <w:suff w:val="nothing"/>
      <w:lvlText w:val="%1."/>
      <w:lvlJc w:val="left"/>
    </w:lvl>
  </w:abstractNum>
  <w:abstractNum w:abstractNumId="3">
    <w:nsid w:val="00000009"/>
    <w:multiLevelType w:val="multilevel"/>
    <w:tmpl w:val="00000009"/>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000000A"/>
    <w:multiLevelType w:val="singleLevel"/>
    <w:tmpl w:val="0000000A"/>
    <w:lvl w:ilvl="0">
      <w:start w:val="3"/>
      <w:numFmt w:val="chineseCounting"/>
      <w:suff w:val="space"/>
      <w:lvlText w:val="第%1部分"/>
      <w:lvlJc w:val="left"/>
      <w:rPr>
        <w:rFonts w:hint="eastAsia"/>
      </w:rPr>
    </w:lvl>
  </w:abstractNum>
  <w:abstractNum w:abstractNumId="5">
    <w:nsid w:val="0000000B"/>
    <w:multiLevelType w:val="singleLevel"/>
    <w:tmpl w:val="0000000B"/>
    <w:lvl w:ilvl="0">
      <w:start w:val="3"/>
      <w:numFmt w:val="decimal"/>
      <w:suff w:val="nothing"/>
      <w:lvlText w:val="%1."/>
      <w:lvlJc w:val="left"/>
    </w:lvl>
  </w:abstractNum>
  <w:abstractNum w:abstractNumId="6">
    <w:nsid w:val="0000000C"/>
    <w:multiLevelType w:val="singleLevel"/>
    <w:tmpl w:val="0000000C"/>
    <w:lvl w:ilvl="0">
      <w:start w:val="2"/>
      <w:numFmt w:val="chineseCounting"/>
      <w:suff w:val="nothing"/>
      <w:lvlText w:val="（%1）"/>
      <w:lvlJc w:val="left"/>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4045"/>
    <w:rsid w:val="000D5782"/>
    <w:rsid w:val="000E6613"/>
    <w:rsid w:val="000E7119"/>
    <w:rsid w:val="00114E9B"/>
    <w:rsid w:val="0012277B"/>
    <w:rsid w:val="00142216"/>
    <w:rsid w:val="00144D6A"/>
    <w:rsid w:val="0014729F"/>
    <w:rsid w:val="00157BAB"/>
    <w:rsid w:val="001654D1"/>
    <w:rsid w:val="00174518"/>
    <w:rsid w:val="0018106D"/>
    <w:rsid w:val="00184C5A"/>
    <w:rsid w:val="001877A7"/>
    <w:rsid w:val="00191536"/>
    <w:rsid w:val="00196687"/>
    <w:rsid w:val="001C0962"/>
    <w:rsid w:val="001C22D6"/>
    <w:rsid w:val="001D7531"/>
    <w:rsid w:val="001E737D"/>
    <w:rsid w:val="001F0592"/>
    <w:rsid w:val="001F4724"/>
    <w:rsid w:val="001F7506"/>
    <w:rsid w:val="002006CD"/>
    <w:rsid w:val="00202B36"/>
    <w:rsid w:val="00204B7A"/>
    <w:rsid w:val="00204CDE"/>
    <w:rsid w:val="0021101A"/>
    <w:rsid w:val="00220536"/>
    <w:rsid w:val="00235629"/>
    <w:rsid w:val="00260C38"/>
    <w:rsid w:val="002616C0"/>
    <w:rsid w:val="00265372"/>
    <w:rsid w:val="00265CC9"/>
    <w:rsid w:val="002662AA"/>
    <w:rsid w:val="00280496"/>
    <w:rsid w:val="00294DC9"/>
    <w:rsid w:val="00295495"/>
    <w:rsid w:val="002A31DE"/>
    <w:rsid w:val="002B2613"/>
    <w:rsid w:val="002D19B0"/>
    <w:rsid w:val="002D6D05"/>
    <w:rsid w:val="002E451E"/>
    <w:rsid w:val="002F1818"/>
    <w:rsid w:val="002F393F"/>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15B6"/>
    <w:rsid w:val="0048263A"/>
    <w:rsid w:val="00487E5D"/>
    <w:rsid w:val="004A711F"/>
    <w:rsid w:val="004B199D"/>
    <w:rsid w:val="004B4690"/>
    <w:rsid w:val="004E0A2D"/>
    <w:rsid w:val="004E206B"/>
    <w:rsid w:val="004E6DF7"/>
    <w:rsid w:val="004F0FBD"/>
    <w:rsid w:val="004F403E"/>
    <w:rsid w:val="00505A47"/>
    <w:rsid w:val="00512FDA"/>
    <w:rsid w:val="00520DA0"/>
    <w:rsid w:val="00553B35"/>
    <w:rsid w:val="005664BB"/>
    <w:rsid w:val="00566FFA"/>
    <w:rsid w:val="0057481D"/>
    <w:rsid w:val="00575F0B"/>
    <w:rsid w:val="0058486E"/>
    <w:rsid w:val="00585B33"/>
    <w:rsid w:val="0059014D"/>
    <w:rsid w:val="005B5C64"/>
    <w:rsid w:val="005C6BD0"/>
    <w:rsid w:val="005C6C4C"/>
    <w:rsid w:val="005D1C8B"/>
    <w:rsid w:val="005D468D"/>
    <w:rsid w:val="005D5CED"/>
    <w:rsid w:val="005F18C9"/>
    <w:rsid w:val="005F1A4C"/>
    <w:rsid w:val="00605688"/>
    <w:rsid w:val="006070AF"/>
    <w:rsid w:val="00607E6C"/>
    <w:rsid w:val="006101B1"/>
    <w:rsid w:val="00614E44"/>
    <w:rsid w:val="0062270A"/>
    <w:rsid w:val="00622830"/>
    <w:rsid w:val="00623DA0"/>
    <w:rsid w:val="00630AEF"/>
    <w:rsid w:val="006325F8"/>
    <w:rsid w:val="00633463"/>
    <w:rsid w:val="00634C9A"/>
    <w:rsid w:val="00640D54"/>
    <w:rsid w:val="006440E4"/>
    <w:rsid w:val="00650E41"/>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06CB"/>
    <w:rsid w:val="0079426B"/>
    <w:rsid w:val="007D1682"/>
    <w:rsid w:val="007D312A"/>
    <w:rsid w:val="007D3F19"/>
    <w:rsid w:val="007E23B0"/>
    <w:rsid w:val="007F1991"/>
    <w:rsid w:val="007F2C2F"/>
    <w:rsid w:val="007F55FC"/>
    <w:rsid w:val="007F5665"/>
    <w:rsid w:val="00800026"/>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1085"/>
    <w:rsid w:val="00946945"/>
    <w:rsid w:val="00951248"/>
    <w:rsid w:val="0095152F"/>
    <w:rsid w:val="00954C49"/>
    <w:rsid w:val="00955E37"/>
    <w:rsid w:val="0097099F"/>
    <w:rsid w:val="00971997"/>
    <w:rsid w:val="00971FFC"/>
    <w:rsid w:val="00980A94"/>
    <w:rsid w:val="0098660A"/>
    <w:rsid w:val="009931C3"/>
    <w:rsid w:val="009A7B92"/>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39C"/>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369A"/>
    <w:rsid w:val="00AB64C9"/>
    <w:rsid w:val="00AC3BE7"/>
    <w:rsid w:val="00AC3C6A"/>
    <w:rsid w:val="00AC5E73"/>
    <w:rsid w:val="00AD0F83"/>
    <w:rsid w:val="00AD3C0F"/>
    <w:rsid w:val="00AD5620"/>
    <w:rsid w:val="00AD656B"/>
    <w:rsid w:val="00AD7C1B"/>
    <w:rsid w:val="00AE16BA"/>
    <w:rsid w:val="00AE1EBE"/>
    <w:rsid w:val="00AF7994"/>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08CB"/>
    <w:rsid w:val="00C42709"/>
    <w:rsid w:val="00C533CC"/>
    <w:rsid w:val="00C5751C"/>
    <w:rsid w:val="00C61BFC"/>
    <w:rsid w:val="00C62B85"/>
    <w:rsid w:val="00C65438"/>
    <w:rsid w:val="00C91CBB"/>
    <w:rsid w:val="00CB4E70"/>
    <w:rsid w:val="00CC09B6"/>
    <w:rsid w:val="00CC666F"/>
    <w:rsid w:val="00CD1E3F"/>
    <w:rsid w:val="00CE3871"/>
    <w:rsid w:val="00CE44F6"/>
    <w:rsid w:val="00CE49DA"/>
    <w:rsid w:val="00CE7B61"/>
    <w:rsid w:val="00D00095"/>
    <w:rsid w:val="00D114F0"/>
    <w:rsid w:val="00D1281D"/>
    <w:rsid w:val="00D20620"/>
    <w:rsid w:val="00D254F7"/>
    <w:rsid w:val="00D26091"/>
    <w:rsid w:val="00D2685C"/>
    <w:rsid w:val="00D34E7C"/>
    <w:rsid w:val="00D35489"/>
    <w:rsid w:val="00D36AFE"/>
    <w:rsid w:val="00D51276"/>
    <w:rsid w:val="00D526B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2F02"/>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EB4"/>
    <w:rsid w:val="00F36D8F"/>
    <w:rsid w:val="00F417B1"/>
    <w:rsid w:val="00F45853"/>
    <w:rsid w:val="00F602DF"/>
    <w:rsid w:val="00F754A1"/>
    <w:rsid w:val="00F75558"/>
    <w:rsid w:val="00F81FD9"/>
    <w:rsid w:val="00F841AA"/>
    <w:rsid w:val="00F84A94"/>
    <w:rsid w:val="00F87E96"/>
    <w:rsid w:val="00FA23E8"/>
    <w:rsid w:val="00FD3CC1"/>
    <w:rsid w:val="00FF1E02"/>
    <w:rsid w:val="00FF30B4"/>
    <w:rsid w:val="06A02DBB"/>
    <w:rsid w:val="10C055FF"/>
    <w:rsid w:val="13382BD2"/>
    <w:rsid w:val="16BB723D"/>
    <w:rsid w:val="240371BF"/>
    <w:rsid w:val="29FD04D3"/>
    <w:rsid w:val="319F7F4E"/>
    <w:rsid w:val="353E67AD"/>
    <w:rsid w:val="44357161"/>
    <w:rsid w:val="4ECE2238"/>
    <w:rsid w:val="72734D90"/>
    <w:rsid w:val="77C22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D6"/>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1C22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22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C22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C22D6"/>
    <w:pPr>
      <w:spacing w:beforeLines="30"/>
    </w:pPr>
    <w:rPr>
      <w:rFonts w:ascii="仿宋_GB2312" w:eastAsia="仿宋_GB2312"/>
      <w:kern w:val="0"/>
      <w:sz w:val="30"/>
    </w:rPr>
  </w:style>
  <w:style w:type="paragraph" w:styleId="30">
    <w:name w:val="toc 3"/>
    <w:basedOn w:val="a"/>
    <w:next w:val="a"/>
    <w:uiPriority w:val="39"/>
    <w:unhideWhenUsed/>
    <w:qFormat/>
    <w:rsid w:val="001C22D6"/>
    <w:pPr>
      <w:tabs>
        <w:tab w:val="right" w:leader="dot" w:pos="8296"/>
      </w:tabs>
      <w:ind w:leftChars="400" w:left="840"/>
    </w:pPr>
  </w:style>
  <w:style w:type="paragraph" w:styleId="a4">
    <w:name w:val="Balloon Text"/>
    <w:basedOn w:val="a"/>
    <w:link w:val="Char0"/>
    <w:uiPriority w:val="99"/>
    <w:semiHidden/>
    <w:unhideWhenUsed/>
    <w:qFormat/>
    <w:rsid w:val="001C22D6"/>
    <w:rPr>
      <w:sz w:val="18"/>
      <w:szCs w:val="18"/>
    </w:rPr>
  </w:style>
  <w:style w:type="paragraph" w:styleId="a5">
    <w:name w:val="footer"/>
    <w:basedOn w:val="a"/>
    <w:link w:val="Char1"/>
    <w:uiPriority w:val="99"/>
    <w:qFormat/>
    <w:rsid w:val="001C22D6"/>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C22D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C22D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C22D6"/>
    <w:pPr>
      <w:tabs>
        <w:tab w:val="right" w:leader="dot" w:pos="8296"/>
      </w:tabs>
      <w:ind w:leftChars="200" w:left="420"/>
    </w:pPr>
  </w:style>
  <w:style w:type="paragraph" w:customStyle="1" w:styleId="Style16">
    <w:name w:val="_Style 16"/>
    <w:basedOn w:val="a"/>
    <w:rsid w:val="001C22D6"/>
  </w:style>
  <w:style w:type="character" w:styleId="a7">
    <w:name w:val="Strong"/>
    <w:basedOn w:val="a0"/>
    <w:uiPriority w:val="99"/>
    <w:qFormat/>
    <w:rsid w:val="001C22D6"/>
    <w:rPr>
      <w:b/>
    </w:rPr>
  </w:style>
  <w:style w:type="character" w:styleId="a8">
    <w:name w:val="Hyperlink"/>
    <w:basedOn w:val="a0"/>
    <w:uiPriority w:val="99"/>
    <w:unhideWhenUsed/>
    <w:qFormat/>
    <w:rsid w:val="001C22D6"/>
    <w:rPr>
      <w:color w:val="0000FF" w:themeColor="hyperlink"/>
      <w:u w:val="single"/>
    </w:rPr>
  </w:style>
  <w:style w:type="character" w:customStyle="1" w:styleId="HeaderChar">
    <w:name w:val="Header Char"/>
    <w:basedOn w:val="a0"/>
    <w:uiPriority w:val="99"/>
    <w:semiHidden/>
    <w:qFormat/>
    <w:rsid w:val="001C22D6"/>
    <w:rPr>
      <w:rFonts w:ascii="Times New Roman" w:hAnsi="Times New Roman"/>
      <w:sz w:val="18"/>
      <w:szCs w:val="18"/>
    </w:rPr>
  </w:style>
  <w:style w:type="character" w:customStyle="1" w:styleId="Char2">
    <w:name w:val="页眉 Char"/>
    <w:link w:val="a6"/>
    <w:uiPriority w:val="99"/>
    <w:semiHidden/>
    <w:qFormat/>
    <w:locked/>
    <w:rsid w:val="001C22D6"/>
    <w:rPr>
      <w:sz w:val="18"/>
    </w:rPr>
  </w:style>
  <w:style w:type="character" w:customStyle="1" w:styleId="FooterChar">
    <w:name w:val="Footer Char"/>
    <w:basedOn w:val="a0"/>
    <w:uiPriority w:val="99"/>
    <w:semiHidden/>
    <w:qFormat/>
    <w:rsid w:val="001C22D6"/>
    <w:rPr>
      <w:rFonts w:ascii="Times New Roman" w:hAnsi="Times New Roman"/>
      <w:sz w:val="18"/>
      <w:szCs w:val="18"/>
    </w:rPr>
  </w:style>
  <w:style w:type="character" w:customStyle="1" w:styleId="Char1">
    <w:name w:val="页脚 Char"/>
    <w:link w:val="a5"/>
    <w:uiPriority w:val="99"/>
    <w:qFormat/>
    <w:locked/>
    <w:rsid w:val="001C22D6"/>
    <w:rPr>
      <w:sz w:val="18"/>
    </w:rPr>
  </w:style>
  <w:style w:type="character" w:customStyle="1" w:styleId="BodyTextChar">
    <w:name w:val="Body Text Char"/>
    <w:basedOn w:val="a0"/>
    <w:uiPriority w:val="99"/>
    <w:semiHidden/>
    <w:qFormat/>
    <w:rsid w:val="001C22D6"/>
    <w:rPr>
      <w:rFonts w:ascii="Times New Roman" w:hAnsi="Times New Roman"/>
      <w:szCs w:val="24"/>
    </w:rPr>
  </w:style>
  <w:style w:type="character" w:customStyle="1" w:styleId="Char">
    <w:name w:val="正文文本 Char"/>
    <w:link w:val="a3"/>
    <w:uiPriority w:val="99"/>
    <w:qFormat/>
    <w:locked/>
    <w:rsid w:val="001C22D6"/>
    <w:rPr>
      <w:rFonts w:ascii="仿宋_GB2312" w:eastAsia="仿宋_GB2312" w:hAnsi="Times New Roman"/>
      <w:sz w:val="24"/>
    </w:rPr>
  </w:style>
  <w:style w:type="paragraph" w:customStyle="1" w:styleId="Default">
    <w:name w:val="Default"/>
    <w:uiPriority w:val="99"/>
    <w:qFormat/>
    <w:rsid w:val="001C22D6"/>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1C22D6"/>
    <w:pPr>
      <w:ind w:firstLineChars="200" w:firstLine="420"/>
    </w:pPr>
  </w:style>
  <w:style w:type="character" w:customStyle="1" w:styleId="1Char">
    <w:name w:val="标题 1 Char"/>
    <w:basedOn w:val="a0"/>
    <w:link w:val="1"/>
    <w:uiPriority w:val="9"/>
    <w:qFormat/>
    <w:rsid w:val="001C22D6"/>
    <w:rPr>
      <w:rFonts w:ascii="Times New Roman" w:hAnsi="Times New Roman"/>
      <w:b/>
      <w:bCs/>
      <w:kern w:val="44"/>
      <w:sz w:val="44"/>
      <w:szCs w:val="44"/>
    </w:rPr>
  </w:style>
  <w:style w:type="character" w:customStyle="1" w:styleId="2Char">
    <w:name w:val="标题 2 Char"/>
    <w:basedOn w:val="a0"/>
    <w:link w:val="2"/>
    <w:uiPriority w:val="9"/>
    <w:qFormat/>
    <w:rsid w:val="001C22D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C22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C22D6"/>
    <w:rPr>
      <w:rFonts w:ascii="Times New Roman" w:hAnsi="Times New Roman"/>
      <w:kern w:val="2"/>
      <w:sz w:val="18"/>
      <w:szCs w:val="18"/>
    </w:rPr>
  </w:style>
  <w:style w:type="character" w:customStyle="1" w:styleId="3Char">
    <w:name w:val="标题 3 Char"/>
    <w:basedOn w:val="a0"/>
    <w:link w:val="3"/>
    <w:uiPriority w:val="9"/>
    <w:qFormat/>
    <w:rsid w:val="001C22D6"/>
    <w:rPr>
      <w:rFonts w:ascii="Times New Roman" w:hAnsi="Times New Roman"/>
      <w:b/>
      <w:bCs/>
      <w:kern w:val="2"/>
      <w:sz w:val="32"/>
      <w:szCs w:val="32"/>
    </w:rPr>
  </w:style>
  <w:style w:type="paragraph" w:customStyle="1" w:styleId="TOC2">
    <w:name w:val="TOC 标题2"/>
    <w:basedOn w:val="1"/>
    <w:next w:val="a"/>
    <w:uiPriority w:val="39"/>
    <w:unhideWhenUsed/>
    <w:qFormat/>
    <w:rsid w:val="001C22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2018</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102.77</c:v>
                </c:pt>
                <c:pt idx="1">
                  <c:v>105.79</c:v>
                </c:pt>
              </c:numCache>
            </c:numRef>
          </c:val>
        </c:ser>
        <c:ser>
          <c:idx val="1"/>
          <c:order val="1"/>
          <c:tx>
            <c:strRef>
              <c:f>Sheet1!$C$1</c:f>
              <c:strCache>
                <c:ptCount val="1"/>
                <c:pt idx="0">
                  <c:v>2019</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113.48</c:v>
                </c:pt>
                <c:pt idx="1">
                  <c:v>118.05</c:v>
                </c:pt>
              </c:numCache>
            </c:numRef>
          </c:val>
        </c:ser>
        <c:gapWidth val="219"/>
        <c:overlap val="-27"/>
        <c:axId val="48302720"/>
        <c:axId val="69886720"/>
      </c:barChart>
      <c:catAx>
        <c:axId val="4830272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9886720"/>
        <c:crosses val="autoZero"/>
        <c:auto val="1"/>
        <c:lblAlgn val="ctr"/>
        <c:lblOffset val="100"/>
      </c:catAx>
      <c:valAx>
        <c:axId val="69886720"/>
        <c:scaling>
          <c:orientation val="minMax"/>
        </c:scaling>
        <c:axPos val="l"/>
        <c:majorGridlines>
          <c:spPr>
            <a:ln w="9525" cap="flat" cmpd="sng" algn="ctr">
              <a:solidFill>
                <a:schemeClr val="tx1">
                  <a:lumMod val="15000"/>
                  <a:lumOff val="85000"/>
                </a:schemeClr>
              </a:solidFill>
              <a:round/>
            </a:ln>
            <a:effectLst/>
          </c:spPr>
        </c:majorGridlines>
        <c:numFmt formatCode="#,###&quot;万&quot;&quot;元&quot;" sourceLinked="0"/>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30272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explosion val="1"/>
            <c:spPr>
              <a:solidFill>
                <a:schemeClr val="accent1"/>
              </a:solidFill>
              <a:ln w="19050">
                <a:solidFill>
                  <a:schemeClr val="lt1"/>
                </a:solidFill>
              </a:ln>
              <a:effectLst/>
            </c:spPr>
          </c:dPt>
          <c:dPt>
            <c:idx val="1"/>
            <c:spPr>
              <a:solidFill>
                <a:schemeClr val="accent2"/>
              </a:solidFill>
              <a:ln w="22225" cmpd="sng">
                <a:solidFill>
                  <a:schemeClr val="accent2"/>
                </a:solidFill>
                <a:prstDash val="solid"/>
              </a:ln>
              <a:effectLst/>
            </c:spPr>
          </c:dPt>
          <c:dLbls>
            <c:dLbl>
              <c:idx val="0"/>
              <c:layout>
                <c:manualLayout>
                  <c:x val="3.5922451464520011E-3"/>
                  <c:y val="-0.24266364193793916"/>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0.00%</c:formatCode>
                <c:ptCount val="2"/>
                <c:pt idx="0">
                  <c:v>0.99990000000000001</c:v>
                </c:pt>
                <c:pt idx="1">
                  <c:v>1.0000000000000013E-4</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8.8945901948171563E-2"/>
                  <c:y val="-0.25913308701552873"/>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c:formatCode>
                <c:ptCount val="2"/>
                <c:pt idx="0">
                  <c:v>0.92</c:v>
                </c:pt>
                <c:pt idx="1">
                  <c:v>8.0000000000000043E-2</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3.8950000000000005E-2"/>
          <c:y val="0.13950000000000001"/>
          <c:w val="0.92792500000000067"/>
          <c:h val="0.71656666666666657"/>
        </c:manualLayout>
      </c:layout>
      <c:barChart>
        <c:barDir val="col"/>
        <c:grouping val="clustered"/>
        <c:ser>
          <c:idx val="0"/>
          <c:order val="0"/>
          <c:tx>
            <c:strRef>
              <c:f>Sheet1!$B$1</c:f>
              <c:strCache>
                <c:ptCount val="1"/>
                <c:pt idx="0">
                  <c:v>2018</c:v>
                </c:pt>
              </c:strCache>
            </c:strRef>
          </c:tx>
          <c:spPr>
            <a:solidFill>
              <a:schemeClr val="accent1"/>
            </a:solidFill>
            <a:ln>
              <a:noFill/>
            </a:ln>
            <a:effectLst/>
          </c:spPr>
          <c:cat>
            <c:strRef>
              <c:f>Sheet1!$A$2:$A$3</c:f>
              <c:strCache>
                <c:ptCount val="2"/>
                <c:pt idx="0">
                  <c:v>财政拨款收入</c:v>
                </c:pt>
                <c:pt idx="1">
                  <c:v>财政拨款支出</c:v>
                </c:pt>
              </c:strCache>
            </c:strRef>
          </c:cat>
          <c:val>
            <c:numRef>
              <c:f>Sheet1!$B$2:$B$3</c:f>
              <c:numCache>
                <c:formatCode>General</c:formatCode>
                <c:ptCount val="2"/>
                <c:pt idx="0">
                  <c:v>102.77</c:v>
                </c:pt>
                <c:pt idx="1">
                  <c:v>105.79</c:v>
                </c:pt>
              </c:numCache>
            </c:numRef>
          </c:val>
        </c:ser>
        <c:ser>
          <c:idx val="1"/>
          <c:order val="1"/>
          <c:tx>
            <c:strRef>
              <c:f>Sheet1!$C$1</c:f>
              <c:strCache>
                <c:ptCount val="1"/>
                <c:pt idx="0">
                  <c:v>2019</c:v>
                </c:pt>
              </c:strCache>
            </c:strRef>
          </c:tx>
          <c:spPr>
            <a:solidFill>
              <a:schemeClr val="accent2"/>
            </a:solidFill>
            <a:ln>
              <a:noFill/>
            </a:ln>
            <a:effectLst/>
          </c:spPr>
          <c:cat>
            <c:strRef>
              <c:f>Sheet1!$A$2:$A$3</c:f>
              <c:strCache>
                <c:ptCount val="2"/>
                <c:pt idx="0">
                  <c:v>财政拨款收入</c:v>
                </c:pt>
                <c:pt idx="1">
                  <c:v>财政拨款支出</c:v>
                </c:pt>
              </c:strCache>
            </c:strRef>
          </c:cat>
          <c:val>
            <c:numRef>
              <c:f>Sheet1!$C$2:$C$3</c:f>
              <c:numCache>
                <c:formatCode>General</c:formatCode>
                <c:ptCount val="2"/>
                <c:pt idx="0">
                  <c:v>113.47</c:v>
                </c:pt>
                <c:pt idx="1">
                  <c:v>118.05</c:v>
                </c:pt>
              </c:numCache>
            </c:numRef>
          </c:val>
        </c:ser>
        <c:gapWidth val="219"/>
        <c:overlap val="-27"/>
        <c:axId val="81816192"/>
        <c:axId val="91521792"/>
      </c:barChart>
      <c:catAx>
        <c:axId val="818161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1521792"/>
        <c:crosses val="autoZero"/>
        <c:auto val="1"/>
        <c:lblAlgn val="ctr"/>
        <c:lblOffset val="100"/>
      </c:catAx>
      <c:valAx>
        <c:axId val="91521792"/>
        <c:scaling>
          <c:orientation val="minMax"/>
        </c:scaling>
        <c:axPos val="l"/>
        <c:majorGridlines>
          <c:spPr>
            <a:ln w="9525" cap="flat" cmpd="sng" algn="ctr">
              <a:solidFill>
                <a:schemeClr val="tx1">
                  <a:lumMod val="15000"/>
                  <a:lumOff val="85000"/>
                </a:schemeClr>
              </a:solidFill>
              <a:round/>
            </a:ln>
            <a:effectLst/>
          </c:spPr>
        </c:majorGridlines>
        <c:numFmt formatCode="#,###&quot;万&quot;&quot;元&quot;" sourceLinked="0"/>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181619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49495647367713"/>
          <c:y val="5.1188057204011907E-2"/>
          <c:w val="0.9240816326530622"/>
          <c:h val="0.79461088459493001"/>
        </c:manualLayout>
      </c:layout>
      <c:barChart>
        <c:barDir val="col"/>
        <c:grouping val="clustered"/>
        <c:ser>
          <c:idx val="0"/>
          <c:order val="0"/>
          <c:tx>
            <c:strRef>
              <c:f>Sheet1!$B$1</c:f>
              <c:strCache>
                <c:ptCount val="1"/>
                <c:pt idx="0">
                  <c:v>一般公共预算财政拨款</c:v>
                </c:pt>
              </c:strCache>
            </c:strRef>
          </c:tx>
          <c:spPr>
            <a:solidFill>
              <a:schemeClr val="accent1"/>
            </a:solidFill>
            <a:ln>
              <a:noFill/>
            </a:ln>
            <a:effectLst/>
          </c:spPr>
          <c:cat>
            <c:numRef>
              <c:f>Sheet1!$A$2:$A$3</c:f>
              <c:numCache>
                <c:formatCode>General</c:formatCode>
                <c:ptCount val="2"/>
                <c:pt idx="0">
                  <c:v>2018</c:v>
                </c:pt>
                <c:pt idx="1">
                  <c:v>2019</c:v>
                </c:pt>
              </c:numCache>
            </c:numRef>
          </c:cat>
          <c:val>
            <c:numRef>
              <c:f>Sheet1!$B$2:$B$3</c:f>
              <c:numCache>
                <c:formatCode>General</c:formatCode>
                <c:ptCount val="2"/>
                <c:pt idx="0">
                  <c:v>105.79</c:v>
                </c:pt>
                <c:pt idx="1">
                  <c:v>118.05</c:v>
                </c:pt>
              </c:numCache>
            </c:numRef>
          </c:val>
        </c:ser>
        <c:gapWidth val="219"/>
        <c:overlap val="-27"/>
        <c:axId val="124771712"/>
        <c:axId val="125745792"/>
      </c:barChart>
      <c:catAx>
        <c:axId val="124771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745792"/>
        <c:crosses val="autoZero"/>
        <c:auto val="1"/>
        <c:lblAlgn val="ctr"/>
        <c:lblOffset val="100"/>
      </c:catAx>
      <c:valAx>
        <c:axId val="125745792"/>
        <c:scaling>
          <c:orientation val="minMax"/>
        </c:scaling>
        <c:axPos val="l"/>
        <c:majorGridlines>
          <c:spPr>
            <a:ln w="9525" cap="flat" cmpd="sng" algn="ctr">
              <a:solidFill>
                <a:schemeClr val="tx1">
                  <a:lumMod val="15000"/>
                  <a:lumOff val="85000"/>
                </a:schemeClr>
              </a:solidFill>
              <a:round/>
            </a:ln>
            <a:effectLst/>
          </c:spPr>
        </c:majorGridlines>
        <c:numFmt formatCode="#,###&quot;万&quot;&quot;元&quot;" sourceLinked="0"/>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477171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社会保障和就业</c:v>
                </c:pt>
                <c:pt idx="2">
                  <c:v>农林水</c:v>
                </c:pt>
                <c:pt idx="3">
                  <c:v>卫生健康支出</c:v>
                </c:pt>
                <c:pt idx="4">
                  <c:v>住房保障支出</c:v>
                </c:pt>
              </c:strCache>
            </c:strRef>
          </c:cat>
          <c:val>
            <c:numRef>
              <c:f>Sheet1!$B$2:$B$6</c:f>
              <c:numCache>
                <c:formatCode>0.00%</c:formatCode>
                <c:ptCount val="5"/>
                <c:pt idx="0">
                  <c:v>0.75210000000000066</c:v>
                </c:pt>
                <c:pt idx="1">
                  <c:v>8.9000000000000065E-2</c:v>
                </c:pt>
                <c:pt idx="2">
                  <c:v>6.5800000000000011E-2</c:v>
                </c:pt>
                <c:pt idx="3">
                  <c:v>3.5100000000000006E-2</c:v>
                </c:pt>
                <c:pt idx="4">
                  <c:v>5.8000000000000003E-2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D01D-987C-4219-AE7B-322D300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1545</Words>
  <Characters>8812</Characters>
  <Application>Microsoft Office Word</Application>
  <DocSecurity>0</DocSecurity>
  <Lines>73</Lines>
  <Paragraphs>20</Paragraphs>
  <ScaleCrop>false</ScaleCrop>
  <Company>四川省财政厅</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John</cp:lastModifiedBy>
  <cp:revision>54</cp:revision>
  <cp:lastPrinted>2020-09-10T00:44:00Z</cp:lastPrinted>
  <dcterms:created xsi:type="dcterms:W3CDTF">2020-08-04T01:49:00Z</dcterms:created>
  <dcterms:modified xsi:type="dcterms:W3CDTF">2020-09-10T01:23:00Z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