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597"/>
      <w:bookmarkStart w:id="3" w:name="_Toc15396475"/>
      <w:bookmarkStart w:id="4" w:name="_Toc15377425"/>
      <w:bookmarkStart w:id="5" w:name="_Toc15378441"/>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96476"/>
      <w:bookmarkStart w:id="8" w:name="_Toc15377194"/>
      <w:bookmarkStart w:id="9" w:name="_Toc15377426"/>
      <w:bookmarkStart w:id="10" w:name="_Toc15378442"/>
      <w:r>
        <w:rPr>
          <w:rFonts w:hint="eastAsia" w:ascii="方正小标宋简体" w:hAnsi="宋体" w:eastAsia="方正小标宋简体"/>
          <w:color w:val="000000"/>
          <w:sz w:val="72"/>
          <w:szCs w:val="72"/>
        </w:rPr>
        <w:t>广元市利州区</w:t>
      </w:r>
      <w:bookmarkEnd w:id="0"/>
      <w:bookmarkStart w:id="11" w:name="_Toc15306268"/>
      <w:r>
        <w:rPr>
          <w:rFonts w:hint="eastAsia" w:ascii="方正小标宋简体" w:hAnsi="宋体" w:eastAsia="方正小标宋简体"/>
          <w:color w:val="000000"/>
          <w:sz w:val="72"/>
          <w:szCs w:val="72"/>
          <w:lang w:eastAsia="zh-CN"/>
        </w:rPr>
        <w:t>司法局</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w:t>
      </w:r>
      <w:r>
        <w:rPr>
          <w:rFonts w:hint="eastAsia" w:ascii="黑体" w:hAnsi="黑体" w:eastAsia="黑体"/>
          <w:color w:val="000000"/>
          <w:sz w:val="48"/>
          <w:szCs w:val="48"/>
          <w:lang w:val="en-US" w:eastAsia="zh-CN"/>
        </w:rPr>
        <w:t xml:space="preserve">  </w:t>
      </w:r>
      <w:r>
        <w:rPr>
          <w:rFonts w:hint="eastAsia" w:ascii="黑体" w:hAnsi="黑体" w:eastAsia="黑体"/>
          <w:color w:val="000000"/>
          <w:sz w:val="48"/>
          <w:szCs w:val="48"/>
        </w:rPr>
        <w:t>录</w:t>
      </w:r>
    </w:p>
    <w:p>
      <w:pPr>
        <w:widowControl/>
        <w:jc w:val="center"/>
        <w:rPr>
          <w:rFonts w:ascii="黑体" w:hAnsi="黑体" w:eastAsia="黑体" w:cstheme="minorBidi"/>
          <w:sz w:val="28"/>
          <w:szCs w:val="28"/>
        </w:rPr>
      </w:pPr>
    </w:p>
    <w:p>
      <w:pPr>
        <w:pStyle w:val="10"/>
      </w:pPr>
      <w:r>
        <w:rPr>
          <w:rFonts w:hint="eastAsia"/>
        </w:rPr>
        <w:t>公开时间：2020年9月</w:t>
      </w:r>
      <w:r>
        <w:rPr>
          <w:rFonts w:hint="eastAsia"/>
          <w:lang w:val="en-US" w:eastAsia="zh-CN"/>
        </w:rPr>
        <w:t>4</w:t>
      </w:r>
      <w:r>
        <w:rPr>
          <w:rFonts w:hint="eastAsia"/>
        </w:rPr>
        <w:t>日</w:t>
      </w:r>
    </w:p>
    <w:p/>
    <w:p>
      <w:pPr>
        <w:pStyle w:val="10"/>
        <w:adjustRightInd w:val="0"/>
        <w:snapToGrid w:val="0"/>
        <w:spacing w:before="0" w:line="440" w:lineRule="exact"/>
        <w:jc w:val="distribute"/>
        <w:rPr>
          <w:rFonts w:hint="eastAsia" w:ascii="宋体" w:hAnsi="宋体" w:eastAsia="宋体" w:cs="宋体"/>
          <w:sz w:val="24"/>
          <w:szCs w:val="24"/>
          <w:lang w:val="en-US" w:eastAsia="zh-CN"/>
        </w:rPr>
      </w:pPr>
      <w:r>
        <w:rPr>
          <w:rFonts w:hint="eastAsia" w:ascii="宋体" w:hAnsi="宋体" w:eastAsia="宋体" w:cs="宋体"/>
          <w:sz w:val="24"/>
        </w:rPr>
        <w:t>第一部分部门概况</w:t>
      </w:r>
      <w:r>
        <w:rPr>
          <w:rFonts w:hint="eastAsia" w:ascii="宋体" w:hAnsi="宋体" w:eastAsia="宋体" w:cs="宋体"/>
          <w:sz w:val="24"/>
          <w:lang w:val="en-US" w:eastAsia="zh-CN"/>
        </w:rPr>
        <w:t>……………………………………………………………………4</w:t>
      </w:r>
    </w:p>
    <w:p>
      <w:pPr>
        <w:pStyle w:val="11"/>
        <w:adjustRightInd w:val="0"/>
        <w:snapToGrid w:val="0"/>
        <w:spacing w:line="440" w:lineRule="exact"/>
        <w:jc w:val="distribute"/>
        <w:rPr>
          <w:rFonts w:hint="eastAsia" w:ascii="宋体" w:hAnsi="宋体" w:eastAsia="宋体" w:cs="宋体"/>
          <w:sz w:val="24"/>
          <w:lang w:val="en-US" w:eastAsia="zh-CN"/>
        </w:rPr>
      </w:pPr>
      <w:r>
        <w:rPr>
          <w:rFonts w:hint="eastAsia" w:ascii="宋体" w:hAnsi="宋体" w:eastAsia="宋体" w:cs="宋体"/>
          <w:sz w:val="24"/>
        </w:rPr>
        <w:t>一、基本职能及主要工作</w:t>
      </w:r>
      <w:r>
        <w:rPr>
          <w:rFonts w:hint="eastAsia" w:ascii="宋体" w:hAnsi="宋体" w:eastAsia="宋体" w:cs="宋体"/>
          <w:sz w:val="24"/>
          <w:lang w:eastAsia="zh-CN"/>
        </w:rPr>
        <w:t>…………</w:t>
      </w:r>
      <w:r>
        <w:rPr>
          <w:rFonts w:hint="eastAsia" w:ascii="宋体" w:hAnsi="宋体" w:eastAsia="宋体" w:cs="宋体"/>
          <w:sz w:val="24"/>
          <w:lang w:val="en-US" w:eastAsia="zh-CN"/>
        </w:rPr>
        <w:t>…………………</w:t>
      </w:r>
      <w:r>
        <w:rPr>
          <w:rFonts w:hint="eastAsia" w:ascii="宋体" w:hAnsi="宋体" w:eastAsia="宋体" w:cs="宋体"/>
          <w:sz w:val="24"/>
          <w:lang w:eastAsia="zh-CN"/>
        </w:rPr>
        <w:t>…………………………</w:t>
      </w:r>
      <w:r>
        <w:rPr>
          <w:rFonts w:hint="eastAsia" w:ascii="宋体" w:hAnsi="宋体" w:eastAsia="宋体" w:cs="宋体"/>
          <w:sz w:val="24"/>
          <w:lang w:val="en-US" w:eastAsia="zh-CN"/>
        </w:rPr>
        <w:t>4</w:t>
      </w:r>
    </w:p>
    <w:p>
      <w:pPr>
        <w:pStyle w:val="11"/>
        <w:adjustRightInd w:val="0"/>
        <w:snapToGrid w:val="0"/>
        <w:spacing w:line="440" w:lineRule="exact"/>
        <w:jc w:val="distribute"/>
        <w:rPr>
          <w:rFonts w:hint="eastAsia" w:ascii="宋体" w:hAnsi="宋体" w:eastAsia="宋体" w:cs="宋体"/>
          <w:sz w:val="24"/>
          <w:lang w:val="en-US" w:eastAsia="zh-CN"/>
        </w:rPr>
      </w:pPr>
      <w:r>
        <w:rPr>
          <w:rFonts w:hint="eastAsia" w:ascii="宋体" w:hAnsi="宋体" w:eastAsia="宋体" w:cs="宋体"/>
          <w:sz w:val="24"/>
        </w:rPr>
        <w:t>二、机构设置</w:t>
      </w:r>
      <w:r>
        <w:rPr>
          <w:rFonts w:hint="eastAsia" w:ascii="宋体" w:hAnsi="宋体" w:eastAsia="宋体" w:cs="宋体"/>
          <w:sz w:val="24"/>
          <w:lang w:eastAsia="zh-CN"/>
        </w:rPr>
        <w:t>…………………………………………………………………</w:t>
      </w:r>
      <w:r>
        <w:rPr>
          <w:rFonts w:hint="eastAsia" w:ascii="宋体" w:hAnsi="宋体" w:eastAsia="宋体" w:cs="宋体"/>
          <w:sz w:val="24"/>
          <w:lang w:val="en-US" w:eastAsia="zh-CN"/>
        </w:rPr>
        <w:t>10</w:t>
      </w:r>
    </w:p>
    <w:p>
      <w:pPr>
        <w:pStyle w:val="10"/>
        <w:adjustRightInd w:val="0"/>
        <w:snapToGrid w:val="0"/>
        <w:spacing w:before="0" w:line="440" w:lineRule="exact"/>
        <w:jc w:val="distribute"/>
        <w:rPr>
          <w:rFonts w:hint="eastAsia" w:ascii="宋体" w:hAnsi="宋体" w:eastAsia="宋体" w:cs="宋体"/>
          <w:sz w:val="24"/>
          <w:szCs w:val="24"/>
          <w:lang w:val="en-US" w:eastAsia="zh-CN"/>
        </w:rPr>
      </w:pPr>
      <w:r>
        <w:rPr>
          <w:rFonts w:hint="eastAsia" w:ascii="宋体" w:hAnsi="宋体" w:eastAsia="宋体" w:cs="宋体"/>
          <w:sz w:val="24"/>
        </w:rPr>
        <w:t>第二部分度部门决算情况说明</w:t>
      </w:r>
      <w:r>
        <w:rPr>
          <w:rFonts w:hint="eastAsia" w:ascii="宋体" w:hAnsi="宋体" w:eastAsia="宋体" w:cs="宋体"/>
          <w:sz w:val="24"/>
          <w:lang w:eastAsia="zh-CN"/>
        </w:rPr>
        <w:t>……………………………………………………</w:t>
      </w:r>
      <w:r>
        <w:rPr>
          <w:rFonts w:hint="eastAsia" w:ascii="宋体" w:hAnsi="宋体" w:eastAsia="宋体" w:cs="宋体"/>
          <w:sz w:val="24"/>
          <w:lang w:val="en-US" w:eastAsia="zh-CN"/>
        </w:rPr>
        <w:t>11</w:t>
      </w:r>
    </w:p>
    <w:p>
      <w:pPr>
        <w:pStyle w:val="11"/>
        <w:adjustRightInd w:val="0"/>
        <w:snapToGrid w:val="0"/>
        <w:spacing w:line="440" w:lineRule="exact"/>
        <w:jc w:val="distribute"/>
        <w:rPr>
          <w:rFonts w:hint="eastAsia" w:ascii="宋体" w:hAnsi="宋体" w:eastAsia="宋体" w:cs="宋体"/>
          <w:sz w:val="24"/>
          <w:lang w:val="en-US" w:eastAsia="zh-CN"/>
        </w:rPr>
      </w:pPr>
      <w:r>
        <w:rPr>
          <w:rFonts w:hint="eastAsia" w:ascii="宋体" w:hAnsi="宋体" w:eastAsia="宋体" w:cs="宋体"/>
          <w:sz w:val="24"/>
        </w:rPr>
        <w:t>一、收入支出决算总体情况说明</w:t>
      </w:r>
      <w:r>
        <w:rPr>
          <w:rFonts w:hint="eastAsia" w:ascii="宋体" w:hAnsi="宋体" w:eastAsia="宋体" w:cs="宋体"/>
          <w:sz w:val="24"/>
          <w:lang w:eastAsia="zh-CN"/>
        </w:rPr>
        <w:t>………………………………………………</w:t>
      </w:r>
      <w:r>
        <w:rPr>
          <w:rFonts w:hint="eastAsia" w:ascii="宋体" w:hAnsi="宋体" w:eastAsia="宋体" w:cs="宋体"/>
          <w:sz w:val="24"/>
          <w:lang w:val="en-US" w:eastAsia="zh-CN"/>
        </w:rPr>
        <w:t>11</w:t>
      </w:r>
    </w:p>
    <w:p>
      <w:pPr>
        <w:pStyle w:val="11"/>
        <w:adjustRightInd w:val="0"/>
        <w:snapToGrid w:val="0"/>
        <w:spacing w:line="440" w:lineRule="exact"/>
        <w:jc w:val="distribute"/>
        <w:rPr>
          <w:rFonts w:hint="eastAsia" w:ascii="宋体" w:hAnsi="宋体" w:eastAsia="宋体" w:cs="宋体"/>
          <w:sz w:val="24"/>
          <w:lang w:val="en-US" w:eastAsia="zh-CN"/>
        </w:rPr>
      </w:pPr>
      <w:r>
        <w:rPr>
          <w:rFonts w:hint="eastAsia" w:ascii="宋体" w:hAnsi="宋体" w:eastAsia="宋体" w:cs="宋体"/>
          <w:sz w:val="24"/>
        </w:rPr>
        <w:t>二、收入决算情况说明</w:t>
      </w:r>
      <w:r>
        <w:rPr>
          <w:rFonts w:hint="eastAsia" w:ascii="宋体" w:hAnsi="宋体" w:eastAsia="宋体" w:cs="宋体"/>
          <w:sz w:val="24"/>
          <w:lang w:eastAsia="zh-CN"/>
        </w:rPr>
        <w:t>……………………………………………………</w:t>
      </w:r>
      <w:r>
        <w:rPr>
          <w:rFonts w:hint="eastAsia" w:ascii="宋体" w:hAnsi="宋体" w:eastAsia="宋体" w:cs="宋体"/>
          <w:sz w:val="24"/>
          <w:lang w:val="en-US" w:eastAsia="zh-CN"/>
        </w:rPr>
        <w:t>11</w:t>
      </w:r>
    </w:p>
    <w:p>
      <w:pPr>
        <w:pStyle w:val="11"/>
        <w:adjustRightInd w:val="0"/>
        <w:snapToGrid w:val="0"/>
        <w:spacing w:line="440" w:lineRule="exact"/>
        <w:jc w:val="distribute"/>
        <w:rPr>
          <w:rFonts w:hint="eastAsia" w:ascii="宋体" w:hAnsi="宋体" w:eastAsia="宋体" w:cs="宋体"/>
          <w:sz w:val="24"/>
          <w:lang w:val="en-US" w:eastAsia="zh-CN"/>
        </w:rPr>
      </w:pPr>
      <w:r>
        <w:rPr>
          <w:rFonts w:hint="eastAsia" w:ascii="宋体" w:hAnsi="宋体" w:eastAsia="宋体" w:cs="宋体"/>
          <w:sz w:val="24"/>
        </w:rPr>
        <w:t>三、支出决算情况说明</w:t>
      </w:r>
      <w:r>
        <w:rPr>
          <w:rFonts w:hint="eastAsia" w:ascii="宋体" w:hAnsi="宋体" w:eastAsia="宋体" w:cs="宋体"/>
          <w:sz w:val="24"/>
          <w:lang w:eastAsia="zh-CN"/>
        </w:rPr>
        <w:t>………………………………………………………</w:t>
      </w:r>
      <w:r>
        <w:rPr>
          <w:rFonts w:hint="eastAsia" w:ascii="宋体" w:hAnsi="宋体" w:eastAsia="宋体" w:cs="宋体"/>
          <w:sz w:val="24"/>
          <w:lang w:val="en-US" w:eastAsia="zh-CN"/>
        </w:rPr>
        <w:t>12</w:t>
      </w:r>
    </w:p>
    <w:p>
      <w:pPr>
        <w:pStyle w:val="11"/>
        <w:adjustRightInd w:val="0"/>
        <w:snapToGrid w:val="0"/>
        <w:spacing w:line="440" w:lineRule="exact"/>
        <w:jc w:val="distribute"/>
        <w:rPr>
          <w:rFonts w:hint="eastAsia" w:ascii="宋体" w:hAnsi="宋体" w:eastAsia="宋体" w:cs="宋体"/>
          <w:sz w:val="24"/>
          <w:lang w:val="en-US" w:eastAsia="zh-CN"/>
        </w:rPr>
      </w:pPr>
      <w:r>
        <w:rPr>
          <w:rFonts w:hint="eastAsia" w:ascii="宋体" w:hAnsi="宋体" w:eastAsia="宋体" w:cs="宋体"/>
          <w:sz w:val="24"/>
        </w:rPr>
        <w:t>四、财政拨款收入支出决算总体情况说明</w:t>
      </w:r>
      <w:r>
        <w:rPr>
          <w:rFonts w:hint="eastAsia" w:ascii="宋体" w:hAnsi="宋体" w:eastAsia="宋体" w:cs="宋体"/>
          <w:sz w:val="24"/>
          <w:lang w:eastAsia="zh-CN"/>
        </w:rPr>
        <w:t>…………………………………</w:t>
      </w:r>
      <w:r>
        <w:rPr>
          <w:rFonts w:hint="eastAsia" w:ascii="宋体" w:hAnsi="宋体" w:eastAsia="宋体" w:cs="宋体"/>
          <w:sz w:val="24"/>
          <w:lang w:val="en-US" w:eastAsia="zh-CN"/>
        </w:rPr>
        <w:t>13</w:t>
      </w:r>
    </w:p>
    <w:p>
      <w:pPr>
        <w:pStyle w:val="11"/>
        <w:adjustRightInd w:val="0"/>
        <w:snapToGrid w:val="0"/>
        <w:spacing w:line="440" w:lineRule="exact"/>
        <w:jc w:val="distribute"/>
        <w:rPr>
          <w:rFonts w:hint="eastAsia" w:ascii="宋体" w:hAnsi="宋体" w:eastAsia="宋体" w:cs="宋体"/>
          <w:sz w:val="24"/>
          <w:lang w:val="en-US" w:eastAsia="zh-CN"/>
        </w:rPr>
      </w:pPr>
      <w:r>
        <w:rPr>
          <w:rFonts w:hint="eastAsia" w:ascii="宋体" w:hAnsi="宋体" w:eastAsia="宋体" w:cs="宋体"/>
          <w:sz w:val="24"/>
        </w:rPr>
        <w:t>五、一般公共预算财政拨款支出决算情况说明</w:t>
      </w:r>
      <w:r>
        <w:rPr>
          <w:rFonts w:hint="eastAsia" w:ascii="宋体" w:hAnsi="宋体" w:eastAsia="宋体" w:cs="宋体"/>
          <w:sz w:val="24"/>
          <w:lang w:val="en-US" w:eastAsia="zh-CN"/>
        </w:rPr>
        <w:t>…………</w:t>
      </w:r>
      <w:r>
        <w:rPr>
          <w:rFonts w:hint="eastAsia" w:ascii="宋体" w:hAnsi="宋体" w:eastAsia="宋体" w:cs="宋体"/>
          <w:sz w:val="24"/>
          <w:lang w:eastAsia="zh-CN"/>
        </w:rPr>
        <w:t>…</w:t>
      </w:r>
      <w:r>
        <w:rPr>
          <w:rFonts w:hint="eastAsia" w:ascii="宋体" w:hAnsi="宋体" w:eastAsia="宋体" w:cs="宋体"/>
          <w:sz w:val="24"/>
          <w:lang w:val="en-US" w:eastAsia="zh-CN"/>
        </w:rPr>
        <w:t>………………15</w:t>
      </w:r>
    </w:p>
    <w:p>
      <w:pPr>
        <w:pStyle w:val="11"/>
        <w:adjustRightInd w:val="0"/>
        <w:snapToGrid w:val="0"/>
        <w:spacing w:line="440" w:lineRule="exact"/>
        <w:jc w:val="distribute"/>
        <w:rPr>
          <w:rFonts w:hint="eastAsia" w:ascii="宋体" w:hAnsi="宋体" w:eastAsia="宋体" w:cs="宋体"/>
          <w:sz w:val="24"/>
          <w:lang w:val="en-US" w:eastAsia="zh-CN"/>
        </w:rPr>
      </w:pPr>
      <w:r>
        <w:rPr>
          <w:rFonts w:hint="eastAsia" w:ascii="宋体" w:hAnsi="宋体" w:eastAsia="宋体" w:cs="宋体"/>
          <w:sz w:val="24"/>
        </w:rPr>
        <w:t>六、一般公共预算财政拨款基本支出决算情况说明</w:t>
      </w:r>
      <w:r>
        <w:rPr>
          <w:rFonts w:hint="eastAsia" w:ascii="宋体" w:hAnsi="宋体" w:eastAsia="宋体" w:cs="宋体"/>
          <w:sz w:val="24"/>
          <w:lang w:eastAsia="zh-CN"/>
        </w:rPr>
        <w:t>…………………………</w:t>
      </w:r>
      <w:r>
        <w:rPr>
          <w:rFonts w:hint="eastAsia" w:ascii="宋体" w:hAnsi="宋体" w:eastAsia="宋体" w:cs="宋体"/>
          <w:sz w:val="24"/>
          <w:lang w:val="en-US" w:eastAsia="zh-CN"/>
        </w:rPr>
        <w:t>17</w:t>
      </w:r>
    </w:p>
    <w:p>
      <w:pPr>
        <w:pStyle w:val="11"/>
        <w:adjustRightInd w:val="0"/>
        <w:snapToGrid w:val="0"/>
        <w:spacing w:line="440" w:lineRule="exact"/>
        <w:jc w:val="distribute"/>
        <w:rPr>
          <w:rFonts w:hint="eastAsia" w:ascii="宋体" w:hAnsi="宋体" w:eastAsia="宋体" w:cs="宋体"/>
          <w:sz w:val="24"/>
          <w:lang w:val="en-US" w:eastAsia="zh-CN"/>
        </w:rPr>
      </w:pPr>
      <w:r>
        <w:rPr>
          <w:rFonts w:hint="eastAsia" w:ascii="宋体" w:hAnsi="宋体" w:eastAsia="宋体" w:cs="宋体"/>
          <w:sz w:val="24"/>
        </w:rPr>
        <w:t>七、“三公”经费财政拨款支出决算情况说明</w:t>
      </w:r>
      <w:r>
        <w:rPr>
          <w:rFonts w:hint="eastAsia" w:ascii="宋体" w:hAnsi="宋体" w:eastAsia="宋体" w:cs="宋体"/>
          <w:sz w:val="24"/>
          <w:lang w:val="en-US" w:eastAsia="zh-CN"/>
        </w:rPr>
        <w:t>………………………………17</w:t>
      </w:r>
    </w:p>
    <w:p>
      <w:pPr>
        <w:pStyle w:val="11"/>
        <w:adjustRightInd w:val="0"/>
        <w:snapToGrid w:val="0"/>
        <w:spacing w:line="440" w:lineRule="exact"/>
        <w:jc w:val="distribute"/>
        <w:rPr>
          <w:rFonts w:hint="eastAsia" w:ascii="宋体" w:hAnsi="宋体" w:eastAsia="宋体" w:cs="宋体"/>
          <w:sz w:val="24"/>
          <w:lang w:val="en-US" w:eastAsia="zh-CN"/>
        </w:rPr>
      </w:pPr>
      <w:r>
        <w:rPr>
          <w:rFonts w:hint="eastAsia" w:ascii="宋体" w:hAnsi="宋体" w:eastAsia="宋体" w:cs="宋体"/>
          <w:sz w:val="24"/>
        </w:rPr>
        <w:t>八、政府性基金预算支出决算情况说明</w:t>
      </w:r>
      <w:r>
        <w:rPr>
          <w:rFonts w:hint="eastAsia" w:ascii="宋体" w:hAnsi="宋体" w:eastAsia="宋体" w:cs="宋体"/>
          <w:sz w:val="24"/>
          <w:lang w:eastAsia="zh-CN"/>
        </w:rPr>
        <w:t>………………………………………</w:t>
      </w:r>
      <w:r>
        <w:rPr>
          <w:rFonts w:hint="eastAsia" w:ascii="宋体" w:hAnsi="宋体" w:eastAsia="宋体" w:cs="宋体"/>
          <w:sz w:val="24"/>
          <w:lang w:val="en-US" w:eastAsia="zh-CN"/>
        </w:rPr>
        <w:t>19</w:t>
      </w:r>
    </w:p>
    <w:p>
      <w:pPr>
        <w:pStyle w:val="11"/>
        <w:adjustRightInd w:val="0"/>
        <w:snapToGrid w:val="0"/>
        <w:spacing w:line="440" w:lineRule="exact"/>
        <w:jc w:val="distribute"/>
        <w:rPr>
          <w:rFonts w:hint="eastAsia" w:ascii="宋体" w:hAnsi="宋体" w:eastAsia="宋体" w:cs="宋体"/>
          <w:sz w:val="24"/>
          <w:lang w:val="en-US" w:eastAsia="zh-CN"/>
        </w:rPr>
      </w:pPr>
      <w:r>
        <w:rPr>
          <w:rFonts w:hint="eastAsia" w:ascii="宋体" w:hAnsi="宋体" w:eastAsia="宋体" w:cs="宋体"/>
          <w:sz w:val="24"/>
        </w:rPr>
        <w:t>九、国有资本经营预算支出决算情况说明</w:t>
      </w:r>
      <w:r>
        <w:rPr>
          <w:rFonts w:hint="eastAsia" w:ascii="宋体" w:hAnsi="宋体" w:eastAsia="宋体" w:cs="宋体"/>
          <w:sz w:val="24"/>
          <w:lang w:eastAsia="zh-CN"/>
        </w:rPr>
        <w:t>…………………………………</w:t>
      </w:r>
      <w:r>
        <w:rPr>
          <w:rFonts w:hint="eastAsia" w:ascii="宋体" w:hAnsi="宋体" w:eastAsia="宋体" w:cs="宋体"/>
          <w:sz w:val="24"/>
          <w:lang w:val="en-US" w:eastAsia="zh-CN"/>
        </w:rPr>
        <w:t>19</w:t>
      </w:r>
    </w:p>
    <w:p>
      <w:pPr>
        <w:pStyle w:val="11"/>
        <w:adjustRightInd w:val="0"/>
        <w:snapToGrid w:val="0"/>
        <w:spacing w:line="440" w:lineRule="exact"/>
        <w:jc w:val="distribute"/>
        <w:rPr>
          <w:rFonts w:hint="eastAsia" w:ascii="宋体" w:hAnsi="宋体" w:eastAsia="宋体" w:cs="宋体"/>
          <w:sz w:val="24"/>
          <w:lang w:val="en-US" w:eastAsia="zh-CN"/>
        </w:rPr>
      </w:pPr>
      <w:r>
        <w:rPr>
          <w:rFonts w:hint="eastAsia" w:ascii="宋体" w:hAnsi="宋体" w:eastAsia="宋体" w:cs="宋体"/>
          <w:sz w:val="24"/>
        </w:rPr>
        <w:t>十、其他重要事项的情况说明</w:t>
      </w:r>
      <w:r>
        <w:rPr>
          <w:rFonts w:hint="eastAsia" w:ascii="宋体" w:hAnsi="宋体" w:eastAsia="宋体" w:cs="宋体"/>
          <w:sz w:val="24"/>
          <w:lang w:eastAsia="zh-CN"/>
        </w:rPr>
        <w:t>………………………………………………</w:t>
      </w:r>
      <w:r>
        <w:rPr>
          <w:rFonts w:hint="eastAsia" w:ascii="宋体" w:hAnsi="宋体" w:eastAsia="宋体" w:cs="宋体"/>
          <w:sz w:val="24"/>
          <w:lang w:val="en-US" w:eastAsia="zh-CN"/>
        </w:rPr>
        <w:t>20</w:t>
      </w:r>
    </w:p>
    <w:p>
      <w:pPr>
        <w:pStyle w:val="10"/>
        <w:adjustRightInd w:val="0"/>
        <w:snapToGrid w:val="0"/>
        <w:spacing w:before="0" w:line="440" w:lineRule="exact"/>
        <w:jc w:val="distribute"/>
        <w:rPr>
          <w:rFonts w:hint="eastAsia" w:ascii="宋体" w:hAnsi="宋体" w:eastAsia="宋体" w:cs="宋体"/>
          <w:sz w:val="24"/>
          <w:szCs w:val="24"/>
          <w:lang w:val="en-US" w:eastAsia="zh-CN"/>
        </w:rPr>
      </w:pPr>
      <w:r>
        <w:rPr>
          <w:rFonts w:hint="eastAsia" w:ascii="宋体" w:hAnsi="宋体" w:eastAsia="宋体" w:cs="宋体"/>
          <w:sz w:val="24"/>
        </w:rPr>
        <w:t>第三部分名词解释</w:t>
      </w:r>
      <w:r>
        <w:rPr>
          <w:rFonts w:hint="eastAsia" w:ascii="宋体" w:hAnsi="宋体" w:eastAsia="宋体" w:cs="宋体"/>
          <w:sz w:val="24"/>
          <w:lang w:eastAsia="zh-CN"/>
        </w:rPr>
        <w:t>………………………………………………………………</w:t>
      </w:r>
      <w:r>
        <w:rPr>
          <w:rFonts w:hint="eastAsia" w:ascii="宋体" w:hAnsi="宋体" w:eastAsia="宋体" w:cs="宋体"/>
          <w:sz w:val="24"/>
          <w:lang w:val="en-US" w:eastAsia="zh-CN"/>
        </w:rPr>
        <w:t>31</w:t>
      </w:r>
    </w:p>
    <w:p>
      <w:pPr>
        <w:pStyle w:val="10"/>
        <w:adjustRightInd w:val="0"/>
        <w:snapToGrid w:val="0"/>
        <w:spacing w:before="0" w:line="440" w:lineRule="exact"/>
        <w:jc w:val="distribute"/>
        <w:rPr>
          <w:rFonts w:hint="eastAsia" w:ascii="宋体" w:hAnsi="宋体" w:eastAsia="宋体" w:cs="宋体"/>
          <w:sz w:val="24"/>
          <w:szCs w:val="24"/>
          <w:lang w:val="en-US" w:eastAsia="zh-CN"/>
        </w:rPr>
      </w:pPr>
      <w:r>
        <w:rPr>
          <w:rFonts w:hint="eastAsia" w:ascii="宋体" w:hAnsi="宋体" w:eastAsia="宋体" w:cs="宋体"/>
          <w:sz w:val="24"/>
        </w:rPr>
        <w:t>第四部分附件</w:t>
      </w:r>
      <w:r>
        <w:rPr>
          <w:rFonts w:hint="eastAsia" w:ascii="宋体" w:hAnsi="宋体" w:eastAsia="宋体" w:cs="宋体"/>
          <w:sz w:val="24"/>
          <w:lang w:eastAsia="zh-CN"/>
        </w:rPr>
        <w:t>………………………………………………………………………</w:t>
      </w:r>
      <w:r>
        <w:rPr>
          <w:rFonts w:hint="eastAsia" w:ascii="宋体" w:hAnsi="宋体" w:eastAsia="宋体" w:cs="宋体"/>
          <w:sz w:val="24"/>
          <w:lang w:val="en-US" w:eastAsia="zh-CN"/>
        </w:rPr>
        <w:t>34</w:t>
      </w:r>
    </w:p>
    <w:p>
      <w:pPr>
        <w:pStyle w:val="11"/>
        <w:adjustRightInd w:val="0"/>
        <w:snapToGrid w:val="0"/>
        <w:spacing w:line="440" w:lineRule="exact"/>
        <w:jc w:val="distribute"/>
        <w:rPr>
          <w:rFonts w:hint="eastAsia" w:ascii="宋体" w:hAnsi="宋体" w:eastAsia="宋体" w:cs="宋体"/>
          <w:sz w:val="24"/>
          <w:lang w:val="en-US" w:eastAsia="zh-CN"/>
        </w:rPr>
      </w:pPr>
      <w:r>
        <w:rPr>
          <w:rFonts w:hint="eastAsia" w:ascii="宋体" w:hAnsi="宋体" w:eastAsia="宋体" w:cs="宋体"/>
          <w:sz w:val="24"/>
        </w:rPr>
        <w:t>附件1</w:t>
      </w:r>
      <w:r>
        <w:rPr>
          <w:rFonts w:hint="eastAsia" w:ascii="宋体" w:hAnsi="宋体" w:eastAsia="宋体" w:cs="宋体"/>
          <w:sz w:val="24"/>
          <w:lang w:eastAsia="zh-CN"/>
        </w:rPr>
        <w:t>……………………………………………………………………………</w:t>
      </w:r>
      <w:r>
        <w:rPr>
          <w:rFonts w:hint="eastAsia" w:ascii="宋体" w:hAnsi="宋体" w:eastAsia="宋体" w:cs="宋体"/>
          <w:sz w:val="24"/>
          <w:lang w:val="en-US" w:eastAsia="zh-CN"/>
        </w:rPr>
        <w:t>34</w:t>
      </w:r>
    </w:p>
    <w:p>
      <w:pPr>
        <w:pStyle w:val="11"/>
        <w:adjustRightInd w:val="0"/>
        <w:snapToGrid w:val="0"/>
        <w:spacing w:line="440" w:lineRule="exact"/>
        <w:jc w:val="distribute"/>
        <w:rPr>
          <w:rFonts w:hint="eastAsia" w:ascii="宋体" w:hAnsi="宋体" w:eastAsia="宋体" w:cs="宋体"/>
          <w:sz w:val="24"/>
          <w:lang w:val="en-US" w:eastAsia="zh-CN"/>
        </w:rPr>
      </w:pPr>
      <w:r>
        <w:rPr>
          <w:rFonts w:hint="eastAsia" w:ascii="宋体" w:hAnsi="宋体" w:eastAsia="宋体" w:cs="宋体"/>
          <w:sz w:val="24"/>
        </w:rPr>
        <w:t>附件2</w:t>
      </w:r>
      <w:r>
        <w:rPr>
          <w:rFonts w:hint="eastAsia" w:ascii="宋体" w:hAnsi="宋体" w:eastAsia="宋体" w:cs="宋体"/>
          <w:sz w:val="24"/>
          <w:lang w:eastAsia="zh-CN"/>
        </w:rPr>
        <w:t>……………………………………………………………………………</w:t>
      </w:r>
      <w:r>
        <w:rPr>
          <w:rFonts w:hint="eastAsia" w:ascii="宋体" w:hAnsi="宋体" w:eastAsia="宋体" w:cs="宋体"/>
          <w:sz w:val="24"/>
          <w:lang w:val="en-US" w:eastAsia="zh-CN"/>
        </w:rPr>
        <w:t>39</w:t>
      </w:r>
    </w:p>
    <w:p>
      <w:pPr>
        <w:pStyle w:val="10"/>
        <w:adjustRightInd w:val="0"/>
        <w:snapToGrid w:val="0"/>
        <w:spacing w:before="0" w:line="440" w:lineRule="exact"/>
        <w:jc w:val="distribute"/>
        <w:rPr>
          <w:rFonts w:hint="eastAsia" w:ascii="宋体" w:hAnsi="宋体" w:eastAsia="宋体" w:cs="宋体"/>
          <w:sz w:val="24"/>
          <w:szCs w:val="24"/>
          <w:lang w:val="en-US" w:eastAsia="zh-CN"/>
        </w:rPr>
      </w:pPr>
      <w:r>
        <w:rPr>
          <w:rFonts w:hint="eastAsia" w:ascii="宋体" w:hAnsi="宋体" w:eastAsia="宋体" w:cs="宋体"/>
          <w:sz w:val="24"/>
        </w:rPr>
        <w:t>第五部分附表</w:t>
      </w:r>
      <w:r>
        <w:rPr>
          <w:rFonts w:hint="eastAsia" w:ascii="宋体" w:hAnsi="宋体" w:eastAsia="宋体" w:cs="宋体"/>
          <w:sz w:val="24"/>
          <w:lang w:eastAsia="zh-CN"/>
        </w:rPr>
        <w:t>………………………………………………………………………</w:t>
      </w:r>
      <w:r>
        <w:rPr>
          <w:rFonts w:hint="eastAsia" w:ascii="宋体" w:hAnsi="宋体" w:eastAsia="宋体" w:cs="宋体"/>
          <w:sz w:val="24"/>
          <w:lang w:val="en-US" w:eastAsia="zh-CN"/>
        </w:rPr>
        <w:t>43</w:t>
      </w:r>
    </w:p>
    <w:p>
      <w:pPr>
        <w:pStyle w:val="11"/>
        <w:adjustRightInd w:val="0"/>
        <w:snapToGrid w:val="0"/>
        <w:spacing w:line="440" w:lineRule="exact"/>
        <w:jc w:val="distribute"/>
        <w:rPr>
          <w:rFonts w:hint="eastAsia" w:ascii="宋体" w:hAnsi="宋体" w:eastAsia="宋体" w:cs="宋体"/>
          <w:sz w:val="24"/>
        </w:rPr>
      </w:pPr>
      <w:r>
        <w:rPr>
          <w:rFonts w:hint="eastAsia" w:ascii="宋体" w:hAnsi="宋体" w:eastAsia="宋体" w:cs="宋体"/>
          <w:sz w:val="24"/>
        </w:rPr>
        <w:t>一、收入支出决算总表</w:t>
      </w:r>
      <w:r>
        <w:rPr>
          <w:rFonts w:hint="eastAsia" w:ascii="宋体" w:hAnsi="宋体" w:eastAsia="宋体" w:cs="宋体"/>
          <w:sz w:val="24"/>
          <w:lang w:eastAsia="zh-CN"/>
        </w:rPr>
        <w:t>………………………………………………………</w:t>
      </w:r>
      <w:r>
        <w:rPr>
          <w:rFonts w:hint="eastAsia" w:ascii="宋体" w:hAnsi="宋体" w:eastAsia="宋体" w:cs="宋体"/>
          <w:sz w:val="24"/>
          <w:lang w:val="en-US" w:eastAsia="zh-CN"/>
        </w:rPr>
        <w:t>43</w:t>
      </w:r>
      <w:r>
        <w:rPr>
          <w:rFonts w:hint="eastAsia" w:ascii="宋体" w:hAnsi="宋体" w:eastAsia="宋体" w:cs="宋体"/>
          <w:sz w:val="24"/>
        </w:rPr>
        <w:t>二、收入决算表</w:t>
      </w:r>
      <w:r>
        <w:rPr>
          <w:rFonts w:hint="eastAsia" w:ascii="宋体" w:hAnsi="宋体" w:eastAsia="宋体" w:cs="宋体"/>
          <w:sz w:val="24"/>
          <w:lang w:eastAsia="zh-CN"/>
        </w:rPr>
        <w:t>…………………………………………………………………</w:t>
      </w:r>
      <w:r>
        <w:rPr>
          <w:rFonts w:hint="eastAsia" w:ascii="宋体" w:hAnsi="宋体" w:eastAsia="宋体" w:cs="宋体"/>
          <w:sz w:val="24"/>
          <w:lang w:val="en-US" w:eastAsia="zh-CN"/>
        </w:rPr>
        <w:t>43</w:t>
      </w:r>
    </w:p>
    <w:p>
      <w:pPr>
        <w:pStyle w:val="11"/>
        <w:adjustRightInd w:val="0"/>
        <w:snapToGrid w:val="0"/>
        <w:spacing w:line="440" w:lineRule="exact"/>
        <w:jc w:val="distribute"/>
        <w:rPr>
          <w:rFonts w:hint="eastAsia" w:ascii="宋体" w:hAnsi="宋体" w:eastAsia="宋体" w:cs="宋体"/>
          <w:sz w:val="24"/>
        </w:rPr>
      </w:pPr>
      <w:r>
        <w:rPr>
          <w:rFonts w:hint="eastAsia" w:ascii="宋体" w:hAnsi="宋体" w:eastAsia="宋体" w:cs="宋体"/>
          <w:sz w:val="24"/>
        </w:rPr>
        <w:t>三、支出决算表</w:t>
      </w:r>
      <w:r>
        <w:rPr>
          <w:rFonts w:hint="eastAsia" w:ascii="宋体" w:hAnsi="宋体" w:eastAsia="宋体" w:cs="宋体"/>
          <w:sz w:val="24"/>
          <w:lang w:eastAsia="zh-CN"/>
        </w:rPr>
        <w:t>…………………………………………………………………</w:t>
      </w:r>
      <w:r>
        <w:rPr>
          <w:rFonts w:hint="eastAsia" w:ascii="宋体" w:hAnsi="宋体" w:eastAsia="宋体" w:cs="宋体"/>
          <w:sz w:val="24"/>
          <w:lang w:val="en-US" w:eastAsia="zh-CN"/>
        </w:rPr>
        <w:t>43</w:t>
      </w:r>
    </w:p>
    <w:p>
      <w:pPr>
        <w:pStyle w:val="11"/>
        <w:adjustRightInd w:val="0"/>
        <w:snapToGrid w:val="0"/>
        <w:spacing w:line="440" w:lineRule="exact"/>
        <w:jc w:val="distribute"/>
        <w:rPr>
          <w:rFonts w:hint="eastAsia" w:ascii="宋体" w:hAnsi="宋体" w:eastAsia="宋体" w:cs="宋体"/>
          <w:sz w:val="24"/>
        </w:rPr>
      </w:pPr>
      <w:r>
        <w:rPr>
          <w:rFonts w:hint="eastAsia" w:ascii="宋体" w:hAnsi="宋体" w:eastAsia="宋体" w:cs="宋体"/>
          <w:sz w:val="24"/>
        </w:rPr>
        <w:t>四、财政拨款收入支出决算总表</w:t>
      </w:r>
      <w:r>
        <w:rPr>
          <w:rFonts w:hint="eastAsia" w:ascii="宋体" w:hAnsi="宋体" w:eastAsia="宋体" w:cs="宋体"/>
          <w:sz w:val="24"/>
          <w:lang w:eastAsia="zh-CN"/>
        </w:rPr>
        <w:t>………………………………………………</w:t>
      </w:r>
      <w:r>
        <w:rPr>
          <w:rFonts w:hint="eastAsia" w:ascii="宋体" w:hAnsi="宋体" w:eastAsia="宋体" w:cs="宋体"/>
          <w:sz w:val="24"/>
          <w:lang w:val="en-US" w:eastAsia="zh-CN"/>
        </w:rPr>
        <w:t>43</w:t>
      </w:r>
    </w:p>
    <w:p>
      <w:pPr>
        <w:pStyle w:val="11"/>
        <w:adjustRightInd w:val="0"/>
        <w:snapToGrid w:val="0"/>
        <w:spacing w:line="440" w:lineRule="exact"/>
        <w:jc w:val="distribute"/>
        <w:rPr>
          <w:rFonts w:hint="eastAsia" w:ascii="宋体" w:hAnsi="宋体" w:eastAsia="宋体" w:cs="宋体"/>
          <w:sz w:val="24"/>
        </w:rPr>
      </w:pPr>
      <w:r>
        <w:rPr>
          <w:rFonts w:hint="eastAsia" w:ascii="宋体" w:hAnsi="宋体" w:eastAsia="宋体" w:cs="宋体"/>
          <w:sz w:val="24"/>
        </w:rPr>
        <w:t>五、财政拨款支出决算明细表</w:t>
      </w:r>
      <w:r>
        <w:rPr>
          <w:rFonts w:hint="eastAsia" w:ascii="宋体" w:hAnsi="宋体" w:eastAsia="宋体" w:cs="宋体"/>
          <w:sz w:val="24"/>
          <w:lang w:eastAsia="zh-CN"/>
        </w:rPr>
        <w:t>………………………………………………</w:t>
      </w:r>
      <w:r>
        <w:rPr>
          <w:rFonts w:hint="eastAsia" w:ascii="宋体" w:hAnsi="宋体" w:eastAsia="宋体" w:cs="宋体"/>
          <w:sz w:val="24"/>
          <w:lang w:val="en-US" w:eastAsia="zh-CN"/>
        </w:rPr>
        <w:t>43</w:t>
      </w:r>
    </w:p>
    <w:p>
      <w:pPr>
        <w:pStyle w:val="11"/>
        <w:adjustRightInd w:val="0"/>
        <w:snapToGrid w:val="0"/>
        <w:spacing w:line="440" w:lineRule="exact"/>
        <w:jc w:val="distribute"/>
        <w:rPr>
          <w:rFonts w:hint="eastAsia" w:ascii="宋体" w:hAnsi="宋体" w:eastAsia="宋体" w:cs="宋体"/>
          <w:sz w:val="24"/>
        </w:rPr>
      </w:pPr>
      <w:r>
        <w:rPr>
          <w:rFonts w:hint="eastAsia" w:ascii="宋体" w:hAnsi="宋体" w:eastAsia="宋体" w:cs="宋体"/>
          <w:sz w:val="24"/>
        </w:rPr>
        <w:t>六、一般公共预算财政拨款支出决算表</w:t>
      </w:r>
      <w:r>
        <w:rPr>
          <w:rFonts w:hint="eastAsia" w:ascii="宋体" w:hAnsi="宋体" w:eastAsia="宋体" w:cs="宋体"/>
          <w:sz w:val="24"/>
          <w:lang w:eastAsia="zh-CN"/>
        </w:rPr>
        <w:t>……………………………………</w:t>
      </w:r>
      <w:r>
        <w:rPr>
          <w:rFonts w:hint="eastAsia" w:ascii="宋体" w:hAnsi="宋体" w:eastAsia="宋体" w:cs="宋体"/>
          <w:sz w:val="24"/>
          <w:lang w:val="en-US" w:eastAsia="zh-CN"/>
        </w:rPr>
        <w:t>43</w:t>
      </w:r>
    </w:p>
    <w:p>
      <w:pPr>
        <w:pStyle w:val="11"/>
        <w:adjustRightInd w:val="0"/>
        <w:snapToGrid w:val="0"/>
        <w:spacing w:line="440" w:lineRule="exact"/>
        <w:jc w:val="distribute"/>
        <w:rPr>
          <w:rFonts w:hint="eastAsia" w:ascii="宋体" w:hAnsi="宋体" w:eastAsia="宋体" w:cs="宋体"/>
          <w:sz w:val="24"/>
        </w:rPr>
      </w:pPr>
      <w:r>
        <w:rPr>
          <w:rFonts w:hint="eastAsia" w:ascii="宋体" w:hAnsi="宋体" w:eastAsia="宋体" w:cs="宋体"/>
          <w:sz w:val="24"/>
        </w:rPr>
        <w:t>七、一般公共预算财政拨款支出决算明细表</w:t>
      </w:r>
      <w:r>
        <w:rPr>
          <w:rFonts w:hint="eastAsia" w:ascii="宋体" w:hAnsi="宋体" w:eastAsia="宋体" w:cs="宋体"/>
          <w:sz w:val="24"/>
          <w:lang w:eastAsia="zh-CN"/>
        </w:rPr>
        <w:t>…………………………………</w:t>
      </w:r>
      <w:r>
        <w:rPr>
          <w:rFonts w:hint="eastAsia" w:ascii="宋体" w:hAnsi="宋体" w:eastAsia="宋体" w:cs="宋体"/>
          <w:sz w:val="24"/>
          <w:lang w:val="en-US" w:eastAsia="zh-CN"/>
        </w:rPr>
        <w:t>43</w:t>
      </w:r>
    </w:p>
    <w:p>
      <w:pPr>
        <w:pStyle w:val="11"/>
        <w:adjustRightInd w:val="0"/>
        <w:snapToGrid w:val="0"/>
        <w:spacing w:line="440" w:lineRule="exact"/>
        <w:jc w:val="distribute"/>
        <w:rPr>
          <w:rFonts w:hint="eastAsia" w:ascii="宋体" w:hAnsi="宋体" w:eastAsia="宋体" w:cs="宋体"/>
          <w:sz w:val="24"/>
        </w:rPr>
      </w:pPr>
      <w:r>
        <w:rPr>
          <w:rFonts w:hint="eastAsia" w:ascii="宋体" w:hAnsi="宋体" w:eastAsia="宋体" w:cs="宋体"/>
          <w:sz w:val="24"/>
        </w:rPr>
        <w:t>八、一般公共预算财政拨款基本支出决算表</w:t>
      </w:r>
      <w:r>
        <w:rPr>
          <w:rFonts w:hint="eastAsia" w:ascii="宋体" w:hAnsi="宋体" w:eastAsia="宋体" w:cs="宋体"/>
          <w:sz w:val="24"/>
          <w:lang w:eastAsia="zh-CN"/>
        </w:rPr>
        <w:t>…………………………………</w:t>
      </w:r>
      <w:r>
        <w:rPr>
          <w:rFonts w:hint="eastAsia" w:ascii="宋体" w:hAnsi="宋体" w:eastAsia="宋体" w:cs="宋体"/>
          <w:sz w:val="24"/>
          <w:lang w:val="en-US" w:eastAsia="zh-CN"/>
        </w:rPr>
        <w:t>43</w:t>
      </w:r>
    </w:p>
    <w:p>
      <w:pPr>
        <w:pStyle w:val="11"/>
        <w:adjustRightInd w:val="0"/>
        <w:snapToGrid w:val="0"/>
        <w:spacing w:line="440" w:lineRule="exact"/>
        <w:jc w:val="distribute"/>
        <w:rPr>
          <w:rFonts w:hint="eastAsia" w:ascii="宋体" w:hAnsi="宋体" w:eastAsia="宋体" w:cs="宋体"/>
          <w:sz w:val="24"/>
        </w:rPr>
      </w:pPr>
      <w:r>
        <w:rPr>
          <w:rFonts w:hint="eastAsia" w:ascii="宋体" w:hAnsi="宋体" w:eastAsia="宋体" w:cs="宋体"/>
          <w:sz w:val="24"/>
        </w:rPr>
        <w:t>九、一般公共预算财政拨款项目支出决算表</w:t>
      </w:r>
      <w:r>
        <w:rPr>
          <w:rFonts w:hint="eastAsia" w:ascii="宋体" w:hAnsi="宋体" w:eastAsia="宋体" w:cs="宋体"/>
          <w:sz w:val="24"/>
          <w:lang w:eastAsia="zh-CN"/>
        </w:rPr>
        <w:t>…………………………………</w:t>
      </w:r>
      <w:r>
        <w:rPr>
          <w:rFonts w:hint="eastAsia" w:ascii="宋体" w:hAnsi="宋体" w:eastAsia="宋体" w:cs="宋体"/>
          <w:sz w:val="24"/>
          <w:lang w:val="en-US" w:eastAsia="zh-CN"/>
        </w:rPr>
        <w:t>43</w:t>
      </w:r>
    </w:p>
    <w:p>
      <w:pPr>
        <w:pStyle w:val="11"/>
        <w:adjustRightInd w:val="0"/>
        <w:snapToGrid w:val="0"/>
        <w:spacing w:line="440" w:lineRule="exact"/>
        <w:jc w:val="distribute"/>
        <w:rPr>
          <w:rFonts w:hint="eastAsia" w:ascii="宋体" w:hAnsi="宋体" w:eastAsia="宋体" w:cs="宋体"/>
          <w:sz w:val="24"/>
        </w:rPr>
      </w:pPr>
      <w:r>
        <w:rPr>
          <w:rFonts w:hint="eastAsia" w:ascii="宋体" w:hAnsi="宋体" w:eastAsia="宋体" w:cs="宋体"/>
          <w:sz w:val="24"/>
        </w:rPr>
        <w:t>十、一般公共预算财政拨款“三公”经费支出决算表</w:t>
      </w:r>
      <w:r>
        <w:rPr>
          <w:rFonts w:hint="eastAsia" w:ascii="宋体" w:hAnsi="宋体" w:eastAsia="宋体" w:cs="宋体"/>
          <w:sz w:val="24"/>
          <w:lang w:eastAsia="zh-CN"/>
        </w:rPr>
        <w:t>………………………</w:t>
      </w:r>
      <w:r>
        <w:rPr>
          <w:rFonts w:hint="eastAsia" w:ascii="宋体" w:hAnsi="宋体" w:eastAsia="宋体" w:cs="宋体"/>
          <w:sz w:val="24"/>
          <w:lang w:val="en-US" w:eastAsia="zh-CN"/>
        </w:rPr>
        <w:t>43</w:t>
      </w:r>
    </w:p>
    <w:p>
      <w:pPr>
        <w:pStyle w:val="11"/>
        <w:adjustRightInd w:val="0"/>
        <w:snapToGrid w:val="0"/>
        <w:spacing w:line="440" w:lineRule="exact"/>
        <w:jc w:val="distribute"/>
        <w:rPr>
          <w:rFonts w:hint="eastAsia" w:ascii="宋体" w:hAnsi="宋体" w:eastAsia="宋体" w:cs="宋体"/>
          <w:sz w:val="24"/>
        </w:rPr>
      </w:pPr>
      <w:r>
        <w:rPr>
          <w:rFonts w:hint="eastAsia" w:ascii="宋体" w:hAnsi="宋体" w:eastAsia="宋体" w:cs="宋体"/>
          <w:sz w:val="24"/>
        </w:rPr>
        <w:t>十一、政府性基金预算财政拨款收入支出决算表</w:t>
      </w:r>
      <w:r>
        <w:rPr>
          <w:rFonts w:hint="eastAsia" w:ascii="宋体" w:hAnsi="宋体" w:eastAsia="宋体" w:cs="宋体"/>
          <w:sz w:val="24"/>
          <w:lang w:eastAsia="zh-CN"/>
        </w:rPr>
        <w:t>……………………………</w:t>
      </w:r>
      <w:r>
        <w:rPr>
          <w:rFonts w:hint="eastAsia" w:ascii="宋体" w:hAnsi="宋体" w:eastAsia="宋体" w:cs="宋体"/>
          <w:sz w:val="24"/>
          <w:lang w:val="en-US" w:eastAsia="zh-CN"/>
        </w:rPr>
        <w:t>43</w:t>
      </w:r>
    </w:p>
    <w:p>
      <w:pPr>
        <w:pStyle w:val="11"/>
        <w:adjustRightInd w:val="0"/>
        <w:snapToGrid w:val="0"/>
        <w:spacing w:line="440" w:lineRule="exact"/>
        <w:jc w:val="distribute"/>
        <w:rPr>
          <w:rFonts w:hint="eastAsia" w:ascii="宋体" w:hAnsi="宋体" w:eastAsia="宋体" w:cs="宋体"/>
          <w:sz w:val="24"/>
        </w:rPr>
      </w:pPr>
      <w:r>
        <w:rPr>
          <w:rFonts w:hint="eastAsia" w:ascii="宋体" w:hAnsi="宋体" w:eastAsia="宋体" w:cs="宋体"/>
          <w:sz w:val="24"/>
        </w:rPr>
        <w:t>十二、政府性基金预算财政拨款“三公”经费支出决算表</w:t>
      </w:r>
      <w:r>
        <w:rPr>
          <w:rFonts w:hint="eastAsia" w:ascii="宋体" w:hAnsi="宋体" w:eastAsia="宋体" w:cs="宋体"/>
          <w:sz w:val="24"/>
          <w:lang w:eastAsia="zh-CN"/>
        </w:rPr>
        <w:t>…………………</w:t>
      </w:r>
      <w:r>
        <w:rPr>
          <w:rFonts w:hint="eastAsia" w:ascii="宋体" w:hAnsi="宋体" w:eastAsia="宋体" w:cs="宋体"/>
          <w:sz w:val="24"/>
          <w:lang w:val="en-US" w:eastAsia="zh-CN"/>
        </w:rPr>
        <w:t>43</w:t>
      </w:r>
    </w:p>
    <w:p>
      <w:pPr>
        <w:pStyle w:val="11"/>
        <w:adjustRightInd w:val="0"/>
        <w:snapToGrid w:val="0"/>
        <w:spacing w:line="440" w:lineRule="exact"/>
        <w:jc w:val="distribute"/>
        <w:rPr>
          <w:rFonts w:hint="eastAsia" w:ascii="宋体" w:hAnsi="宋体" w:eastAsia="宋体" w:cs="宋体"/>
          <w:sz w:val="24"/>
        </w:rPr>
      </w:pPr>
      <w:r>
        <w:rPr>
          <w:rFonts w:hint="eastAsia" w:ascii="宋体" w:hAnsi="宋体" w:eastAsia="宋体" w:cs="宋体"/>
          <w:sz w:val="24"/>
        </w:rPr>
        <w:t>十三、国有资本经营预算支出决算表</w:t>
      </w:r>
      <w:r>
        <w:rPr>
          <w:rFonts w:hint="eastAsia" w:ascii="宋体" w:hAnsi="宋体" w:eastAsia="宋体" w:cs="宋体"/>
          <w:sz w:val="24"/>
          <w:lang w:eastAsia="zh-CN"/>
        </w:rPr>
        <w:t>…………………………………………</w:t>
      </w:r>
      <w:r>
        <w:rPr>
          <w:rFonts w:hint="eastAsia" w:ascii="宋体" w:hAnsi="宋体" w:eastAsia="宋体" w:cs="宋体"/>
          <w:sz w:val="24"/>
          <w:lang w:val="en-US" w:eastAsia="zh-CN"/>
        </w:rPr>
        <w:t>43</w:t>
      </w:r>
    </w:p>
    <w:p>
      <w:pPr>
        <w:widowControl/>
        <w:adjustRightInd w:val="0"/>
        <w:snapToGrid w:val="0"/>
        <w:spacing w:line="440" w:lineRule="exact"/>
        <w:ind w:firstLine="1320" w:firstLineChars="550"/>
        <w:jc w:val="left"/>
        <w:rPr>
          <w:rFonts w:ascii="仿宋" w:hAnsi="仿宋" w:eastAsia="仿宋"/>
          <w:color w:val="FF0000"/>
          <w:sz w:val="24"/>
        </w:rPr>
      </w:pPr>
      <w:r>
        <w:rPr>
          <w:rFonts w:hint="eastAsia" w:ascii="宋体" w:hAnsi="宋体" w:eastAsia="宋体" w:cs="宋体"/>
          <w:color w:val="FF0000"/>
          <w:sz w:val="24"/>
        </w:rPr>
        <w:t>(注：请部门根据实际注明页码)</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2"/>
        <w:jc w:val="center"/>
        <w:rPr>
          <w:rStyle w:val="26"/>
          <w:rFonts w:ascii="黑体" w:hAnsi="黑体" w:eastAsia="黑体"/>
          <w:b/>
          <w:bCs w:val="0"/>
        </w:rPr>
      </w:pPr>
      <w:r>
        <w:rPr>
          <w:rFonts w:hint="eastAsia" w:ascii="黑体" w:hAnsi="黑体" w:eastAsia="黑体"/>
          <w:b w:val="0"/>
        </w:rPr>
        <w:t xml:space="preserve">第一部分 </w:t>
      </w:r>
      <w:r>
        <w:rPr>
          <w:rStyle w:val="26"/>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7"/>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7"/>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5" w:firstLineChars="210"/>
        <w:outlineLvl w:val="2"/>
        <w:rPr>
          <w:rFonts w:hint="eastAsia" w:ascii="仿宋" w:hAnsi="仿宋" w:eastAsia="仿宋"/>
          <w:b/>
          <w:bCs w:val="0"/>
          <w:color w:val="000000"/>
          <w:sz w:val="32"/>
          <w:szCs w:val="32"/>
        </w:rPr>
      </w:pPr>
      <w:bookmarkStart w:id="16" w:name="_Toc15378445"/>
      <w:bookmarkStart w:id="17" w:name="_Toc15377198"/>
      <w:r>
        <w:rPr>
          <w:rFonts w:hint="eastAsia" w:ascii="仿宋" w:hAnsi="仿宋" w:eastAsia="仿宋"/>
          <w:b/>
          <w:bCs w:val="0"/>
          <w:color w:val="000000"/>
          <w:sz w:val="32"/>
          <w:szCs w:val="32"/>
        </w:rPr>
        <w:t>（一）主要职能</w:t>
      </w:r>
      <w:bookmarkEnd w:id="16"/>
      <w:bookmarkEnd w:id="17"/>
    </w:p>
    <w:p>
      <w:pPr>
        <w:spacing w:line="576"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广元市利州区司法局(简称区司法局)是广元市利州区人民政府</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工作部门，为正科级。</w:t>
      </w:r>
    </w:p>
    <w:p>
      <w:pPr>
        <w:overflowPunct w:val="0"/>
        <w:spacing w:line="576" w:lineRule="exact"/>
        <w:ind w:firstLine="63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中共广元市利州区委全面依法治区委员会办公室（简称区委依法治区办）设在区司法局，接受</w:t>
      </w:r>
      <w:r>
        <w:rPr>
          <w:rFonts w:hint="eastAsia" w:ascii="仿宋" w:hAnsi="仿宋" w:eastAsia="仿宋" w:cs="仿宋"/>
          <w:color w:val="auto"/>
          <w:sz w:val="32"/>
          <w:szCs w:val="32"/>
          <w:lang w:eastAsia="zh-CN"/>
        </w:rPr>
        <w:t>中共广元市利州区</w:t>
      </w:r>
      <w:r>
        <w:rPr>
          <w:rFonts w:hint="eastAsia" w:ascii="仿宋" w:hAnsi="仿宋" w:eastAsia="仿宋" w:cs="仿宋"/>
          <w:color w:val="auto"/>
          <w:sz w:val="32"/>
          <w:szCs w:val="32"/>
        </w:rPr>
        <w:t>委</w:t>
      </w:r>
      <w:r>
        <w:rPr>
          <w:rFonts w:hint="eastAsia" w:ascii="仿宋" w:hAnsi="仿宋" w:eastAsia="仿宋" w:cs="仿宋"/>
          <w:color w:val="auto"/>
          <w:sz w:val="32"/>
          <w:szCs w:val="32"/>
          <w:lang w:eastAsia="zh-CN"/>
        </w:rPr>
        <w:t>全面依法治区委员会（以下简称委员会）</w:t>
      </w:r>
      <w:r>
        <w:rPr>
          <w:rFonts w:hint="eastAsia" w:ascii="仿宋" w:hAnsi="仿宋" w:eastAsia="仿宋" w:cs="仿宋"/>
          <w:color w:val="auto"/>
          <w:sz w:val="32"/>
          <w:szCs w:val="32"/>
        </w:rPr>
        <w:t>的直接领导，承担委员会具体工作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组织开展全面依法治区重大问题的政策研究。协调督促有关方面落实委员会</w:t>
      </w:r>
      <w:r>
        <w:rPr>
          <w:rFonts w:hint="eastAsia" w:ascii="仿宋" w:hAnsi="仿宋" w:eastAsia="仿宋" w:cs="仿宋"/>
          <w:color w:val="auto"/>
          <w:sz w:val="32"/>
          <w:szCs w:val="32"/>
          <w:lang w:eastAsia="zh-CN"/>
        </w:rPr>
        <w:t>及其</w:t>
      </w:r>
      <w:r>
        <w:rPr>
          <w:rFonts w:hint="eastAsia" w:ascii="仿宋" w:hAnsi="仿宋" w:eastAsia="仿宋" w:cs="仿宋"/>
          <w:color w:val="auto"/>
          <w:sz w:val="32"/>
          <w:szCs w:val="32"/>
        </w:rPr>
        <w:t>办公室决定事项、工作部署和要求等。</w:t>
      </w:r>
      <w:r>
        <w:rPr>
          <w:rFonts w:hint="eastAsia" w:ascii="仿宋" w:hAnsi="仿宋" w:eastAsia="仿宋" w:cs="仿宋"/>
          <w:color w:val="auto"/>
          <w:sz w:val="32"/>
          <w:szCs w:val="32"/>
          <w:lang w:eastAsia="zh-CN"/>
        </w:rPr>
        <w:t>设置区委依法治区办秘书室，负责处理区委依法治区办日常事务。内设机构根据工作需要承担区委依法治区办相关工作，接受区委依法治区办的统筹协调。</w:t>
      </w:r>
    </w:p>
    <w:p>
      <w:pPr>
        <w:overflowPunct w:val="0"/>
        <w:spacing w:line="576"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负责贯彻落实党中央关于全面依法治国的方针政策和省委、市委、区委的决策部署，在履行职责过程中坚持和加强党对全面依法治区工作的集中统一领导。主要职责是：</w:t>
      </w:r>
    </w:p>
    <w:p>
      <w:pPr>
        <w:overflowPunct w:val="0"/>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1</w:t>
      </w:r>
      <w:r>
        <w:rPr>
          <w:rFonts w:hint="eastAsia" w:ascii="楷体" w:hAnsi="楷体" w:eastAsia="楷体" w:cs="楷体"/>
          <w:color w:val="auto"/>
          <w:sz w:val="32"/>
          <w:szCs w:val="32"/>
        </w:rPr>
        <w:t>）</w:t>
      </w:r>
      <w:r>
        <w:rPr>
          <w:rFonts w:hint="eastAsia" w:ascii="仿宋" w:hAnsi="仿宋" w:eastAsia="仿宋" w:cs="仿宋"/>
          <w:color w:val="auto"/>
          <w:sz w:val="32"/>
          <w:szCs w:val="32"/>
        </w:rPr>
        <w:t>承担全面依法治国、依法治省、依法治市和依法治区重大问题的政策研究，协调有关方面提出全面依法治区规划建议，负责有关重大决策部署督察工作。</w:t>
      </w:r>
    </w:p>
    <w:p>
      <w:pPr>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2</w:t>
      </w:r>
      <w:r>
        <w:rPr>
          <w:rFonts w:hint="eastAsia" w:ascii="楷体" w:hAnsi="楷体" w:eastAsia="楷体" w:cs="楷体"/>
          <w:color w:val="auto"/>
          <w:sz w:val="32"/>
          <w:szCs w:val="32"/>
        </w:rPr>
        <w:t>）</w:t>
      </w:r>
      <w:r>
        <w:rPr>
          <w:rFonts w:hint="eastAsia" w:ascii="仿宋" w:hAnsi="仿宋" w:eastAsia="仿宋" w:cs="仿宋"/>
          <w:color w:val="auto"/>
          <w:sz w:val="32"/>
          <w:szCs w:val="32"/>
        </w:rPr>
        <w:t>贯彻执行国家、省、市、区关于司法行政工作的方针、政策，制定司法行政规范性文件、发展规划、工作计划并组织实施。</w:t>
      </w:r>
    </w:p>
    <w:p>
      <w:pPr>
        <w:overflowPunct w:val="0"/>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3</w:t>
      </w:r>
      <w:r>
        <w:rPr>
          <w:rFonts w:hint="eastAsia" w:ascii="楷体" w:hAnsi="楷体" w:eastAsia="楷体" w:cs="楷体"/>
          <w:color w:val="auto"/>
          <w:sz w:val="32"/>
          <w:szCs w:val="32"/>
        </w:rPr>
        <w:t>）</w:t>
      </w:r>
      <w:r>
        <w:rPr>
          <w:rFonts w:hint="eastAsia" w:ascii="仿宋" w:hAnsi="仿宋" w:eastAsia="仿宋" w:cs="仿宋"/>
          <w:color w:val="auto"/>
          <w:sz w:val="32"/>
          <w:szCs w:val="32"/>
        </w:rPr>
        <w:t>负责区政府规范性文件、重大行政决策发布前的合法性审查。承办区政府规范性文件的报送备案工作。负责各乡镇（街道）政府（办事处）和区政府各部门报送区政府的规范性文件备案审查工作。组织开展规范性文件清理。</w:t>
      </w:r>
    </w:p>
    <w:p>
      <w:pPr>
        <w:overflowPunct w:val="0"/>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4</w:t>
      </w:r>
      <w:r>
        <w:rPr>
          <w:rFonts w:hint="eastAsia" w:ascii="楷体" w:hAnsi="楷体" w:eastAsia="楷体" w:cs="楷体"/>
          <w:color w:val="auto"/>
          <w:sz w:val="32"/>
          <w:szCs w:val="32"/>
        </w:rPr>
        <w:t>）</w:t>
      </w:r>
      <w:r>
        <w:rPr>
          <w:rFonts w:hint="eastAsia" w:ascii="仿宋" w:hAnsi="仿宋" w:eastAsia="仿宋" w:cs="仿宋"/>
          <w:color w:val="auto"/>
          <w:sz w:val="32"/>
          <w:szCs w:val="32"/>
        </w:rPr>
        <w:t>承担统筹推进法治政府建设的责任。指导监督区政府各部门、各乡镇（街道）政府（办事处）依法行政工作。负责综合协调和监督检查行政执法，承担推进行政执法体制改革有关工作，推进严格规范公正文明执法。指导监督全区行政复议、行政应诉和行政赔偿工作，承办向区政府申请的行政复议、行政赔偿案件，代理区政府行政应诉案件。承担区政府法律顾问的聘任和管理，组织区政府行政行为听证等工作。负责全区行政执法主体、人员资格审查和行政执法证、监督检查证的审核管理及人员培训工作。</w:t>
      </w:r>
    </w:p>
    <w:p>
      <w:pPr>
        <w:overflowPunct w:val="0"/>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5</w:t>
      </w:r>
      <w:r>
        <w:rPr>
          <w:rFonts w:hint="eastAsia" w:ascii="楷体" w:hAnsi="楷体" w:eastAsia="楷体" w:cs="楷体"/>
          <w:color w:val="auto"/>
          <w:sz w:val="32"/>
          <w:szCs w:val="32"/>
        </w:rPr>
        <w:t>）</w:t>
      </w:r>
      <w:r>
        <w:rPr>
          <w:rFonts w:hint="eastAsia" w:ascii="仿宋" w:hAnsi="仿宋" w:eastAsia="仿宋" w:cs="仿宋"/>
          <w:color w:val="auto"/>
          <w:sz w:val="32"/>
          <w:szCs w:val="32"/>
        </w:rPr>
        <w:t>承担统筹规划法治社会建设的责任。负责拟订法治宣传教育规划，组织实施普法宣传工作，组织对外法治宣传。推动人民参与和促进法治建设。指导依法治理和法治创建工作。指导人民调解、行政调解和行业性专业性调解等工作。参与人民监督员的选任、管理工作。负责人民陪审员选任工作的具体实施。指导监督司法所工作。</w:t>
      </w:r>
    </w:p>
    <w:p>
      <w:pPr>
        <w:overflowPunct w:val="0"/>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6</w:t>
      </w:r>
      <w:r>
        <w:rPr>
          <w:rFonts w:hint="eastAsia" w:ascii="楷体" w:hAnsi="楷体" w:eastAsia="楷体" w:cs="楷体"/>
          <w:color w:val="auto"/>
          <w:sz w:val="32"/>
          <w:szCs w:val="32"/>
        </w:rPr>
        <w:t>）</w:t>
      </w:r>
      <w:r>
        <w:rPr>
          <w:rFonts w:hint="eastAsia" w:ascii="仿宋" w:hAnsi="仿宋" w:eastAsia="仿宋" w:cs="仿宋"/>
          <w:color w:val="auto"/>
          <w:sz w:val="32"/>
          <w:szCs w:val="32"/>
        </w:rPr>
        <w:t>指导管理社区矫正工作。负责刑满释放人员帮教安置工作。</w:t>
      </w:r>
    </w:p>
    <w:p>
      <w:pPr>
        <w:overflowPunct w:val="0"/>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7</w:t>
      </w:r>
      <w:r>
        <w:rPr>
          <w:rFonts w:hint="eastAsia" w:ascii="楷体" w:hAnsi="楷体" w:eastAsia="楷体" w:cs="楷体"/>
          <w:color w:val="auto"/>
          <w:sz w:val="32"/>
          <w:szCs w:val="32"/>
        </w:rPr>
        <w:t>）</w:t>
      </w:r>
      <w:r>
        <w:rPr>
          <w:rFonts w:hint="eastAsia" w:ascii="仿宋" w:hAnsi="仿宋" w:eastAsia="仿宋" w:cs="仿宋"/>
          <w:color w:val="auto"/>
          <w:sz w:val="32"/>
          <w:szCs w:val="32"/>
        </w:rPr>
        <w:t>负责拟订全区公共法律服务体系建设规划并指导实施，统筹和布局全区城乡、区域法律服务资源。指导监督律师、法律援助、公证、仲裁和基层法律服务等工作。</w:t>
      </w:r>
    </w:p>
    <w:p>
      <w:pPr>
        <w:overflowPunct w:val="0"/>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8</w:t>
      </w:r>
      <w:r>
        <w:rPr>
          <w:rFonts w:hint="eastAsia" w:ascii="楷体" w:hAnsi="楷体" w:eastAsia="楷体" w:cs="楷体"/>
          <w:color w:val="auto"/>
          <w:sz w:val="32"/>
          <w:szCs w:val="32"/>
        </w:rPr>
        <w:t>）</w:t>
      </w:r>
      <w:r>
        <w:rPr>
          <w:rFonts w:hint="eastAsia" w:ascii="仿宋" w:hAnsi="仿宋" w:eastAsia="仿宋" w:cs="仿宋"/>
          <w:color w:val="auto"/>
          <w:sz w:val="32"/>
          <w:szCs w:val="32"/>
        </w:rPr>
        <w:t>负责本</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财务、装备、设施、场所等保障工作。负责本</w:t>
      </w:r>
      <w:r>
        <w:rPr>
          <w:rFonts w:hint="eastAsia" w:ascii="仿宋" w:hAnsi="仿宋" w:eastAsia="仿宋" w:cs="仿宋"/>
          <w:color w:val="auto"/>
          <w:sz w:val="32"/>
          <w:szCs w:val="32"/>
          <w:lang w:eastAsia="zh-CN"/>
        </w:rPr>
        <w:t>系统</w:t>
      </w:r>
      <w:r>
        <w:rPr>
          <w:rFonts w:hint="eastAsia" w:ascii="仿宋" w:hAnsi="仿宋" w:eastAsia="仿宋" w:cs="仿宋"/>
          <w:color w:val="auto"/>
          <w:sz w:val="32"/>
          <w:szCs w:val="32"/>
        </w:rPr>
        <w:t>警车管理工作。</w:t>
      </w:r>
    </w:p>
    <w:p>
      <w:pPr>
        <w:overflowPunct w:val="0"/>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9</w:t>
      </w:r>
      <w:r>
        <w:rPr>
          <w:rFonts w:hint="eastAsia" w:ascii="楷体" w:hAnsi="楷体" w:eastAsia="楷体" w:cs="楷体"/>
          <w:color w:val="auto"/>
          <w:sz w:val="32"/>
          <w:szCs w:val="32"/>
        </w:rPr>
        <w:t>）</w:t>
      </w:r>
      <w:r>
        <w:rPr>
          <w:rFonts w:hint="eastAsia" w:ascii="仿宋" w:hAnsi="仿宋" w:eastAsia="仿宋" w:cs="仿宋"/>
          <w:color w:val="auto"/>
          <w:sz w:val="32"/>
          <w:szCs w:val="32"/>
        </w:rPr>
        <w:t>规划、协调、指导法治人才队伍建设相关工作，负责本系统队伍建设。</w:t>
      </w:r>
    </w:p>
    <w:p>
      <w:pPr>
        <w:overflowPunct w:val="0"/>
        <w:spacing w:line="576" w:lineRule="exact"/>
        <w:ind w:firstLine="640" w:firstLineChars="200"/>
        <w:rPr>
          <w:rFonts w:hint="eastAsia" w:ascii="仿宋" w:hAnsi="仿宋" w:eastAsia="楷体" w:cs="仿宋"/>
          <w:color w:val="auto"/>
          <w:sz w:val="32"/>
          <w:szCs w:val="32"/>
          <w:lang w:eastAsia="zh-CN"/>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10</w:t>
      </w:r>
      <w:r>
        <w:rPr>
          <w:rFonts w:hint="eastAsia" w:ascii="楷体" w:hAnsi="楷体" w:eastAsia="楷体" w:cs="楷体"/>
          <w:color w:val="auto"/>
          <w:sz w:val="32"/>
          <w:szCs w:val="32"/>
        </w:rPr>
        <w:t>）</w:t>
      </w:r>
      <w:r>
        <w:rPr>
          <w:rFonts w:hint="eastAsia" w:ascii="仿宋" w:hAnsi="仿宋" w:eastAsia="仿宋" w:cs="仿宋"/>
          <w:color w:val="auto"/>
          <w:sz w:val="32"/>
          <w:szCs w:val="32"/>
          <w:lang w:eastAsia="zh-CN"/>
        </w:rPr>
        <w:t>承担职责范围内安全生产和职业健康、生态环境保护、审批服务便民化等工作。负责全区外来企业、民营企业法律服务工作。监督管理所属社团组织。</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11</w:t>
      </w:r>
      <w:r>
        <w:rPr>
          <w:rFonts w:hint="eastAsia" w:ascii="楷体" w:hAnsi="楷体" w:eastAsia="楷体" w:cs="楷体"/>
          <w:color w:val="auto"/>
          <w:sz w:val="32"/>
          <w:szCs w:val="32"/>
        </w:rPr>
        <w:t>）</w:t>
      </w:r>
      <w:r>
        <w:rPr>
          <w:rFonts w:hint="eastAsia" w:ascii="仿宋" w:hAnsi="仿宋" w:eastAsia="仿宋" w:cs="仿宋"/>
          <w:color w:val="auto"/>
          <w:sz w:val="32"/>
          <w:szCs w:val="32"/>
        </w:rPr>
        <w:t>完成区委、区政府交办的其他任务。</w:t>
      </w:r>
    </w:p>
    <w:p>
      <w:pPr>
        <w:pStyle w:val="5"/>
        <w:adjustRightInd w:val="0"/>
        <w:snapToGrid w:val="0"/>
        <w:spacing w:before="93" w:line="600" w:lineRule="exact"/>
        <w:ind w:firstLine="675" w:firstLineChars="210"/>
        <w:outlineLvl w:val="2"/>
        <w:rPr>
          <w:rFonts w:hint="eastAsia" w:ascii="仿宋" w:hAnsi="仿宋" w:eastAsia="仿宋"/>
          <w:b/>
          <w:bCs w:val="0"/>
          <w:color w:val="000000"/>
          <w:sz w:val="32"/>
          <w:szCs w:val="32"/>
        </w:rPr>
      </w:pPr>
      <w:bookmarkStart w:id="18" w:name="_Toc15378446"/>
      <w:bookmarkStart w:id="19" w:name="_Toc15377199"/>
      <w:r>
        <w:rPr>
          <w:rFonts w:hint="eastAsia" w:ascii="仿宋" w:hAnsi="仿宋" w:eastAsia="仿宋"/>
          <w:b/>
          <w:bCs w:val="0"/>
          <w:color w:val="000000"/>
          <w:sz w:val="32"/>
          <w:szCs w:val="32"/>
          <w:lang w:eastAsia="zh-CN"/>
        </w:rPr>
        <w:t>（二）</w:t>
      </w:r>
      <w:r>
        <w:rPr>
          <w:rFonts w:ascii="仿宋" w:hAnsi="仿宋" w:eastAsia="仿宋"/>
          <w:b/>
          <w:bCs w:val="0"/>
          <w:color w:val="000000"/>
          <w:sz w:val="32"/>
          <w:szCs w:val="32"/>
        </w:rPr>
        <w:t>201</w:t>
      </w:r>
      <w:r>
        <w:rPr>
          <w:rFonts w:hint="eastAsia" w:ascii="仿宋" w:hAnsi="仿宋" w:eastAsia="仿宋"/>
          <w:b/>
          <w:bCs w:val="0"/>
          <w:color w:val="000000"/>
          <w:sz w:val="32"/>
          <w:szCs w:val="32"/>
        </w:rPr>
        <w:t>9年重点工作完成情况</w:t>
      </w:r>
      <w:bookmarkEnd w:id="18"/>
      <w:bookmarkEnd w:id="19"/>
    </w:p>
    <w:p>
      <w:pPr>
        <w:pStyle w:val="5"/>
        <w:adjustRightInd w:val="0"/>
        <w:snapToGrid w:val="0"/>
        <w:spacing w:before="93" w:line="600" w:lineRule="exact"/>
        <w:ind w:firstLine="672" w:firstLineChars="210"/>
        <w:outlineLvl w:val="2"/>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1</w:t>
      </w:r>
      <w:r>
        <w:rPr>
          <w:rFonts w:hint="eastAsia" w:ascii="楷体" w:hAnsi="楷体" w:eastAsia="楷体" w:cs="楷体"/>
          <w:sz w:val="32"/>
          <w:szCs w:val="32"/>
        </w:rPr>
        <w:t>）围绕中心工作,全力服务保障经济社会高质量发</w:t>
      </w:r>
      <w:r>
        <w:rPr>
          <w:rFonts w:hint="eastAsia" w:ascii="仿宋" w:hAnsi="仿宋" w:eastAsia="仿宋" w:cs="仿宋"/>
          <w:sz w:val="32"/>
          <w:szCs w:val="32"/>
        </w:rPr>
        <w:t>展。</w:t>
      </w:r>
      <w:r>
        <w:rPr>
          <w:rFonts w:hint="eastAsia" w:ascii="仿宋" w:hAnsi="仿宋" w:eastAsia="仿宋" w:cs="仿宋"/>
          <w:b/>
          <w:bCs/>
          <w:sz w:val="32"/>
          <w:szCs w:val="32"/>
        </w:rPr>
        <w:t>一是</w:t>
      </w:r>
      <w:r>
        <w:rPr>
          <w:rFonts w:hint="eastAsia" w:ascii="仿宋" w:hAnsi="仿宋" w:eastAsia="仿宋" w:cs="仿宋"/>
          <w:sz w:val="32"/>
          <w:szCs w:val="32"/>
        </w:rPr>
        <w:t>持续推进脱贫攻坚工作。组织全体帮扶干部结合时间节点到帮扶村天峰村、清河村开展“三同”活动，每月至少到户开展一次帮扶工作。</w:t>
      </w:r>
      <w:r>
        <w:rPr>
          <w:rFonts w:hint="eastAsia" w:ascii="仿宋" w:hAnsi="仿宋" w:eastAsia="仿宋" w:cs="仿宋"/>
          <w:b/>
          <w:bCs/>
          <w:sz w:val="32"/>
          <w:szCs w:val="32"/>
        </w:rPr>
        <w:t>二是</w:t>
      </w:r>
      <w:r>
        <w:rPr>
          <w:rFonts w:hint="eastAsia" w:ascii="仿宋" w:hAnsi="仿宋" w:eastAsia="仿宋" w:cs="仿宋"/>
          <w:sz w:val="32"/>
          <w:szCs w:val="32"/>
        </w:rPr>
        <w:t>做好政府行政复议与应诉工作。</w:t>
      </w:r>
      <w:r>
        <w:rPr>
          <w:rFonts w:hint="eastAsia" w:hAnsi="仿宋_GB2312" w:cs="仿宋_GB2312"/>
          <w:b/>
          <w:sz w:val="32"/>
          <w:szCs w:val="32"/>
        </w:rPr>
        <w:t>三是</w:t>
      </w:r>
      <w:r>
        <w:rPr>
          <w:rFonts w:hint="eastAsia" w:ascii="仿宋" w:hAnsi="仿宋" w:eastAsia="仿宋" w:cs="仿宋"/>
          <w:sz w:val="32"/>
          <w:szCs w:val="32"/>
        </w:rPr>
        <w:t>严格落实重大行政决策合法性审查。</w:t>
      </w:r>
      <w:r>
        <w:rPr>
          <w:rFonts w:hint="eastAsia" w:hAnsi="仿宋_GB2312" w:cs="仿宋_GB2312"/>
          <w:b/>
          <w:bCs/>
          <w:sz w:val="32"/>
          <w:szCs w:val="32"/>
          <w:shd w:val="clear" w:color="auto" w:fill="FFFFFF"/>
        </w:rPr>
        <w:t>四是</w:t>
      </w:r>
      <w:r>
        <w:rPr>
          <w:rFonts w:hint="eastAsia" w:ascii="仿宋" w:hAnsi="仿宋" w:eastAsia="仿宋" w:cs="仿宋"/>
          <w:sz w:val="32"/>
          <w:szCs w:val="32"/>
        </w:rPr>
        <w:t>不断完善政府法律顾问制度。各级政府及部门严格落实法律顾问聘用和履职清单管理制度，充分发挥法律顾问在政府重大决策中的法制保障作用。</w:t>
      </w:r>
      <w:r>
        <w:rPr>
          <w:rFonts w:hint="eastAsia" w:hAnsi="仿宋_GB2312" w:cs="仿宋_GB2312"/>
          <w:b/>
          <w:bCs/>
          <w:sz w:val="32"/>
          <w:szCs w:val="32"/>
          <w:shd w:val="clear" w:color="auto" w:fill="FFFFFF"/>
        </w:rPr>
        <w:t>五是</w:t>
      </w:r>
      <w:r>
        <w:rPr>
          <w:rFonts w:hint="eastAsia" w:ascii="仿宋" w:hAnsi="仿宋" w:eastAsia="仿宋" w:cs="仿宋"/>
          <w:sz w:val="32"/>
          <w:szCs w:val="32"/>
        </w:rPr>
        <w:t>切实加强规范性文件的管理。严格按照《四川省规范性文件管理规定》，开展规范性文件合法性审查工作。</w:t>
      </w:r>
      <w:r>
        <w:rPr>
          <w:rFonts w:hint="eastAsia" w:ascii="仿宋" w:hAnsi="仿宋" w:eastAsia="仿宋" w:cs="仿宋"/>
          <w:b/>
          <w:bCs/>
          <w:sz w:val="32"/>
          <w:szCs w:val="32"/>
        </w:rPr>
        <w:t>六是</w:t>
      </w:r>
      <w:r>
        <w:rPr>
          <w:rFonts w:hint="eastAsia" w:ascii="仿宋" w:hAnsi="仿宋" w:eastAsia="仿宋" w:cs="仿宋"/>
          <w:sz w:val="32"/>
          <w:szCs w:val="32"/>
        </w:rPr>
        <w:t>加强行政执法监督检查。开展执法监督调研，及时解决行政区执法中存在的问题。</w:t>
      </w:r>
    </w:p>
    <w:p>
      <w:pPr>
        <w:pStyle w:val="5"/>
        <w:adjustRightInd w:val="0"/>
        <w:snapToGrid w:val="0"/>
        <w:spacing w:before="93" w:line="600" w:lineRule="exact"/>
        <w:ind w:firstLine="672" w:firstLineChars="210"/>
        <w:outlineLvl w:val="2"/>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2</w:t>
      </w:r>
      <w:r>
        <w:rPr>
          <w:rFonts w:hint="eastAsia" w:ascii="楷体" w:hAnsi="楷体" w:eastAsia="楷体" w:cs="楷体"/>
          <w:sz w:val="32"/>
          <w:szCs w:val="32"/>
        </w:rPr>
        <w:t>）围绕人民群众满意，全力推进公共法律服务体系提档升级。</w:t>
      </w:r>
      <w:r>
        <w:rPr>
          <w:rFonts w:hint="eastAsia" w:ascii="仿宋" w:hAnsi="仿宋" w:eastAsia="仿宋" w:cs="仿宋"/>
          <w:b/>
          <w:bCs/>
          <w:sz w:val="32"/>
          <w:szCs w:val="32"/>
        </w:rPr>
        <w:t>一是</w:t>
      </w:r>
      <w:r>
        <w:rPr>
          <w:rFonts w:hint="eastAsia" w:ascii="仿宋" w:hAnsi="仿宋" w:eastAsia="仿宋" w:cs="仿宋"/>
          <w:sz w:val="32"/>
          <w:szCs w:val="32"/>
        </w:rPr>
        <w:t>全面落实“一村（社区）一法律顾问”制度，全区17个乡镇（街道）220个村（社区），共选派律师39名、法律工作者35名，实现法律顾问全覆盖。</w:t>
      </w:r>
      <w:r>
        <w:rPr>
          <w:rFonts w:hint="eastAsia" w:ascii="仿宋" w:hAnsi="仿宋" w:eastAsia="仿宋" w:cs="仿宋"/>
          <w:b/>
          <w:bCs/>
          <w:sz w:val="32"/>
          <w:szCs w:val="32"/>
        </w:rPr>
        <w:t>二是</w:t>
      </w:r>
      <w:r>
        <w:rPr>
          <w:rFonts w:hint="eastAsia" w:ascii="仿宋" w:hAnsi="仿宋" w:eastAsia="仿宋" w:cs="仿宋"/>
          <w:sz w:val="32"/>
          <w:szCs w:val="32"/>
        </w:rPr>
        <w:t>扎实开展法律援助民生工程。公共法律服务中心全年</w:t>
      </w:r>
      <w:r>
        <w:rPr>
          <w:rFonts w:ascii="仿宋" w:hAnsi="仿宋" w:eastAsia="仿宋" w:cs="仿宋"/>
          <w:sz w:val="32"/>
          <w:szCs w:val="32"/>
        </w:rPr>
        <w:t>受理法律援助案件1</w:t>
      </w:r>
      <w:r>
        <w:rPr>
          <w:rFonts w:hint="eastAsia" w:ascii="仿宋" w:hAnsi="仿宋" w:eastAsia="仿宋" w:cs="仿宋"/>
          <w:sz w:val="32"/>
          <w:szCs w:val="32"/>
        </w:rPr>
        <w:t>89</w:t>
      </w:r>
      <w:r>
        <w:rPr>
          <w:rFonts w:ascii="仿宋" w:hAnsi="仿宋" w:eastAsia="仿宋" w:cs="仿宋"/>
          <w:sz w:val="32"/>
          <w:szCs w:val="32"/>
        </w:rPr>
        <w:t>件，办理其他法律援助事项1411件，为受援人群提供法律援助17</w:t>
      </w:r>
      <w:r>
        <w:rPr>
          <w:rFonts w:hint="eastAsia" w:ascii="仿宋" w:hAnsi="仿宋" w:eastAsia="仿宋" w:cs="仿宋"/>
          <w:sz w:val="32"/>
          <w:szCs w:val="32"/>
        </w:rPr>
        <w:t>89</w:t>
      </w:r>
      <w:r>
        <w:rPr>
          <w:rFonts w:ascii="仿宋" w:hAnsi="仿宋" w:eastAsia="仿宋" w:cs="仿宋"/>
          <w:sz w:val="32"/>
          <w:szCs w:val="32"/>
        </w:rPr>
        <w:t>人次</w:t>
      </w:r>
      <w:r>
        <w:rPr>
          <w:rFonts w:hint="eastAsia" w:ascii="仿宋" w:hAnsi="仿宋" w:eastAsia="仿宋" w:cs="仿宋"/>
          <w:sz w:val="32"/>
          <w:szCs w:val="32"/>
        </w:rPr>
        <w:t>；公共法律服务站、室调解各类纠纷973件，解答法律咨询1897件，其他引导法律服务62件。参与了广元日航机电高新产业园群体性信访案件处置工作，有效化解一系列较大矛盾纠纷。</w:t>
      </w:r>
      <w:r>
        <w:rPr>
          <w:rFonts w:hint="eastAsia" w:ascii="仿宋" w:hAnsi="仿宋" w:eastAsia="仿宋" w:cs="仿宋"/>
          <w:b/>
          <w:bCs/>
          <w:sz w:val="32"/>
          <w:szCs w:val="32"/>
        </w:rPr>
        <w:t>三是</w:t>
      </w:r>
      <w:r>
        <w:rPr>
          <w:rFonts w:hint="eastAsia" w:ascii="仿宋" w:hAnsi="仿宋" w:eastAsia="仿宋" w:cs="仿宋"/>
          <w:sz w:val="32"/>
          <w:szCs w:val="32"/>
        </w:rPr>
        <w:t>完善法律援助值班律师制度。在法院、检察院建立了法律援助工作站，全年共有46位法律工作者和52位律师参与值班，接待群众来访、提供法律咨询和服务400余次，有效解答群众疑问，引导群众正确维权。</w:t>
      </w:r>
      <w:r>
        <w:rPr>
          <w:rFonts w:hint="eastAsia" w:ascii="仿宋" w:hAnsi="仿宋" w:eastAsia="仿宋" w:cs="仿宋"/>
          <w:b/>
          <w:bCs/>
          <w:sz w:val="32"/>
          <w:szCs w:val="32"/>
        </w:rPr>
        <w:t>四是</w:t>
      </w:r>
      <w:r>
        <w:rPr>
          <w:rFonts w:hint="eastAsia" w:ascii="仿宋" w:hAnsi="仿宋" w:eastAsia="仿宋" w:cs="仿宋"/>
          <w:sz w:val="32"/>
          <w:szCs w:val="32"/>
        </w:rPr>
        <w:t>加强法律服务行业监督管理，促进行业规范有序发展。按照要求对基层法律服务所和律师事务所进行了年度考核，完成基层法律服务所和基层法律服务工作者、律师事务所的年检注册、申报工作。</w:t>
      </w:r>
      <w:r>
        <w:rPr>
          <w:rFonts w:hint="eastAsia" w:ascii="仿宋" w:hAnsi="仿宋" w:eastAsia="仿宋" w:cs="仿宋"/>
          <w:b/>
          <w:bCs/>
          <w:sz w:val="32"/>
          <w:szCs w:val="32"/>
        </w:rPr>
        <w:t>五是</w:t>
      </w:r>
      <w:r>
        <w:rPr>
          <w:rFonts w:hint="eastAsia" w:ascii="仿宋" w:hAnsi="仿宋" w:eastAsia="仿宋" w:cs="仿宋"/>
          <w:sz w:val="32"/>
          <w:szCs w:val="32"/>
        </w:rPr>
        <w:t>继续努力拓展公证业务。全年共办理公证业务558件，公证费收入近30万元。</w:t>
      </w:r>
    </w:p>
    <w:p>
      <w:pPr>
        <w:pStyle w:val="5"/>
        <w:adjustRightInd w:val="0"/>
        <w:snapToGrid w:val="0"/>
        <w:spacing w:before="93" w:line="600" w:lineRule="exact"/>
        <w:ind w:firstLine="672" w:firstLineChars="210"/>
        <w:outlineLvl w:val="2"/>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3</w:t>
      </w:r>
      <w:r>
        <w:rPr>
          <w:rFonts w:hint="eastAsia" w:ascii="楷体" w:hAnsi="楷体" w:eastAsia="楷体" w:cs="楷体"/>
          <w:sz w:val="32"/>
          <w:szCs w:val="32"/>
        </w:rPr>
        <w:t>）围绕工作机制创新,全力推进司法行政法治化建设。</w:t>
      </w:r>
      <w:r>
        <w:rPr>
          <w:rFonts w:hint="eastAsia" w:ascii="仿宋" w:hAnsi="仿宋" w:eastAsia="仿宋" w:cs="仿宋"/>
          <w:b/>
          <w:bCs/>
          <w:sz w:val="32"/>
          <w:szCs w:val="32"/>
        </w:rPr>
        <w:t>一是</w:t>
      </w:r>
      <w:r>
        <w:rPr>
          <w:rFonts w:hint="eastAsia" w:ascii="仿宋" w:hAnsi="仿宋" w:eastAsia="仿宋" w:cs="仿宋"/>
          <w:sz w:val="32"/>
          <w:szCs w:val="32"/>
        </w:rPr>
        <w:t>根据中央机构改革统一部署，撤销区依法治区领导小组，组建区委全面依法治区委员会，下设立法、执法、司法和守法普法四个协调小组。召开委员会、办公室、各协调小组第一次会议，印发2019年依法治区和各协调小组工作要点，委员会、各协调小组和办公室工作规则（细则）。召</w:t>
      </w:r>
      <w:r>
        <w:rPr>
          <w:rFonts w:hint="eastAsia" w:ascii="仿宋" w:hAnsi="仿宋" w:eastAsia="仿宋"/>
          <w:sz w:val="32"/>
          <w:szCs w:val="32"/>
        </w:rPr>
        <w:t>开依法治区工作推进会、依法治区“大比武”工作推进会、法治扶贫工作推进会，全面</w:t>
      </w:r>
      <w:r>
        <w:rPr>
          <w:rFonts w:ascii="仿宋" w:hAnsi="仿宋" w:eastAsia="仿宋"/>
          <w:sz w:val="32"/>
          <w:szCs w:val="32"/>
        </w:rPr>
        <w:t>完成市委依法治市办交办的各项工作。</w:t>
      </w:r>
      <w:r>
        <w:rPr>
          <w:rFonts w:hint="eastAsia" w:ascii="仿宋" w:hAnsi="仿宋" w:eastAsia="仿宋"/>
          <w:b/>
          <w:bCs/>
          <w:sz w:val="32"/>
          <w:szCs w:val="32"/>
        </w:rPr>
        <w:t>二是</w:t>
      </w:r>
      <w:r>
        <w:rPr>
          <w:rFonts w:hint="eastAsia" w:ascii="仿宋" w:hAnsi="仿宋" w:eastAsia="仿宋" w:cs="仿宋"/>
          <w:sz w:val="32"/>
          <w:szCs w:val="32"/>
        </w:rPr>
        <w:t>突出抓好专项法治宣传。聚焦党委政府中心工作，推动全区组织开展防范化解重大风险、污染防治、服务民营经济发展、脱贫攻坚、“开学第一课·法律进学校”、扫黑除恶、文明城市创建专项法治宣传活动129场次。</w:t>
      </w:r>
    </w:p>
    <w:p>
      <w:pPr>
        <w:pStyle w:val="5"/>
        <w:adjustRightInd w:val="0"/>
        <w:snapToGrid w:val="0"/>
        <w:spacing w:before="93" w:line="600" w:lineRule="exact"/>
        <w:ind w:firstLine="672" w:firstLineChars="210"/>
        <w:outlineLvl w:val="2"/>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4</w:t>
      </w:r>
      <w:r>
        <w:rPr>
          <w:rFonts w:hint="eastAsia" w:ascii="楷体" w:hAnsi="楷体" w:eastAsia="楷体" w:cs="楷体"/>
          <w:sz w:val="32"/>
          <w:szCs w:val="32"/>
        </w:rPr>
        <w:t>）围绕社会和谐稳定,全力推进社会治理工作。</w:t>
      </w:r>
      <w:r>
        <w:rPr>
          <w:rFonts w:hint="eastAsia" w:ascii="仿宋" w:hAnsi="仿宋" w:eastAsia="仿宋" w:cs="仿宋"/>
          <w:b/>
          <w:bCs/>
          <w:sz w:val="32"/>
          <w:szCs w:val="32"/>
        </w:rPr>
        <w:t>一是</w:t>
      </w:r>
      <w:r>
        <w:rPr>
          <w:rFonts w:hint="eastAsia" w:ascii="仿宋" w:hAnsi="仿宋" w:eastAsia="仿宋" w:cs="仿宋"/>
          <w:sz w:val="32"/>
          <w:szCs w:val="32"/>
        </w:rPr>
        <w:t>开展坚持发展“枫桥经验”实现矛盾不上交三年行动，深入推进“大排查、早调解、护稳定、迎国庆”专项活动，就地化解矛盾，确保矛盾不上交。强化部门协作，建立了“公调对接”“诉调对接”机制，辖区15个公安派出所驻所人民调解室全部建成，与法院在区公共法律服务中心建立派驻调解室，开展“公调对接”“诉调对接”工作，合力化解矛盾纠纷。</w:t>
      </w:r>
    </w:p>
    <w:p>
      <w:pPr>
        <w:pStyle w:val="5"/>
        <w:adjustRightInd w:val="0"/>
        <w:snapToGrid w:val="0"/>
        <w:spacing w:before="93" w:line="600" w:lineRule="exact"/>
        <w:ind w:firstLine="672" w:firstLineChars="210"/>
        <w:outlineLvl w:val="2"/>
        <w:rPr>
          <w:rFonts w:hint="eastAsia" w:ascii="仿宋" w:hAnsi="仿宋" w:eastAsia="仿宋"/>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5</w:t>
      </w:r>
      <w:r>
        <w:rPr>
          <w:rFonts w:hint="eastAsia" w:ascii="楷体" w:hAnsi="楷体" w:eastAsia="楷体" w:cs="楷体"/>
          <w:sz w:val="32"/>
          <w:szCs w:val="32"/>
        </w:rPr>
        <w:t>）紧扣改革目标，全力推进司法行政重点工作。</w:t>
      </w:r>
      <w:r>
        <w:rPr>
          <w:rFonts w:hint="eastAsia" w:ascii="仿宋" w:hAnsi="仿宋" w:eastAsia="仿宋" w:cs="仿宋"/>
          <w:b/>
          <w:bCs/>
          <w:sz w:val="32"/>
          <w:szCs w:val="32"/>
        </w:rPr>
        <w:t>一</w:t>
      </w:r>
      <w:r>
        <w:rPr>
          <w:rFonts w:hint="eastAsia" w:ascii="仿宋" w:hAnsi="仿宋" w:eastAsia="仿宋"/>
          <w:b/>
          <w:bCs/>
          <w:sz w:val="32"/>
          <w:szCs w:val="32"/>
        </w:rPr>
        <w:t>是</w:t>
      </w:r>
      <w:r>
        <w:rPr>
          <w:rFonts w:hint="eastAsia" w:ascii="仿宋" w:hAnsi="仿宋" w:eastAsia="仿宋"/>
          <w:sz w:val="32"/>
          <w:szCs w:val="32"/>
        </w:rPr>
        <w:t>正式启动农民工讨薪维权法律服务“暖冬行动”。结合利州司法微信公众号和现场宣传等方式，进一步加强宣传，重点为农民工请求支付劳动报酬、工伤赔偿以及解决因劳动争议引发的纠纷等提供高效、便利的法律援助服务。</w:t>
      </w:r>
    </w:p>
    <w:p>
      <w:pPr>
        <w:spacing w:line="576" w:lineRule="exact"/>
        <w:ind w:firstLine="640" w:firstLineChars="200"/>
        <w:rPr>
          <w:rFonts w:hint="eastAsia" w:ascii="仿宋" w:hAnsi="仿宋" w:eastAsia="仿宋" w:cs="仿宋"/>
          <w:kern w:val="0"/>
          <w:sz w:val="32"/>
          <w:szCs w:val="32"/>
        </w:rPr>
      </w:pPr>
      <w:r>
        <w:rPr>
          <w:rFonts w:hint="eastAsia" w:ascii="楷体" w:hAnsi="楷体" w:eastAsia="楷体" w:cs="楷体"/>
          <w:kern w:val="0"/>
          <w:sz w:val="32"/>
          <w:szCs w:val="32"/>
        </w:rPr>
        <w:t>（</w:t>
      </w:r>
      <w:r>
        <w:rPr>
          <w:rFonts w:hint="eastAsia" w:ascii="楷体" w:hAnsi="楷体" w:eastAsia="楷体" w:cs="楷体"/>
          <w:kern w:val="0"/>
          <w:sz w:val="32"/>
          <w:szCs w:val="32"/>
          <w:lang w:val="en-US" w:eastAsia="zh-CN"/>
        </w:rPr>
        <w:t>6</w:t>
      </w:r>
      <w:r>
        <w:rPr>
          <w:rFonts w:hint="eastAsia" w:ascii="楷体" w:hAnsi="楷体" w:eastAsia="楷体" w:cs="楷体"/>
          <w:kern w:val="0"/>
          <w:sz w:val="32"/>
          <w:szCs w:val="32"/>
        </w:rPr>
        <w:t>）围绕长远发展,全力夯实司法行政基层基础建设。</w:t>
      </w:r>
    </w:p>
    <w:p>
      <w:pPr>
        <w:spacing w:line="576" w:lineRule="exact"/>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一是</w:t>
      </w:r>
      <w:r>
        <w:rPr>
          <w:rFonts w:hint="eastAsia" w:ascii="仿宋" w:hAnsi="仿宋" w:eastAsia="仿宋" w:cs="仿宋"/>
          <w:sz w:val="32"/>
          <w:szCs w:val="32"/>
        </w:rPr>
        <w:t>坚持“先易后难，典型示范，分类指导，逐步推进，整体达标”的工作思路，开展“四型”司法所建设，全面推广“四个四”工作法，推动司法所规范化建设提档升级，17个司法所全部建成规范化司法所，大石、回龙河、赤化等7个司法所顺利通过省级规范化司法所验收，我区共有12个省级规范化司法所，其中，嘉陵司法所荣获“全国模范司法所”称号。5月27日，司法部人民参与和促进法治局局长罗厚如到嘉陵司法所调研，对我区司法所规范化工作给予充分肯定。</w:t>
      </w:r>
      <w:r>
        <w:rPr>
          <w:rFonts w:hint="eastAsia" w:ascii="仿宋" w:hAnsi="仿宋" w:eastAsia="仿宋" w:cs="仿宋"/>
          <w:b/>
          <w:bCs/>
          <w:sz w:val="32"/>
          <w:szCs w:val="32"/>
        </w:rPr>
        <w:t>二是</w:t>
      </w:r>
      <w:r>
        <w:rPr>
          <w:rFonts w:hint="eastAsia" w:ascii="仿宋" w:hAnsi="仿宋" w:eastAsia="仿宋" w:cs="仿宋"/>
          <w:sz w:val="32"/>
          <w:szCs w:val="32"/>
        </w:rPr>
        <w:t xml:space="preserve">注重司法所工作人员的教育培训。通过集中培训、以会代训、工作指导等方式，引导和教育司法所工作人员掌握相关业务知识和技能，不断增强解决实际问题的能力和水平。今年选派2名司法所长分别参加全国人民调解师资培训班、全国司法所长示范培训班的培训。10月组织全体司法助理员、司法协勤人员34人参加全市司法助理员培训班培训。  </w:t>
      </w:r>
    </w:p>
    <w:p>
      <w:pPr>
        <w:spacing w:line="576" w:lineRule="exact"/>
        <w:ind w:firstLine="640" w:firstLineChars="200"/>
        <w:jc w:val="left"/>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7</w:t>
      </w:r>
      <w:r>
        <w:rPr>
          <w:rFonts w:hint="eastAsia" w:ascii="楷体" w:hAnsi="楷体" w:eastAsia="楷体" w:cs="楷体"/>
          <w:sz w:val="32"/>
          <w:szCs w:val="32"/>
        </w:rPr>
        <w:t>）围绕全面从严治党，全力推进司法行政队伍建设。</w:t>
      </w:r>
    </w:p>
    <w:p>
      <w:pPr>
        <w:pStyle w:val="5"/>
        <w:adjustRightInd w:val="0"/>
        <w:snapToGrid w:val="0"/>
        <w:spacing w:before="93" w:line="600" w:lineRule="exact"/>
        <w:ind w:firstLine="675" w:firstLineChars="210"/>
        <w:outlineLvl w:val="2"/>
        <w:rPr>
          <w:rFonts w:ascii="仿宋" w:hAnsi="仿宋" w:eastAsia="仿宋"/>
          <w:bCs/>
          <w:color w:val="000000"/>
          <w:sz w:val="32"/>
          <w:szCs w:val="32"/>
        </w:rPr>
      </w:pPr>
      <w:r>
        <w:rPr>
          <w:rFonts w:hint="eastAsia" w:ascii="仿宋" w:hAnsi="仿宋" w:eastAsia="仿宋" w:cs="仿宋"/>
          <w:b/>
          <w:bCs/>
          <w:sz w:val="32"/>
          <w:szCs w:val="32"/>
        </w:rPr>
        <w:t>一是</w:t>
      </w:r>
      <w:r>
        <w:rPr>
          <w:rFonts w:hint="eastAsia" w:ascii="仿宋" w:hAnsi="仿宋" w:eastAsia="仿宋" w:cs="仿宋"/>
          <w:sz w:val="32"/>
          <w:szCs w:val="32"/>
        </w:rPr>
        <w:t>加强政治学习，强化理论武装。我局始终把学习贯彻习近平新时代中国特色社会主义思想特别是依法治国思想理论作为推动工作开展的关键，结合“不忘初心、牢记使命”主题教育，集中开展干部政治理论学习。通过集中学习与自学相结合、线上与线下学习相结合的方式不断提升干部政治理论水平。充分发挥新媒体的重要作用，组织全体干部职工下载学习强国等软件，并通过晒积分、晒进度的方式，形成了浓厚的比学赶超的氛围。</w:t>
      </w:r>
      <w:r>
        <w:rPr>
          <w:rFonts w:hint="eastAsia" w:ascii="仿宋" w:hAnsi="仿宋" w:eastAsia="仿宋" w:cs="仿宋"/>
          <w:b/>
          <w:bCs/>
          <w:sz w:val="32"/>
          <w:szCs w:val="32"/>
        </w:rPr>
        <w:t>二是</w:t>
      </w:r>
      <w:r>
        <w:rPr>
          <w:rFonts w:hint="eastAsia" w:ascii="仿宋" w:hAnsi="仿宋" w:eastAsia="仿宋" w:cs="仿宋"/>
          <w:sz w:val="32"/>
          <w:szCs w:val="32"/>
        </w:rPr>
        <w:t>明确工作任务，确保党风廉政建设落到实处。局主要领导与分管领导、各司法所所长，分管领导与各股室负责人分别签订《2019年司法行政暨党风廉政建设责任书》，层层压实责任。</w:t>
      </w:r>
      <w:r>
        <w:rPr>
          <w:rFonts w:hint="eastAsia" w:ascii="仿宋" w:hAnsi="仿宋" w:eastAsia="仿宋" w:cs="仿宋"/>
          <w:b/>
          <w:bCs/>
          <w:sz w:val="32"/>
          <w:szCs w:val="32"/>
        </w:rPr>
        <w:t>三是</w:t>
      </w:r>
      <w:r>
        <w:rPr>
          <w:rFonts w:hint="eastAsia" w:ascii="仿宋" w:hAnsi="仿宋" w:eastAsia="仿宋" w:cs="仿宋"/>
          <w:sz w:val="32"/>
          <w:szCs w:val="32"/>
        </w:rPr>
        <w:t>贯彻落实意识形态工作领导责任制。制定了区司法局《2019年度党组中心组理论学习计划》、《2019年意识形态工作要点》，明确工作责任。调整了局意识形态工作领导小组，围绕司法行政业务工作，扎实做好网络舆情的安全稳控。</w:t>
      </w:r>
      <w:r>
        <w:rPr>
          <w:rFonts w:hint="eastAsia" w:ascii="仿宋" w:hAnsi="仿宋" w:eastAsia="仿宋" w:cs="仿宋"/>
          <w:b/>
          <w:bCs/>
          <w:sz w:val="32"/>
          <w:szCs w:val="32"/>
        </w:rPr>
        <w:t>四是</w:t>
      </w:r>
      <w:r>
        <w:rPr>
          <w:rFonts w:hint="eastAsia" w:ascii="仿宋" w:hAnsi="仿宋" w:eastAsia="仿宋" w:cs="仿宋"/>
          <w:sz w:val="32"/>
          <w:szCs w:val="32"/>
        </w:rPr>
        <w:t>完成机构改革工作。按照时间节点要求，整合原有工作职能与原区政府法制工作职能，经区委批准印发新的三定方案，完成人员定编定岗工作，高质高效完成了机构改革任务，确保各项工作有序开展。</w:t>
      </w:r>
    </w:p>
    <w:p>
      <w:pPr>
        <w:pStyle w:val="3"/>
        <w:rPr>
          <w:rStyle w:val="27"/>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7"/>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rPr>
        <w:t>司法局下属二级单位</w:t>
      </w:r>
      <w:r>
        <w:rPr>
          <w:rFonts w:hint="eastAsia" w:ascii="仿宋" w:hAnsi="仿宋" w:eastAsia="仿宋"/>
          <w:sz w:val="32"/>
          <w:szCs w:val="32"/>
          <w:lang w:val="en-US" w:eastAsia="zh-CN"/>
        </w:rPr>
        <w:t>2</w:t>
      </w:r>
      <w:r>
        <w:rPr>
          <w:rFonts w:hint="eastAsia" w:ascii="仿宋" w:hAnsi="仿宋" w:eastAsia="仿宋"/>
          <w:sz w:val="32"/>
          <w:szCs w:val="32"/>
        </w:rPr>
        <w:t>个，其中行政单位0个，参照公务员法管理的事业单位</w:t>
      </w:r>
      <w:r>
        <w:rPr>
          <w:rFonts w:hint="eastAsia" w:ascii="仿宋" w:hAnsi="仿宋" w:eastAsia="仿宋"/>
          <w:bCs/>
          <w:sz w:val="32"/>
          <w:szCs w:val="32"/>
          <w:lang w:val="en-US" w:eastAsia="zh-CN"/>
        </w:rPr>
        <w:t>1</w:t>
      </w:r>
      <w:r>
        <w:rPr>
          <w:rFonts w:hint="eastAsia" w:ascii="仿宋" w:hAnsi="仿宋" w:eastAsia="仿宋"/>
          <w:sz w:val="32"/>
          <w:szCs w:val="32"/>
        </w:rPr>
        <w:t>个，其他事业单位</w:t>
      </w:r>
      <w:r>
        <w:rPr>
          <w:rFonts w:hint="eastAsia" w:ascii="仿宋" w:hAnsi="仿宋" w:eastAsia="仿宋"/>
          <w:sz w:val="32"/>
          <w:szCs w:val="32"/>
          <w:lang w:val="en-US" w:eastAsia="zh-CN"/>
        </w:rPr>
        <w:t>1</w:t>
      </w:r>
      <w:r>
        <w:rPr>
          <w:rFonts w:hint="eastAsia" w:ascii="仿宋" w:hAnsi="仿宋" w:eastAsia="仿宋"/>
          <w:sz w:val="32"/>
          <w:szCs w:val="32"/>
        </w:rPr>
        <w:t>个。</w:t>
      </w:r>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纳入司法局2019年度部门决算编制范围的二级预算单位包括：</w:t>
      </w:r>
    </w:p>
    <w:p>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利州区法律援助中心</w:t>
      </w:r>
    </w:p>
    <w:p>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广元市</w:t>
      </w:r>
      <w:r>
        <w:rPr>
          <w:rFonts w:hint="eastAsia" w:ascii="仿宋" w:hAnsi="仿宋" w:eastAsia="仿宋"/>
          <w:color w:val="000000"/>
          <w:sz w:val="32"/>
          <w:szCs w:val="32"/>
        </w:rPr>
        <w:t>利信公证处</w:t>
      </w:r>
    </w:p>
    <w:p>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ascii="仿宋" w:hAnsi="仿宋" w:eastAsia="仿宋"/>
          <w:color w:val="000000"/>
          <w:sz w:val="32"/>
          <w:szCs w:val="32"/>
        </w:rPr>
        <w:br w:type="page"/>
      </w:r>
    </w:p>
    <w:p>
      <w:pPr>
        <w:pStyle w:val="2"/>
        <w:ind w:right="440"/>
        <w:jc w:val="right"/>
        <w:rPr>
          <w:rStyle w:val="26"/>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Style w:val="26"/>
          <w:rFonts w:hint="eastAsia" w:ascii="黑体" w:hAnsi="黑体" w:eastAsia="黑体"/>
          <w:b w:val="0"/>
          <w:bCs w:val="0"/>
        </w:rPr>
        <w:t>2019年度部门决算情况说明</w:t>
      </w:r>
      <w:bookmarkEnd w:id="22"/>
      <w:bookmarkEnd w:id="23"/>
    </w:p>
    <w:p/>
    <w:p>
      <w:pPr>
        <w:pStyle w:val="25"/>
        <w:numPr>
          <w:ilvl w:val="0"/>
          <w:numId w:val="2"/>
        </w:numPr>
        <w:spacing w:line="600" w:lineRule="exact"/>
        <w:ind w:firstLineChars="0"/>
        <w:outlineLvl w:val="1"/>
        <w:rPr>
          <w:rFonts w:hint="eastAsia" w:ascii="黑体" w:hAnsi="黑体" w:eastAsia="黑体"/>
          <w:color w:val="000000"/>
          <w:sz w:val="32"/>
          <w:szCs w:val="32"/>
        </w:rPr>
      </w:pPr>
      <w:bookmarkStart w:id="24" w:name="_Toc15396603"/>
      <w:bookmarkStart w:id="25" w:name="_Toc15377205"/>
      <w:r>
        <w:rPr>
          <w:rFonts w:hint="eastAsia" w:ascii="黑体" w:hAnsi="黑体" w:eastAsia="黑体"/>
          <w:color w:val="000000"/>
          <w:sz w:val="32"/>
          <w:szCs w:val="32"/>
        </w:rPr>
        <w:t>收、支决算总计变动情况图收入支出决算总体情况说明</w:t>
      </w:r>
      <w:bookmarkEnd w:id="24"/>
      <w:bookmarkEnd w:id="25"/>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2019年度收总计</w:t>
      </w:r>
      <w:r>
        <w:rPr>
          <w:rFonts w:hint="eastAsia" w:ascii="仿宋" w:hAnsi="仿宋" w:eastAsia="仿宋"/>
          <w:color w:val="000000"/>
          <w:sz w:val="32"/>
          <w:szCs w:val="32"/>
          <w:lang w:val="en-US" w:eastAsia="zh-CN"/>
        </w:rPr>
        <w:t>1690.22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、支出总计</w:t>
      </w:r>
      <w:r>
        <w:rPr>
          <w:rFonts w:hint="eastAsia" w:ascii="仿宋" w:hAnsi="仿宋" w:eastAsia="仿宋"/>
          <w:color w:val="000000"/>
          <w:sz w:val="32"/>
          <w:szCs w:val="32"/>
          <w:lang w:val="en-US" w:eastAsia="zh-CN"/>
        </w:rPr>
        <w:t>1424.86万元</w:t>
      </w:r>
      <w:r>
        <w:rPr>
          <w:rFonts w:hint="eastAsia" w:ascii="仿宋" w:hAnsi="仿宋" w:eastAsia="仿宋"/>
          <w:color w:val="000000"/>
          <w:sz w:val="32"/>
          <w:szCs w:val="32"/>
        </w:rPr>
        <w:t>。与2018年相比，收、支总计各增加</w:t>
      </w:r>
      <w:r>
        <w:rPr>
          <w:rFonts w:hint="eastAsia" w:ascii="仿宋" w:hAnsi="仿宋" w:eastAsia="仿宋"/>
          <w:color w:val="000000"/>
          <w:sz w:val="32"/>
          <w:szCs w:val="32"/>
          <w:lang w:val="en-US" w:eastAsia="zh-CN"/>
        </w:rPr>
        <w:t>702.31</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455.95万元</w:t>
      </w:r>
      <w:r>
        <w:rPr>
          <w:rFonts w:hint="eastAsia" w:ascii="仿宋" w:hAnsi="仿宋" w:eastAsia="仿宋"/>
          <w:color w:val="000000"/>
          <w:sz w:val="32"/>
          <w:szCs w:val="32"/>
        </w:rPr>
        <w:t>，增长43.7</w:t>
      </w:r>
      <w:r>
        <w:rPr>
          <w:rFonts w:ascii="仿宋" w:hAnsi="仿宋" w:eastAsia="仿宋"/>
          <w:color w:val="000000"/>
          <w:sz w:val="32"/>
          <w:szCs w:val="32"/>
        </w:rPr>
        <w:t>%</w:t>
      </w:r>
      <w:r>
        <w:rPr>
          <w:rFonts w:hint="eastAsia" w:ascii="仿宋" w:hAnsi="仿宋" w:eastAsia="仿宋"/>
          <w:color w:val="000000"/>
          <w:sz w:val="32"/>
          <w:szCs w:val="32"/>
        </w:rPr>
        <w:t>。主要变动原因：一是本年度我单位购置了办公业务用房，导致经费增加；二是本年度中央转移支付资金增加；三是本年度新增人员导致人员经费等费用增加。</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420" w:firstLineChars="200"/>
        <w:jc w:val="left"/>
        <w:rPr>
          <w:rFonts w:hint="eastAsia" w:ascii="仿宋_GB2312" w:eastAsia="仿宋_GB2312"/>
          <w:color w:val="000000"/>
          <w:sz w:val="32"/>
          <w:szCs w:val="32"/>
        </w:rPr>
      </w:pPr>
      <w:r>
        <w:drawing>
          <wp:anchor distT="0" distB="0" distL="114300" distR="114300" simplePos="0" relativeHeight="251658240" behindDoc="1" locked="0" layoutInCell="1" allowOverlap="1">
            <wp:simplePos x="0" y="0"/>
            <wp:positionH relativeFrom="column">
              <wp:posOffset>594995</wp:posOffset>
            </wp:positionH>
            <wp:positionV relativeFrom="paragraph">
              <wp:posOffset>242570</wp:posOffset>
            </wp:positionV>
            <wp:extent cx="4438650" cy="2945130"/>
            <wp:effectExtent l="4445" t="4445" r="14605" b="79375"/>
            <wp:wrapTight wrapText="bothSides">
              <wp:wrapPolygon>
                <wp:start x="-22" y="-33"/>
                <wp:lineTo x="-22" y="21903"/>
                <wp:lineTo x="21578" y="21903"/>
                <wp:lineTo x="21578" y="-33"/>
                <wp:lineTo x="-22" y="-33"/>
              </wp:wrapPolygon>
            </wp:wrapTight>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jc w:val="left"/>
        <w:rPr>
          <w:rFonts w:hint="eastAsia" w:ascii="仿宋_GB2312" w:eastAsia="仿宋_GB2312"/>
          <w:color w:val="000000"/>
          <w:sz w:val="32"/>
          <w:szCs w:val="32"/>
        </w:rPr>
      </w:pPr>
    </w:p>
    <w:p>
      <w:pPr>
        <w:spacing w:line="600" w:lineRule="exact"/>
        <w:ind w:firstLine="640" w:firstLineChars="200"/>
        <w:jc w:val="left"/>
        <w:rPr>
          <w:rFonts w:hint="eastAsia" w:ascii="仿宋_GB2312" w:eastAsia="仿宋_GB2312"/>
          <w:color w:val="000000"/>
          <w:sz w:val="32"/>
          <w:szCs w:val="32"/>
          <w:lang w:eastAsia="zh-CN"/>
        </w:rPr>
      </w:pPr>
    </w:p>
    <w:p>
      <w:pPr>
        <w:spacing w:line="600" w:lineRule="exact"/>
        <w:ind w:firstLine="640" w:firstLineChars="200"/>
        <w:jc w:val="left"/>
        <w:rPr>
          <w:rFonts w:hint="eastAsia" w:ascii="仿宋_GB2312" w:eastAsia="仿宋_GB2312"/>
          <w:color w:val="000000"/>
          <w:sz w:val="32"/>
          <w:szCs w:val="32"/>
        </w:rPr>
      </w:pPr>
    </w:p>
    <w:p>
      <w:pPr>
        <w:spacing w:line="600" w:lineRule="exact"/>
        <w:ind w:firstLine="640" w:firstLineChars="200"/>
        <w:jc w:val="left"/>
        <w:rPr>
          <w:rFonts w:hint="eastAsia" w:ascii="仿宋_GB2312" w:eastAsia="仿宋_GB2312"/>
          <w:color w:val="000000"/>
          <w:sz w:val="32"/>
          <w:szCs w:val="32"/>
        </w:rPr>
      </w:pPr>
    </w:p>
    <w:p>
      <w:pPr>
        <w:spacing w:line="600" w:lineRule="exact"/>
        <w:ind w:firstLine="640" w:firstLineChars="200"/>
        <w:jc w:val="left"/>
        <w:rPr>
          <w:rFonts w:hint="eastAsia" w:ascii="仿宋_GB2312" w:eastAsia="仿宋_GB2312"/>
          <w:color w:val="000000"/>
          <w:sz w:val="32"/>
          <w:szCs w:val="32"/>
        </w:rPr>
      </w:pPr>
    </w:p>
    <w:p>
      <w:pPr>
        <w:spacing w:line="600" w:lineRule="exact"/>
        <w:ind w:firstLine="640" w:firstLineChars="200"/>
        <w:jc w:val="left"/>
        <w:rPr>
          <w:rFonts w:hint="eastAsia" w:ascii="仿宋_GB2312" w:eastAsia="仿宋_GB2312"/>
          <w:color w:val="000000"/>
          <w:sz w:val="32"/>
          <w:szCs w:val="32"/>
        </w:rPr>
      </w:pPr>
    </w:p>
    <w:p>
      <w:pPr>
        <w:spacing w:line="600" w:lineRule="exact"/>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pStyle w:val="25"/>
        <w:numPr>
          <w:ilvl w:val="0"/>
          <w:numId w:val="2"/>
        </w:numPr>
        <w:spacing w:line="600" w:lineRule="exact"/>
        <w:ind w:firstLineChars="0"/>
        <w:outlineLvl w:val="1"/>
        <w:rPr>
          <w:rStyle w:val="27"/>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7"/>
          <w:rFonts w:hint="eastAsia" w:ascii="黑体" w:hAnsi="黑体" w:eastAsia="黑体"/>
          <w:b w:val="0"/>
        </w:rPr>
        <w:t>入决算情况说明</w:t>
      </w:r>
      <w:bookmarkEnd w:id="26"/>
      <w:bookmarkEnd w:id="27"/>
    </w:p>
    <w:p>
      <w:pPr>
        <w:spacing w:line="600" w:lineRule="exact"/>
        <w:ind w:firstLine="640" w:firstLineChars="200"/>
        <w:outlineLvl w:val="1"/>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1690.22</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1690.22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w:t>
      </w:r>
    </w:p>
    <w:p>
      <w:pPr>
        <w:spacing w:line="600" w:lineRule="exact"/>
        <w:ind w:firstLine="420" w:firstLineChars="200"/>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59264" behindDoc="1" locked="0" layoutInCell="1" allowOverlap="1">
            <wp:simplePos x="0" y="0"/>
            <wp:positionH relativeFrom="column">
              <wp:posOffset>266700</wp:posOffset>
            </wp:positionH>
            <wp:positionV relativeFrom="paragraph">
              <wp:posOffset>172085</wp:posOffset>
            </wp:positionV>
            <wp:extent cx="5409565" cy="2631440"/>
            <wp:effectExtent l="0" t="0" r="635" b="54610"/>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rPr>
          <w:rFonts w:hint="eastAsia" w:ascii="仿宋" w:hAnsi="仿宋" w:eastAsia="仿宋"/>
          <w:color w:val="000000" w:themeColor="text1"/>
          <w:sz w:val="32"/>
          <w:szCs w:val="32"/>
          <w14:textFill>
            <w14:solidFill>
              <w14:schemeClr w14:val="tx1"/>
            </w14:solidFill>
          </w14:textFill>
        </w:rPr>
      </w:pPr>
    </w:p>
    <w:p>
      <w:pPr>
        <w:pStyle w:val="25"/>
        <w:numPr>
          <w:ilvl w:val="0"/>
          <w:numId w:val="2"/>
        </w:numPr>
        <w:spacing w:line="600" w:lineRule="exact"/>
        <w:ind w:firstLineChars="0"/>
        <w:outlineLvl w:val="1"/>
        <w:rPr>
          <w:rStyle w:val="27"/>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7"/>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1424.86</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808.9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56.77</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615.96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43.23</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420" w:firstLineChars="200"/>
        <w:rPr>
          <w:rFonts w:ascii="仿宋" w:hAnsi="仿宋" w:eastAsia="仿宋"/>
          <w:color w:val="000000" w:themeColor="text1"/>
          <w:sz w:val="32"/>
          <w:szCs w:val="32"/>
          <w14:textFill>
            <w14:solidFill>
              <w14:schemeClr w14:val="tx1"/>
            </w14:solidFill>
          </w14:textFill>
        </w:rPr>
      </w:pPr>
      <w:r>
        <w:drawing>
          <wp:anchor distT="0" distB="0" distL="114300" distR="114300" simplePos="0" relativeHeight="251659264" behindDoc="1" locked="0" layoutInCell="1" allowOverlap="1">
            <wp:simplePos x="0" y="0"/>
            <wp:positionH relativeFrom="column">
              <wp:posOffset>271145</wp:posOffset>
            </wp:positionH>
            <wp:positionV relativeFrom="paragraph">
              <wp:posOffset>375920</wp:posOffset>
            </wp:positionV>
            <wp:extent cx="4572000" cy="2323465"/>
            <wp:effectExtent l="5080" t="4445" r="13970" b="15240"/>
            <wp:wrapNone/>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000000" w:themeColor="text1"/>
          <w:sz w:val="32"/>
          <w:szCs w:val="32"/>
          <w14:textFill>
            <w14:solidFill>
              <w14:schemeClr w14:val="tx1"/>
            </w14:solidFill>
          </w14:textFill>
        </w:rPr>
        <w:t>图3：</w: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rPr>
          <w:rFonts w:ascii="仿宋_GB2312" w:eastAsia="仿宋_GB2312"/>
          <w:color w:val="FF0000"/>
          <w:sz w:val="32"/>
          <w:szCs w:val="32"/>
        </w:rPr>
      </w:pPr>
    </w:p>
    <w:p>
      <w:pPr>
        <w:spacing w:line="600" w:lineRule="exact"/>
        <w:ind w:firstLine="640" w:firstLineChars="200"/>
        <w:outlineLvl w:val="1"/>
        <w:rPr>
          <w:rFonts w:hint="eastAsia" w:ascii="黑体" w:hAnsi="黑体" w:eastAsia="黑体"/>
          <w:color w:val="000000"/>
          <w:sz w:val="32"/>
          <w:szCs w:val="32"/>
        </w:rPr>
      </w:pPr>
      <w:bookmarkStart w:id="30" w:name="_Toc15396606"/>
      <w:bookmarkStart w:id="31" w:name="_Toc15377208"/>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Style w:val="27"/>
          <w:rFonts w:ascii="黑体" w:hAnsi="黑体" w:eastAsia="黑体"/>
          <w:b w:val="0"/>
        </w:rPr>
      </w:pPr>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1690.22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、支出总计</w:t>
      </w:r>
      <w:r>
        <w:rPr>
          <w:rFonts w:hint="eastAsia" w:ascii="仿宋" w:hAnsi="仿宋" w:eastAsia="仿宋"/>
          <w:color w:val="000000"/>
          <w:sz w:val="32"/>
          <w:szCs w:val="32"/>
          <w:lang w:val="en-US" w:eastAsia="zh-CN"/>
        </w:rPr>
        <w:t>1424.86万元</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w:t>
      </w:r>
      <w:r>
        <w:rPr>
          <w:rFonts w:hint="eastAsia" w:ascii="仿宋" w:hAnsi="仿宋" w:eastAsia="仿宋"/>
          <w:color w:val="000000"/>
          <w:sz w:val="32"/>
          <w:szCs w:val="32"/>
          <w:lang w:val="en-US" w:eastAsia="zh-CN"/>
        </w:rPr>
        <w:t>702.31</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455.95万元</w:t>
      </w:r>
      <w:r>
        <w:rPr>
          <w:rFonts w:hint="eastAsia" w:ascii="仿宋" w:hAnsi="仿宋" w:eastAsia="仿宋"/>
          <w:color w:val="000000"/>
          <w:sz w:val="32"/>
          <w:szCs w:val="32"/>
        </w:rPr>
        <w:t>，增长43.7</w:t>
      </w:r>
      <w:r>
        <w:rPr>
          <w:rFonts w:ascii="仿宋" w:hAnsi="仿宋" w:eastAsia="仿宋"/>
          <w:color w:val="000000"/>
          <w:sz w:val="32"/>
          <w:szCs w:val="32"/>
        </w:rPr>
        <w:t>%</w:t>
      </w:r>
      <w:r>
        <w:rPr>
          <w:rFonts w:hint="eastAsia" w:ascii="仿宋" w:hAnsi="仿宋" w:eastAsia="仿宋"/>
          <w:color w:val="000000"/>
          <w:sz w:val="32"/>
          <w:szCs w:val="32"/>
        </w:rPr>
        <w:t>。主要变动原因：一是本年度我单位购置了办公业务用房，导致经费增加；二是本年度中央转移支付资金增加；三是本年度新增人员导致人员经费等费用增加。</w:t>
      </w:r>
    </w:p>
    <w:p>
      <w:pPr>
        <w:spacing w:line="600" w:lineRule="exact"/>
        <w:ind w:firstLine="640" w:firstLineChars="200"/>
        <w:rPr>
          <w:rFonts w:hint="eastAsia" w:ascii="黑体" w:hAnsi="黑体" w:eastAsia="黑体"/>
          <w:color w:val="000000"/>
          <w:sz w:val="32"/>
          <w:szCs w:val="32"/>
        </w:rPr>
      </w:pPr>
      <w:r>
        <w:rPr>
          <w:rFonts w:hint="eastAsia" w:ascii="仿宋" w:hAnsi="仿宋" w:eastAsia="仿宋"/>
          <w:color w:val="000000" w:themeColor="text1"/>
          <w:sz w:val="32"/>
          <w:szCs w:val="32"/>
          <w14:textFill>
            <w14:solidFill>
              <w14:schemeClr w14:val="tx1"/>
            </w14:solidFill>
          </w14:textFill>
        </w:rPr>
        <w:t>图4：</w:t>
      </w:r>
      <w:bookmarkStart w:id="32" w:name="_Toc15396607"/>
      <w:bookmarkStart w:id="33" w:name="_Toc15377209"/>
    </w:p>
    <w:p>
      <w:pPr>
        <w:spacing w:line="600" w:lineRule="exact"/>
        <w:ind w:firstLine="420" w:firstLineChars="200"/>
        <w:rPr>
          <w:rStyle w:val="27"/>
          <w:rFonts w:ascii="黑体" w:hAnsi="黑体" w:eastAsia="黑体"/>
          <w:b w:val="0"/>
        </w:rPr>
      </w:pPr>
      <w:r>
        <w:drawing>
          <wp:anchor distT="0" distB="0" distL="114300" distR="114300" simplePos="0" relativeHeight="251660288" behindDoc="1" locked="0" layoutInCell="1" allowOverlap="1">
            <wp:simplePos x="0" y="0"/>
            <wp:positionH relativeFrom="column">
              <wp:posOffset>-243205</wp:posOffset>
            </wp:positionH>
            <wp:positionV relativeFrom="paragraph">
              <wp:posOffset>147320</wp:posOffset>
            </wp:positionV>
            <wp:extent cx="5504815" cy="3592830"/>
            <wp:effectExtent l="4445" t="4445" r="15240" b="79375"/>
            <wp:wrapTight wrapText="bothSides">
              <wp:wrapPolygon>
                <wp:start x="-17" y="-27"/>
                <wp:lineTo x="-17" y="21848"/>
                <wp:lineTo x="21510" y="21848"/>
                <wp:lineTo x="21510" y="-27"/>
                <wp:lineTo x="-17" y="-27"/>
              </wp:wrapPolygon>
            </wp:wrapTight>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1424.86</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8年相比，一般公共预算财政拨款968.9</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455.96</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32</w:t>
      </w:r>
      <w:r>
        <w:rPr>
          <w:rFonts w:ascii="仿宋" w:hAnsi="仿宋" w:eastAsia="仿宋"/>
          <w:color w:val="000000"/>
          <w:sz w:val="32"/>
          <w:szCs w:val="32"/>
        </w:rPr>
        <w:t>%</w:t>
      </w:r>
      <w:r>
        <w:rPr>
          <w:rFonts w:hint="eastAsia" w:ascii="仿宋" w:hAnsi="仿宋" w:eastAsia="仿宋"/>
          <w:color w:val="000000"/>
          <w:sz w:val="32"/>
          <w:szCs w:val="32"/>
        </w:rPr>
        <w:t>。主要变动原因一是本年度我单位购置了办公业务用房，导致经费增加；二是本年度中央转移支付资金增加；三是本年度新增人员导致人员经费等费用增加。</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420" w:firstLineChars="200"/>
        <w:rPr>
          <w:rFonts w:ascii="仿宋" w:hAnsi="仿宋" w:eastAsia="仿宋"/>
          <w:color w:val="000000" w:themeColor="text1"/>
          <w:sz w:val="32"/>
          <w:szCs w:val="32"/>
          <w14:textFill>
            <w14:solidFill>
              <w14:schemeClr w14:val="tx1"/>
            </w14:solidFill>
          </w14:textFill>
        </w:rPr>
      </w:pPr>
      <w:r>
        <w:drawing>
          <wp:anchor distT="0" distB="0" distL="114300" distR="114300" simplePos="0" relativeHeight="251661312" behindDoc="1" locked="0" layoutInCell="1" allowOverlap="1">
            <wp:simplePos x="0" y="0"/>
            <wp:positionH relativeFrom="column">
              <wp:posOffset>271145</wp:posOffset>
            </wp:positionH>
            <wp:positionV relativeFrom="paragraph">
              <wp:posOffset>-2510155</wp:posOffset>
            </wp:positionV>
            <wp:extent cx="4572000" cy="2581910"/>
            <wp:effectExtent l="4445" t="4445" r="14605" b="80645"/>
            <wp:wrapNone/>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3" w:firstLineChars="200"/>
        <w:outlineLvl w:val="2"/>
        <w:rPr>
          <w:rFonts w:hint="eastAsia" w:ascii="仿宋" w:hAnsi="仿宋" w:eastAsia="仿宋"/>
          <w:b/>
          <w:color w:val="000000"/>
          <w:sz w:val="32"/>
          <w:szCs w:val="32"/>
        </w:rPr>
      </w:pPr>
      <w:bookmarkStart w:id="35" w:name="_Toc15377211"/>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lang w:val="en-US" w:eastAsia="zh-CN"/>
        </w:rPr>
        <w:t>1424.86</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1300.52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91.27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文化旅游体育与传媒（类）支出</w:t>
      </w:r>
      <w:r>
        <w:rPr>
          <w:rFonts w:hint="eastAsia" w:ascii="仿宋" w:hAnsi="仿宋" w:eastAsia="仿宋"/>
          <w:b/>
          <w:bCs/>
          <w:color w:val="000000" w:themeColor="text1"/>
          <w:sz w:val="32"/>
          <w:szCs w:val="32"/>
          <w:lang w:val="en-US" w:eastAsia="zh-CN"/>
          <w14:textFill>
            <w14:solidFill>
              <w14:schemeClr w14:val="tx1"/>
            </w14:solidFill>
          </w14:textFill>
        </w:rPr>
        <w:t>0</w:t>
      </w:r>
      <w:r>
        <w:rPr>
          <w:rFonts w:hint="eastAsia" w:ascii="仿宋" w:hAnsi="仿宋" w:eastAsia="仿宋"/>
          <w:b/>
          <w:bCs/>
          <w:color w:val="000000" w:themeColor="text1"/>
          <w:sz w:val="32"/>
          <w:szCs w:val="32"/>
          <w14:textFill>
            <w14:solidFill>
              <w14:schemeClr w14:val="tx1"/>
            </w14:solidFill>
          </w14:textFill>
        </w:rPr>
        <w:t>万元，占</w:t>
      </w:r>
      <w:r>
        <w:rPr>
          <w:rFonts w:hint="eastAsia" w:ascii="仿宋" w:hAnsi="仿宋" w:eastAsia="仿宋"/>
          <w:b/>
          <w:bCs/>
          <w:color w:val="000000" w:themeColor="text1"/>
          <w:sz w:val="32"/>
          <w:szCs w:val="32"/>
          <w:lang w:val="en-US" w:eastAsia="zh-CN"/>
          <w14:textFill>
            <w14:solidFill>
              <w14:schemeClr w14:val="tx1"/>
            </w14:solidFill>
          </w14:textFill>
        </w:rPr>
        <w:t>0</w:t>
      </w:r>
      <w:r>
        <w:rPr>
          <w:rFonts w:ascii="仿宋" w:hAnsi="仿宋" w:eastAsia="仿宋"/>
          <w:b/>
          <w:bCs/>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64.29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4.51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3" w:firstLineChars="200"/>
        <w:rPr>
          <w:rFonts w:hint="eastAsia" w:ascii="仿宋" w:hAnsi="仿宋" w:eastAsia="仿宋"/>
          <w:color w:val="000000"/>
          <w:sz w:val="32"/>
          <w:szCs w:val="32"/>
        </w:rPr>
      </w:pP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lang w:val="en-US" w:eastAsia="zh-CN"/>
          <w14:textFill>
            <w14:solidFill>
              <w14:schemeClr w14:val="tx1"/>
            </w14:solidFill>
          </w14:textFill>
        </w:rPr>
        <w:t>24.28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35.27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2.48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农林水支出</w:t>
      </w:r>
      <w:r>
        <w:rPr>
          <w:rFonts w:hint="eastAsia" w:ascii="仿宋" w:hAnsi="仿宋" w:eastAsia="仿宋"/>
          <w:color w:val="000000" w:themeColor="text1"/>
          <w:sz w:val="32"/>
          <w:szCs w:val="32"/>
          <w:lang w:val="en-US" w:eastAsia="zh-CN"/>
          <w14:textFill>
            <w14:solidFill>
              <w14:schemeClr w14:val="tx1"/>
            </w14:solidFill>
          </w14:textFill>
        </w:rPr>
        <w:t>0.5万元，占0.035%。</w:t>
      </w:r>
    </w:p>
    <w:p>
      <w:pPr>
        <w:spacing w:line="600" w:lineRule="exact"/>
        <w:rPr>
          <w:rFonts w:hint="eastAsia" w:ascii="仿宋" w:hAnsi="仿宋" w:eastAsia="仿宋"/>
          <w:color w:val="000000"/>
          <w:sz w:val="32"/>
          <w:szCs w:val="32"/>
        </w:rPr>
      </w:pPr>
      <w:r>
        <w:drawing>
          <wp:anchor distT="0" distB="0" distL="114300" distR="114300" simplePos="0" relativeHeight="251661312" behindDoc="1" locked="0" layoutInCell="1" allowOverlap="1">
            <wp:simplePos x="0" y="0"/>
            <wp:positionH relativeFrom="column">
              <wp:posOffset>-24130</wp:posOffset>
            </wp:positionH>
            <wp:positionV relativeFrom="paragraph">
              <wp:posOffset>366395</wp:posOffset>
            </wp:positionV>
            <wp:extent cx="5181600" cy="2961640"/>
            <wp:effectExtent l="4445" t="4445" r="14605" b="571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000000"/>
          <w:sz w:val="32"/>
          <w:szCs w:val="32"/>
        </w:rPr>
        <w:t>图6：</w:t>
      </w:r>
    </w:p>
    <w:p>
      <w:pPr>
        <w:spacing w:line="600" w:lineRule="exact"/>
        <w:rPr>
          <w:rFonts w:ascii="仿宋" w:hAnsi="仿宋" w:eastAsia="仿宋"/>
          <w:color w:val="000000"/>
          <w:sz w:val="32"/>
          <w:szCs w:val="32"/>
        </w:rPr>
      </w:pPr>
    </w:p>
    <w:p>
      <w:pPr>
        <w:spacing w:line="600" w:lineRule="exact"/>
        <w:outlineLvl w:val="2"/>
        <w:rPr>
          <w:rFonts w:hint="eastAsia" w:ascii="仿宋" w:hAnsi="仿宋" w:eastAsia="仿宋"/>
          <w:b/>
          <w:color w:val="000000"/>
          <w:sz w:val="32"/>
          <w:szCs w:val="32"/>
        </w:rPr>
      </w:pPr>
      <w:bookmarkStart w:id="36" w:name="_Toc15377212"/>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444"/>
      <w:bookmarkStart w:id="38" w:name="_Toc15377213"/>
      <w:bookmarkStart w:id="39" w:name="_Toc15378460"/>
      <w:r>
        <w:rPr>
          <w:rFonts w:hint="eastAsia" w:ascii="仿宋" w:hAnsi="仿宋" w:eastAsia="仿宋"/>
          <w:b/>
          <w:color w:val="000000" w:themeColor="text1"/>
          <w:sz w:val="32"/>
          <w:szCs w:val="32"/>
          <w14:textFill>
            <w14:solidFill>
              <w14:schemeClr w14:val="tx1"/>
            </w14:solidFill>
          </w14:textFill>
        </w:rPr>
        <w:t>2019年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color w:val="000000"/>
          <w:sz w:val="32"/>
          <w:szCs w:val="32"/>
          <w:lang w:val="en-US" w:eastAsia="zh-CN"/>
        </w:rPr>
        <w:t>1424.86</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pageBreakBefore w:val="0"/>
        <w:numPr>
          <w:ilvl w:val="0"/>
          <w:numId w:val="3"/>
        </w:numPr>
        <w:kinsoku/>
        <w:overflowPunct/>
        <w:topLinePunct w:val="0"/>
        <w:bidi w:val="0"/>
        <w:spacing w:line="360" w:lineRule="auto"/>
        <w:ind w:firstLine="643" w:firstLineChars="200"/>
        <w:rPr>
          <w:rStyle w:val="15"/>
          <w:rFonts w:hint="eastAsia" w:ascii="仿宋" w:hAnsi="仿宋" w:eastAsia="仿宋"/>
          <w:b w:val="0"/>
          <w:bCs/>
          <w:color w:val="auto"/>
          <w:sz w:val="32"/>
          <w:szCs w:val="32"/>
        </w:rPr>
      </w:pPr>
      <w:r>
        <w:rPr>
          <w:rStyle w:val="15"/>
          <w:rFonts w:hint="eastAsia" w:ascii="仿宋" w:hAnsi="仿宋" w:eastAsia="仿宋"/>
          <w:bCs/>
          <w:color w:val="auto"/>
          <w:sz w:val="32"/>
          <w:szCs w:val="32"/>
        </w:rPr>
        <w:t>一般公共服务（类）</w:t>
      </w:r>
      <w:r>
        <w:rPr>
          <w:rStyle w:val="15"/>
          <w:rFonts w:hint="eastAsia" w:ascii="仿宋" w:hAnsi="仿宋" w:eastAsia="仿宋"/>
          <w:bCs/>
          <w:color w:val="auto"/>
          <w:sz w:val="32"/>
          <w:szCs w:val="32"/>
          <w:lang w:eastAsia="zh-CN"/>
        </w:rPr>
        <w:t>司法</w:t>
      </w:r>
      <w:r>
        <w:rPr>
          <w:rStyle w:val="15"/>
          <w:rFonts w:hint="eastAsia" w:ascii="仿宋" w:hAnsi="仿宋" w:eastAsia="仿宋"/>
          <w:bCs/>
          <w:color w:val="auto"/>
          <w:sz w:val="32"/>
          <w:szCs w:val="32"/>
        </w:rPr>
        <w:t>（款）</w:t>
      </w:r>
      <w:r>
        <w:rPr>
          <w:rStyle w:val="15"/>
          <w:rFonts w:hint="eastAsia" w:ascii="仿宋" w:hAnsi="仿宋" w:eastAsia="仿宋"/>
          <w:bCs/>
          <w:color w:val="auto"/>
          <w:sz w:val="32"/>
          <w:szCs w:val="32"/>
          <w:lang w:eastAsia="zh-CN"/>
        </w:rPr>
        <w:t>行政运行</w:t>
      </w:r>
      <w:r>
        <w:rPr>
          <w:rStyle w:val="15"/>
          <w:rFonts w:hint="eastAsia" w:ascii="仿宋" w:hAnsi="仿宋" w:eastAsia="仿宋"/>
          <w:bCs/>
          <w:color w:val="auto"/>
          <w:sz w:val="32"/>
          <w:szCs w:val="32"/>
        </w:rPr>
        <w:t>（项）</w:t>
      </w:r>
      <w:r>
        <w:rPr>
          <w:rStyle w:val="15"/>
          <w:rFonts w:ascii="仿宋" w:hAnsi="仿宋" w:eastAsia="仿宋"/>
          <w:bCs/>
          <w:color w:val="auto"/>
          <w:sz w:val="32"/>
          <w:szCs w:val="32"/>
        </w:rPr>
        <w:t>:</w:t>
      </w:r>
      <w:r>
        <w:rPr>
          <w:rStyle w:val="15"/>
          <w:rFonts w:ascii="仿宋" w:hAnsi="仿宋" w:eastAsia="仿宋"/>
          <w:b w:val="0"/>
          <w:bCs/>
          <w:color w:val="auto"/>
          <w:sz w:val="32"/>
          <w:szCs w:val="32"/>
        </w:rPr>
        <w:t xml:space="preserve"> </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685.07</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96.35</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lang w:eastAsia="zh-CN"/>
        </w:rPr>
        <w:t>；</w:t>
      </w:r>
    </w:p>
    <w:p>
      <w:pPr>
        <w:pageBreakBefore w:val="0"/>
        <w:numPr>
          <w:ilvl w:val="0"/>
          <w:numId w:val="3"/>
        </w:numPr>
        <w:kinsoku/>
        <w:overflowPunct/>
        <w:topLinePunct w:val="0"/>
        <w:bidi w:val="0"/>
        <w:spacing w:line="360" w:lineRule="auto"/>
        <w:ind w:firstLine="643" w:firstLineChars="200"/>
        <w:rPr>
          <w:rStyle w:val="15"/>
          <w:rFonts w:hint="eastAsia" w:ascii="仿宋" w:hAnsi="仿宋" w:eastAsia="仿宋"/>
          <w:b w:val="0"/>
          <w:bCs/>
          <w:color w:val="auto"/>
          <w:sz w:val="32"/>
          <w:szCs w:val="32"/>
        </w:rPr>
      </w:pPr>
      <w:r>
        <w:rPr>
          <w:rStyle w:val="15"/>
          <w:rFonts w:hint="eastAsia" w:ascii="仿宋" w:hAnsi="仿宋" w:eastAsia="仿宋"/>
          <w:bCs/>
          <w:color w:val="auto"/>
          <w:sz w:val="32"/>
          <w:szCs w:val="32"/>
        </w:rPr>
        <w:t>一般公共服务（类）</w:t>
      </w:r>
      <w:r>
        <w:rPr>
          <w:rStyle w:val="15"/>
          <w:rFonts w:hint="eastAsia" w:ascii="仿宋" w:hAnsi="仿宋" w:eastAsia="仿宋"/>
          <w:bCs/>
          <w:color w:val="auto"/>
          <w:sz w:val="32"/>
          <w:szCs w:val="32"/>
          <w:lang w:eastAsia="zh-CN"/>
        </w:rPr>
        <w:t>司法</w:t>
      </w:r>
      <w:r>
        <w:rPr>
          <w:rStyle w:val="15"/>
          <w:rFonts w:hint="eastAsia" w:ascii="仿宋" w:hAnsi="仿宋" w:eastAsia="仿宋"/>
          <w:bCs/>
          <w:color w:val="auto"/>
          <w:sz w:val="32"/>
          <w:szCs w:val="32"/>
        </w:rPr>
        <w:t>（款）</w:t>
      </w:r>
      <w:r>
        <w:rPr>
          <w:rStyle w:val="15"/>
          <w:rFonts w:hint="eastAsia" w:ascii="仿宋" w:hAnsi="仿宋" w:eastAsia="仿宋"/>
          <w:bCs/>
          <w:color w:val="auto"/>
          <w:sz w:val="32"/>
          <w:szCs w:val="32"/>
          <w:lang w:eastAsia="zh-CN"/>
        </w:rPr>
        <w:t>一般行政管理事务</w:t>
      </w:r>
      <w:r>
        <w:rPr>
          <w:rStyle w:val="15"/>
          <w:rFonts w:hint="eastAsia" w:ascii="仿宋" w:hAnsi="仿宋" w:eastAsia="仿宋"/>
          <w:bCs/>
          <w:color w:val="auto"/>
          <w:sz w:val="32"/>
          <w:szCs w:val="32"/>
        </w:rPr>
        <w:t>（项）</w:t>
      </w:r>
      <w:r>
        <w:rPr>
          <w:rStyle w:val="15"/>
          <w:rFonts w:ascii="仿宋" w:hAnsi="仿宋" w:eastAsia="仿宋"/>
          <w:bCs/>
          <w:color w:val="auto"/>
          <w:sz w:val="32"/>
          <w:szCs w:val="32"/>
        </w:rPr>
        <w:t>:</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211.37</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47.82</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lang w:eastAsia="zh-CN"/>
        </w:rPr>
        <w:t>。</w:t>
      </w:r>
      <w:r>
        <w:rPr>
          <w:rStyle w:val="15"/>
          <w:rFonts w:hint="eastAsia" w:ascii="仿宋" w:hAnsi="仿宋" w:eastAsia="仿宋"/>
          <w:b w:val="0"/>
          <w:bCs/>
          <w:color w:val="auto"/>
          <w:sz w:val="32"/>
          <w:szCs w:val="32"/>
        </w:rPr>
        <w:t>决算数小于预算数的主要原因</w:t>
      </w:r>
      <w:r>
        <w:rPr>
          <w:rStyle w:val="15"/>
          <w:rFonts w:hint="eastAsia" w:ascii="仿宋" w:hAnsi="仿宋" w:eastAsia="仿宋"/>
          <w:b w:val="0"/>
          <w:bCs/>
          <w:color w:val="auto"/>
          <w:sz w:val="32"/>
          <w:szCs w:val="32"/>
          <w:lang w:eastAsia="zh-CN"/>
        </w:rPr>
        <w:t>：一是</w:t>
      </w:r>
      <w:r>
        <w:rPr>
          <w:rStyle w:val="15"/>
          <w:rFonts w:hint="eastAsia" w:ascii="仿宋" w:hAnsi="仿宋" w:eastAsia="仿宋"/>
          <w:b w:val="0"/>
          <w:bCs/>
          <w:color w:val="auto"/>
          <w:sz w:val="32"/>
          <w:szCs w:val="32"/>
        </w:rPr>
        <w:t>是</w:t>
      </w:r>
      <w:r>
        <w:rPr>
          <w:rStyle w:val="15"/>
          <w:rFonts w:hint="eastAsia" w:ascii="仿宋" w:hAnsi="仿宋" w:eastAsia="仿宋"/>
          <w:b w:val="0"/>
          <w:bCs/>
          <w:color w:val="auto"/>
          <w:sz w:val="32"/>
          <w:szCs w:val="32"/>
          <w:lang w:eastAsia="zh-CN"/>
        </w:rPr>
        <w:t>当年办公业务用房还有未支付费用，二是中央转移支付资金部分未付；</w:t>
      </w:r>
    </w:p>
    <w:p>
      <w:pPr>
        <w:pageBreakBefore w:val="0"/>
        <w:numPr>
          <w:ilvl w:val="0"/>
          <w:numId w:val="3"/>
        </w:numPr>
        <w:kinsoku/>
        <w:overflowPunct/>
        <w:topLinePunct w:val="0"/>
        <w:bidi w:val="0"/>
        <w:spacing w:line="360" w:lineRule="auto"/>
        <w:ind w:firstLine="643" w:firstLineChars="200"/>
        <w:rPr>
          <w:rStyle w:val="15"/>
          <w:rFonts w:hint="eastAsia" w:ascii="仿宋" w:hAnsi="仿宋" w:eastAsia="仿宋"/>
          <w:b w:val="0"/>
          <w:bCs/>
          <w:color w:val="auto"/>
          <w:sz w:val="32"/>
          <w:szCs w:val="32"/>
        </w:rPr>
      </w:pPr>
      <w:r>
        <w:rPr>
          <w:rStyle w:val="15"/>
          <w:rFonts w:hint="eastAsia" w:ascii="仿宋" w:hAnsi="仿宋" w:eastAsia="仿宋"/>
          <w:bCs/>
          <w:color w:val="auto"/>
          <w:sz w:val="32"/>
          <w:szCs w:val="32"/>
        </w:rPr>
        <w:t>一般公共服务（类）</w:t>
      </w:r>
      <w:r>
        <w:rPr>
          <w:rStyle w:val="15"/>
          <w:rFonts w:hint="eastAsia" w:ascii="仿宋" w:hAnsi="仿宋" w:eastAsia="仿宋"/>
          <w:bCs/>
          <w:color w:val="auto"/>
          <w:sz w:val="32"/>
          <w:szCs w:val="32"/>
          <w:lang w:eastAsia="zh-CN"/>
        </w:rPr>
        <w:t>司法</w:t>
      </w:r>
      <w:r>
        <w:rPr>
          <w:rStyle w:val="15"/>
          <w:rFonts w:hint="eastAsia" w:ascii="仿宋" w:hAnsi="仿宋" w:eastAsia="仿宋"/>
          <w:bCs/>
          <w:color w:val="auto"/>
          <w:sz w:val="32"/>
          <w:szCs w:val="32"/>
        </w:rPr>
        <w:t>（款）</w:t>
      </w:r>
      <w:r>
        <w:rPr>
          <w:rStyle w:val="15"/>
          <w:rFonts w:hint="eastAsia" w:ascii="仿宋" w:hAnsi="仿宋" w:eastAsia="仿宋"/>
          <w:bCs/>
          <w:color w:val="auto"/>
          <w:sz w:val="32"/>
          <w:szCs w:val="32"/>
          <w:lang w:eastAsia="zh-CN"/>
        </w:rPr>
        <w:t>基层司法业务</w:t>
      </w:r>
      <w:r>
        <w:rPr>
          <w:rStyle w:val="15"/>
          <w:rFonts w:hint="eastAsia" w:ascii="仿宋" w:hAnsi="仿宋" w:eastAsia="仿宋"/>
          <w:bCs/>
          <w:color w:val="auto"/>
          <w:sz w:val="32"/>
          <w:szCs w:val="32"/>
        </w:rPr>
        <w:t>（项）</w:t>
      </w:r>
      <w:r>
        <w:rPr>
          <w:rStyle w:val="15"/>
          <w:rFonts w:hint="eastAsia" w:ascii="仿宋" w:hAnsi="仿宋" w:eastAsia="仿宋"/>
          <w:bCs/>
          <w:color w:val="auto"/>
          <w:sz w:val="32"/>
          <w:szCs w:val="32"/>
          <w:lang w:eastAsia="zh-CN"/>
        </w:rPr>
        <w:t>：</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2.45</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，决算数等于预算数的主要原因</w:t>
      </w:r>
      <w:r>
        <w:rPr>
          <w:rStyle w:val="15"/>
          <w:rFonts w:hint="eastAsia" w:ascii="仿宋" w:hAnsi="仿宋" w:eastAsia="仿宋"/>
          <w:b w:val="0"/>
          <w:bCs/>
          <w:color w:val="auto"/>
          <w:sz w:val="32"/>
          <w:szCs w:val="32"/>
          <w:lang w:eastAsia="zh-CN"/>
        </w:rPr>
        <w:t>按照经费支付要求全额完成基层司法业务经费使用任务；</w:t>
      </w:r>
      <w:r>
        <w:rPr>
          <w:rStyle w:val="15"/>
          <w:rFonts w:hint="eastAsia" w:ascii="仿宋" w:hAnsi="仿宋" w:eastAsia="仿宋"/>
          <w:b w:val="0"/>
          <w:bCs/>
          <w:color w:val="auto"/>
          <w:sz w:val="32"/>
          <w:szCs w:val="32"/>
          <w:lang w:val="en-US" w:eastAsia="zh-CN"/>
        </w:rPr>
        <w:t xml:space="preserve">  </w:t>
      </w:r>
    </w:p>
    <w:p>
      <w:pPr>
        <w:pageBreakBefore w:val="0"/>
        <w:numPr>
          <w:ilvl w:val="0"/>
          <w:numId w:val="3"/>
        </w:numPr>
        <w:kinsoku/>
        <w:overflowPunct/>
        <w:topLinePunct w:val="0"/>
        <w:bidi w:val="0"/>
        <w:spacing w:line="360" w:lineRule="auto"/>
        <w:ind w:firstLine="643" w:firstLineChars="200"/>
        <w:rPr>
          <w:rStyle w:val="15"/>
          <w:rFonts w:hint="eastAsia" w:ascii="仿宋" w:hAnsi="仿宋" w:eastAsia="仿宋"/>
          <w:b w:val="0"/>
          <w:bCs/>
          <w:color w:val="auto"/>
          <w:sz w:val="32"/>
          <w:szCs w:val="32"/>
        </w:rPr>
      </w:pPr>
      <w:r>
        <w:rPr>
          <w:rStyle w:val="15"/>
          <w:rFonts w:hint="eastAsia" w:ascii="仿宋" w:hAnsi="仿宋" w:eastAsia="仿宋"/>
          <w:bCs/>
          <w:color w:val="auto"/>
          <w:sz w:val="32"/>
          <w:szCs w:val="32"/>
        </w:rPr>
        <w:t>一般公共服务（类）</w:t>
      </w:r>
      <w:r>
        <w:rPr>
          <w:rStyle w:val="15"/>
          <w:rFonts w:hint="eastAsia" w:ascii="仿宋" w:hAnsi="仿宋" w:eastAsia="仿宋"/>
          <w:bCs/>
          <w:color w:val="auto"/>
          <w:sz w:val="32"/>
          <w:szCs w:val="32"/>
          <w:lang w:eastAsia="zh-CN"/>
        </w:rPr>
        <w:t>司法</w:t>
      </w:r>
      <w:r>
        <w:rPr>
          <w:rStyle w:val="15"/>
          <w:rFonts w:hint="eastAsia" w:ascii="仿宋" w:hAnsi="仿宋" w:eastAsia="仿宋"/>
          <w:bCs/>
          <w:color w:val="auto"/>
          <w:sz w:val="32"/>
          <w:szCs w:val="32"/>
        </w:rPr>
        <w:t>（款）</w:t>
      </w:r>
      <w:r>
        <w:rPr>
          <w:rStyle w:val="15"/>
          <w:rFonts w:hint="eastAsia" w:ascii="仿宋" w:hAnsi="仿宋" w:eastAsia="仿宋"/>
          <w:bCs/>
          <w:color w:val="auto"/>
          <w:sz w:val="32"/>
          <w:szCs w:val="32"/>
          <w:lang w:eastAsia="zh-CN"/>
        </w:rPr>
        <w:t>普法宣传</w:t>
      </w:r>
      <w:r>
        <w:rPr>
          <w:rStyle w:val="15"/>
          <w:rFonts w:hint="eastAsia" w:ascii="仿宋" w:hAnsi="仿宋" w:eastAsia="仿宋"/>
          <w:bCs/>
          <w:color w:val="auto"/>
          <w:sz w:val="32"/>
          <w:szCs w:val="32"/>
        </w:rPr>
        <w:t>（项）</w:t>
      </w:r>
      <w:r>
        <w:rPr>
          <w:rStyle w:val="15"/>
          <w:rFonts w:hint="eastAsia" w:ascii="仿宋" w:hAnsi="仿宋" w:eastAsia="仿宋"/>
          <w:bCs/>
          <w:color w:val="auto"/>
          <w:sz w:val="32"/>
          <w:szCs w:val="32"/>
          <w:lang w:eastAsia="zh-CN"/>
        </w:rPr>
        <w:t>：</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10</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，决算数等于预算数的主要原因是</w:t>
      </w:r>
      <w:r>
        <w:rPr>
          <w:rStyle w:val="15"/>
          <w:rFonts w:hint="eastAsia" w:ascii="仿宋" w:hAnsi="仿宋" w:eastAsia="仿宋"/>
          <w:b w:val="0"/>
          <w:bCs/>
          <w:color w:val="auto"/>
          <w:sz w:val="32"/>
          <w:szCs w:val="32"/>
          <w:lang w:eastAsia="zh-CN"/>
        </w:rPr>
        <w:t>按照经费支付要求全额完成普法宣传经费使用任务；</w:t>
      </w:r>
    </w:p>
    <w:p>
      <w:pPr>
        <w:pageBreakBefore w:val="0"/>
        <w:numPr>
          <w:ilvl w:val="0"/>
          <w:numId w:val="3"/>
        </w:numPr>
        <w:kinsoku/>
        <w:overflowPunct/>
        <w:topLinePunct w:val="0"/>
        <w:bidi w:val="0"/>
        <w:spacing w:line="360" w:lineRule="auto"/>
        <w:ind w:left="0" w:leftChars="0" w:firstLine="643" w:firstLineChars="200"/>
        <w:rPr>
          <w:rStyle w:val="15"/>
          <w:rFonts w:hint="eastAsia" w:ascii="仿宋" w:hAnsi="仿宋" w:eastAsia="仿宋"/>
          <w:b w:val="0"/>
          <w:bCs/>
          <w:color w:val="auto"/>
          <w:sz w:val="32"/>
          <w:szCs w:val="32"/>
        </w:rPr>
      </w:pPr>
      <w:r>
        <w:rPr>
          <w:rStyle w:val="15"/>
          <w:rFonts w:hint="eastAsia" w:ascii="仿宋" w:hAnsi="仿宋" w:eastAsia="仿宋"/>
          <w:bCs/>
          <w:color w:val="auto"/>
          <w:sz w:val="32"/>
          <w:szCs w:val="32"/>
        </w:rPr>
        <w:t>一般公共服务（类）</w:t>
      </w:r>
      <w:r>
        <w:rPr>
          <w:rStyle w:val="15"/>
          <w:rFonts w:hint="eastAsia" w:ascii="仿宋" w:hAnsi="仿宋" w:eastAsia="仿宋"/>
          <w:bCs/>
          <w:color w:val="auto"/>
          <w:sz w:val="32"/>
          <w:szCs w:val="32"/>
          <w:lang w:eastAsia="zh-CN"/>
        </w:rPr>
        <w:t>司法</w:t>
      </w:r>
      <w:r>
        <w:rPr>
          <w:rStyle w:val="15"/>
          <w:rFonts w:hint="eastAsia" w:ascii="仿宋" w:hAnsi="仿宋" w:eastAsia="仿宋"/>
          <w:bCs/>
          <w:color w:val="auto"/>
          <w:sz w:val="32"/>
          <w:szCs w:val="32"/>
        </w:rPr>
        <w:t>（款）</w:t>
      </w:r>
      <w:r>
        <w:rPr>
          <w:rStyle w:val="15"/>
          <w:rFonts w:hint="eastAsia" w:ascii="仿宋" w:hAnsi="仿宋" w:eastAsia="仿宋"/>
          <w:bCs/>
          <w:color w:val="auto"/>
          <w:sz w:val="32"/>
          <w:szCs w:val="32"/>
          <w:lang w:eastAsia="zh-CN"/>
        </w:rPr>
        <w:t>法律援助</w:t>
      </w:r>
      <w:r>
        <w:rPr>
          <w:rStyle w:val="15"/>
          <w:rFonts w:hint="eastAsia" w:ascii="仿宋" w:hAnsi="仿宋" w:eastAsia="仿宋"/>
          <w:bCs/>
          <w:color w:val="auto"/>
          <w:sz w:val="32"/>
          <w:szCs w:val="32"/>
        </w:rPr>
        <w:t>（项）</w:t>
      </w:r>
      <w:r>
        <w:rPr>
          <w:rStyle w:val="15"/>
          <w:rFonts w:hint="eastAsia" w:ascii="仿宋" w:hAnsi="仿宋" w:eastAsia="仿宋"/>
          <w:bCs/>
          <w:color w:val="auto"/>
          <w:sz w:val="32"/>
          <w:szCs w:val="32"/>
          <w:lang w:eastAsia="zh-CN"/>
        </w:rPr>
        <w:t>：</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14.89</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69.26</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，决算数</w:t>
      </w:r>
      <w:r>
        <w:rPr>
          <w:rStyle w:val="15"/>
          <w:rFonts w:hint="eastAsia" w:ascii="仿宋" w:hAnsi="仿宋" w:eastAsia="仿宋"/>
          <w:b w:val="0"/>
          <w:bCs/>
          <w:color w:val="auto"/>
          <w:sz w:val="32"/>
          <w:szCs w:val="32"/>
          <w:lang w:eastAsia="zh-CN"/>
        </w:rPr>
        <w:t>小于</w:t>
      </w:r>
      <w:r>
        <w:rPr>
          <w:rStyle w:val="15"/>
          <w:rFonts w:hint="eastAsia" w:ascii="仿宋" w:hAnsi="仿宋" w:eastAsia="仿宋"/>
          <w:b w:val="0"/>
          <w:bCs/>
          <w:color w:val="auto"/>
          <w:sz w:val="32"/>
          <w:szCs w:val="32"/>
        </w:rPr>
        <w:t>预算数的主要原因是</w:t>
      </w:r>
      <w:r>
        <w:rPr>
          <w:rStyle w:val="15"/>
          <w:rFonts w:hint="eastAsia" w:ascii="仿宋" w:hAnsi="仿宋" w:eastAsia="仿宋"/>
          <w:b w:val="0"/>
          <w:bCs/>
          <w:color w:val="auto"/>
          <w:sz w:val="32"/>
          <w:szCs w:val="32"/>
          <w:lang w:eastAsia="zh-CN"/>
        </w:rPr>
        <w:t>未完成支付；</w:t>
      </w:r>
      <w:r>
        <w:rPr>
          <w:rStyle w:val="15"/>
          <w:rFonts w:hint="eastAsia" w:ascii="仿宋" w:hAnsi="仿宋" w:eastAsia="仿宋"/>
          <w:b w:val="0"/>
          <w:bCs/>
          <w:color w:val="auto"/>
          <w:sz w:val="32"/>
          <w:szCs w:val="32"/>
          <w:lang w:val="en-US" w:eastAsia="zh-CN"/>
        </w:rPr>
        <w:t xml:space="preserve">                                                                                                                                                                                                                                                                                                                                                                                                                                                                                                                                                                                                                                                                                                                                                                                                                                                                                                                                                       </w:t>
      </w:r>
    </w:p>
    <w:p>
      <w:pPr>
        <w:pageBreakBefore w:val="0"/>
        <w:numPr>
          <w:ilvl w:val="0"/>
          <w:numId w:val="3"/>
        </w:numPr>
        <w:kinsoku/>
        <w:overflowPunct/>
        <w:topLinePunct w:val="0"/>
        <w:bidi w:val="0"/>
        <w:spacing w:line="360" w:lineRule="auto"/>
        <w:ind w:left="0" w:leftChars="0" w:firstLine="643" w:firstLineChars="200"/>
        <w:rPr>
          <w:rStyle w:val="15"/>
          <w:rFonts w:hint="eastAsia" w:ascii="仿宋" w:hAnsi="仿宋" w:eastAsia="仿宋"/>
          <w:b w:val="0"/>
          <w:bCs/>
          <w:color w:val="auto"/>
          <w:sz w:val="32"/>
          <w:szCs w:val="32"/>
        </w:rPr>
      </w:pPr>
      <w:r>
        <w:rPr>
          <w:rStyle w:val="15"/>
          <w:rFonts w:hint="eastAsia" w:ascii="仿宋" w:hAnsi="仿宋" w:eastAsia="仿宋"/>
          <w:bCs/>
          <w:color w:val="auto"/>
          <w:sz w:val="32"/>
          <w:szCs w:val="32"/>
        </w:rPr>
        <w:t>社会保障和就业（类）</w:t>
      </w:r>
      <w:r>
        <w:rPr>
          <w:rStyle w:val="15"/>
          <w:rFonts w:hint="eastAsia" w:ascii="仿宋" w:hAnsi="仿宋" w:eastAsia="仿宋"/>
          <w:bCs/>
          <w:color w:val="auto"/>
          <w:sz w:val="32"/>
          <w:szCs w:val="32"/>
          <w:lang w:eastAsia="zh-CN"/>
        </w:rPr>
        <w:t>行政单位离退休</w:t>
      </w:r>
      <w:r>
        <w:rPr>
          <w:rStyle w:val="15"/>
          <w:rFonts w:hint="eastAsia" w:ascii="仿宋" w:hAnsi="仿宋" w:eastAsia="仿宋"/>
          <w:bCs/>
          <w:color w:val="auto"/>
          <w:sz w:val="32"/>
          <w:szCs w:val="32"/>
        </w:rPr>
        <w:t>（款）</w:t>
      </w:r>
      <w:r>
        <w:rPr>
          <w:rStyle w:val="15"/>
          <w:rFonts w:hint="eastAsia" w:ascii="仿宋" w:hAnsi="仿宋" w:eastAsia="仿宋"/>
          <w:bCs/>
          <w:color w:val="auto"/>
          <w:sz w:val="32"/>
          <w:szCs w:val="32"/>
          <w:lang w:eastAsia="zh-CN"/>
        </w:rPr>
        <w:t>未归口管理的行政单位离退休</w:t>
      </w:r>
      <w:r>
        <w:rPr>
          <w:rStyle w:val="15"/>
          <w:rFonts w:hint="eastAsia" w:ascii="仿宋" w:hAnsi="仿宋" w:eastAsia="仿宋"/>
          <w:bCs/>
          <w:color w:val="auto"/>
          <w:sz w:val="32"/>
          <w:szCs w:val="32"/>
        </w:rPr>
        <w:t>（项）</w:t>
      </w:r>
      <w:r>
        <w:rPr>
          <w:rStyle w:val="15"/>
          <w:rFonts w:ascii="仿宋" w:hAnsi="仿宋" w:eastAsia="仿宋"/>
          <w:bCs/>
          <w:color w:val="auto"/>
          <w:sz w:val="32"/>
          <w:szCs w:val="32"/>
        </w:rPr>
        <w:t>:</w:t>
      </w:r>
      <w:r>
        <w:rPr>
          <w:rStyle w:val="15"/>
          <w:rFonts w:ascii="仿宋" w:hAnsi="仿宋" w:eastAsia="仿宋"/>
          <w:b w:val="0"/>
          <w:bCs/>
          <w:color w:val="auto"/>
          <w:sz w:val="32"/>
          <w:szCs w:val="32"/>
        </w:rPr>
        <w:t xml:space="preserve"> </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9.18</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，决算数等于预算数的主要原因是</w:t>
      </w:r>
      <w:r>
        <w:rPr>
          <w:rStyle w:val="15"/>
          <w:rFonts w:hint="eastAsia" w:ascii="仿宋" w:hAnsi="仿宋" w:eastAsia="仿宋"/>
          <w:b w:val="0"/>
          <w:bCs/>
          <w:color w:val="auto"/>
          <w:sz w:val="32"/>
          <w:szCs w:val="32"/>
          <w:lang w:eastAsia="zh-CN"/>
        </w:rPr>
        <w:t>按照经费支付要求全额完成经费使用任务；</w:t>
      </w:r>
    </w:p>
    <w:p>
      <w:pPr>
        <w:pageBreakBefore w:val="0"/>
        <w:numPr>
          <w:ilvl w:val="0"/>
          <w:numId w:val="3"/>
        </w:numPr>
        <w:kinsoku/>
        <w:overflowPunct/>
        <w:topLinePunct w:val="0"/>
        <w:bidi w:val="0"/>
        <w:spacing w:line="360" w:lineRule="auto"/>
        <w:ind w:left="0" w:leftChars="0" w:firstLine="643" w:firstLineChars="200"/>
        <w:rPr>
          <w:rStyle w:val="15"/>
          <w:rFonts w:hint="eastAsia" w:ascii="仿宋" w:hAnsi="仿宋" w:eastAsia="仿宋"/>
          <w:b w:val="0"/>
          <w:bCs/>
          <w:color w:val="auto"/>
          <w:sz w:val="32"/>
          <w:szCs w:val="32"/>
        </w:rPr>
      </w:pPr>
      <w:r>
        <w:rPr>
          <w:rStyle w:val="15"/>
          <w:rFonts w:hint="eastAsia" w:ascii="仿宋" w:hAnsi="仿宋" w:eastAsia="仿宋"/>
          <w:bCs/>
          <w:color w:val="auto"/>
          <w:sz w:val="32"/>
          <w:szCs w:val="32"/>
        </w:rPr>
        <w:t>社会保障和就业（类）</w:t>
      </w:r>
      <w:r>
        <w:rPr>
          <w:rStyle w:val="15"/>
          <w:rFonts w:hint="eastAsia" w:ascii="仿宋" w:hAnsi="仿宋" w:eastAsia="仿宋"/>
          <w:bCs/>
          <w:color w:val="auto"/>
          <w:sz w:val="32"/>
          <w:szCs w:val="32"/>
          <w:lang w:eastAsia="zh-CN"/>
        </w:rPr>
        <w:t>行政单位离退休</w:t>
      </w:r>
      <w:r>
        <w:rPr>
          <w:rStyle w:val="15"/>
          <w:rFonts w:hint="eastAsia" w:ascii="仿宋" w:hAnsi="仿宋" w:eastAsia="仿宋"/>
          <w:bCs/>
          <w:color w:val="auto"/>
          <w:sz w:val="32"/>
          <w:szCs w:val="32"/>
        </w:rPr>
        <w:t>（款）</w:t>
      </w:r>
      <w:r>
        <w:rPr>
          <w:rStyle w:val="15"/>
          <w:rFonts w:hint="eastAsia" w:ascii="仿宋" w:hAnsi="仿宋" w:eastAsia="仿宋"/>
          <w:bCs/>
          <w:color w:val="auto"/>
          <w:sz w:val="32"/>
          <w:szCs w:val="32"/>
          <w:lang w:eastAsia="zh-CN"/>
        </w:rPr>
        <w:t>机关事业单位基本养老保险缴费支出</w:t>
      </w:r>
      <w:r>
        <w:rPr>
          <w:rStyle w:val="15"/>
          <w:rFonts w:hint="eastAsia" w:ascii="仿宋" w:hAnsi="仿宋" w:eastAsia="仿宋"/>
          <w:bCs/>
          <w:color w:val="auto"/>
          <w:sz w:val="32"/>
          <w:szCs w:val="32"/>
        </w:rPr>
        <w:t>（项）</w:t>
      </w:r>
      <w:r>
        <w:rPr>
          <w:rStyle w:val="15"/>
          <w:rFonts w:ascii="仿宋" w:hAnsi="仿宋" w:eastAsia="仿宋"/>
          <w:bCs/>
          <w:color w:val="auto"/>
          <w:sz w:val="32"/>
          <w:szCs w:val="32"/>
        </w:rPr>
        <w:t>:</w:t>
      </w:r>
      <w:r>
        <w:rPr>
          <w:rStyle w:val="15"/>
          <w:rFonts w:ascii="仿宋" w:hAnsi="仿宋" w:eastAsia="仿宋"/>
          <w:b w:val="0"/>
          <w:bCs/>
          <w:color w:val="auto"/>
          <w:sz w:val="32"/>
          <w:szCs w:val="32"/>
        </w:rPr>
        <w:t xml:space="preserve"> </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53.6</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lang w:eastAsia="zh-CN"/>
        </w:rPr>
        <w:t>；</w:t>
      </w:r>
    </w:p>
    <w:p>
      <w:pPr>
        <w:pageBreakBefore w:val="0"/>
        <w:numPr>
          <w:ilvl w:val="0"/>
          <w:numId w:val="0"/>
        </w:numPr>
        <w:kinsoku/>
        <w:overflowPunct/>
        <w:topLinePunct w:val="0"/>
        <w:bidi w:val="0"/>
        <w:spacing w:line="360" w:lineRule="auto"/>
        <w:ind w:leftChars="200"/>
        <w:rPr>
          <w:rStyle w:val="15"/>
          <w:rFonts w:hint="eastAsia" w:ascii="仿宋" w:hAnsi="仿宋" w:eastAsia="仿宋"/>
          <w:b w:val="0"/>
          <w:bCs/>
          <w:color w:val="auto"/>
          <w:sz w:val="32"/>
          <w:szCs w:val="32"/>
          <w:lang w:eastAsia="zh-CN"/>
        </w:rPr>
      </w:pPr>
      <w:r>
        <w:rPr>
          <w:rStyle w:val="15"/>
          <w:rFonts w:hint="eastAsia" w:ascii="仿宋" w:hAnsi="仿宋" w:eastAsia="仿宋"/>
          <w:bCs/>
          <w:color w:val="auto"/>
          <w:sz w:val="32"/>
          <w:szCs w:val="32"/>
          <w:lang w:val="en-US" w:eastAsia="zh-CN"/>
        </w:rPr>
        <w:t>8.</w:t>
      </w:r>
      <w:r>
        <w:rPr>
          <w:rStyle w:val="15"/>
          <w:rFonts w:hint="eastAsia" w:ascii="仿宋" w:hAnsi="仿宋" w:eastAsia="仿宋"/>
          <w:bCs/>
          <w:color w:val="auto"/>
          <w:sz w:val="32"/>
          <w:szCs w:val="32"/>
          <w:lang w:eastAsia="zh-CN"/>
        </w:rPr>
        <w:t>医疗卫生与计划生育支出</w:t>
      </w:r>
      <w:r>
        <w:rPr>
          <w:rStyle w:val="15"/>
          <w:rFonts w:hint="eastAsia" w:ascii="仿宋" w:hAnsi="仿宋" w:eastAsia="仿宋"/>
          <w:bCs/>
          <w:color w:val="auto"/>
          <w:sz w:val="32"/>
          <w:szCs w:val="32"/>
        </w:rPr>
        <w:t>（类）</w:t>
      </w:r>
      <w:r>
        <w:rPr>
          <w:rStyle w:val="15"/>
          <w:rFonts w:hint="eastAsia" w:ascii="仿宋" w:hAnsi="仿宋" w:eastAsia="仿宋"/>
          <w:bCs/>
          <w:color w:val="auto"/>
          <w:sz w:val="32"/>
          <w:szCs w:val="32"/>
          <w:lang w:eastAsia="zh-CN"/>
        </w:rPr>
        <w:t>行政单位医疗</w:t>
      </w:r>
      <w:r>
        <w:rPr>
          <w:rStyle w:val="15"/>
          <w:rFonts w:hint="eastAsia" w:ascii="仿宋" w:hAnsi="仿宋" w:eastAsia="仿宋"/>
          <w:bCs/>
          <w:color w:val="auto"/>
          <w:sz w:val="32"/>
          <w:szCs w:val="32"/>
        </w:rPr>
        <w:t>（款）</w:t>
      </w:r>
      <w:r>
        <w:rPr>
          <w:rStyle w:val="15"/>
          <w:rFonts w:hint="eastAsia" w:ascii="仿宋" w:hAnsi="仿宋" w:eastAsia="仿宋"/>
          <w:bCs/>
          <w:color w:val="auto"/>
          <w:sz w:val="32"/>
          <w:szCs w:val="32"/>
          <w:lang w:eastAsia="zh-CN"/>
        </w:rPr>
        <w:t>行政单位医疗</w:t>
      </w:r>
      <w:r>
        <w:rPr>
          <w:rStyle w:val="15"/>
          <w:rFonts w:hint="eastAsia" w:ascii="仿宋" w:hAnsi="仿宋" w:eastAsia="仿宋"/>
          <w:bCs/>
          <w:color w:val="auto"/>
          <w:sz w:val="32"/>
          <w:szCs w:val="32"/>
        </w:rPr>
        <w:t>（项）</w:t>
      </w:r>
      <w:r>
        <w:rPr>
          <w:rStyle w:val="15"/>
          <w:rFonts w:ascii="仿宋" w:hAnsi="仿宋" w:eastAsia="仿宋"/>
          <w:bCs/>
          <w:color w:val="auto"/>
          <w:sz w:val="32"/>
          <w:szCs w:val="32"/>
        </w:rPr>
        <w:t>:</w:t>
      </w:r>
      <w:r>
        <w:rPr>
          <w:rStyle w:val="15"/>
          <w:rFonts w:ascii="仿宋" w:hAnsi="仿宋" w:eastAsia="仿宋"/>
          <w:b w:val="0"/>
          <w:bCs/>
          <w:color w:val="auto"/>
          <w:sz w:val="32"/>
          <w:szCs w:val="32"/>
        </w:rPr>
        <w:t xml:space="preserve"> </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24.28</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lang w:eastAsia="zh-CN"/>
        </w:rPr>
        <w:t>；</w:t>
      </w:r>
    </w:p>
    <w:p>
      <w:pPr>
        <w:pageBreakBefore w:val="0"/>
        <w:kinsoku/>
        <w:overflowPunct/>
        <w:topLinePunct w:val="0"/>
        <w:bidi w:val="0"/>
        <w:spacing w:line="360" w:lineRule="auto"/>
        <w:ind w:firstLine="643" w:firstLineChars="200"/>
        <w:rPr>
          <w:rStyle w:val="15"/>
          <w:rFonts w:hint="eastAsia" w:ascii="仿宋" w:hAnsi="仿宋" w:eastAsia="仿宋"/>
          <w:b w:val="0"/>
          <w:bCs/>
          <w:color w:val="auto"/>
          <w:sz w:val="32"/>
          <w:szCs w:val="32"/>
          <w:lang w:eastAsia="zh-CN"/>
        </w:rPr>
      </w:pPr>
      <w:r>
        <w:rPr>
          <w:rStyle w:val="15"/>
          <w:rFonts w:hint="eastAsia" w:ascii="仿宋" w:hAnsi="仿宋" w:eastAsia="仿宋"/>
          <w:bCs/>
          <w:color w:val="auto"/>
          <w:sz w:val="32"/>
          <w:szCs w:val="32"/>
          <w:lang w:val="en-US" w:eastAsia="zh-CN"/>
        </w:rPr>
        <w:t>10</w:t>
      </w:r>
      <w:r>
        <w:rPr>
          <w:rStyle w:val="15"/>
          <w:rFonts w:ascii="仿宋" w:hAnsi="仿宋" w:eastAsia="仿宋"/>
          <w:bCs/>
          <w:color w:val="auto"/>
          <w:sz w:val="32"/>
          <w:szCs w:val="32"/>
        </w:rPr>
        <w:t>.</w:t>
      </w:r>
      <w:r>
        <w:rPr>
          <w:rStyle w:val="15"/>
          <w:rFonts w:hint="eastAsia" w:ascii="仿宋" w:hAnsi="仿宋" w:eastAsia="仿宋"/>
          <w:bCs/>
          <w:color w:val="auto"/>
          <w:sz w:val="32"/>
          <w:szCs w:val="32"/>
          <w:lang w:eastAsia="zh-CN"/>
        </w:rPr>
        <w:t>农林水支出</w:t>
      </w:r>
      <w:r>
        <w:rPr>
          <w:rStyle w:val="15"/>
          <w:rFonts w:hint="eastAsia" w:ascii="仿宋" w:hAnsi="仿宋" w:eastAsia="仿宋"/>
          <w:bCs/>
          <w:color w:val="auto"/>
          <w:sz w:val="32"/>
          <w:szCs w:val="32"/>
        </w:rPr>
        <w:t>（类）</w:t>
      </w:r>
      <w:r>
        <w:rPr>
          <w:rStyle w:val="15"/>
          <w:rFonts w:hint="eastAsia" w:ascii="仿宋" w:hAnsi="仿宋" w:eastAsia="仿宋"/>
          <w:bCs/>
          <w:color w:val="auto"/>
          <w:sz w:val="32"/>
          <w:szCs w:val="32"/>
          <w:lang w:eastAsia="zh-CN"/>
        </w:rPr>
        <w:t>扶贫</w:t>
      </w:r>
      <w:r>
        <w:rPr>
          <w:rStyle w:val="15"/>
          <w:rFonts w:hint="eastAsia" w:ascii="仿宋" w:hAnsi="仿宋" w:eastAsia="仿宋"/>
          <w:bCs/>
          <w:color w:val="auto"/>
          <w:sz w:val="32"/>
          <w:szCs w:val="32"/>
        </w:rPr>
        <w:t>（款</w:t>
      </w:r>
      <w:r>
        <w:rPr>
          <w:rStyle w:val="15"/>
          <w:rFonts w:hint="eastAsia" w:ascii="仿宋" w:hAnsi="仿宋" w:eastAsia="仿宋"/>
          <w:bCs/>
          <w:color w:val="auto"/>
          <w:sz w:val="32"/>
          <w:szCs w:val="32"/>
          <w:lang w:eastAsia="zh-CN"/>
        </w:rPr>
        <w:t>）其他扶贫</w:t>
      </w:r>
      <w:r>
        <w:rPr>
          <w:rStyle w:val="15"/>
          <w:rFonts w:hint="eastAsia" w:ascii="仿宋" w:hAnsi="仿宋" w:eastAsia="仿宋"/>
          <w:bCs/>
          <w:color w:val="auto"/>
          <w:sz w:val="32"/>
          <w:szCs w:val="32"/>
        </w:rPr>
        <w:t>（项）</w:t>
      </w:r>
      <w:r>
        <w:rPr>
          <w:rStyle w:val="15"/>
          <w:rFonts w:ascii="仿宋" w:hAnsi="仿宋" w:eastAsia="仿宋"/>
          <w:bCs/>
          <w:color w:val="auto"/>
          <w:sz w:val="32"/>
          <w:szCs w:val="32"/>
        </w:rPr>
        <w:t>:</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0.5</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，决算数等于预算数的主要是</w:t>
      </w:r>
      <w:r>
        <w:rPr>
          <w:rStyle w:val="15"/>
          <w:rFonts w:hint="eastAsia" w:ascii="仿宋" w:hAnsi="仿宋" w:eastAsia="仿宋"/>
          <w:b w:val="0"/>
          <w:bCs/>
          <w:color w:val="auto"/>
          <w:sz w:val="32"/>
          <w:szCs w:val="32"/>
          <w:lang w:eastAsia="zh-CN"/>
        </w:rPr>
        <w:t>按照经费支付要求全额完成扶贫业务经费使用任务；</w:t>
      </w:r>
    </w:p>
    <w:p>
      <w:pPr>
        <w:pageBreakBefore w:val="0"/>
        <w:numPr>
          <w:ilvl w:val="0"/>
          <w:numId w:val="3"/>
        </w:numPr>
        <w:kinsoku/>
        <w:overflowPunct/>
        <w:topLinePunct w:val="0"/>
        <w:bidi w:val="0"/>
        <w:spacing w:line="360" w:lineRule="auto"/>
        <w:ind w:left="0" w:leftChars="0" w:firstLine="643" w:firstLineChars="200"/>
        <w:rPr>
          <w:rFonts w:hint="eastAsia" w:ascii="仿宋" w:hAnsi="仿宋" w:eastAsia="仿宋"/>
          <w:b/>
          <w:color w:val="auto"/>
          <w:sz w:val="32"/>
          <w:szCs w:val="32"/>
          <w:lang w:eastAsia="zh-CN"/>
        </w:rPr>
      </w:pPr>
      <w:r>
        <w:rPr>
          <w:rStyle w:val="15"/>
          <w:rFonts w:hint="eastAsia" w:ascii="仿宋" w:hAnsi="仿宋" w:eastAsia="仿宋"/>
          <w:bCs/>
          <w:color w:val="auto"/>
          <w:sz w:val="32"/>
          <w:szCs w:val="32"/>
          <w:lang w:val="en-US" w:eastAsia="zh-CN"/>
        </w:rPr>
        <w:t>11</w:t>
      </w:r>
      <w:r>
        <w:rPr>
          <w:rStyle w:val="15"/>
          <w:rFonts w:ascii="仿宋" w:hAnsi="仿宋" w:eastAsia="仿宋"/>
          <w:bCs/>
          <w:color w:val="auto"/>
          <w:sz w:val="32"/>
          <w:szCs w:val="32"/>
        </w:rPr>
        <w:t>.</w:t>
      </w:r>
      <w:r>
        <w:rPr>
          <w:rStyle w:val="15"/>
          <w:rFonts w:hint="eastAsia" w:ascii="仿宋" w:hAnsi="仿宋" w:eastAsia="仿宋"/>
          <w:bCs/>
          <w:color w:val="auto"/>
          <w:sz w:val="32"/>
          <w:szCs w:val="32"/>
          <w:lang w:eastAsia="zh-CN"/>
        </w:rPr>
        <w:t>住房保障</w:t>
      </w:r>
      <w:r>
        <w:rPr>
          <w:rStyle w:val="15"/>
          <w:rFonts w:hint="eastAsia" w:ascii="仿宋" w:hAnsi="仿宋" w:eastAsia="仿宋"/>
          <w:bCs/>
          <w:color w:val="auto"/>
          <w:sz w:val="32"/>
          <w:szCs w:val="32"/>
        </w:rPr>
        <w:t>（类）</w:t>
      </w:r>
      <w:r>
        <w:rPr>
          <w:rStyle w:val="15"/>
          <w:rFonts w:hint="eastAsia" w:ascii="仿宋" w:hAnsi="仿宋" w:eastAsia="仿宋"/>
          <w:bCs/>
          <w:color w:val="auto"/>
          <w:sz w:val="32"/>
          <w:szCs w:val="32"/>
          <w:lang w:eastAsia="zh-CN"/>
        </w:rPr>
        <w:t>住房改革支出</w:t>
      </w:r>
      <w:r>
        <w:rPr>
          <w:rStyle w:val="15"/>
          <w:rFonts w:hint="eastAsia" w:ascii="仿宋" w:hAnsi="仿宋" w:eastAsia="仿宋"/>
          <w:bCs/>
          <w:color w:val="auto"/>
          <w:sz w:val="32"/>
          <w:szCs w:val="32"/>
        </w:rPr>
        <w:t>（款</w:t>
      </w:r>
      <w:r>
        <w:rPr>
          <w:rStyle w:val="15"/>
          <w:rFonts w:hint="eastAsia" w:ascii="仿宋" w:hAnsi="仿宋" w:eastAsia="仿宋"/>
          <w:bCs/>
          <w:color w:val="auto"/>
          <w:sz w:val="32"/>
          <w:szCs w:val="32"/>
          <w:lang w:eastAsia="zh-CN"/>
        </w:rPr>
        <w:t>）住房公积金</w:t>
      </w:r>
      <w:r>
        <w:rPr>
          <w:rStyle w:val="15"/>
          <w:rFonts w:hint="eastAsia" w:ascii="仿宋" w:hAnsi="仿宋" w:eastAsia="仿宋"/>
          <w:bCs/>
          <w:color w:val="auto"/>
          <w:sz w:val="32"/>
          <w:szCs w:val="32"/>
        </w:rPr>
        <w:t>（项）</w:t>
      </w:r>
      <w:r>
        <w:rPr>
          <w:rStyle w:val="15"/>
          <w:rFonts w:ascii="仿宋" w:hAnsi="仿宋" w:eastAsia="仿宋"/>
          <w:bCs/>
          <w:color w:val="auto"/>
          <w:sz w:val="32"/>
          <w:szCs w:val="32"/>
        </w:rPr>
        <w:t>:</w:t>
      </w:r>
      <w:r>
        <w:rPr>
          <w:rStyle w:val="15"/>
          <w:rFonts w:hint="eastAsia" w:ascii="仿宋" w:hAnsi="仿宋" w:eastAsia="仿宋"/>
          <w:b w:val="0"/>
          <w:bCs/>
          <w:color w:val="auto"/>
          <w:sz w:val="32"/>
          <w:szCs w:val="32"/>
        </w:rPr>
        <w:t>支出决算为</w:t>
      </w:r>
      <w:r>
        <w:rPr>
          <w:rStyle w:val="15"/>
          <w:rFonts w:hint="eastAsia" w:ascii="仿宋" w:hAnsi="仿宋" w:eastAsia="仿宋"/>
          <w:b w:val="0"/>
          <w:bCs/>
          <w:color w:val="auto"/>
          <w:sz w:val="32"/>
          <w:szCs w:val="32"/>
          <w:lang w:val="en-US" w:eastAsia="zh-CN"/>
        </w:rPr>
        <w:t>35.27</w:t>
      </w:r>
      <w:r>
        <w:rPr>
          <w:rStyle w:val="15"/>
          <w:rFonts w:hint="eastAsia" w:ascii="仿宋" w:hAnsi="仿宋" w:eastAsia="仿宋"/>
          <w:b w:val="0"/>
          <w:bCs/>
          <w:color w:val="auto"/>
          <w:sz w:val="32"/>
          <w:szCs w:val="32"/>
        </w:rPr>
        <w:t>万元，完成预算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Z01-1</w:t>
      </w:r>
      <w:r>
        <w:rPr>
          <w:rFonts w:hint="eastAsia" w:ascii="仿宋" w:hAnsi="仿宋" w:eastAsia="仿宋"/>
          <w:b/>
          <w:color w:val="FF0000"/>
          <w:sz w:val="32"/>
          <w:szCs w:val="32"/>
        </w:rPr>
        <w:t>表，罗列全部功能分类科目至项级。上述“预算”口径为</w:t>
      </w:r>
      <w:r>
        <w:rPr>
          <w:rFonts w:hint="eastAsia" w:ascii="仿宋" w:hAnsi="仿宋" w:eastAsia="仿宋"/>
          <w:b/>
          <w:color w:val="FF0000"/>
          <w:sz w:val="32"/>
          <w:szCs w:val="32"/>
          <w:highlight w:val="yellow"/>
        </w:rPr>
        <w:t>调整预算数</w:t>
      </w:r>
      <w:r>
        <w:rPr>
          <w:rFonts w:hint="eastAsia" w:ascii="仿宋" w:hAnsi="仿宋" w:eastAsia="仿宋"/>
          <w:b/>
          <w:color w:val="FF0000"/>
          <w:sz w:val="32"/>
          <w:szCs w:val="32"/>
        </w:rPr>
        <w:t>。增减变动原因为决算数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和调整预算数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比较，与预算数持平可以不写原因。）</w:t>
      </w:r>
    </w:p>
    <w:p>
      <w:pPr>
        <w:tabs>
          <w:tab w:val="right" w:pos="8306"/>
        </w:tabs>
        <w:spacing w:line="600" w:lineRule="exact"/>
        <w:ind w:firstLine="640"/>
        <w:outlineLvl w:val="1"/>
        <w:rPr>
          <w:rStyle w:val="27"/>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40"/>
      <w:bookmarkEnd w:id="41"/>
      <w:r>
        <w:rPr>
          <w:rStyle w:val="2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808.9</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658.87</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150.03</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7"/>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13.86</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，决算数与预算数持平的主要原因是</w:t>
      </w:r>
      <w:r>
        <w:rPr>
          <w:rFonts w:hint="eastAsia" w:ascii="仿宋" w:hAnsi="仿宋" w:eastAsia="仿宋"/>
          <w:color w:val="000000"/>
          <w:sz w:val="32"/>
          <w:szCs w:val="32"/>
          <w:lang w:eastAsia="zh-CN"/>
        </w:rPr>
        <w:t>全年按年初预算严格控制三公经费使用情况</w:t>
      </w:r>
      <w:r>
        <w:rPr>
          <w:rFonts w:hint="eastAsia" w:ascii="仿宋" w:hAnsi="仿宋" w:eastAsia="仿宋"/>
          <w:color w:val="000000"/>
          <w:sz w:val="32"/>
          <w:szCs w:val="32"/>
        </w:rPr>
        <w:t>。</w:t>
      </w:r>
    </w:p>
    <w:p>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（注：上述“预算”口径为调整预算数，包括政府性基金支出决算情况。）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11.93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86.08</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1.93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13.92</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0"/>
        <w:rPr>
          <w:rFonts w:hint="eastAsia" w:ascii="仿宋" w:hAnsi="仿宋" w:eastAsia="仿宋"/>
          <w:color w:val="000000"/>
          <w:sz w:val="32"/>
          <w:szCs w:val="32"/>
        </w:rPr>
      </w:pPr>
      <w:r>
        <w:drawing>
          <wp:anchor distT="0" distB="0" distL="114300" distR="114300" simplePos="0" relativeHeight="251661312" behindDoc="1" locked="0" layoutInCell="1" allowOverlap="1">
            <wp:simplePos x="0" y="0"/>
            <wp:positionH relativeFrom="column">
              <wp:posOffset>439420</wp:posOffset>
            </wp:positionH>
            <wp:positionV relativeFrom="paragraph">
              <wp:posOffset>271145</wp:posOffset>
            </wp:positionV>
            <wp:extent cx="4572000" cy="2743200"/>
            <wp:effectExtent l="4445" t="4445" r="14605" b="14605"/>
            <wp:wrapNone/>
            <wp:docPr id="1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11.93</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。主要原因</w:t>
      </w:r>
      <w:r>
        <w:rPr>
          <w:rFonts w:hint="eastAsia" w:ascii="仿宋" w:hAnsi="仿宋" w:eastAsia="仿宋"/>
          <w:color w:val="000000"/>
          <w:sz w:val="32"/>
          <w:szCs w:val="32"/>
        </w:rPr>
        <w:t>是</w:t>
      </w:r>
      <w:r>
        <w:rPr>
          <w:rFonts w:hint="eastAsia" w:ascii="仿宋" w:hAnsi="仿宋" w:eastAsia="仿宋"/>
          <w:color w:val="000000"/>
          <w:sz w:val="32"/>
          <w:szCs w:val="32"/>
          <w:lang w:eastAsia="zh-CN"/>
        </w:rPr>
        <w:t>全年按年初预算严格控制三公经费使用情况</w:t>
      </w:r>
      <w:r>
        <w:rPr>
          <w:rFonts w:hint="eastAsia" w:ascii="仿宋" w:hAnsi="仿宋" w:eastAsia="仿宋"/>
          <w:color w:val="000000"/>
          <w:sz w:val="32"/>
          <w:szCs w:val="32"/>
        </w:rPr>
        <w:t>。</w:t>
      </w:r>
    </w:p>
    <w:p>
      <w:p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 w:hAnsi="仿宋" w:eastAsia="仿宋"/>
          <w:color w:val="000000"/>
          <w:sz w:val="32"/>
          <w:szCs w:val="32"/>
          <w:lang w:val="en-US" w:eastAsia="zh-CN"/>
        </w:rPr>
        <w:t>11.93</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普法宣传</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1.93</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 w:hAnsi="仿宋" w:eastAsia="仿宋"/>
          <w:color w:val="000000"/>
          <w:sz w:val="32"/>
          <w:szCs w:val="32"/>
          <w:lang w:eastAsia="zh-CN"/>
        </w:rPr>
        <w:t>全年按年初预算严格控制三公经费使用情况</w:t>
      </w:r>
      <w:r>
        <w:rPr>
          <w:rFonts w:hint="eastAsia" w:ascii="仿宋_GB2312" w:eastAsia="仿宋_GB2312"/>
          <w:color w:val="000000"/>
          <w:sz w:val="32"/>
          <w:szCs w:val="32"/>
        </w:rPr>
        <w:t>其中：</w:t>
      </w:r>
    </w:p>
    <w:p>
      <w:pPr>
        <w:spacing w:line="600" w:lineRule="exact"/>
        <w:ind w:firstLine="640"/>
        <w:rPr>
          <w:rFonts w:hint="eastAsia" w:ascii="仿宋_GB2312" w:eastAsia="仿宋_GB2312"/>
          <w:color w:val="000000"/>
          <w:sz w:val="32"/>
          <w:szCs w:val="32"/>
          <w:lang w:eastAsia="zh-CN"/>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1.93</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eastAsia="仿宋_GB2312"/>
          <w:color w:val="000000"/>
          <w:sz w:val="32"/>
          <w:szCs w:val="32"/>
          <w:lang w:val="en-US" w:eastAsia="zh-CN"/>
        </w:rPr>
        <w:t>25</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251</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1.93</w:t>
      </w:r>
      <w:r>
        <w:rPr>
          <w:rFonts w:hint="eastAsia" w:ascii="仿宋_GB2312" w:eastAsia="仿宋_GB2312"/>
          <w:color w:val="000000"/>
          <w:sz w:val="32"/>
          <w:szCs w:val="32"/>
        </w:rPr>
        <w:t>万元，具体内容包括：接待</w:t>
      </w:r>
      <w:r>
        <w:rPr>
          <w:rFonts w:hint="eastAsia" w:ascii="仿宋_GB2312" w:eastAsia="仿宋_GB2312"/>
          <w:color w:val="000000"/>
          <w:sz w:val="32"/>
          <w:szCs w:val="32"/>
          <w:lang w:eastAsia="zh-CN"/>
        </w:rPr>
        <w:t>省、市级上级部门工作检查及交流；扶贫工作相关公务接待。</w:t>
      </w:r>
    </w:p>
    <w:p>
      <w:pPr>
        <w:spacing w:line="600" w:lineRule="exact"/>
        <w:ind w:firstLine="643" w:firstLineChars="200"/>
        <w:rPr>
          <w:rFonts w:hint="eastAsia" w:ascii="黑体" w:eastAsia="仿宋_GB2312"/>
          <w:color w:val="000000"/>
          <w:sz w:val="32"/>
          <w:szCs w:val="32"/>
          <w:lang w:eastAsia="zh-CN"/>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bookmarkStart w:id="46" w:name="_Toc15377218"/>
      <w:bookmarkStart w:id="47" w:name="_Toc15396610"/>
      <w:r>
        <w:rPr>
          <w:rFonts w:hint="eastAsia" w:ascii="仿宋_GB2312" w:eastAsia="仿宋_GB2312"/>
          <w:color w:val="000000" w:themeColor="text1"/>
          <w:sz w:val="32"/>
          <w:szCs w:val="32"/>
          <w:lang w:eastAsia="zh-CN"/>
          <w14:textFill>
            <w14:solidFill>
              <w14:schemeClr w14:val="tx1"/>
            </w14:solidFill>
          </w14:textFill>
        </w:rPr>
        <w:t>。</w:t>
      </w:r>
    </w:p>
    <w:p>
      <w:pPr>
        <w:spacing w:line="600" w:lineRule="exact"/>
        <w:ind w:firstLine="640"/>
        <w:outlineLvl w:val="1"/>
        <w:rPr>
          <w:rStyle w:val="27"/>
          <w:rFonts w:ascii="黑体" w:hAnsi="黑体" w:eastAsia="黑体"/>
        </w:rPr>
      </w:pPr>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4"/>
        </w:numPr>
        <w:spacing w:line="600" w:lineRule="exact"/>
        <w:ind w:firstLine="640"/>
        <w:outlineLvl w:val="1"/>
        <w:rPr>
          <w:rStyle w:val="27"/>
          <w:rFonts w:ascii="黑体" w:hAnsi="黑体" w:eastAsia="黑体"/>
          <w:b w:val="0"/>
        </w:rPr>
      </w:pPr>
      <w:bookmarkStart w:id="48" w:name="_Toc15377219"/>
      <w:bookmarkStart w:id="49" w:name="_Toc15396611"/>
      <w:r>
        <w:rPr>
          <w:rStyle w:val="27"/>
          <w:rFonts w:hint="eastAsia" w:ascii="黑体" w:hAnsi="黑体" w:eastAsia="黑体"/>
          <w:b w:val="0"/>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9年国有资本经营预算拨款支出万元。</w:t>
      </w:r>
    </w:p>
    <w:p>
      <w:pPr>
        <w:spacing w:line="600" w:lineRule="exact"/>
        <w:ind w:firstLine="800" w:firstLineChars="250"/>
        <w:outlineLvl w:val="1"/>
        <w:rPr>
          <w:rStyle w:val="27"/>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7"/>
          <w:rFonts w:hint="eastAsia" w:ascii="黑体" w:hAnsi="黑体" w:eastAsia="黑体"/>
        </w:rPr>
        <w:t>、</w:t>
      </w:r>
      <w:r>
        <w:rPr>
          <w:rStyle w:val="27"/>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司法局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150.03</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59.1</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39.39</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本年度机构改革与法制办合并，导致运行经费增加。</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司法局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641.34</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641.34</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办公业务用房采购及司法所办公装备购置</w:t>
      </w:r>
      <w:r>
        <w:rPr>
          <w:rFonts w:hint="eastAsia" w:ascii="仿宋_GB2312" w:eastAsia="仿宋_GB2312"/>
          <w:color w:val="000000"/>
          <w:sz w:val="32"/>
          <w:szCs w:val="32"/>
        </w:rPr>
        <w:t>。授予中小企业合同金额</w:t>
      </w:r>
      <w:r>
        <w:rPr>
          <w:rFonts w:hint="eastAsia" w:ascii="仿宋_GB2312" w:eastAsia="仿宋_GB2312"/>
          <w:color w:val="000000"/>
          <w:sz w:val="32"/>
          <w:szCs w:val="32"/>
          <w:lang w:val="en-US" w:eastAsia="zh-CN"/>
        </w:rPr>
        <w:t>641.34</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司法局</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其他用车主要是用于</w:t>
      </w:r>
      <w:r>
        <w:rPr>
          <w:rFonts w:hint="eastAsia" w:ascii="仿宋_GB2312" w:eastAsia="仿宋_GB2312"/>
          <w:color w:val="000000"/>
          <w:sz w:val="32"/>
          <w:szCs w:val="32"/>
        </w:rPr>
        <w:t>等所需的公务用车燃料费、维修费、过路过桥费、保险费等支出</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法制宣传、扫黑除恶</w:t>
      </w:r>
      <w:r>
        <w:rPr>
          <w:rFonts w:hint="eastAsia" w:ascii="仿宋_GB2312" w:hAnsi="仿宋_GB2312" w:eastAsia="仿宋_GB2312" w:cs="仿宋_GB2312"/>
          <w:sz w:val="32"/>
          <w:szCs w:val="32"/>
          <w:lang w:eastAsia="zh-CN"/>
        </w:rPr>
        <w:t>”、“法律援助</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、“基层司法业务</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本部门按要求对2019年部门整体支出开展绩效自评，本部门还自行组织了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个项目支出绩效评价，从评价情况来看</w:t>
      </w:r>
      <w:r>
        <w:rPr>
          <w:rFonts w:ascii="微软雅黑" w:hAnsi="微软雅黑" w:eastAsia="微软雅黑" w:cs="微软雅黑"/>
          <w:i w:val="0"/>
          <w:caps w:val="0"/>
          <w:color w:val="333333"/>
          <w:spacing w:val="0"/>
          <w:sz w:val="21"/>
          <w:szCs w:val="21"/>
          <w:shd w:val="clear" w:fill="FFFFFF"/>
        </w:rPr>
        <w:t> </w:t>
      </w:r>
      <w:r>
        <w:rPr>
          <w:rFonts w:hint="eastAsia" w:ascii="仿宋_GB2312" w:hAnsi="仿宋_GB2312" w:eastAsia="仿宋_GB2312" w:cs="仿宋_GB2312"/>
          <w:sz w:val="32"/>
          <w:szCs w:val="32"/>
        </w:rPr>
        <w:t>我局在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委、县政府的正确领导和上级业务主管部门具体指导下，深入贯彻落实党的十八大、十八届三中、四中、五中、六中全会和习近平总书记系列重要讲话精神，紧紧围绕</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政府的中心工作，充分发挥司法行政法律服务、法治宣传、法制保障的职能优势，全局上下坚持围绕中心、服务大局、扎实工作,为全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社会大局稳定、经济和社会发展作出了积极贡献。若未开展项目支出绩效评价，则说明未开展情况。本部门无专项预算项目，因此未组织开展项目支出绩效评价/本部门未组织开展项目支出绩效评价。</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本部门在2019年度部门决算中反映“法制宣传、扫黑除恶</w:t>
      </w:r>
      <w:r>
        <w:rPr>
          <w:rFonts w:hint="eastAsia" w:ascii="仿宋_GB2312" w:hAnsi="仿宋_GB2312" w:eastAsia="仿宋_GB2312" w:cs="仿宋_GB2312"/>
          <w:sz w:val="32"/>
          <w:szCs w:val="32"/>
          <w:lang w:eastAsia="zh-CN"/>
        </w:rPr>
        <w:t>”“法律援助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基层司法业务</w:t>
      </w:r>
      <w:r>
        <w:rPr>
          <w:rFonts w:hint="eastAsia" w:ascii="仿宋_GB2312" w:hAnsi="仿宋_GB2312" w:eastAsia="仿宋_GB2312" w:cs="仿宋_GB2312"/>
          <w:sz w:val="32"/>
          <w:szCs w:val="32"/>
        </w:rPr>
        <w:t>”“人民调解”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依法治区专项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法制宣传、扫黑除恶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项目绩效目标完成情况综述。</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法制宣传、扫黑除恶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%。通过项目实施，全面推进普法依法治理工作，提升全区社会治理法治化水平</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一是压力传导不到位；二是宣传倡导不够广泛；三是部门协作不够紧密</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宣传“全覆盖”将群众优势转化成扫黑除恶优势</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5"/>
              <w:pageBreakBefore w:val="0"/>
              <w:widowControl/>
              <w:kinsoku/>
              <w:overflowPunct/>
              <w:topLinePunct w:val="0"/>
              <w:bidi w:val="0"/>
              <w:spacing w:line="360" w:lineRule="auto"/>
              <w:ind w:left="0" w:leftChars="0" w:firstLine="0" w:firstLineChars="0"/>
              <w:jc w:val="center"/>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lang w:eastAsia="zh-CN"/>
              </w:rPr>
            </w:pPr>
            <w:r>
              <w:rPr>
                <w:rFonts w:hint="eastAsia" w:ascii="仿宋_GB2312" w:hAnsi="仿宋_GB2312" w:eastAsia="仿宋_GB2312" w:cs="仿宋_GB2312"/>
                <w:sz w:val="32"/>
                <w:szCs w:val="32"/>
              </w:rPr>
              <w:t>法制宣传、扫黑除恶</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利州区司法局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360" w:lineRule="auto"/>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66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360" w:lineRule="auto"/>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bidi w:val="0"/>
              <w:spacing w:line="360" w:lineRule="auto"/>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236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360" w:lineRule="auto"/>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eastAsia="zh-CN" w:bidi="ar"/>
              </w:rPr>
              <w:t>一、</w:t>
            </w:r>
            <w:r>
              <w:rPr>
                <w:rFonts w:hint="eastAsia" w:ascii="宋体" w:hAnsi="宋体" w:cs="宋体"/>
                <w:color w:val="000000"/>
                <w:kern w:val="0"/>
                <w:sz w:val="24"/>
                <w:lang w:val="en-US" w:eastAsia="zh-CN" w:bidi="ar"/>
              </w:rPr>
              <w:t>召开全区法治宣传教育工作相关会议4次</w:t>
            </w:r>
            <w:r>
              <w:rPr>
                <w:rFonts w:hint="eastAsia" w:ascii="宋体" w:hAnsi="宋体" w:cs="宋体"/>
                <w:color w:val="000000"/>
                <w:kern w:val="0"/>
                <w:sz w:val="24"/>
                <w:lang w:eastAsia="zh-CN" w:bidi="ar"/>
              </w:rPr>
              <w:t>二、</w:t>
            </w:r>
            <w:r>
              <w:rPr>
                <w:rFonts w:hint="eastAsia" w:ascii="宋体" w:hAnsi="宋体" w:cs="宋体"/>
                <w:color w:val="000000"/>
                <w:kern w:val="0"/>
                <w:sz w:val="24"/>
                <w:lang w:bidi="ar"/>
              </w:rPr>
              <w:t>开展宪法宣传、扫黑除恶等大型集中宣传活动4次，受教育人数达3万余人。</w:t>
            </w:r>
          </w:p>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eastAsia="zh-CN" w:bidi="ar"/>
              </w:rPr>
              <w:t>三、</w:t>
            </w:r>
            <w:r>
              <w:rPr>
                <w:rFonts w:hint="eastAsia" w:ascii="宋体" w:hAnsi="宋体" w:cs="宋体"/>
                <w:color w:val="000000"/>
                <w:kern w:val="0"/>
                <w:sz w:val="24"/>
                <w:lang w:val="en-US" w:eastAsia="zh-CN" w:bidi="ar"/>
              </w:rPr>
              <w:t>编印宪法宣传读本等普法资料3万余册</w:t>
            </w:r>
          </w:p>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四、开展省级法治示范区创建，新建法治文化阵地8个</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bidi="ar"/>
              </w:rPr>
            </w:pPr>
            <w:r>
              <w:rPr>
                <w:rFonts w:hint="eastAsia" w:ascii="仿宋_GB2312" w:hAnsi="宋体" w:eastAsia="仿宋_GB2312" w:cs="仿宋_GB2312"/>
                <w:kern w:val="0"/>
                <w:sz w:val="32"/>
                <w:szCs w:val="32"/>
              </w:rPr>
              <w:t>1</w:t>
            </w:r>
            <w:r>
              <w:rPr>
                <w:rFonts w:hint="eastAsia" w:ascii="宋体" w:hAnsi="宋体" w:cs="宋体"/>
                <w:color w:val="000000"/>
                <w:kern w:val="0"/>
                <w:sz w:val="24"/>
                <w:lang w:val="en-US" w:eastAsia="zh-CN" w:bidi="ar"/>
              </w:rPr>
              <w:t>、召开全区法治宣传教育工作相关会议10次2、</w:t>
            </w:r>
            <w:r>
              <w:rPr>
                <w:rFonts w:hint="eastAsia" w:ascii="宋体" w:hAnsi="宋体" w:cs="宋体"/>
                <w:color w:val="000000"/>
                <w:kern w:val="0"/>
                <w:sz w:val="24"/>
                <w:lang w:bidi="ar"/>
              </w:rPr>
              <w:t>开展宪法宣传、扫黑除恶等大型集中宣传活动</w:t>
            </w:r>
            <w:r>
              <w:rPr>
                <w:rFonts w:hint="eastAsia" w:ascii="宋体" w:hAnsi="宋体" w:cs="宋体"/>
                <w:color w:val="000000"/>
                <w:kern w:val="0"/>
                <w:sz w:val="24"/>
                <w:lang w:val="en-US" w:eastAsia="zh-CN" w:bidi="ar"/>
              </w:rPr>
              <w:t>10</w:t>
            </w:r>
            <w:r>
              <w:rPr>
                <w:rFonts w:hint="eastAsia" w:ascii="宋体" w:hAnsi="宋体" w:cs="宋体"/>
                <w:color w:val="000000"/>
                <w:kern w:val="0"/>
                <w:sz w:val="24"/>
                <w:lang w:bidi="ar"/>
              </w:rPr>
              <w:t>次，受教育人数达3万余人</w:t>
            </w:r>
          </w:p>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3、编印宪法宣传读本等普法资料3万余册</w:t>
            </w:r>
          </w:p>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4、经费保障落实良好</w:t>
            </w:r>
          </w:p>
          <w:p>
            <w:pPr>
              <w:pageBreakBefore w:val="0"/>
              <w:numPr>
                <w:ilvl w:val="0"/>
                <w:numId w:val="0"/>
              </w:numPr>
              <w:kinsoku/>
              <w:overflowPunct/>
              <w:topLinePunct w:val="0"/>
              <w:bidi w:val="0"/>
              <w:spacing w:line="360" w:lineRule="auto"/>
              <w:jc w:val="left"/>
              <w:rPr>
                <w:rFonts w:hint="eastAsia" w:ascii="仿宋_GB2312" w:hAnsi="微软雅黑" w:eastAsia="仿宋_GB2312"/>
                <w:color w:val="000000"/>
                <w:sz w:val="32"/>
                <w:szCs w:val="32"/>
                <w:lang w:val="en-US" w:eastAsia="zh-CN"/>
              </w:rPr>
            </w:pPr>
          </w:p>
          <w:p>
            <w:pPr>
              <w:pageBreakBefore w:val="0"/>
              <w:kinsoku/>
              <w:overflowPunct/>
              <w:topLinePunct w:val="0"/>
              <w:bidi w:val="0"/>
              <w:spacing w:line="360" w:lineRule="auto"/>
              <w:ind w:firstLine="640" w:firstLineChars="200"/>
              <w:rPr>
                <w:rFonts w:ascii="仿宋_GB2312" w:hAnsi="宋体" w:eastAsia="仿宋_GB2312" w:cs="仿宋_GB2312"/>
                <w:kern w:val="0"/>
                <w:sz w:val="32"/>
                <w:szCs w:val="32"/>
              </w:rPr>
            </w:pPr>
          </w:p>
          <w:p>
            <w:pPr>
              <w:pageBreakBefore w:val="0"/>
              <w:widowControl/>
              <w:kinsoku/>
              <w:overflowPunct/>
              <w:topLinePunct w:val="0"/>
              <w:bidi w:val="0"/>
              <w:spacing w:line="360" w:lineRule="auto"/>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487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360" w:lineRule="auto"/>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eastAsia="zh-CN" w:bidi="ar"/>
              </w:rPr>
              <w:t>一、</w:t>
            </w:r>
            <w:r>
              <w:rPr>
                <w:rFonts w:hint="eastAsia" w:ascii="宋体" w:hAnsi="宋体" w:cs="宋体"/>
                <w:color w:val="000000"/>
                <w:kern w:val="0"/>
                <w:sz w:val="24"/>
                <w:lang w:val="en-US" w:eastAsia="zh-CN" w:bidi="ar"/>
              </w:rPr>
              <w:t>召开全区法治宣传教育工作相关会议4次</w:t>
            </w:r>
            <w:r>
              <w:rPr>
                <w:rFonts w:hint="eastAsia" w:ascii="宋体" w:hAnsi="宋体" w:cs="宋体"/>
                <w:color w:val="000000"/>
                <w:kern w:val="0"/>
                <w:sz w:val="24"/>
                <w:lang w:eastAsia="zh-CN" w:bidi="ar"/>
              </w:rPr>
              <w:t>二、</w:t>
            </w:r>
            <w:r>
              <w:rPr>
                <w:rFonts w:hint="eastAsia" w:ascii="宋体" w:hAnsi="宋体" w:cs="宋体"/>
                <w:color w:val="000000"/>
                <w:kern w:val="0"/>
                <w:sz w:val="24"/>
                <w:lang w:bidi="ar"/>
              </w:rPr>
              <w:t>开展宪法宣传、扫黑除恶等大型集中宣传活动4次，受教育人数达3万余人。</w:t>
            </w:r>
          </w:p>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eastAsia="zh-CN" w:bidi="ar"/>
              </w:rPr>
              <w:t>三、</w:t>
            </w:r>
            <w:r>
              <w:rPr>
                <w:rFonts w:hint="eastAsia" w:ascii="宋体" w:hAnsi="宋体" w:cs="宋体"/>
                <w:color w:val="000000"/>
                <w:kern w:val="0"/>
                <w:sz w:val="24"/>
                <w:lang w:val="en-US" w:eastAsia="zh-CN" w:bidi="ar"/>
              </w:rPr>
              <w:t>编印宪法宣传读本等普法资料3万余册</w:t>
            </w:r>
          </w:p>
          <w:p>
            <w:pPr>
              <w:pageBreakBefore w:val="0"/>
              <w:widowControl/>
              <w:kinsoku/>
              <w:overflowPunct/>
              <w:topLinePunct w:val="0"/>
              <w:bidi w:val="0"/>
              <w:spacing w:line="360" w:lineRule="auto"/>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四、开展省级法治示范区创建，新建法治文化阵地8个</w:t>
            </w:r>
            <w:r>
              <w:rPr>
                <w:rFonts w:hint="eastAsia" w:ascii="宋体" w:hAnsi="宋体" w:cs="宋体"/>
                <w:color w:val="000000"/>
                <w:sz w:val="24"/>
                <w:lang w:val="en-US"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bidi="ar"/>
              </w:rPr>
            </w:pPr>
            <w:r>
              <w:rPr>
                <w:rFonts w:hint="eastAsia" w:ascii="仿宋_GB2312" w:hAnsi="宋体" w:eastAsia="仿宋_GB2312" w:cs="仿宋_GB2312"/>
                <w:kern w:val="0"/>
                <w:sz w:val="32"/>
                <w:szCs w:val="32"/>
              </w:rPr>
              <w:t>1</w:t>
            </w:r>
            <w:r>
              <w:rPr>
                <w:rFonts w:hint="eastAsia" w:ascii="宋体" w:hAnsi="宋体" w:cs="宋体"/>
                <w:color w:val="000000"/>
                <w:kern w:val="0"/>
                <w:sz w:val="24"/>
                <w:lang w:val="en-US" w:eastAsia="zh-CN" w:bidi="ar"/>
              </w:rPr>
              <w:t>、召开全区法治宣传教育工作相关会议10次2、</w:t>
            </w:r>
            <w:r>
              <w:rPr>
                <w:rFonts w:hint="eastAsia" w:ascii="宋体" w:hAnsi="宋体" w:cs="宋体"/>
                <w:color w:val="000000"/>
                <w:kern w:val="0"/>
                <w:sz w:val="24"/>
                <w:lang w:bidi="ar"/>
              </w:rPr>
              <w:t>开展宪法宣传、扫黑除恶等大型集中宣传活动</w:t>
            </w:r>
            <w:r>
              <w:rPr>
                <w:rFonts w:hint="eastAsia" w:ascii="宋体" w:hAnsi="宋体" w:cs="宋体"/>
                <w:color w:val="000000"/>
                <w:kern w:val="0"/>
                <w:sz w:val="24"/>
                <w:lang w:val="en-US" w:eastAsia="zh-CN" w:bidi="ar"/>
              </w:rPr>
              <w:t>10</w:t>
            </w:r>
            <w:r>
              <w:rPr>
                <w:rFonts w:hint="eastAsia" w:ascii="宋体" w:hAnsi="宋体" w:cs="宋体"/>
                <w:color w:val="000000"/>
                <w:kern w:val="0"/>
                <w:sz w:val="24"/>
                <w:lang w:bidi="ar"/>
              </w:rPr>
              <w:t>次，受教育人数达3万余人</w:t>
            </w:r>
          </w:p>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3、编印宪法宣传读本等普法资料3万余册</w:t>
            </w:r>
          </w:p>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4、经费保障落实良好</w:t>
            </w:r>
          </w:p>
          <w:p>
            <w:pPr>
              <w:pageBreakBefore w:val="0"/>
              <w:widowControl/>
              <w:kinsoku/>
              <w:overflowPunct/>
              <w:topLinePunct w:val="0"/>
              <w:bidi w:val="0"/>
              <w:spacing w:line="360" w:lineRule="auto"/>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48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360" w:lineRule="auto"/>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Arial" w:hAnsi="Arial" w:cs="Arial"/>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numPr>
                <w:ilvl w:val="0"/>
                <w:numId w:val="0"/>
              </w:numPr>
              <w:kinsoku/>
              <w:overflowPunct/>
              <w:topLinePunct w:val="0"/>
              <w:bidi w:val="0"/>
              <w:spacing w:line="360" w:lineRule="auto"/>
              <w:jc w:val="left"/>
              <w:textAlignment w:val="center"/>
              <w:rPr>
                <w:rFonts w:hint="eastAsia" w:ascii="宋体" w:hAnsi="宋体" w:cs="宋体"/>
                <w:color w:val="000000"/>
                <w:kern w:val="0"/>
                <w:sz w:val="24"/>
                <w:lang w:eastAsia="zh-CN" w:bidi="ar"/>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numPr>
                <w:ilvl w:val="0"/>
                <w:numId w:val="0"/>
              </w:numPr>
              <w:kinsoku/>
              <w:overflowPunct/>
              <w:topLinePunct w:val="0"/>
              <w:bidi w:val="0"/>
              <w:spacing w:line="360" w:lineRule="auto"/>
              <w:jc w:val="left"/>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广泛宣传提升群众只晓度</w:t>
            </w:r>
          </w:p>
          <w:p>
            <w:pPr>
              <w:pageBreakBefore w:val="0"/>
              <w:widowControl/>
              <w:numPr>
                <w:ilvl w:val="0"/>
                <w:numId w:val="0"/>
              </w:numPr>
              <w:kinsoku/>
              <w:overflowPunct/>
              <w:topLinePunct w:val="0"/>
              <w:bidi w:val="0"/>
              <w:spacing w:line="360" w:lineRule="auto"/>
              <w:jc w:val="left"/>
              <w:textAlignment w:val="center"/>
              <w:rPr>
                <w:rFonts w:hint="eastAsia" w:ascii="宋体" w:hAnsi="宋体" w:cs="宋体"/>
                <w:color w:val="000000"/>
                <w:kern w:val="0"/>
                <w:sz w:val="24"/>
                <w:lang w:eastAsia="zh-CN" w:bidi="ar"/>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80" w:lineRule="exact"/>
              <w:rPr>
                <w:rFonts w:hint="eastAsia" w:ascii="仿宋_GB2312" w:hAnsi="仿宋_GB2312" w:eastAsia="仿宋_GB2312" w:cs="仿宋_GB2312"/>
                <w:sz w:val="32"/>
                <w:szCs w:val="32"/>
                <w:lang w:eastAsia="zh-CN"/>
              </w:rPr>
            </w:pPr>
            <w:r>
              <w:rPr>
                <w:rFonts w:hint="eastAsia" w:ascii="宋体" w:hAnsi="宋体" w:cs="宋体"/>
                <w:color w:val="000000"/>
                <w:kern w:val="0"/>
                <w:sz w:val="24"/>
                <w:lang w:eastAsia="zh-CN" w:bidi="ar"/>
              </w:rPr>
              <w:t>一是压力传导不到位；二是宣传倡导不够广泛；三是部门协作不够紧密。下一步改进措施：宣传“全覆盖”将群众优势转化成扫黑除恶优势</w:t>
            </w:r>
          </w:p>
          <w:p>
            <w:pPr>
              <w:pageBreakBefore w:val="0"/>
              <w:widowControl/>
              <w:kinsoku/>
              <w:overflowPunct/>
              <w:topLinePunct w:val="0"/>
              <w:bidi w:val="0"/>
              <w:spacing w:line="360" w:lineRule="auto"/>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360" w:lineRule="auto"/>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Arial" w:hAnsi="Arial" w:cs="Arial"/>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numPr>
                <w:ilvl w:val="0"/>
                <w:numId w:val="0"/>
              </w:numPr>
              <w:kinsoku/>
              <w:overflowPunct/>
              <w:topLinePunct w:val="0"/>
              <w:bidi w:val="0"/>
              <w:spacing w:line="360" w:lineRule="auto"/>
              <w:jc w:val="left"/>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按时完成</w:t>
            </w:r>
          </w:p>
          <w:p>
            <w:pPr>
              <w:pageBreakBefore w:val="0"/>
              <w:widowControl/>
              <w:kinsoku/>
              <w:overflowPunct/>
              <w:topLinePunct w:val="0"/>
              <w:bidi w:val="0"/>
              <w:spacing w:line="360" w:lineRule="auto"/>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2019年12月31日</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360" w:lineRule="auto"/>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Arial" w:hAnsi="Arial" w:cs="Arial"/>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全年预算数</w:t>
            </w:r>
            <w:r>
              <w:rPr>
                <w:rFonts w:hint="eastAsia" w:ascii="宋体" w:hAnsi="宋体" w:cs="宋体"/>
                <w:color w:val="000000"/>
                <w:sz w:val="24"/>
                <w:lang w:val="en-US" w:eastAsia="zh-CN"/>
              </w:rPr>
              <w:t>15万元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扫黑除恶资金完全合理化使用并发挥到到做大效能</w:t>
            </w:r>
          </w:p>
        </w:tc>
      </w:tr>
      <w:tr>
        <w:tblPrEx>
          <w:tblCellMar>
            <w:top w:w="0" w:type="dxa"/>
            <w:left w:w="0" w:type="dxa"/>
            <w:bottom w:w="0" w:type="dxa"/>
            <w:right w:w="0" w:type="dxa"/>
          </w:tblCellMar>
        </w:tblPrEx>
        <w:trPr>
          <w:trHeight w:val="1297" w:hRule="atLeast"/>
        </w:trPr>
        <w:tc>
          <w:tcPr>
            <w:tcW w:w="390" w:type="dxa"/>
            <w:vMerge w:val="continue"/>
            <w:tcBorders>
              <w:left w:val="single" w:color="000000" w:sz="4" w:space="0"/>
              <w:right w:val="single" w:color="000000" w:sz="4" w:space="0"/>
            </w:tcBorders>
            <w:vAlign w:val="center"/>
          </w:tcPr>
          <w:p>
            <w:pPr>
              <w:pageBreakBefore w:val="0"/>
              <w:widowControl/>
              <w:kinsoku/>
              <w:overflowPunct/>
              <w:topLinePunct w:val="0"/>
              <w:bidi w:val="0"/>
              <w:spacing w:line="360" w:lineRule="auto"/>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群众满意度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99%以上</w:t>
            </w:r>
          </w:p>
        </w:tc>
      </w:tr>
    </w:tbl>
    <w:p>
      <w:pPr>
        <w:spacing w:line="580" w:lineRule="exact"/>
        <w:ind w:firstLine="640" w:firstLineChars="200"/>
        <w:rPr>
          <w:rFonts w:hint="eastAsia" w:ascii="仿宋_GB2312" w:hAnsi="仿宋_GB2312" w:eastAsia="仿宋_GB2312" w:cs="仿宋_GB2312"/>
          <w:sz w:val="32"/>
          <w:szCs w:val="32"/>
          <w:lang w:eastAsia="zh-CN"/>
        </w:rPr>
      </w:pP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法律援助</w:t>
      </w:r>
      <w:r>
        <w:rPr>
          <w:rFonts w:hint="eastAsia" w:ascii="仿宋_GB2312" w:hAnsi="仿宋_GB2312" w:eastAsia="仿宋_GB2312" w:cs="仿宋_GB2312"/>
          <w:sz w:val="32"/>
          <w:szCs w:val="32"/>
        </w:rPr>
        <w:t>项目绩效目标完成情况综述</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法律援助</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21.5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14.89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69.25</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保护</w:t>
      </w:r>
      <w:r>
        <w:rPr>
          <w:rFonts w:hint="eastAsia" w:ascii="仿宋_GB2312" w:hAnsi="仿宋_GB2312" w:eastAsia="仿宋_GB2312" w:cs="仿宋_GB2312"/>
          <w:sz w:val="32"/>
          <w:szCs w:val="32"/>
        </w:rPr>
        <w:t>弱势群体</w:t>
      </w:r>
      <w:r>
        <w:rPr>
          <w:rFonts w:hint="eastAsia" w:ascii="仿宋_GB2312" w:hAnsi="仿宋_GB2312" w:eastAsia="仿宋_GB2312" w:cs="仿宋_GB2312"/>
          <w:sz w:val="32"/>
          <w:szCs w:val="32"/>
          <w:lang w:eastAsia="zh-CN"/>
        </w:rPr>
        <w:t>切身利益和权益，</w:t>
      </w:r>
      <w:r>
        <w:rPr>
          <w:rFonts w:hint="eastAsia" w:ascii="仿宋_GB2312" w:hAnsi="仿宋_GB2312" w:eastAsia="仿宋_GB2312" w:cs="仿宋_GB2312"/>
          <w:sz w:val="32"/>
          <w:szCs w:val="32"/>
        </w:rPr>
        <w:t>实现基本权利，维护社会和谐稳定</w:t>
      </w:r>
      <w:r>
        <w:rPr>
          <w:rFonts w:hint="eastAsia" w:ascii="仿宋_GB2312" w:hAnsi="仿宋_GB2312" w:eastAsia="仿宋_GB2312" w:cs="仿宋_GB2312"/>
          <w:sz w:val="32"/>
          <w:szCs w:val="32"/>
          <w:lang w:eastAsia="zh-CN"/>
        </w:rPr>
        <w:t>；完成法律援助案件150件，法律咨询1600人次，法律援助案件结案数</w:t>
      </w:r>
      <w:r>
        <w:rPr>
          <w:rFonts w:hint="eastAsia" w:ascii="仿宋_GB2312" w:hAnsi="仿宋_GB2312" w:eastAsia="仿宋_GB2312" w:cs="仿宋_GB2312"/>
          <w:sz w:val="32"/>
          <w:szCs w:val="32"/>
          <w:lang w:val="en-US" w:eastAsia="zh-CN"/>
        </w:rPr>
        <w:t>10例。</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一是法律援助的覆盖面还不够大；二是有众多的法律援助需求者，特别随着法律援助制度的实施和普法宣传的深入，广大群众尤其是社会特殊群体的法律意识不断增强，法律援助的需求量越来越大</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如下：一是进一步加大法律援助工作的宣传力度，不但要向人民群众宣传，还要向领导干部宣传，让他们真正意识到法律援助工作是依法治国不可或缺的事业，是实践科学发展观的必然要求；二是提高办案质量方面。应建立资深律师优先办案制度，根据律师专业优势，建立资深律师名录，根据案件分类，优先指派相关专业的资深律师承办；三是民事援助与法院司法救助的衔接应由司法行政机关与法院联合出台具体规定，就司法救助转法律援助、法律援助转司法救助程序、公函样式和负责部门作出具体规定。</w:t>
      </w:r>
    </w:p>
    <w:p>
      <w:pPr>
        <w:spacing w:line="580" w:lineRule="exact"/>
        <w:ind w:firstLine="640" w:firstLineChars="200"/>
        <w:rPr>
          <w:rFonts w:hint="eastAsia" w:ascii="仿宋_GB2312" w:hAnsi="仿宋_GB2312" w:eastAsia="仿宋_GB2312" w:cs="仿宋_GB2312"/>
          <w:sz w:val="32"/>
          <w:szCs w:val="32"/>
          <w:lang w:eastAsia="zh-CN"/>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5"/>
              <w:pageBreakBefore w:val="0"/>
              <w:widowControl/>
              <w:kinsoku/>
              <w:overflowPunct/>
              <w:topLinePunct w:val="0"/>
              <w:bidi w:val="0"/>
              <w:spacing w:line="360" w:lineRule="auto"/>
              <w:ind w:left="0" w:leftChars="0" w:firstLine="0" w:firstLineChars="0"/>
              <w:jc w:val="center"/>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法律援助</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利州区司法局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21.5万元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14.89万元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360" w:lineRule="auto"/>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6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360" w:lineRule="auto"/>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bidi w:val="0"/>
              <w:spacing w:line="360" w:lineRule="auto"/>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236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360" w:lineRule="auto"/>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eastAsia="zh-CN" w:bidi="ar"/>
              </w:rPr>
              <w:t>一、</w:t>
            </w:r>
            <w:r>
              <w:rPr>
                <w:rFonts w:hint="eastAsia" w:ascii="宋体" w:hAnsi="宋体" w:cs="宋体"/>
                <w:color w:val="000000"/>
                <w:kern w:val="0"/>
                <w:sz w:val="24"/>
                <w:lang w:val="en-US" w:eastAsia="zh-CN" w:bidi="ar"/>
              </w:rPr>
              <w:t>深化“尊法学法守法用法”主题法治宣传实践活动</w:t>
            </w:r>
          </w:p>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eastAsia="zh-CN" w:bidi="ar"/>
              </w:rPr>
              <w:t>二、</w:t>
            </w:r>
            <w:r>
              <w:rPr>
                <w:rFonts w:hint="eastAsia" w:ascii="宋体" w:hAnsi="宋体" w:cs="宋体"/>
                <w:color w:val="000000"/>
                <w:kern w:val="0"/>
                <w:sz w:val="24"/>
                <w:lang w:bidi="ar"/>
              </w:rPr>
              <w:t>是优化法律援助服务内容，实现“应援尽援”。</w:t>
            </w:r>
          </w:p>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eastAsia="zh-CN" w:bidi="ar"/>
              </w:rPr>
              <w:t>三、</w:t>
            </w:r>
            <w:r>
              <w:rPr>
                <w:rFonts w:hint="eastAsia" w:ascii="宋体" w:hAnsi="宋体" w:cs="宋体"/>
                <w:color w:val="000000"/>
                <w:kern w:val="0"/>
                <w:sz w:val="24"/>
                <w:lang w:val="en-US" w:eastAsia="zh-CN" w:bidi="ar"/>
              </w:rPr>
              <w:t xml:space="preserve">在全区深入开展“尊崇宪法、学习宪法、遵守宪法、维护 </w:t>
            </w:r>
          </w:p>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宪法、运用宪法”宣传教育活动。</w:t>
            </w:r>
          </w:p>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四、其他法律援助相关工作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val="en-US" w:eastAsia="zh-CN" w:bidi="ar"/>
              </w:rPr>
            </w:pPr>
            <w:r>
              <w:rPr>
                <w:rFonts w:hint="eastAsia" w:ascii="仿宋_GB2312" w:hAnsi="宋体" w:eastAsia="仿宋_GB2312" w:cs="仿宋_GB2312"/>
                <w:kern w:val="0"/>
                <w:sz w:val="32"/>
                <w:szCs w:val="32"/>
              </w:rPr>
              <w:t>1</w:t>
            </w:r>
            <w:r>
              <w:rPr>
                <w:rFonts w:hint="eastAsia" w:ascii="宋体" w:hAnsi="宋体" w:cs="宋体"/>
                <w:color w:val="000000"/>
                <w:kern w:val="0"/>
                <w:sz w:val="24"/>
                <w:lang w:val="en-US" w:eastAsia="zh-CN" w:bidi="ar"/>
              </w:rPr>
              <w:t>、全面推进公共法律服务体系</w:t>
            </w:r>
          </w:p>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2、建设实施贫困村法律援助全覆盖工程</w:t>
            </w:r>
          </w:p>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3、全面提升办公智能化</w:t>
            </w:r>
          </w:p>
          <w:p>
            <w:pPr>
              <w:pageBreakBefore w:val="0"/>
              <w:widowControl/>
              <w:kinsoku/>
              <w:overflowPunct/>
              <w:topLinePunct w:val="0"/>
              <w:bidi w:val="0"/>
              <w:spacing w:line="360" w:lineRule="auto"/>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4、经费保障落实良好</w:t>
            </w:r>
          </w:p>
          <w:p>
            <w:pPr>
              <w:pageBreakBefore w:val="0"/>
              <w:numPr>
                <w:ilvl w:val="0"/>
                <w:numId w:val="0"/>
              </w:numPr>
              <w:kinsoku/>
              <w:overflowPunct/>
              <w:topLinePunct w:val="0"/>
              <w:bidi w:val="0"/>
              <w:spacing w:line="360" w:lineRule="auto"/>
              <w:jc w:val="left"/>
              <w:rPr>
                <w:rFonts w:hint="eastAsia" w:ascii="仿宋_GB2312" w:hAnsi="微软雅黑" w:eastAsia="仿宋_GB2312"/>
                <w:color w:val="000000"/>
                <w:sz w:val="32"/>
                <w:szCs w:val="32"/>
                <w:lang w:val="en-US" w:eastAsia="zh-CN"/>
              </w:rPr>
            </w:pPr>
          </w:p>
          <w:p>
            <w:pPr>
              <w:pageBreakBefore w:val="0"/>
              <w:kinsoku/>
              <w:overflowPunct/>
              <w:topLinePunct w:val="0"/>
              <w:bidi w:val="0"/>
              <w:spacing w:line="360" w:lineRule="auto"/>
              <w:ind w:firstLine="640" w:firstLineChars="200"/>
              <w:rPr>
                <w:rFonts w:ascii="仿宋_GB2312" w:hAnsi="宋体" w:eastAsia="仿宋_GB2312" w:cs="仿宋_GB2312"/>
                <w:kern w:val="0"/>
                <w:sz w:val="32"/>
                <w:szCs w:val="32"/>
              </w:rPr>
            </w:pPr>
          </w:p>
          <w:p>
            <w:pPr>
              <w:pageBreakBefore w:val="0"/>
              <w:widowControl/>
              <w:kinsoku/>
              <w:overflowPunct/>
              <w:topLinePunct w:val="0"/>
              <w:bidi w:val="0"/>
              <w:spacing w:line="360" w:lineRule="auto"/>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487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360" w:lineRule="auto"/>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本年度计划法律援助</w:t>
            </w:r>
            <w:r>
              <w:rPr>
                <w:rFonts w:hint="eastAsia" w:ascii="宋体" w:hAnsi="宋体" w:cs="宋体"/>
                <w:color w:val="000000"/>
                <w:sz w:val="24"/>
                <w:lang w:val="en-US" w:eastAsia="zh-CN"/>
              </w:rPr>
              <w:t>1600人次，受理法律案件150件，办理其他法律援助事项1300件.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为受援人群提供法律援助</w:t>
            </w:r>
            <w:r>
              <w:rPr>
                <w:rFonts w:hint="eastAsia" w:ascii="宋体" w:hAnsi="宋体" w:cs="宋体"/>
                <w:color w:val="000000"/>
                <w:kern w:val="0"/>
                <w:sz w:val="24"/>
                <w:lang w:val="en-US" w:eastAsia="zh-CN" w:bidi="ar"/>
              </w:rPr>
              <w:t>1789</w:t>
            </w:r>
            <w:r>
              <w:rPr>
                <w:rFonts w:hint="eastAsia" w:ascii="宋体" w:hAnsi="宋体" w:cs="宋体"/>
                <w:color w:val="000000"/>
                <w:kern w:val="0"/>
                <w:sz w:val="24"/>
                <w:lang w:bidi="ar"/>
              </w:rPr>
              <w:t>人次，完成全年目标任务1600人次的1</w:t>
            </w:r>
            <w:r>
              <w:rPr>
                <w:rFonts w:hint="eastAsia" w:ascii="宋体" w:hAnsi="宋体" w:cs="宋体"/>
                <w:color w:val="000000"/>
                <w:kern w:val="0"/>
                <w:sz w:val="24"/>
                <w:lang w:val="en-US" w:eastAsia="zh-CN" w:bidi="ar"/>
              </w:rPr>
              <w:t>10</w:t>
            </w:r>
            <w:r>
              <w:rPr>
                <w:rFonts w:hint="eastAsia" w:ascii="宋体" w:hAnsi="宋体" w:cs="宋体"/>
                <w:color w:val="000000"/>
                <w:kern w:val="0"/>
                <w:sz w:val="24"/>
                <w:lang w:bidi="ar"/>
              </w:rPr>
              <w:t>%；受理法律援助案件</w:t>
            </w:r>
            <w:r>
              <w:rPr>
                <w:rFonts w:hint="eastAsia" w:ascii="宋体" w:hAnsi="宋体" w:cs="宋体"/>
                <w:color w:val="000000"/>
                <w:kern w:val="0"/>
                <w:sz w:val="24"/>
                <w:lang w:val="en-US" w:eastAsia="zh-CN" w:bidi="ar"/>
              </w:rPr>
              <w:t>189</w:t>
            </w:r>
            <w:r>
              <w:rPr>
                <w:rFonts w:hint="eastAsia" w:ascii="宋体" w:hAnsi="宋体" w:cs="宋体"/>
                <w:color w:val="000000"/>
                <w:kern w:val="0"/>
                <w:sz w:val="24"/>
                <w:lang w:bidi="ar"/>
              </w:rPr>
              <w:t>件，其中，民事案件</w:t>
            </w:r>
            <w:r>
              <w:rPr>
                <w:rFonts w:hint="eastAsia" w:ascii="宋体" w:hAnsi="宋体" w:cs="宋体"/>
                <w:color w:val="000000"/>
                <w:kern w:val="0"/>
                <w:sz w:val="24"/>
                <w:lang w:val="en-US" w:eastAsia="zh-CN" w:bidi="ar"/>
              </w:rPr>
              <w:t>59</w:t>
            </w:r>
            <w:r>
              <w:rPr>
                <w:rFonts w:hint="eastAsia" w:ascii="宋体" w:hAnsi="宋体" w:cs="宋体"/>
                <w:color w:val="000000"/>
                <w:kern w:val="0"/>
                <w:sz w:val="24"/>
                <w:lang w:bidi="ar"/>
              </w:rPr>
              <w:t>件，刑事案件</w:t>
            </w:r>
            <w:r>
              <w:rPr>
                <w:rFonts w:hint="eastAsia" w:ascii="宋体" w:hAnsi="宋体" w:cs="宋体"/>
                <w:color w:val="000000"/>
                <w:kern w:val="0"/>
                <w:sz w:val="24"/>
                <w:lang w:val="en-US" w:eastAsia="zh-CN" w:bidi="ar"/>
              </w:rPr>
              <w:t>121</w:t>
            </w:r>
            <w:r>
              <w:rPr>
                <w:rFonts w:hint="eastAsia" w:ascii="宋体" w:hAnsi="宋体" w:cs="宋体"/>
                <w:color w:val="000000"/>
                <w:kern w:val="0"/>
                <w:sz w:val="24"/>
                <w:lang w:bidi="ar"/>
              </w:rPr>
              <w:t>件，公证案件9件</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已办结</w:t>
            </w:r>
            <w:r>
              <w:rPr>
                <w:rFonts w:hint="eastAsia" w:ascii="宋体" w:hAnsi="宋体" w:cs="宋体"/>
                <w:color w:val="000000"/>
                <w:kern w:val="0"/>
                <w:sz w:val="24"/>
                <w:lang w:val="en-US" w:eastAsia="zh-CN" w:bidi="ar"/>
              </w:rPr>
              <w:t>106</w:t>
            </w:r>
            <w:r>
              <w:rPr>
                <w:rFonts w:hint="eastAsia" w:ascii="宋体" w:hAnsi="宋体" w:cs="宋体"/>
                <w:color w:val="000000"/>
                <w:kern w:val="0"/>
                <w:sz w:val="24"/>
                <w:lang w:bidi="ar"/>
              </w:rPr>
              <w:t>件，完成全年目标任务</w:t>
            </w:r>
            <w:r>
              <w:rPr>
                <w:rFonts w:hint="eastAsia" w:ascii="宋体" w:hAnsi="宋体" w:cs="宋体"/>
                <w:color w:val="000000"/>
                <w:kern w:val="0"/>
                <w:sz w:val="24"/>
                <w:lang w:val="en-US" w:eastAsia="zh-CN" w:bidi="ar"/>
              </w:rPr>
              <w:t>110</w:t>
            </w:r>
            <w:r>
              <w:rPr>
                <w:rFonts w:hint="eastAsia" w:ascii="宋体" w:hAnsi="宋体" w:cs="宋体"/>
                <w:color w:val="000000"/>
                <w:kern w:val="0"/>
                <w:sz w:val="24"/>
                <w:lang w:bidi="ar"/>
              </w:rPr>
              <w:t>件的</w:t>
            </w:r>
            <w:r>
              <w:rPr>
                <w:rFonts w:hint="eastAsia" w:ascii="宋体" w:hAnsi="宋体" w:cs="宋体"/>
                <w:color w:val="000000"/>
                <w:kern w:val="0"/>
                <w:sz w:val="24"/>
                <w:lang w:val="en-US" w:eastAsia="zh-CN" w:bidi="ar"/>
              </w:rPr>
              <w:t>95</w:t>
            </w:r>
            <w:r>
              <w:rPr>
                <w:rFonts w:hint="eastAsia" w:ascii="宋体" w:hAnsi="宋体" w:cs="宋体"/>
                <w:color w:val="000000"/>
                <w:kern w:val="0"/>
                <w:sz w:val="24"/>
                <w:lang w:bidi="ar"/>
              </w:rPr>
              <w:t>%；办理其他法律援助事项14</w:t>
            </w:r>
            <w:r>
              <w:rPr>
                <w:rFonts w:hint="eastAsia" w:ascii="宋体" w:hAnsi="宋体" w:cs="宋体"/>
                <w:color w:val="000000"/>
                <w:kern w:val="0"/>
                <w:sz w:val="24"/>
                <w:lang w:val="en-US" w:eastAsia="zh-CN" w:bidi="ar"/>
              </w:rPr>
              <w:t>11</w:t>
            </w:r>
            <w:r>
              <w:rPr>
                <w:rFonts w:hint="eastAsia" w:ascii="宋体" w:hAnsi="宋体" w:cs="宋体"/>
                <w:color w:val="000000"/>
                <w:kern w:val="0"/>
                <w:sz w:val="24"/>
                <w:lang w:bidi="ar"/>
              </w:rPr>
              <w:t>件，完成全年目标任务1300件的</w:t>
            </w:r>
            <w:r>
              <w:rPr>
                <w:rFonts w:hint="eastAsia" w:ascii="宋体" w:hAnsi="宋体" w:cs="宋体"/>
                <w:color w:val="000000"/>
                <w:kern w:val="0"/>
                <w:sz w:val="24"/>
                <w:lang w:val="en-US" w:eastAsia="zh-CN" w:bidi="ar"/>
              </w:rPr>
              <w:t>108</w:t>
            </w:r>
            <w:r>
              <w:rPr>
                <w:rFonts w:hint="eastAsia" w:ascii="宋体" w:hAnsi="宋体" w:cs="宋体"/>
                <w:color w:val="000000"/>
                <w:kern w:val="0"/>
                <w:sz w:val="24"/>
                <w:lang w:bidi="ar"/>
              </w:rPr>
              <w:t>%；现已建成法律援助接待受理大厅。</w:t>
            </w:r>
          </w:p>
          <w:p>
            <w:pPr>
              <w:pageBreakBefore w:val="0"/>
              <w:widowControl/>
              <w:kinsoku/>
              <w:overflowPunct/>
              <w:topLinePunct w:val="0"/>
              <w:bidi w:val="0"/>
              <w:spacing w:line="360" w:lineRule="auto"/>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40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360" w:lineRule="auto"/>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Arial" w:hAnsi="Arial" w:cs="Arial"/>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numPr>
                <w:ilvl w:val="0"/>
                <w:numId w:val="0"/>
              </w:numPr>
              <w:kinsoku/>
              <w:overflowPunct/>
              <w:topLinePunct w:val="0"/>
              <w:bidi w:val="0"/>
              <w:spacing w:line="360" w:lineRule="auto"/>
              <w:jc w:val="left"/>
              <w:textAlignment w:val="center"/>
              <w:rPr>
                <w:rFonts w:hint="eastAsia" w:ascii="宋体" w:hAnsi="宋体" w:cs="宋体"/>
                <w:color w:val="000000"/>
                <w:kern w:val="0"/>
                <w:sz w:val="24"/>
                <w:lang w:eastAsia="zh-CN" w:bidi="ar"/>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numPr>
                <w:ilvl w:val="0"/>
                <w:numId w:val="5"/>
              </w:numPr>
              <w:kinsoku/>
              <w:overflowPunct/>
              <w:topLinePunct w:val="0"/>
              <w:bidi w:val="0"/>
              <w:spacing w:line="360" w:lineRule="auto"/>
              <w:jc w:val="left"/>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全面推进公共法律服务体系建设实施贫困村法律援助全覆盖工程</w:t>
            </w:r>
          </w:p>
          <w:p>
            <w:pPr>
              <w:pageBreakBefore w:val="0"/>
              <w:widowControl/>
              <w:numPr>
                <w:ilvl w:val="0"/>
                <w:numId w:val="5"/>
              </w:numPr>
              <w:kinsoku/>
              <w:overflowPunct/>
              <w:topLinePunct w:val="0"/>
              <w:bidi w:val="0"/>
              <w:spacing w:line="360" w:lineRule="auto"/>
              <w:jc w:val="left"/>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加强法律援助规范化建设</w:t>
            </w:r>
          </w:p>
          <w:p>
            <w:pPr>
              <w:pageBreakBefore w:val="0"/>
              <w:widowControl/>
              <w:numPr>
                <w:ilvl w:val="0"/>
                <w:numId w:val="0"/>
              </w:numPr>
              <w:kinsoku/>
              <w:overflowPunct/>
              <w:topLinePunct w:val="0"/>
              <w:bidi w:val="0"/>
              <w:spacing w:line="360" w:lineRule="auto"/>
              <w:jc w:val="left"/>
              <w:textAlignment w:val="center"/>
              <w:rPr>
                <w:rFonts w:hint="eastAsia" w:ascii="宋体" w:hAnsi="宋体" w:cs="宋体"/>
                <w:color w:val="000000"/>
                <w:kern w:val="0"/>
                <w:sz w:val="24"/>
                <w:lang w:eastAsia="zh-CN" w:bidi="ar"/>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eastAsia="zh-CN" w:bidi="ar"/>
              </w:rPr>
              <w:t>一、严把受援对象资格审查关，对确实缺乏法律援助的对象，接待人做好劝说解释工作。二、严把援助案件评审关，</w:t>
            </w:r>
            <w:r>
              <w:rPr>
                <w:rFonts w:hint="eastAsia" w:ascii="宋体" w:hAnsi="宋体" w:cs="宋体"/>
                <w:color w:val="000000"/>
                <w:kern w:val="0"/>
                <w:sz w:val="24"/>
                <w:lang w:bidi="ar"/>
              </w:rPr>
              <w:t>在人民群众中赢得了良好的口碑。</w:t>
            </w:r>
          </w:p>
          <w:p>
            <w:pPr>
              <w:pageBreakBefore w:val="0"/>
              <w:widowControl/>
              <w:kinsoku/>
              <w:overflowPunct/>
              <w:topLinePunct w:val="0"/>
              <w:bidi w:val="0"/>
              <w:spacing w:line="360" w:lineRule="auto"/>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360" w:lineRule="auto"/>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Arial" w:hAnsi="Arial" w:cs="Arial"/>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numPr>
                <w:ilvl w:val="0"/>
                <w:numId w:val="0"/>
              </w:numPr>
              <w:kinsoku/>
              <w:overflowPunct/>
              <w:topLinePunct w:val="0"/>
              <w:bidi w:val="0"/>
              <w:spacing w:line="360" w:lineRule="auto"/>
              <w:jc w:val="left"/>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一、民事、行政法律援助事项，应当自作出给予法律援助决定之日起七个工作日内指派；</w:t>
            </w:r>
          </w:p>
          <w:p>
            <w:pPr>
              <w:pageBreakBefore w:val="0"/>
              <w:widowControl/>
              <w:numPr>
                <w:ilvl w:val="0"/>
                <w:numId w:val="0"/>
              </w:numPr>
              <w:kinsoku/>
              <w:overflowPunct/>
              <w:topLinePunct w:val="0"/>
              <w:bidi w:val="0"/>
              <w:spacing w:line="360" w:lineRule="auto"/>
              <w:jc w:val="left"/>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二、刑事法律援助事项，应当自作出给予法律援助决定之日起三日内指派；</w:t>
            </w:r>
          </w:p>
          <w:p>
            <w:pPr>
              <w:pageBreakBefore w:val="0"/>
              <w:widowControl/>
              <w:kinsoku/>
              <w:overflowPunct/>
              <w:topLinePunct w:val="0"/>
              <w:bidi w:val="0"/>
              <w:spacing w:line="360" w:lineRule="auto"/>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全年法律援助受理案件及事务均按照相关法律援助时效规定有序进行</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360" w:lineRule="auto"/>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Arial" w:hAnsi="Arial" w:cs="Arial"/>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全年针对法律援助预算数</w:t>
            </w:r>
            <w:r>
              <w:rPr>
                <w:rFonts w:hint="eastAsia" w:ascii="宋体" w:hAnsi="宋体" w:cs="宋体"/>
                <w:color w:val="000000"/>
                <w:sz w:val="24"/>
                <w:lang w:val="en-US" w:eastAsia="zh-CN"/>
              </w:rPr>
              <w:t>15.5万元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全年法律援助受理案件及事务均超完成年初目标，法律援助资金完全合理化使用并发挥到到做大效能</w:t>
            </w:r>
          </w:p>
        </w:tc>
      </w:tr>
      <w:tr>
        <w:tblPrEx>
          <w:tblCellMar>
            <w:top w:w="0" w:type="dxa"/>
            <w:left w:w="0" w:type="dxa"/>
            <w:bottom w:w="0" w:type="dxa"/>
            <w:right w:w="0" w:type="dxa"/>
          </w:tblCellMar>
        </w:tblPrEx>
        <w:trPr>
          <w:trHeight w:val="1297" w:hRule="atLeast"/>
        </w:trPr>
        <w:tc>
          <w:tcPr>
            <w:tcW w:w="390" w:type="dxa"/>
            <w:vMerge w:val="continue"/>
            <w:tcBorders>
              <w:left w:val="single" w:color="000000" w:sz="4" w:space="0"/>
              <w:right w:val="single" w:color="000000" w:sz="4" w:space="0"/>
            </w:tcBorders>
            <w:vAlign w:val="center"/>
          </w:tcPr>
          <w:p>
            <w:pPr>
              <w:pageBreakBefore w:val="0"/>
              <w:widowControl/>
              <w:kinsoku/>
              <w:overflowPunct/>
              <w:topLinePunct w:val="0"/>
              <w:bidi w:val="0"/>
              <w:spacing w:line="360" w:lineRule="auto"/>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群众满意度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bidi w:val="0"/>
              <w:spacing w:line="360" w:lineRule="auto"/>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99%</w:t>
            </w:r>
          </w:p>
        </w:tc>
      </w:tr>
    </w:tbl>
    <w:p>
      <w:pPr>
        <w:spacing w:line="580" w:lineRule="exact"/>
        <w:rPr>
          <w:rFonts w:hint="eastAsia" w:ascii="仿宋_GB2312" w:hAnsi="仿宋_GB2312" w:eastAsia="仿宋_GB2312" w:cs="仿宋_GB2312"/>
          <w:sz w:val="32"/>
          <w:szCs w:val="32"/>
          <w:lang w:eastAsia="zh-CN"/>
        </w:rPr>
      </w:pPr>
    </w:p>
    <w:p>
      <w:pPr>
        <w:numPr>
          <w:ilvl w:val="0"/>
          <w:numId w:val="6"/>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基层司法业务</w:t>
      </w:r>
      <w:r>
        <w:rPr>
          <w:rFonts w:hint="eastAsia" w:ascii="仿宋_GB2312" w:hAnsi="仿宋_GB2312" w:eastAsia="仿宋_GB2312" w:cs="仿宋_GB2312"/>
          <w:sz w:val="32"/>
          <w:szCs w:val="32"/>
        </w:rPr>
        <w:t>项目绩效目标完成情况综述。</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基层司法业务</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2.45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2.45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强化健全的组织机构，建立纠纷事项回访制度，大力普及法律知识，严格依法执行调解工作，</w:t>
      </w:r>
      <w:r>
        <w:rPr>
          <w:rFonts w:hint="eastAsia" w:ascii="仿宋_GB2312" w:hAnsi="仿宋_GB2312" w:eastAsia="仿宋_GB2312" w:cs="仿宋_GB2312"/>
          <w:sz w:val="32"/>
          <w:szCs w:val="32"/>
          <w:lang w:val="en-US" w:eastAsia="zh-CN"/>
        </w:rPr>
        <w:t>2019年度定期开展入户访视活动，对矛盾纠纷群众及社区矫正对象进行重点访视和关注；</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一是居民对人民调解工作的认识有待加强；二是人民调解的工作人员业务水平及知识有待加强</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一是深入开展法律服务活动，加强人民群众对法律知识的了解，及对人民调解工作</w:t>
      </w:r>
      <w:r>
        <w:rPr>
          <w:rFonts w:hint="eastAsia" w:ascii="仿宋_GB2312" w:hAnsi="仿宋_GB2312" w:eastAsia="仿宋_GB2312" w:cs="仿宋_GB2312"/>
          <w:sz w:val="32"/>
          <w:szCs w:val="32"/>
          <w:lang w:val="en-US" w:eastAsia="zh-CN"/>
        </w:rPr>
        <w:t>进一步认识；二是强化基层司法业务工作人员的工作职能，充分发挥人民调解在化解基层纠纷和矛盾中起到的重要作用。</w:t>
      </w:r>
    </w:p>
    <w:p>
      <w:pPr>
        <w:spacing w:line="580"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lang w:eastAsia="zh-CN"/>
              </w:rPr>
              <w:t>基层司法业务</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2.45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2.45</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认真贯彻落实上级对基层是司法业务的指导精神，充分发挥人民调解在群众中起到的重要作用，把矛盾纠纷化解在基层，减少刑事案件的发生</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2019年度按年初制定目标计划按时完成基层司法业务工作</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7"/>
              </w:numPr>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开展法律知识学习班</w:t>
            </w:r>
          </w:p>
          <w:p>
            <w:pPr>
              <w:widowControl/>
              <w:numPr>
                <w:ilvl w:val="0"/>
                <w:numId w:val="7"/>
              </w:numPr>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化解群众纠纷及矛盾次数</w:t>
            </w:r>
          </w:p>
          <w:p>
            <w:pPr>
              <w:widowControl/>
              <w:numPr>
                <w:ilvl w:val="0"/>
                <w:numId w:val="7"/>
              </w:numPr>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法治宣传活动次数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0"/>
              </w:numPr>
              <w:jc w:val="both"/>
              <w:textAlignment w:val="center"/>
              <w:rPr>
                <w:rFonts w:hint="eastAsia" w:ascii="宋体" w:hAnsi="宋体" w:cs="宋体"/>
                <w:color w:val="000000"/>
                <w:sz w:val="24"/>
                <w:lang w:eastAsia="zh-CN"/>
              </w:rPr>
            </w:pPr>
            <w:r>
              <w:rPr>
                <w:rFonts w:hint="eastAsia" w:ascii="宋体" w:hAnsi="宋体" w:cs="宋体"/>
                <w:color w:val="000000"/>
                <w:sz w:val="24"/>
                <w:lang w:val="en-US" w:eastAsia="zh-CN"/>
              </w:rPr>
              <w:t>1、</w:t>
            </w:r>
            <w:r>
              <w:rPr>
                <w:rFonts w:hint="eastAsia" w:ascii="宋体" w:hAnsi="宋体" w:cs="宋体"/>
                <w:color w:val="000000"/>
                <w:sz w:val="24"/>
                <w:lang w:eastAsia="zh-CN"/>
              </w:rPr>
              <w:t>开展法律知识学习班</w:t>
            </w:r>
            <w:r>
              <w:rPr>
                <w:rFonts w:hint="eastAsia" w:ascii="宋体" w:hAnsi="宋体" w:cs="宋体"/>
                <w:color w:val="000000"/>
                <w:sz w:val="24"/>
                <w:lang w:val="en-US" w:eastAsia="zh-CN"/>
              </w:rPr>
              <w:t>4次</w:t>
            </w:r>
          </w:p>
          <w:p>
            <w:pPr>
              <w:widowControl/>
              <w:numPr>
                <w:ilvl w:val="0"/>
                <w:numId w:val="0"/>
              </w:numPr>
              <w:jc w:val="both"/>
              <w:textAlignment w:val="center"/>
              <w:rPr>
                <w:rFonts w:hint="eastAsia" w:ascii="宋体" w:hAnsi="宋体" w:cs="宋体"/>
                <w:color w:val="000000"/>
                <w:sz w:val="24"/>
                <w:lang w:eastAsia="zh-CN"/>
              </w:rPr>
            </w:pPr>
            <w:r>
              <w:rPr>
                <w:rFonts w:hint="eastAsia" w:ascii="宋体" w:hAnsi="宋体" w:cs="宋体"/>
                <w:color w:val="000000"/>
                <w:sz w:val="24"/>
                <w:lang w:val="en-US" w:eastAsia="zh-CN"/>
              </w:rPr>
              <w:t>2、</w:t>
            </w:r>
            <w:r>
              <w:rPr>
                <w:rFonts w:hint="eastAsia" w:ascii="宋体" w:hAnsi="宋体" w:cs="宋体"/>
                <w:color w:val="000000"/>
                <w:sz w:val="24"/>
                <w:lang w:eastAsia="zh-CN"/>
              </w:rPr>
              <w:t>化解群众纠纷及矛盾次数</w:t>
            </w:r>
            <w:r>
              <w:rPr>
                <w:rFonts w:hint="eastAsia" w:ascii="宋体" w:hAnsi="宋体" w:cs="宋体"/>
                <w:color w:val="000000"/>
                <w:sz w:val="24"/>
                <w:lang w:val="en-US" w:eastAsia="zh-CN"/>
              </w:rPr>
              <w:t>50次</w:t>
            </w:r>
          </w:p>
          <w:p>
            <w:pPr>
              <w:widowControl/>
              <w:jc w:val="both"/>
              <w:textAlignment w:val="center"/>
              <w:rPr>
                <w:rFonts w:hint="default" w:ascii="宋体" w:hAnsi="宋体" w:cs="宋体"/>
                <w:color w:val="000000"/>
                <w:sz w:val="24"/>
                <w:lang w:val="en-US"/>
              </w:rPr>
            </w:pPr>
            <w:r>
              <w:rPr>
                <w:rFonts w:hint="eastAsia" w:ascii="宋体" w:hAnsi="宋体" w:cs="宋体"/>
                <w:color w:val="000000"/>
                <w:sz w:val="24"/>
                <w:lang w:val="en-US" w:eastAsia="zh-CN"/>
              </w:rPr>
              <w:t>3、</w:t>
            </w:r>
            <w:r>
              <w:rPr>
                <w:rFonts w:hint="eastAsia" w:ascii="宋体" w:hAnsi="宋体" w:cs="宋体"/>
                <w:color w:val="000000"/>
                <w:sz w:val="24"/>
                <w:lang w:eastAsia="zh-CN"/>
              </w:rPr>
              <w:t>法治宣传活动次数</w:t>
            </w:r>
            <w:r>
              <w:rPr>
                <w:rFonts w:hint="eastAsia" w:ascii="宋体" w:hAnsi="宋体" w:cs="宋体"/>
                <w:color w:val="000000"/>
                <w:sz w:val="24"/>
                <w:lang w:val="en-US" w:eastAsia="zh-CN"/>
              </w:rPr>
              <w:t>4次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0"/>
              </w:numPr>
              <w:jc w:val="both"/>
              <w:textAlignment w:val="center"/>
              <w:rPr>
                <w:rFonts w:hint="eastAsia" w:ascii="宋体" w:hAnsi="宋体" w:cs="宋体"/>
                <w:color w:val="000000"/>
                <w:sz w:val="24"/>
                <w:lang w:eastAsia="zh-CN"/>
              </w:rPr>
            </w:pPr>
            <w:r>
              <w:rPr>
                <w:rFonts w:hint="eastAsia" w:ascii="宋体" w:hAnsi="宋体" w:cs="宋体"/>
                <w:color w:val="000000"/>
                <w:sz w:val="24"/>
                <w:lang w:val="en-US" w:eastAsia="zh-CN"/>
              </w:rPr>
              <w:t>1、</w:t>
            </w:r>
            <w:r>
              <w:rPr>
                <w:rFonts w:hint="eastAsia" w:ascii="宋体" w:hAnsi="宋体" w:cs="宋体"/>
                <w:color w:val="000000"/>
                <w:sz w:val="24"/>
                <w:lang w:eastAsia="zh-CN"/>
              </w:rPr>
              <w:t>开展法律知识学习班</w:t>
            </w:r>
            <w:r>
              <w:rPr>
                <w:rFonts w:hint="eastAsia" w:ascii="宋体" w:hAnsi="宋体" w:cs="宋体"/>
                <w:color w:val="000000"/>
                <w:sz w:val="24"/>
                <w:lang w:val="en-US" w:eastAsia="zh-CN"/>
              </w:rPr>
              <w:t>5次</w:t>
            </w:r>
          </w:p>
          <w:p>
            <w:pPr>
              <w:widowControl/>
              <w:numPr>
                <w:ilvl w:val="0"/>
                <w:numId w:val="0"/>
              </w:numPr>
              <w:jc w:val="both"/>
              <w:textAlignment w:val="center"/>
              <w:rPr>
                <w:rFonts w:hint="eastAsia" w:ascii="宋体" w:hAnsi="宋体" w:cs="宋体"/>
                <w:color w:val="000000"/>
                <w:sz w:val="24"/>
                <w:lang w:eastAsia="zh-CN"/>
              </w:rPr>
            </w:pPr>
            <w:r>
              <w:rPr>
                <w:rFonts w:hint="eastAsia" w:ascii="宋体" w:hAnsi="宋体" w:cs="宋体"/>
                <w:color w:val="000000"/>
                <w:sz w:val="24"/>
                <w:lang w:val="en-US" w:eastAsia="zh-CN"/>
              </w:rPr>
              <w:t>2、</w:t>
            </w:r>
            <w:r>
              <w:rPr>
                <w:rFonts w:hint="eastAsia" w:ascii="宋体" w:hAnsi="宋体" w:cs="宋体"/>
                <w:color w:val="000000"/>
                <w:sz w:val="24"/>
                <w:lang w:eastAsia="zh-CN"/>
              </w:rPr>
              <w:t>化解群众纠纷及矛盾次数</w:t>
            </w:r>
            <w:r>
              <w:rPr>
                <w:rFonts w:hint="eastAsia" w:ascii="宋体" w:hAnsi="宋体" w:cs="宋体"/>
                <w:color w:val="000000"/>
                <w:sz w:val="24"/>
                <w:lang w:val="en-US" w:eastAsia="zh-CN"/>
              </w:rPr>
              <w:t>78次</w:t>
            </w:r>
          </w:p>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lang w:eastAsia="zh-CN"/>
              </w:rPr>
              <w:t>法治宣传活动次数</w:t>
            </w:r>
            <w:r>
              <w:rPr>
                <w:rFonts w:hint="eastAsia" w:ascii="宋体" w:hAnsi="宋体" w:cs="宋体"/>
                <w:color w:val="000000"/>
                <w:sz w:val="24"/>
                <w:lang w:val="en-US" w:eastAsia="zh-CN"/>
              </w:rPr>
              <w:t>4次</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持续影响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加大纠纷调处力度，维护社会和谐稳定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减少刑事案件发生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完成度98%</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rPr>
              <w:t>社会</w:t>
            </w:r>
            <w:r>
              <w:rPr>
                <w:rFonts w:hint="eastAsia" w:ascii="宋体" w:hAnsi="宋体" w:cs="宋体"/>
                <w:color w:val="000000"/>
                <w:kern w:val="0"/>
                <w:sz w:val="24"/>
              </w:rPr>
              <w:t>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加大矛盾排查调处力度，维护社会稳定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促进群众和谐，减少民事纠纷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完成度98%</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群众满意度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满意度99%</w:t>
            </w:r>
          </w:p>
        </w:tc>
      </w:tr>
    </w:tbl>
    <w:p>
      <w:pPr>
        <w:spacing w:line="580" w:lineRule="exact"/>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司法局</w:t>
      </w:r>
      <w:r>
        <w:rPr>
          <w:rFonts w:hint="eastAsia" w:ascii="仿宋_GB2312" w:hAnsi="仿宋_GB2312" w:eastAsia="仿宋_GB2312" w:cs="仿宋_GB2312"/>
          <w:sz w:val="32"/>
          <w:szCs w:val="32"/>
        </w:rPr>
        <w:t>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eastAsia="zh-CN"/>
        </w:rPr>
        <w:t>司法局</w:t>
      </w:r>
      <w:r>
        <w:rPr>
          <w:rFonts w:hint="eastAsia" w:ascii="仿宋_GB2312" w:hAnsi="仿宋_GB2312" w:eastAsia="仿宋_GB2312" w:cs="仿宋_GB2312"/>
          <w:sz w:val="32"/>
          <w:szCs w:val="32"/>
        </w:rPr>
        <w:t>项目2019年绩效评价报告》见附件（附件2）。（非涉密部门均需公开部门整体支出评价报告，部门自行组织的绩效评价情况根据部门实际公开，若未组织项目绩效评价，则只需说明部门整体支出绩效评价情况）</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8"/>
        </w:numPr>
        <w:spacing w:line="600" w:lineRule="exact"/>
        <w:ind w:firstLine="660" w:firstLineChars="150"/>
        <w:jc w:val="center"/>
        <w:outlineLvl w:val="0"/>
        <w:rPr>
          <w:rStyle w:val="26"/>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6"/>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ageBreakBefore w:val="0"/>
        <w:kinsoku/>
        <w:overflowPunct/>
        <w:topLinePunct w:val="0"/>
        <w:bidi w:val="0"/>
        <w:spacing w:line="360" w:lineRule="auto"/>
        <w:jc w:val="left"/>
        <w:rPr>
          <w:rFonts w:ascii="宋体"/>
          <w:b/>
          <w:color w:val="000000"/>
          <w:sz w:val="44"/>
          <w:szCs w:val="44"/>
        </w:rPr>
      </w:pPr>
    </w:p>
    <w:p>
      <w:pPr>
        <w:pStyle w:val="24"/>
        <w:pageBreakBefore w:val="0"/>
        <w:kinsoku/>
        <w:overflowPunct/>
        <w:topLinePunct w:val="0"/>
        <w:bidi w:val="0"/>
        <w:spacing w:line="36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4"/>
        <w:pageBreakBefore w:val="0"/>
        <w:kinsoku/>
        <w:overflowPunct/>
        <w:topLinePunct w:val="0"/>
        <w:bidi w:val="0"/>
        <w:spacing w:line="360" w:lineRule="auto"/>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4"/>
        <w:pageBreakBefore w:val="0"/>
        <w:kinsoku/>
        <w:overflowPunct/>
        <w:topLinePunct w:val="0"/>
        <w:bidi w:val="0"/>
        <w:spacing w:line="360" w:lineRule="auto"/>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4"/>
        <w:pageBreakBefore w:val="0"/>
        <w:kinsoku/>
        <w:overflowPunct/>
        <w:topLinePunct w:val="0"/>
        <w:bidi w:val="0"/>
        <w:spacing w:line="360" w:lineRule="auto"/>
        <w:ind w:firstLine="640" w:firstLineChars="20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24"/>
        <w:pageBreakBefore w:val="0"/>
        <w:kinsoku/>
        <w:overflowPunct/>
        <w:topLinePunct w:val="0"/>
        <w:bidi w:val="0"/>
        <w:spacing w:line="360" w:lineRule="auto"/>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4"/>
        <w:pageBreakBefore w:val="0"/>
        <w:kinsoku/>
        <w:overflowPunct/>
        <w:topLinePunct w:val="0"/>
        <w:bidi w:val="0"/>
        <w:spacing w:line="360" w:lineRule="auto"/>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4"/>
        <w:pageBreakBefore w:val="0"/>
        <w:kinsoku/>
        <w:overflowPunct/>
        <w:topLinePunct w:val="0"/>
        <w:bidi w:val="0"/>
        <w:spacing w:line="360" w:lineRule="auto"/>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4"/>
        <w:pageBreakBefore w:val="0"/>
        <w:kinsoku/>
        <w:overflowPunct/>
        <w:topLinePunct w:val="0"/>
        <w:bidi w:val="0"/>
        <w:spacing w:line="360" w:lineRule="auto"/>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pageBreakBefore w:val="0"/>
        <w:kinsoku/>
        <w:overflowPunct/>
        <w:topLinePunct w:val="0"/>
        <w:bidi w:val="0"/>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9</w:t>
      </w:r>
      <w:r>
        <w:rPr>
          <w:rFonts w:ascii="仿宋_GB2312" w:eastAsia="仿宋_GB2312"/>
          <w:color w:val="auto"/>
          <w:sz w:val="32"/>
          <w:szCs w:val="32"/>
        </w:rPr>
        <w:t>.</w:t>
      </w:r>
      <w:r>
        <w:rPr>
          <w:rFonts w:hint="eastAsia" w:ascii="仿宋_GB2312" w:eastAsia="仿宋_GB2312"/>
          <w:color w:val="auto"/>
          <w:sz w:val="32"/>
          <w:szCs w:val="32"/>
        </w:rPr>
        <w:t>公共安全（类）</w:t>
      </w:r>
      <w:r>
        <w:rPr>
          <w:rFonts w:hint="eastAsia" w:ascii="仿宋_GB2312" w:eastAsia="仿宋_GB2312"/>
          <w:color w:val="auto"/>
          <w:sz w:val="32"/>
          <w:szCs w:val="32"/>
          <w:lang w:eastAsia="zh-CN"/>
        </w:rPr>
        <w:t>司法</w:t>
      </w:r>
      <w:r>
        <w:rPr>
          <w:rFonts w:hint="eastAsia" w:ascii="仿宋_GB2312" w:eastAsia="仿宋_GB2312"/>
          <w:color w:val="auto"/>
          <w:sz w:val="32"/>
          <w:szCs w:val="32"/>
        </w:rPr>
        <w:t>（款）</w:t>
      </w:r>
      <w:r>
        <w:rPr>
          <w:rFonts w:hint="eastAsia" w:ascii="仿宋_GB2312" w:eastAsia="仿宋_GB2312"/>
          <w:color w:val="auto"/>
          <w:sz w:val="32"/>
          <w:szCs w:val="32"/>
          <w:lang w:eastAsia="zh-CN"/>
        </w:rPr>
        <w:t>行政运行</w:t>
      </w:r>
      <w:r>
        <w:rPr>
          <w:rFonts w:hint="eastAsia" w:ascii="仿宋_GB2312" w:eastAsia="仿宋_GB2312"/>
          <w:color w:val="auto"/>
          <w:sz w:val="32"/>
          <w:szCs w:val="32"/>
        </w:rPr>
        <w:t>（项）：</w:t>
      </w:r>
      <w:r>
        <w:rPr>
          <w:rFonts w:hint="eastAsia" w:ascii="仿宋_GB2312" w:eastAsia="仿宋_GB2312"/>
          <w:color w:val="auto"/>
          <w:sz w:val="32"/>
          <w:szCs w:val="32"/>
          <w:lang w:eastAsia="zh-CN"/>
        </w:rPr>
        <w:t>反应单位日常的基本支出</w:t>
      </w:r>
      <w:r>
        <w:rPr>
          <w:rFonts w:hint="eastAsia" w:ascii="仿宋_GB2312" w:eastAsia="仿宋_GB2312"/>
          <w:color w:val="auto"/>
          <w:sz w:val="32"/>
          <w:szCs w:val="32"/>
        </w:rPr>
        <w:t>。</w:t>
      </w:r>
    </w:p>
    <w:p>
      <w:pPr>
        <w:pageBreakBefore w:val="0"/>
        <w:kinsoku/>
        <w:overflowPunct/>
        <w:topLinePunct w:val="0"/>
        <w:bidi w:val="0"/>
        <w:spacing w:line="360" w:lineRule="auto"/>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10.</w:t>
      </w:r>
      <w:r>
        <w:rPr>
          <w:rFonts w:hint="eastAsia" w:ascii="仿宋_GB2312" w:eastAsia="仿宋_GB2312"/>
          <w:color w:val="auto"/>
          <w:sz w:val="32"/>
          <w:szCs w:val="32"/>
        </w:rPr>
        <w:t>公共安全（类）</w:t>
      </w:r>
      <w:r>
        <w:rPr>
          <w:rFonts w:hint="eastAsia" w:ascii="仿宋_GB2312" w:eastAsia="仿宋_GB2312"/>
          <w:color w:val="auto"/>
          <w:sz w:val="32"/>
          <w:szCs w:val="32"/>
          <w:lang w:eastAsia="zh-CN"/>
        </w:rPr>
        <w:t>司法</w:t>
      </w:r>
      <w:r>
        <w:rPr>
          <w:rFonts w:hint="eastAsia" w:ascii="仿宋_GB2312" w:eastAsia="仿宋_GB2312"/>
          <w:color w:val="auto"/>
          <w:sz w:val="32"/>
          <w:szCs w:val="32"/>
        </w:rPr>
        <w:t>（款）</w:t>
      </w:r>
      <w:r>
        <w:rPr>
          <w:rFonts w:hint="eastAsia" w:ascii="仿宋_GB2312" w:eastAsia="仿宋_GB2312"/>
          <w:color w:val="auto"/>
          <w:sz w:val="32"/>
          <w:szCs w:val="32"/>
          <w:lang w:eastAsia="zh-CN"/>
        </w:rPr>
        <w:t>一般行政管理事务</w:t>
      </w:r>
      <w:r>
        <w:rPr>
          <w:rFonts w:hint="eastAsia" w:ascii="仿宋_GB2312" w:eastAsia="仿宋_GB2312"/>
          <w:color w:val="auto"/>
          <w:sz w:val="32"/>
          <w:szCs w:val="32"/>
        </w:rPr>
        <w:t>（项）：</w:t>
      </w:r>
      <w:r>
        <w:rPr>
          <w:rFonts w:hint="eastAsia" w:ascii="仿宋_GB2312" w:eastAsia="仿宋_GB2312"/>
          <w:color w:val="auto"/>
          <w:sz w:val="32"/>
          <w:szCs w:val="32"/>
          <w:lang w:eastAsia="zh-CN"/>
        </w:rPr>
        <w:t>反应单位未单独设置项级科目的其他支出</w:t>
      </w:r>
    </w:p>
    <w:p>
      <w:pPr>
        <w:pageBreakBefore w:val="0"/>
        <w:kinsoku/>
        <w:overflowPunct/>
        <w:topLinePunct w:val="0"/>
        <w:bidi w:val="0"/>
        <w:spacing w:line="360" w:lineRule="auto"/>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11.</w:t>
      </w:r>
      <w:r>
        <w:rPr>
          <w:rFonts w:hint="eastAsia" w:ascii="仿宋_GB2312" w:eastAsia="仿宋_GB2312"/>
          <w:color w:val="auto"/>
          <w:sz w:val="32"/>
          <w:szCs w:val="32"/>
        </w:rPr>
        <w:t>公共安全（类）</w:t>
      </w:r>
      <w:r>
        <w:rPr>
          <w:rFonts w:hint="eastAsia" w:ascii="仿宋_GB2312" w:eastAsia="仿宋_GB2312"/>
          <w:color w:val="auto"/>
          <w:sz w:val="32"/>
          <w:szCs w:val="32"/>
          <w:lang w:eastAsia="zh-CN"/>
        </w:rPr>
        <w:t>司法</w:t>
      </w:r>
      <w:r>
        <w:rPr>
          <w:rFonts w:hint="eastAsia" w:ascii="仿宋_GB2312" w:eastAsia="仿宋_GB2312"/>
          <w:color w:val="auto"/>
          <w:sz w:val="32"/>
          <w:szCs w:val="32"/>
        </w:rPr>
        <w:t>（款）</w:t>
      </w:r>
      <w:r>
        <w:rPr>
          <w:rFonts w:hint="eastAsia" w:ascii="仿宋_GB2312" w:eastAsia="仿宋_GB2312"/>
          <w:color w:val="auto"/>
          <w:sz w:val="32"/>
          <w:szCs w:val="32"/>
          <w:lang w:eastAsia="zh-CN"/>
        </w:rPr>
        <w:t>基层司法业务</w:t>
      </w:r>
      <w:r>
        <w:rPr>
          <w:rFonts w:hint="eastAsia" w:ascii="仿宋_GB2312" w:eastAsia="仿宋_GB2312"/>
          <w:color w:val="auto"/>
          <w:sz w:val="32"/>
          <w:szCs w:val="32"/>
        </w:rPr>
        <w:t>（项）：</w:t>
      </w:r>
      <w:r>
        <w:rPr>
          <w:rFonts w:hint="eastAsia" w:ascii="仿宋_GB2312" w:eastAsia="仿宋_GB2312"/>
          <w:color w:val="auto"/>
          <w:sz w:val="32"/>
          <w:szCs w:val="32"/>
          <w:lang w:eastAsia="zh-CN"/>
        </w:rPr>
        <w:t>反应单位用于基层业务支出，包括基层工作指导费、调解费、安置帮教费、司法所经费和“</w:t>
      </w:r>
      <w:r>
        <w:rPr>
          <w:rFonts w:hint="eastAsia" w:ascii="仿宋_GB2312" w:eastAsia="仿宋_GB2312"/>
          <w:color w:val="auto"/>
          <w:sz w:val="32"/>
          <w:szCs w:val="32"/>
          <w:lang w:val="en-US" w:eastAsia="zh-CN"/>
        </w:rPr>
        <w:t>148</w:t>
      </w:r>
      <w:r>
        <w:rPr>
          <w:rFonts w:hint="eastAsia" w:ascii="仿宋_GB2312" w:eastAsia="仿宋_GB2312"/>
          <w:color w:val="auto"/>
          <w:sz w:val="32"/>
          <w:szCs w:val="32"/>
          <w:lang w:eastAsia="zh-CN"/>
        </w:rPr>
        <w:t>”法律服务专用电话等支出</w:t>
      </w:r>
    </w:p>
    <w:p>
      <w:pPr>
        <w:pageBreakBefore w:val="0"/>
        <w:kinsoku/>
        <w:overflowPunct/>
        <w:topLinePunct w:val="0"/>
        <w:bidi w:val="0"/>
        <w:spacing w:line="360" w:lineRule="auto"/>
        <w:ind w:firstLine="640" w:firstLineChars="200"/>
        <w:rPr>
          <w:rFonts w:hint="eastAsia" w:ascii="仿宋_GB2312" w:eastAsia="仿宋_GB2312"/>
          <w:color w:val="auto"/>
          <w:sz w:val="32"/>
          <w:szCs w:val="32"/>
          <w:lang w:eastAsia="zh-CN"/>
        </w:rPr>
      </w:pPr>
      <w:r>
        <w:rPr>
          <w:rFonts w:ascii="仿宋_GB2312" w:eastAsia="仿宋_GB2312"/>
          <w:color w:val="auto"/>
          <w:sz w:val="32"/>
          <w:szCs w:val="32"/>
        </w:rPr>
        <w:t>12.</w:t>
      </w:r>
      <w:r>
        <w:rPr>
          <w:rFonts w:hint="eastAsia" w:ascii="仿宋_GB2312" w:eastAsia="仿宋_GB2312"/>
          <w:color w:val="auto"/>
          <w:sz w:val="32"/>
          <w:szCs w:val="32"/>
        </w:rPr>
        <w:t>公共安全（类）</w:t>
      </w:r>
      <w:r>
        <w:rPr>
          <w:rFonts w:hint="eastAsia" w:ascii="仿宋_GB2312" w:eastAsia="仿宋_GB2312"/>
          <w:color w:val="auto"/>
          <w:sz w:val="32"/>
          <w:szCs w:val="32"/>
          <w:lang w:eastAsia="zh-CN"/>
        </w:rPr>
        <w:t>司法</w:t>
      </w:r>
      <w:r>
        <w:rPr>
          <w:rFonts w:hint="eastAsia" w:ascii="仿宋_GB2312" w:eastAsia="仿宋_GB2312"/>
          <w:color w:val="auto"/>
          <w:sz w:val="32"/>
          <w:szCs w:val="32"/>
        </w:rPr>
        <w:t>（款）</w:t>
      </w:r>
      <w:r>
        <w:rPr>
          <w:rFonts w:hint="eastAsia" w:ascii="仿宋_GB2312" w:eastAsia="仿宋_GB2312"/>
          <w:color w:val="auto"/>
          <w:sz w:val="32"/>
          <w:szCs w:val="32"/>
          <w:lang w:eastAsia="zh-CN"/>
        </w:rPr>
        <w:t>普法宣传</w:t>
      </w:r>
      <w:r>
        <w:rPr>
          <w:rFonts w:hint="eastAsia" w:ascii="仿宋_GB2312" w:eastAsia="仿宋_GB2312"/>
          <w:color w:val="auto"/>
          <w:sz w:val="32"/>
          <w:szCs w:val="32"/>
        </w:rPr>
        <w:t>（项）：</w:t>
      </w:r>
      <w:r>
        <w:rPr>
          <w:rFonts w:hint="eastAsia" w:ascii="仿宋_GB2312" w:eastAsia="仿宋_GB2312"/>
          <w:color w:val="auto"/>
          <w:sz w:val="32"/>
          <w:szCs w:val="32"/>
          <w:lang w:eastAsia="zh-CN"/>
        </w:rPr>
        <w:t>反应单位用于组织各种媒体宣传、普法、装备与设施、宣传资料、对外宣传、法治作品的审读评审等方面的支出。</w:t>
      </w:r>
    </w:p>
    <w:p>
      <w:pPr>
        <w:pageBreakBefore w:val="0"/>
        <w:kinsoku/>
        <w:overflowPunct/>
        <w:topLinePunct w:val="0"/>
        <w:bidi w:val="0"/>
        <w:spacing w:line="360" w:lineRule="auto"/>
        <w:ind w:firstLine="640" w:firstLineChars="200"/>
        <w:rPr>
          <w:rFonts w:hint="eastAsia" w:ascii="仿宋_GB2312" w:eastAsia="仿宋_GB2312"/>
          <w:color w:val="auto"/>
          <w:sz w:val="32"/>
          <w:szCs w:val="32"/>
          <w:lang w:eastAsia="zh-CN"/>
        </w:rPr>
      </w:pPr>
      <w:r>
        <w:rPr>
          <w:rFonts w:ascii="仿宋_GB2312" w:eastAsia="仿宋_GB2312"/>
          <w:color w:val="auto"/>
          <w:sz w:val="32"/>
          <w:szCs w:val="32"/>
        </w:rPr>
        <w:t>13.</w:t>
      </w:r>
      <w:r>
        <w:rPr>
          <w:rFonts w:hint="eastAsia" w:ascii="仿宋_GB2312" w:eastAsia="仿宋_GB2312"/>
          <w:color w:val="auto"/>
          <w:sz w:val="32"/>
          <w:szCs w:val="32"/>
        </w:rPr>
        <w:t>公共安全（类）</w:t>
      </w:r>
      <w:r>
        <w:rPr>
          <w:rFonts w:hint="eastAsia" w:ascii="仿宋_GB2312" w:eastAsia="仿宋_GB2312"/>
          <w:color w:val="auto"/>
          <w:sz w:val="32"/>
          <w:szCs w:val="32"/>
          <w:lang w:eastAsia="zh-CN"/>
        </w:rPr>
        <w:t>司法</w:t>
      </w:r>
      <w:r>
        <w:rPr>
          <w:rFonts w:hint="eastAsia" w:ascii="仿宋_GB2312" w:eastAsia="仿宋_GB2312"/>
          <w:color w:val="auto"/>
          <w:sz w:val="32"/>
          <w:szCs w:val="32"/>
        </w:rPr>
        <w:t>（款）</w:t>
      </w:r>
      <w:r>
        <w:rPr>
          <w:rFonts w:hint="eastAsia" w:ascii="仿宋_GB2312" w:eastAsia="仿宋_GB2312"/>
          <w:color w:val="auto"/>
          <w:sz w:val="32"/>
          <w:szCs w:val="32"/>
          <w:lang w:eastAsia="zh-CN"/>
        </w:rPr>
        <w:t>法律援助</w:t>
      </w:r>
      <w:r>
        <w:rPr>
          <w:rFonts w:hint="eastAsia" w:ascii="仿宋_GB2312" w:eastAsia="仿宋_GB2312"/>
          <w:color w:val="auto"/>
          <w:sz w:val="32"/>
          <w:szCs w:val="32"/>
        </w:rPr>
        <w:t>（项）：</w:t>
      </w:r>
      <w:r>
        <w:rPr>
          <w:rFonts w:hint="eastAsia" w:ascii="仿宋_GB2312" w:eastAsia="仿宋_GB2312"/>
          <w:color w:val="auto"/>
          <w:sz w:val="32"/>
          <w:szCs w:val="32"/>
          <w:lang w:eastAsia="zh-CN"/>
        </w:rPr>
        <w:t>反应法律援助机构用于开展法律援助工作的支出</w:t>
      </w:r>
    </w:p>
    <w:p>
      <w:pPr>
        <w:pageBreakBefore w:val="0"/>
        <w:kinsoku/>
        <w:overflowPunct/>
        <w:topLinePunct w:val="0"/>
        <w:bidi w:val="0"/>
        <w:spacing w:line="360" w:lineRule="auto"/>
        <w:ind w:firstLine="640" w:firstLineChars="200"/>
        <w:rPr>
          <w:rFonts w:hint="eastAsia" w:ascii="仿宋_GB2312" w:eastAsia="仿宋_GB2312"/>
          <w:color w:val="auto"/>
          <w:sz w:val="32"/>
          <w:szCs w:val="32"/>
          <w:lang w:eastAsia="zh-CN"/>
        </w:rPr>
      </w:pPr>
      <w:r>
        <w:rPr>
          <w:rFonts w:ascii="仿宋_GB2312" w:eastAsia="仿宋_GB2312"/>
          <w:color w:val="auto"/>
          <w:sz w:val="32"/>
          <w:szCs w:val="32"/>
        </w:rPr>
        <w:t>14.</w:t>
      </w:r>
      <w:r>
        <w:rPr>
          <w:rFonts w:hint="eastAsia" w:ascii="仿宋_GB2312" w:eastAsia="仿宋_GB2312"/>
          <w:color w:val="auto"/>
          <w:sz w:val="32"/>
          <w:szCs w:val="32"/>
        </w:rPr>
        <w:t>公共安全（类）</w:t>
      </w:r>
      <w:r>
        <w:rPr>
          <w:rFonts w:hint="eastAsia" w:ascii="仿宋_GB2312" w:eastAsia="仿宋_GB2312"/>
          <w:color w:val="auto"/>
          <w:sz w:val="32"/>
          <w:szCs w:val="32"/>
          <w:lang w:eastAsia="zh-CN"/>
        </w:rPr>
        <w:t>司法</w:t>
      </w:r>
      <w:r>
        <w:rPr>
          <w:rFonts w:hint="eastAsia" w:ascii="仿宋_GB2312" w:eastAsia="仿宋_GB2312"/>
          <w:color w:val="auto"/>
          <w:sz w:val="32"/>
          <w:szCs w:val="32"/>
        </w:rPr>
        <w:t>（款）</w:t>
      </w:r>
      <w:r>
        <w:rPr>
          <w:rFonts w:hint="eastAsia" w:ascii="仿宋_GB2312" w:eastAsia="仿宋_GB2312"/>
          <w:color w:val="auto"/>
          <w:sz w:val="32"/>
          <w:szCs w:val="32"/>
          <w:lang w:eastAsia="zh-CN"/>
        </w:rPr>
        <w:t>社区矫正</w:t>
      </w:r>
      <w:r>
        <w:rPr>
          <w:rFonts w:hint="eastAsia" w:ascii="仿宋_GB2312" w:eastAsia="仿宋_GB2312"/>
          <w:color w:val="auto"/>
          <w:sz w:val="32"/>
          <w:szCs w:val="32"/>
        </w:rPr>
        <w:t>（项）：</w:t>
      </w:r>
      <w:r>
        <w:rPr>
          <w:rFonts w:hint="eastAsia" w:ascii="仿宋_GB2312" w:eastAsia="仿宋_GB2312"/>
          <w:color w:val="auto"/>
          <w:sz w:val="32"/>
          <w:szCs w:val="32"/>
          <w:lang w:eastAsia="zh-CN"/>
        </w:rPr>
        <w:t>反应单位用于社区矫正的支出</w:t>
      </w:r>
    </w:p>
    <w:p>
      <w:pPr>
        <w:pageBreakBefore w:val="0"/>
        <w:kinsoku/>
        <w:overflowPunct/>
        <w:topLinePunct w:val="0"/>
        <w:bidi w:val="0"/>
        <w:spacing w:line="360" w:lineRule="auto"/>
        <w:ind w:firstLine="640" w:firstLineChars="200"/>
        <w:rPr>
          <w:rFonts w:hint="eastAsia" w:ascii="仿宋_GB2312" w:eastAsia="仿宋_GB2312"/>
          <w:color w:val="auto"/>
          <w:sz w:val="32"/>
          <w:szCs w:val="32"/>
          <w:lang w:eastAsia="zh-CN"/>
        </w:rPr>
      </w:pPr>
      <w:r>
        <w:rPr>
          <w:rFonts w:ascii="仿宋_GB2312" w:eastAsia="仿宋_GB2312"/>
          <w:color w:val="auto"/>
          <w:sz w:val="32"/>
          <w:szCs w:val="32"/>
        </w:rPr>
        <w:t>15.</w:t>
      </w:r>
      <w:r>
        <w:rPr>
          <w:rFonts w:hint="eastAsia" w:ascii="仿宋_GB2312" w:eastAsia="仿宋_GB2312"/>
          <w:color w:val="auto"/>
          <w:sz w:val="32"/>
          <w:szCs w:val="32"/>
        </w:rPr>
        <w:t>社会保障和就业（类）</w:t>
      </w:r>
      <w:r>
        <w:rPr>
          <w:rFonts w:hint="eastAsia" w:ascii="仿宋_GB2312" w:eastAsia="仿宋_GB2312"/>
          <w:color w:val="auto"/>
          <w:sz w:val="32"/>
          <w:szCs w:val="32"/>
          <w:lang w:eastAsia="zh-CN"/>
        </w:rPr>
        <w:t>行政事业单位离退休</w:t>
      </w:r>
      <w:r>
        <w:rPr>
          <w:rFonts w:hint="eastAsia" w:ascii="仿宋_GB2312" w:eastAsia="仿宋_GB2312"/>
          <w:color w:val="auto"/>
          <w:sz w:val="32"/>
          <w:szCs w:val="32"/>
        </w:rPr>
        <w:t>（款）</w:t>
      </w:r>
      <w:r>
        <w:rPr>
          <w:rFonts w:hint="eastAsia" w:ascii="仿宋_GB2312" w:eastAsia="仿宋_GB2312"/>
          <w:color w:val="auto"/>
          <w:sz w:val="32"/>
          <w:szCs w:val="32"/>
          <w:lang w:eastAsia="zh-CN"/>
        </w:rPr>
        <w:t>未归口管理行政单位离退休</w:t>
      </w:r>
      <w:r>
        <w:rPr>
          <w:rFonts w:hint="eastAsia" w:ascii="仿宋_GB2312" w:eastAsia="仿宋_GB2312"/>
          <w:color w:val="auto"/>
          <w:sz w:val="32"/>
          <w:szCs w:val="32"/>
        </w:rPr>
        <w:t>（项）：</w:t>
      </w:r>
      <w:r>
        <w:rPr>
          <w:rFonts w:hint="eastAsia" w:ascii="仿宋_GB2312" w:eastAsia="仿宋_GB2312"/>
          <w:color w:val="auto"/>
          <w:sz w:val="32"/>
          <w:szCs w:val="32"/>
          <w:lang w:eastAsia="zh-CN"/>
        </w:rPr>
        <w:t>反应其他用于行政事业单位离退休方面的支出</w:t>
      </w:r>
    </w:p>
    <w:p>
      <w:pPr>
        <w:pageBreakBefore w:val="0"/>
        <w:kinsoku/>
        <w:overflowPunct/>
        <w:topLinePunct w:val="0"/>
        <w:bidi w:val="0"/>
        <w:spacing w:line="360" w:lineRule="auto"/>
        <w:ind w:firstLine="640" w:firstLineChars="200"/>
        <w:rPr>
          <w:rFonts w:hint="eastAsia" w:ascii="仿宋_GB2312" w:eastAsia="仿宋_GB2312"/>
          <w:color w:val="auto"/>
          <w:sz w:val="32"/>
          <w:szCs w:val="32"/>
        </w:rPr>
      </w:pPr>
      <w:r>
        <w:rPr>
          <w:rFonts w:ascii="仿宋_GB2312" w:eastAsia="仿宋_GB2312"/>
          <w:color w:val="auto"/>
          <w:sz w:val="32"/>
          <w:szCs w:val="32"/>
        </w:rPr>
        <w:t>16.</w:t>
      </w:r>
      <w:r>
        <w:rPr>
          <w:rFonts w:hint="eastAsia" w:ascii="仿宋_GB2312" w:eastAsia="仿宋_GB2312"/>
          <w:color w:val="auto"/>
          <w:sz w:val="32"/>
          <w:szCs w:val="32"/>
        </w:rPr>
        <w:t>社会保障和就业（类）</w:t>
      </w:r>
      <w:r>
        <w:rPr>
          <w:rFonts w:hint="eastAsia" w:ascii="仿宋_GB2312" w:eastAsia="仿宋_GB2312"/>
          <w:color w:val="auto"/>
          <w:sz w:val="32"/>
          <w:szCs w:val="32"/>
          <w:lang w:eastAsia="zh-CN"/>
        </w:rPr>
        <w:t>行政事业单位离退休</w:t>
      </w:r>
      <w:r>
        <w:rPr>
          <w:rFonts w:hint="eastAsia" w:ascii="仿宋_GB2312" w:eastAsia="仿宋_GB2312"/>
          <w:color w:val="auto"/>
          <w:sz w:val="32"/>
          <w:szCs w:val="32"/>
        </w:rPr>
        <w:t>（款）</w:t>
      </w:r>
      <w:r>
        <w:rPr>
          <w:rFonts w:hint="eastAsia" w:ascii="仿宋_GB2312" w:eastAsia="仿宋_GB2312"/>
          <w:color w:val="auto"/>
          <w:sz w:val="32"/>
          <w:szCs w:val="32"/>
          <w:lang w:eastAsia="zh-CN"/>
        </w:rPr>
        <w:t>机关事业单位基本仰赖保险缴费支出</w:t>
      </w:r>
      <w:r>
        <w:rPr>
          <w:rFonts w:hint="eastAsia" w:ascii="仿宋_GB2312" w:eastAsia="仿宋_GB2312"/>
          <w:color w:val="auto"/>
          <w:sz w:val="32"/>
          <w:szCs w:val="32"/>
        </w:rPr>
        <w:t>（项）：指单位按规定给职工缴纳的养老保险</w:t>
      </w:r>
    </w:p>
    <w:p>
      <w:pPr>
        <w:pageBreakBefore w:val="0"/>
        <w:kinsoku/>
        <w:overflowPunct/>
        <w:topLinePunct w:val="0"/>
        <w:bidi w:val="0"/>
        <w:spacing w:line="360" w:lineRule="auto"/>
        <w:ind w:firstLine="640" w:firstLineChars="200"/>
        <w:rPr>
          <w:rFonts w:hint="eastAsia" w:ascii="仿宋_GB2312" w:eastAsia="仿宋_GB2312"/>
          <w:color w:val="auto"/>
          <w:sz w:val="32"/>
          <w:szCs w:val="32"/>
          <w:lang w:eastAsia="zh-CN"/>
        </w:rPr>
      </w:pPr>
      <w:r>
        <w:rPr>
          <w:rFonts w:ascii="仿宋_GB2312" w:eastAsia="仿宋_GB2312"/>
          <w:color w:val="auto"/>
          <w:sz w:val="32"/>
          <w:szCs w:val="32"/>
        </w:rPr>
        <w:t>17.</w:t>
      </w:r>
      <w:r>
        <w:rPr>
          <w:rFonts w:hint="eastAsia" w:ascii="仿宋_GB2312" w:eastAsia="仿宋_GB2312"/>
          <w:color w:val="auto"/>
          <w:sz w:val="32"/>
          <w:szCs w:val="32"/>
        </w:rPr>
        <w:t>社会保障和就业（类）</w:t>
      </w:r>
      <w:r>
        <w:rPr>
          <w:rFonts w:hint="eastAsia" w:ascii="仿宋_GB2312" w:eastAsia="仿宋_GB2312"/>
          <w:color w:val="auto"/>
          <w:sz w:val="32"/>
          <w:szCs w:val="32"/>
          <w:lang w:eastAsia="zh-CN"/>
        </w:rPr>
        <w:t>行政事业单位离退休</w:t>
      </w:r>
      <w:r>
        <w:rPr>
          <w:rFonts w:hint="eastAsia" w:ascii="仿宋_GB2312" w:eastAsia="仿宋_GB2312"/>
          <w:color w:val="auto"/>
          <w:sz w:val="32"/>
          <w:szCs w:val="32"/>
        </w:rPr>
        <w:t>（款）</w:t>
      </w:r>
      <w:r>
        <w:rPr>
          <w:rFonts w:hint="eastAsia" w:ascii="仿宋_GB2312" w:eastAsia="仿宋_GB2312"/>
          <w:color w:val="auto"/>
          <w:sz w:val="32"/>
          <w:szCs w:val="32"/>
          <w:lang w:eastAsia="zh-CN"/>
        </w:rPr>
        <w:t>机关事业单位职业年金缴费支出</w:t>
      </w:r>
      <w:r>
        <w:rPr>
          <w:rFonts w:hint="eastAsia" w:ascii="仿宋_GB2312" w:eastAsia="仿宋_GB2312"/>
          <w:color w:val="auto"/>
          <w:sz w:val="32"/>
          <w:szCs w:val="32"/>
        </w:rPr>
        <w:t>（项）：指单位按规定给职工缴纳的</w:t>
      </w:r>
      <w:r>
        <w:rPr>
          <w:rFonts w:hint="eastAsia" w:ascii="仿宋_GB2312" w:eastAsia="仿宋_GB2312"/>
          <w:color w:val="auto"/>
          <w:sz w:val="32"/>
          <w:szCs w:val="32"/>
          <w:lang w:eastAsia="zh-CN"/>
        </w:rPr>
        <w:t>职业年金</w:t>
      </w:r>
    </w:p>
    <w:p>
      <w:pPr>
        <w:pageBreakBefore w:val="0"/>
        <w:kinsoku/>
        <w:overflowPunct/>
        <w:topLinePunct w:val="0"/>
        <w:bidi w:val="0"/>
        <w:spacing w:line="360" w:lineRule="auto"/>
        <w:ind w:firstLine="640" w:firstLineChars="200"/>
        <w:rPr>
          <w:rFonts w:ascii="仿宋_GB2312" w:eastAsia="仿宋_GB2312"/>
          <w:color w:val="auto"/>
          <w:sz w:val="32"/>
          <w:szCs w:val="32"/>
        </w:rPr>
      </w:pPr>
      <w:r>
        <w:rPr>
          <w:rFonts w:ascii="仿宋_GB2312" w:eastAsia="仿宋_GB2312"/>
          <w:color w:val="auto"/>
          <w:sz w:val="32"/>
          <w:szCs w:val="32"/>
        </w:rPr>
        <w:t>18.</w:t>
      </w:r>
      <w:r>
        <w:rPr>
          <w:rFonts w:hint="eastAsia" w:ascii="仿宋_GB2312" w:eastAsia="仿宋_GB2312"/>
          <w:color w:val="auto"/>
          <w:sz w:val="32"/>
          <w:szCs w:val="32"/>
          <w:lang w:eastAsia="zh-CN"/>
        </w:rPr>
        <w:t>医疗卫生与计划生育支出</w:t>
      </w:r>
      <w:r>
        <w:rPr>
          <w:rFonts w:hint="eastAsia" w:ascii="仿宋_GB2312" w:eastAsia="仿宋_GB2312"/>
          <w:color w:val="auto"/>
          <w:sz w:val="32"/>
          <w:szCs w:val="32"/>
        </w:rPr>
        <w:t>（类）</w:t>
      </w:r>
      <w:r>
        <w:rPr>
          <w:rFonts w:hint="eastAsia" w:ascii="仿宋_GB2312" w:eastAsia="仿宋_GB2312"/>
          <w:color w:val="auto"/>
          <w:sz w:val="32"/>
          <w:szCs w:val="32"/>
          <w:lang w:eastAsia="zh-CN"/>
        </w:rPr>
        <w:t>行政事业单位医疗</w:t>
      </w:r>
      <w:r>
        <w:rPr>
          <w:rFonts w:hint="eastAsia" w:ascii="仿宋_GB2312" w:eastAsia="仿宋_GB2312"/>
          <w:color w:val="auto"/>
          <w:sz w:val="32"/>
          <w:szCs w:val="32"/>
        </w:rPr>
        <w:t>（款）</w:t>
      </w:r>
      <w:r>
        <w:rPr>
          <w:rFonts w:hint="eastAsia" w:ascii="仿宋_GB2312" w:eastAsia="仿宋_GB2312"/>
          <w:color w:val="auto"/>
          <w:sz w:val="32"/>
          <w:szCs w:val="32"/>
          <w:lang w:eastAsia="zh-CN"/>
        </w:rPr>
        <w:t>行政单位医疗</w:t>
      </w:r>
      <w:r>
        <w:rPr>
          <w:rFonts w:hint="eastAsia" w:ascii="仿宋_GB2312" w:eastAsia="仿宋_GB2312"/>
          <w:color w:val="auto"/>
          <w:sz w:val="32"/>
          <w:szCs w:val="32"/>
        </w:rPr>
        <w:t>（项）：指单位按规定给职工缴纳的医疗保险。</w:t>
      </w:r>
    </w:p>
    <w:p>
      <w:pPr>
        <w:pageBreakBefore w:val="0"/>
        <w:kinsoku/>
        <w:overflowPunct/>
        <w:topLinePunct w:val="0"/>
        <w:bidi w:val="0"/>
        <w:spacing w:line="360" w:lineRule="auto"/>
        <w:ind w:firstLine="640" w:firstLineChars="200"/>
        <w:rPr>
          <w:rFonts w:ascii="仿宋_GB2312" w:eastAsia="仿宋_GB2312"/>
          <w:color w:val="auto"/>
          <w:sz w:val="32"/>
          <w:szCs w:val="32"/>
          <w:shd w:val="clear" w:color="auto" w:fill="auto"/>
        </w:rPr>
      </w:pPr>
      <w:r>
        <w:rPr>
          <w:rFonts w:ascii="仿宋_GB2312" w:eastAsia="仿宋_GB2312"/>
          <w:color w:val="auto"/>
          <w:sz w:val="32"/>
          <w:szCs w:val="32"/>
          <w:shd w:val="clear" w:color="auto" w:fill="auto"/>
        </w:rPr>
        <w:t>19.</w:t>
      </w:r>
      <w:r>
        <w:rPr>
          <w:rFonts w:hint="eastAsia" w:ascii="仿宋_GB2312" w:eastAsia="仿宋_GB2312"/>
          <w:color w:val="auto"/>
          <w:sz w:val="32"/>
          <w:szCs w:val="32"/>
          <w:shd w:val="clear" w:color="auto" w:fill="auto"/>
        </w:rPr>
        <w:t>农林水（类）</w:t>
      </w:r>
      <w:r>
        <w:rPr>
          <w:rFonts w:hint="eastAsia" w:ascii="仿宋_GB2312" w:eastAsia="仿宋_GB2312"/>
          <w:color w:val="auto"/>
          <w:sz w:val="32"/>
          <w:szCs w:val="32"/>
          <w:shd w:val="clear" w:color="auto" w:fill="auto"/>
          <w:lang w:eastAsia="zh-CN"/>
        </w:rPr>
        <w:t>扶贫</w:t>
      </w:r>
      <w:r>
        <w:rPr>
          <w:rFonts w:hint="eastAsia" w:ascii="仿宋_GB2312" w:eastAsia="仿宋_GB2312"/>
          <w:color w:val="auto"/>
          <w:sz w:val="32"/>
          <w:szCs w:val="32"/>
          <w:shd w:val="clear" w:color="auto" w:fill="auto"/>
        </w:rPr>
        <w:t>（款）</w:t>
      </w:r>
      <w:r>
        <w:rPr>
          <w:rFonts w:hint="eastAsia" w:ascii="仿宋_GB2312" w:eastAsia="仿宋_GB2312"/>
          <w:color w:val="auto"/>
          <w:sz w:val="32"/>
          <w:szCs w:val="32"/>
          <w:shd w:val="clear" w:color="auto" w:fill="auto"/>
          <w:lang w:eastAsia="zh-CN"/>
        </w:rPr>
        <w:t>其他扶贫支出</w:t>
      </w:r>
      <w:r>
        <w:rPr>
          <w:rFonts w:hint="eastAsia" w:ascii="仿宋_GB2312" w:eastAsia="仿宋_GB2312"/>
          <w:color w:val="auto"/>
          <w:sz w:val="32"/>
          <w:szCs w:val="32"/>
          <w:shd w:val="clear" w:color="auto" w:fill="auto"/>
        </w:rPr>
        <w:t>（项）：</w:t>
      </w:r>
      <w:r>
        <w:rPr>
          <w:rFonts w:hint="eastAsia" w:ascii="仿宋_GB2312" w:eastAsia="仿宋_GB2312"/>
          <w:color w:val="auto"/>
          <w:sz w:val="32"/>
          <w:szCs w:val="32"/>
          <w:shd w:val="clear" w:color="auto" w:fill="auto"/>
          <w:lang w:eastAsia="zh-CN"/>
        </w:rPr>
        <w:t>反应农村贫困地区扶贫奖补和贴息补助支出、“三西”农业建设补助支出、扶贫事业单位项目以外的用于其他扶贫方面的支出</w:t>
      </w:r>
      <w:r>
        <w:rPr>
          <w:rFonts w:hint="eastAsia" w:ascii="仿宋_GB2312" w:eastAsia="仿宋_GB2312"/>
          <w:color w:val="auto"/>
          <w:sz w:val="32"/>
          <w:szCs w:val="32"/>
          <w:shd w:val="clear" w:color="auto" w:fill="auto"/>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4"/>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6"/>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6"/>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eastAsia="zh-CN"/>
        </w:rPr>
        <w:t>司法局</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单位概况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eastAsia="仿宋_GB2312"/>
          <w:b w:val="0"/>
          <w:bCs/>
          <w:color w:val="000000"/>
          <w:sz w:val="32"/>
          <w:szCs w:val="32"/>
        </w:rPr>
        <w:t>局机关内设政治部、办公室、普法与依法治理股、</w:t>
      </w:r>
      <w:r>
        <w:rPr>
          <w:rFonts w:ascii="宋体" w:hAnsi="宋体" w:eastAsia="宋体" w:cs="宋体"/>
          <w:sz w:val="24"/>
          <w:szCs w:val="24"/>
        </w:rPr>
        <w:t>公共法</w:t>
      </w:r>
      <w:r>
        <w:rPr>
          <w:rFonts w:hint="eastAsia" w:ascii="仿宋_GB2312" w:eastAsia="仿宋_GB2312"/>
          <w:b w:val="0"/>
          <w:bCs/>
          <w:color w:val="000000"/>
          <w:sz w:val="32"/>
          <w:szCs w:val="32"/>
        </w:rPr>
        <w:t>律服务管理股、人民参与和促进法治股和社区矫正管理股等</w:t>
      </w:r>
      <w:r>
        <w:rPr>
          <w:rFonts w:hint="eastAsia" w:ascii="仿宋_GB2312" w:eastAsia="仿宋_GB2312"/>
          <w:b w:val="0"/>
          <w:bCs/>
          <w:color w:val="000000"/>
          <w:sz w:val="32"/>
          <w:szCs w:val="32"/>
          <w:lang w:val="en-US" w:eastAsia="zh-CN"/>
        </w:rPr>
        <w:t>10</w:t>
      </w:r>
      <w:r>
        <w:rPr>
          <w:rFonts w:hint="eastAsia" w:ascii="仿宋_GB2312" w:eastAsia="仿宋_GB2312"/>
          <w:b w:val="0"/>
          <w:bCs/>
          <w:color w:val="000000"/>
          <w:sz w:val="32"/>
          <w:szCs w:val="32"/>
        </w:rPr>
        <w:t>个股室</w:t>
      </w:r>
      <w:r>
        <w:rPr>
          <w:rFonts w:hint="eastAsia" w:ascii="仿宋_GB2312" w:eastAsia="仿宋_GB2312"/>
          <w:b w:val="0"/>
          <w:bCs/>
          <w:color w:val="000000"/>
          <w:sz w:val="32"/>
          <w:szCs w:val="32"/>
          <w:lang w:eastAsia="zh-CN"/>
        </w:rPr>
        <w:t>（含区委依法治区办秘书室）</w:t>
      </w:r>
      <w:r>
        <w:rPr>
          <w:rFonts w:hint="eastAsia" w:ascii="仿宋_GB2312" w:eastAsia="仿宋_GB2312"/>
          <w:b w:val="0"/>
          <w:bCs/>
          <w:color w:val="000000"/>
          <w:sz w:val="32"/>
          <w:szCs w:val="32"/>
        </w:rPr>
        <w:t>；下设</w:t>
      </w:r>
      <w:r>
        <w:rPr>
          <w:rFonts w:hint="eastAsia" w:ascii="仿宋_GB2312" w:eastAsia="仿宋_GB2312"/>
          <w:b w:val="0"/>
          <w:bCs/>
          <w:color w:val="000000"/>
          <w:sz w:val="32"/>
          <w:szCs w:val="32"/>
          <w:lang w:eastAsia="zh-CN"/>
        </w:rPr>
        <w:t>参公事业单位</w:t>
      </w:r>
      <w:r>
        <w:rPr>
          <w:rFonts w:hint="eastAsia" w:ascii="仿宋_GB2312" w:eastAsia="仿宋_GB2312"/>
          <w:b w:val="0"/>
          <w:bCs/>
          <w:color w:val="000000"/>
          <w:sz w:val="32"/>
          <w:szCs w:val="32"/>
        </w:rPr>
        <w:t>广元市利州区法律援助中心</w:t>
      </w:r>
      <w:r>
        <w:rPr>
          <w:rFonts w:hint="eastAsia" w:ascii="仿宋_GB2312" w:eastAsia="仿宋_GB2312"/>
          <w:b w:val="0"/>
          <w:bCs/>
          <w:color w:val="000000"/>
          <w:sz w:val="32"/>
          <w:szCs w:val="32"/>
          <w:lang w:eastAsia="zh-CN"/>
        </w:rPr>
        <w:t>，事业单位</w:t>
      </w:r>
      <w:r>
        <w:rPr>
          <w:rFonts w:hint="eastAsia" w:ascii="仿宋_GB2312" w:eastAsia="仿宋_GB2312"/>
          <w:b w:val="0"/>
          <w:bCs/>
          <w:color w:val="000000"/>
          <w:sz w:val="32"/>
          <w:szCs w:val="32"/>
        </w:rPr>
        <w:t>广元市利信公证处两个事业单位；下辖</w:t>
      </w:r>
      <w:r>
        <w:rPr>
          <w:rFonts w:hint="eastAsia" w:ascii="仿宋_GB2312" w:eastAsia="仿宋_GB2312"/>
          <w:b w:val="0"/>
          <w:bCs/>
          <w:color w:val="000000"/>
          <w:sz w:val="32"/>
          <w:szCs w:val="32"/>
          <w:lang w:val="en-US" w:eastAsia="zh-CN"/>
        </w:rPr>
        <w:t>14</w:t>
      </w:r>
      <w:r>
        <w:rPr>
          <w:rFonts w:hint="eastAsia" w:ascii="仿宋_GB2312" w:eastAsia="仿宋_GB2312"/>
          <w:b w:val="0"/>
          <w:bCs/>
          <w:color w:val="000000"/>
          <w:sz w:val="32"/>
          <w:szCs w:val="32"/>
        </w:rPr>
        <w:t>个乡镇街道司法所，机构规格为副科级</w:t>
      </w:r>
      <w:r>
        <w:rPr>
          <w:rFonts w:hint="eastAsia" w:ascii="仿宋_GB2312" w:eastAsia="仿宋_GB2312"/>
          <w:b w:val="0"/>
          <w:bCs/>
          <w:color w:val="000000"/>
          <w:sz w:val="32"/>
          <w:szCs w:val="32"/>
          <w:lang w:eastAsia="zh-CN"/>
        </w:rPr>
        <w:t>，各所设所长一名</w:t>
      </w:r>
      <w:r>
        <w:rPr>
          <w:rFonts w:hint="eastAsia" w:ascii="仿宋_GB2312" w:eastAsia="仿宋_GB2312"/>
          <w:b w:val="0"/>
          <w:bCs/>
          <w:color w:val="000000"/>
          <w:sz w:val="32"/>
          <w:szCs w:val="32"/>
          <w:lang w:val="en-US" w:eastAsia="zh-CN"/>
        </w:rPr>
        <w:t>.</w:t>
      </w:r>
    </w:p>
    <w:p>
      <w:pPr>
        <w:widowControl/>
        <w:numPr>
          <w:ilvl w:val="0"/>
          <w:numId w:val="9"/>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spacing w:line="576"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广元市利州区司法局(简称区司法局)是广元市利州区人民政府</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工作部门，为正科级。</w:t>
      </w:r>
    </w:p>
    <w:p>
      <w:pPr>
        <w:overflowPunct w:val="0"/>
        <w:spacing w:line="576" w:lineRule="exact"/>
        <w:ind w:firstLine="63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中共广元市利州区委全面依法治区委员会办公室（简称区委依法治区办）设在区司法局，接受</w:t>
      </w:r>
      <w:r>
        <w:rPr>
          <w:rFonts w:hint="eastAsia" w:ascii="仿宋" w:hAnsi="仿宋" w:eastAsia="仿宋" w:cs="仿宋"/>
          <w:color w:val="auto"/>
          <w:sz w:val="32"/>
          <w:szCs w:val="32"/>
          <w:lang w:eastAsia="zh-CN"/>
        </w:rPr>
        <w:t>中共广元市利州区</w:t>
      </w:r>
      <w:r>
        <w:rPr>
          <w:rFonts w:hint="eastAsia" w:ascii="仿宋" w:hAnsi="仿宋" w:eastAsia="仿宋" w:cs="仿宋"/>
          <w:color w:val="auto"/>
          <w:sz w:val="32"/>
          <w:szCs w:val="32"/>
        </w:rPr>
        <w:t>委</w:t>
      </w:r>
      <w:r>
        <w:rPr>
          <w:rFonts w:hint="eastAsia" w:ascii="仿宋" w:hAnsi="仿宋" w:eastAsia="仿宋" w:cs="仿宋"/>
          <w:color w:val="auto"/>
          <w:sz w:val="32"/>
          <w:szCs w:val="32"/>
          <w:lang w:eastAsia="zh-CN"/>
        </w:rPr>
        <w:t>全面依法治区委员会（以下简称委员会）</w:t>
      </w:r>
      <w:r>
        <w:rPr>
          <w:rFonts w:hint="eastAsia" w:ascii="仿宋" w:hAnsi="仿宋" w:eastAsia="仿宋" w:cs="仿宋"/>
          <w:color w:val="auto"/>
          <w:sz w:val="32"/>
          <w:szCs w:val="32"/>
        </w:rPr>
        <w:t>的直接领导，承担委员会具体工作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组织开展全面依法治区重大问题的政策研究。协调督促有关方面落实委员会</w:t>
      </w:r>
      <w:r>
        <w:rPr>
          <w:rFonts w:hint="eastAsia" w:ascii="仿宋" w:hAnsi="仿宋" w:eastAsia="仿宋" w:cs="仿宋"/>
          <w:color w:val="auto"/>
          <w:sz w:val="32"/>
          <w:szCs w:val="32"/>
          <w:lang w:eastAsia="zh-CN"/>
        </w:rPr>
        <w:t>及其</w:t>
      </w:r>
      <w:r>
        <w:rPr>
          <w:rFonts w:hint="eastAsia" w:ascii="仿宋" w:hAnsi="仿宋" w:eastAsia="仿宋" w:cs="仿宋"/>
          <w:color w:val="auto"/>
          <w:sz w:val="32"/>
          <w:szCs w:val="32"/>
        </w:rPr>
        <w:t>办公室决定事项、工作部署和要求等。</w:t>
      </w:r>
      <w:r>
        <w:rPr>
          <w:rFonts w:hint="eastAsia" w:ascii="仿宋" w:hAnsi="仿宋" w:eastAsia="仿宋" w:cs="仿宋"/>
          <w:color w:val="auto"/>
          <w:sz w:val="32"/>
          <w:szCs w:val="32"/>
          <w:lang w:eastAsia="zh-CN"/>
        </w:rPr>
        <w:t>设置区委依法治区办秘书室，负责处理区委依法治区办日常事务。内设机构根据工作需要承担区委依法治区办相关工作，接受区委依法治区办的统筹协调。</w:t>
      </w:r>
    </w:p>
    <w:p>
      <w:pPr>
        <w:overflowPunct w:val="0"/>
        <w:spacing w:line="576"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负责贯彻落实党中央关于全面依法治国的方针政策和省委、市委、区委的决策部署，在履行职责过程中坚持和加强党对全面依法治区工作的集中统一领导。主要职责是：</w:t>
      </w:r>
    </w:p>
    <w:p>
      <w:pPr>
        <w:overflowPunct w:val="0"/>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1</w:t>
      </w:r>
      <w:r>
        <w:rPr>
          <w:rFonts w:hint="eastAsia" w:ascii="楷体" w:hAnsi="楷体" w:eastAsia="楷体" w:cs="楷体"/>
          <w:color w:val="auto"/>
          <w:sz w:val="32"/>
          <w:szCs w:val="32"/>
        </w:rPr>
        <w:t>）</w:t>
      </w:r>
      <w:r>
        <w:rPr>
          <w:rFonts w:hint="eastAsia" w:ascii="仿宋" w:hAnsi="仿宋" w:eastAsia="仿宋" w:cs="仿宋"/>
          <w:color w:val="auto"/>
          <w:sz w:val="32"/>
          <w:szCs w:val="32"/>
        </w:rPr>
        <w:t>承担全面依法治国、依法治省、依法治市和依法治区重大问题的政策研究，协调有关方面提出全面依法治区规划建议，负责有关重大决策部署督察工作。</w:t>
      </w:r>
    </w:p>
    <w:p>
      <w:pPr>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2</w:t>
      </w:r>
      <w:r>
        <w:rPr>
          <w:rFonts w:hint="eastAsia" w:ascii="楷体" w:hAnsi="楷体" w:eastAsia="楷体" w:cs="楷体"/>
          <w:color w:val="auto"/>
          <w:sz w:val="32"/>
          <w:szCs w:val="32"/>
        </w:rPr>
        <w:t>）</w:t>
      </w:r>
      <w:r>
        <w:rPr>
          <w:rFonts w:hint="eastAsia" w:ascii="仿宋" w:hAnsi="仿宋" w:eastAsia="仿宋" w:cs="仿宋"/>
          <w:color w:val="auto"/>
          <w:sz w:val="32"/>
          <w:szCs w:val="32"/>
        </w:rPr>
        <w:t>贯彻执行国家、省、市、区关于司法行政工作的方针、政策，制定司法行政规范性文件、发展规划、工作计划并组织实施。</w:t>
      </w:r>
    </w:p>
    <w:p>
      <w:pPr>
        <w:overflowPunct w:val="0"/>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3</w:t>
      </w:r>
      <w:r>
        <w:rPr>
          <w:rFonts w:hint="eastAsia" w:ascii="楷体" w:hAnsi="楷体" w:eastAsia="楷体" w:cs="楷体"/>
          <w:color w:val="auto"/>
          <w:sz w:val="32"/>
          <w:szCs w:val="32"/>
        </w:rPr>
        <w:t>）</w:t>
      </w:r>
      <w:r>
        <w:rPr>
          <w:rFonts w:hint="eastAsia" w:ascii="仿宋" w:hAnsi="仿宋" w:eastAsia="仿宋" w:cs="仿宋"/>
          <w:color w:val="auto"/>
          <w:sz w:val="32"/>
          <w:szCs w:val="32"/>
        </w:rPr>
        <w:t>负责区政府规范性文件、重大行政决策发布前的合法性审查。承办区政府规范性文件的报送备案工作。负责各乡镇（街道）政府（办事处）和区政府各部门报送区政府的规范性文件备案审查工作。组织开展规范性文件清理。</w:t>
      </w:r>
    </w:p>
    <w:p>
      <w:pPr>
        <w:overflowPunct w:val="0"/>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4</w:t>
      </w:r>
      <w:r>
        <w:rPr>
          <w:rFonts w:hint="eastAsia" w:ascii="楷体" w:hAnsi="楷体" w:eastAsia="楷体" w:cs="楷体"/>
          <w:color w:val="auto"/>
          <w:sz w:val="32"/>
          <w:szCs w:val="32"/>
        </w:rPr>
        <w:t>）</w:t>
      </w:r>
      <w:r>
        <w:rPr>
          <w:rFonts w:hint="eastAsia" w:ascii="仿宋" w:hAnsi="仿宋" w:eastAsia="仿宋" w:cs="仿宋"/>
          <w:color w:val="auto"/>
          <w:sz w:val="32"/>
          <w:szCs w:val="32"/>
        </w:rPr>
        <w:t>承担统筹推进法治政府建设的责任。指导监督区政府各部门、各乡镇（街道）政府（办事处）依法行政工作。负责综合协调和监督检查行政执法，承担推进行政执法体制改革有关工作，推进严格规范公正文明执法。指导监督全区行政复议、行政应诉和行政赔偿工作，承办向区政府申请的行政复议、行政赔偿案件，代理区政府行政应诉案件。承担区政府法律顾问的聘任和管理，组织区政府行政行为听证等工作。负责全区行政执法主体、人员资格审查和行政执法证、监督检查证的审核管理及人员培训工作。</w:t>
      </w:r>
    </w:p>
    <w:p>
      <w:pPr>
        <w:overflowPunct w:val="0"/>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5</w:t>
      </w:r>
      <w:r>
        <w:rPr>
          <w:rFonts w:hint="eastAsia" w:ascii="楷体" w:hAnsi="楷体" w:eastAsia="楷体" w:cs="楷体"/>
          <w:color w:val="auto"/>
          <w:sz w:val="32"/>
          <w:szCs w:val="32"/>
        </w:rPr>
        <w:t>）</w:t>
      </w:r>
      <w:r>
        <w:rPr>
          <w:rFonts w:hint="eastAsia" w:ascii="仿宋" w:hAnsi="仿宋" w:eastAsia="仿宋" w:cs="仿宋"/>
          <w:color w:val="auto"/>
          <w:sz w:val="32"/>
          <w:szCs w:val="32"/>
        </w:rPr>
        <w:t>承担统筹规划法治社会建设的责任。负责拟订法治宣传教育规划，组织实施普法宣传工作，组织对外法治宣传。推动人民参与和促进法治建设。指导依法治理和法治创建工作。指导人民调解、行政调解和行业性专业性调解等工作。参与人民监督员的选任、管理工作。负责人民陪审员选任工作的具体实施。指导监督司法所工作。</w:t>
      </w:r>
    </w:p>
    <w:p>
      <w:pPr>
        <w:overflowPunct w:val="0"/>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6</w:t>
      </w:r>
      <w:r>
        <w:rPr>
          <w:rFonts w:hint="eastAsia" w:ascii="楷体" w:hAnsi="楷体" w:eastAsia="楷体" w:cs="楷体"/>
          <w:color w:val="auto"/>
          <w:sz w:val="32"/>
          <w:szCs w:val="32"/>
        </w:rPr>
        <w:t>）</w:t>
      </w:r>
      <w:r>
        <w:rPr>
          <w:rFonts w:hint="eastAsia" w:ascii="仿宋" w:hAnsi="仿宋" w:eastAsia="仿宋" w:cs="仿宋"/>
          <w:color w:val="auto"/>
          <w:sz w:val="32"/>
          <w:szCs w:val="32"/>
        </w:rPr>
        <w:t>指导管理社区矫正工作。负责刑满释放人员帮教安置工作。</w:t>
      </w:r>
    </w:p>
    <w:p>
      <w:pPr>
        <w:overflowPunct w:val="0"/>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7</w:t>
      </w:r>
      <w:r>
        <w:rPr>
          <w:rFonts w:hint="eastAsia" w:ascii="楷体" w:hAnsi="楷体" w:eastAsia="楷体" w:cs="楷体"/>
          <w:color w:val="auto"/>
          <w:sz w:val="32"/>
          <w:szCs w:val="32"/>
        </w:rPr>
        <w:t>）</w:t>
      </w:r>
      <w:r>
        <w:rPr>
          <w:rFonts w:hint="eastAsia" w:ascii="仿宋" w:hAnsi="仿宋" w:eastAsia="仿宋" w:cs="仿宋"/>
          <w:color w:val="auto"/>
          <w:sz w:val="32"/>
          <w:szCs w:val="32"/>
        </w:rPr>
        <w:t>负责拟订全区公共法律服务体系建设规划并指导实施，统筹和布局全区城乡、区域法律服务资源。指导监督律师、法律援助、公证、仲裁和基层法律服务等工作。</w:t>
      </w:r>
    </w:p>
    <w:p>
      <w:pPr>
        <w:overflowPunct w:val="0"/>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8</w:t>
      </w:r>
      <w:r>
        <w:rPr>
          <w:rFonts w:hint="eastAsia" w:ascii="楷体" w:hAnsi="楷体" w:eastAsia="楷体" w:cs="楷体"/>
          <w:color w:val="auto"/>
          <w:sz w:val="32"/>
          <w:szCs w:val="32"/>
        </w:rPr>
        <w:t>）</w:t>
      </w:r>
      <w:r>
        <w:rPr>
          <w:rFonts w:hint="eastAsia" w:ascii="仿宋" w:hAnsi="仿宋" w:eastAsia="仿宋" w:cs="仿宋"/>
          <w:color w:val="auto"/>
          <w:sz w:val="32"/>
          <w:szCs w:val="32"/>
        </w:rPr>
        <w:t>负责本</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财务、装备、设施、场所等保障工作。负责本</w:t>
      </w:r>
      <w:r>
        <w:rPr>
          <w:rFonts w:hint="eastAsia" w:ascii="仿宋" w:hAnsi="仿宋" w:eastAsia="仿宋" w:cs="仿宋"/>
          <w:color w:val="auto"/>
          <w:sz w:val="32"/>
          <w:szCs w:val="32"/>
          <w:lang w:eastAsia="zh-CN"/>
        </w:rPr>
        <w:t>系统</w:t>
      </w:r>
      <w:r>
        <w:rPr>
          <w:rFonts w:hint="eastAsia" w:ascii="仿宋" w:hAnsi="仿宋" w:eastAsia="仿宋" w:cs="仿宋"/>
          <w:color w:val="auto"/>
          <w:sz w:val="32"/>
          <w:szCs w:val="32"/>
        </w:rPr>
        <w:t>警车管理工作。</w:t>
      </w:r>
    </w:p>
    <w:p>
      <w:pPr>
        <w:overflowPunct w:val="0"/>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9</w:t>
      </w:r>
      <w:r>
        <w:rPr>
          <w:rFonts w:hint="eastAsia" w:ascii="楷体" w:hAnsi="楷体" w:eastAsia="楷体" w:cs="楷体"/>
          <w:color w:val="auto"/>
          <w:sz w:val="32"/>
          <w:szCs w:val="32"/>
        </w:rPr>
        <w:t>）</w:t>
      </w:r>
      <w:r>
        <w:rPr>
          <w:rFonts w:hint="eastAsia" w:ascii="仿宋" w:hAnsi="仿宋" w:eastAsia="仿宋" w:cs="仿宋"/>
          <w:color w:val="auto"/>
          <w:sz w:val="32"/>
          <w:szCs w:val="32"/>
        </w:rPr>
        <w:t>规划、协调、指导法治人才队伍建设相关工作，负责本系统队伍建设。</w:t>
      </w:r>
    </w:p>
    <w:p>
      <w:pPr>
        <w:overflowPunct w:val="0"/>
        <w:spacing w:line="576" w:lineRule="exact"/>
        <w:ind w:firstLine="640" w:firstLineChars="200"/>
        <w:rPr>
          <w:rFonts w:hint="eastAsia" w:ascii="仿宋" w:hAnsi="仿宋" w:eastAsia="楷体" w:cs="仿宋"/>
          <w:color w:val="auto"/>
          <w:sz w:val="32"/>
          <w:szCs w:val="32"/>
          <w:lang w:eastAsia="zh-CN"/>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10</w:t>
      </w:r>
      <w:r>
        <w:rPr>
          <w:rFonts w:hint="eastAsia" w:ascii="楷体" w:hAnsi="楷体" w:eastAsia="楷体" w:cs="楷体"/>
          <w:color w:val="auto"/>
          <w:sz w:val="32"/>
          <w:szCs w:val="32"/>
        </w:rPr>
        <w:t>）</w:t>
      </w:r>
      <w:r>
        <w:rPr>
          <w:rFonts w:hint="eastAsia" w:ascii="仿宋" w:hAnsi="仿宋" w:eastAsia="仿宋" w:cs="仿宋"/>
          <w:color w:val="auto"/>
          <w:sz w:val="32"/>
          <w:szCs w:val="32"/>
          <w:lang w:eastAsia="zh-CN"/>
        </w:rPr>
        <w:t>承担职责范围内安全生产和职业健康、生态环境保护、审批服务便民化等工作。负责全区外来企业、民营企业法律服务工作。监督管理所属社团组织。</w:t>
      </w:r>
    </w:p>
    <w:p>
      <w:pPr>
        <w:pStyle w:val="5"/>
        <w:adjustRightInd w:val="0"/>
        <w:snapToGrid w:val="0"/>
        <w:spacing w:before="93" w:line="600" w:lineRule="exact"/>
        <w:ind w:firstLine="672" w:firstLineChars="210"/>
        <w:outlineLvl w:val="2"/>
        <w:rPr>
          <w:rFonts w:hint="eastAsia" w:ascii="仿宋_GB2312" w:hAnsi="宋体" w:eastAsia="仿宋_GB2312" w:cs="宋体"/>
          <w:color w:val="000000"/>
          <w:kern w:val="0"/>
          <w:sz w:val="32"/>
          <w:szCs w:val="32"/>
          <w:shd w:val="clear" w:color="auto" w:fill="FFFFFF"/>
          <w:lang w:val="zh-CN"/>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11</w:t>
      </w:r>
      <w:r>
        <w:rPr>
          <w:rFonts w:hint="eastAsia" w:ascii="楷体" w:hAnsi="楷体" w:eastAsia="楷体" w:cs="楷体"/>
          <w:color w:val="auto"/>
          <w:sz w:val="32"/>
          <w:szCs w:val="32"/>
        </w:rPr>
        <w:t>）</w:t>
      </w:r>
      <w:r>
        <w:rPr>
          <w:rFonts w:hint="eastAsia" w:ascii="仿宋" w:hAnsi="仿宋" w:eastAsia="仿宋" w:cs="仿宋"/>
          <w:color w:val="auto"/>
          <w:sz w:val="32"/>
          <w:szCs w:val="32"/>
        </w:rPr>
        <w:t>完成区委、区政府交办的其他任务。</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 w:hAnsi="仿宋" w:eastAsia="仿宋" w:cs="仿宋_GB2312"/>
          <w:sz w:val="32"/>
          <w:szCs w:val="32"/>
          <w:lang w:eastAsia="zh-CN"/>
        </w:rPr>
        <w:t>本单位编制人数</w:t>
      </w:r>
      <w:r>
        <w:rPr>
          <w:rFonts w:hint="eastAsia" w:ascii="仿宋" w:hAnsi="仿宋" w:eastAsia="仿宋" w:cs="仿宋_GB2312"/>
          <w:sz w:val="32"/>
          <w:szCs w:val="32"/>
          <w:lang w:val="en-US" w:eastAsia="zh-CN"/>
        </w:rPr>
        <w:t>47人，行政编制人数42人，事业编制人数4人；非参公事业人员1人，离退休1人，其他人员17人，遗属人员3人。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1690.22</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1690.22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widowControl/>
        <w:numPr>
          <w:ilvl w:val="0"/>
          <w:numId w:val="9"/>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widowControl/>
        <w:numPr>
          <w:ilvl w:val="0"/>
          <w:numId w:val="0"/>
        </w:numPr>
        <w:adjustRightInd w:val="0"/>
        <w:snapToGrid w:val="0"/>
        <w:spacing w:line="580" w:lineRule="exact"/>
        <w:ind w:leftChars="200"/>
        <w:contextualSpacing/>
        <w:jc w:val="left"/>
        <w:rPr>
          <w:rFonts w:hint="eastAsia" w:ascii="仿宋_GB2312" w:hAnsi="宋体" w:eastAsia="仿宋_GB2312" w:cs="宋体"/>
          <w:color w:val="000000"/>
          <w:kern w:val="0"/>
          <w:sz w:val="32"/>
          <w:szCs w:val="32"/>
          <w:shd w:val="clear" w:color="auto" w:fill="FFFFFF"/>
          <w:lang w:val="zh-CN"/>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1424.86</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808.9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56.77</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615.96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43.23</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pageBreakBefore w:val="0"/>
        <w:kinsoku/>
        <w:overflowPunct/>
        <w:topLinePunct w:val="0"/>
        <w:bidi w:val="0"/>
        <w:spacing w:line="360" w:lineRule="auto"/>
        <w:ind w:firstLine="640" w:firstLineChars="200"/>
        <w:rPr>
          <w:rFonts w:ascii="黑体" w:hAnsi="黑体" w:eastAsia="黑体" w:cs="黑体"/>
          <w:sz w:val="32"/>
          <w:szCs w:val="32"/>
        </w:rPr>
      </w:pPr>
      <w:r>
        <w:rPr>
          <w:rFonts w:ascii="黑体" w:hAnsi="黑体" w:eastAsia="黑体" w:cs="黑体"/>
          <w:sz w:val="32"/>
          <w:szCs w:val="32"/>
        </w:rPr>
        <w:t>调整）</w:t>
      </w:r>
    </w:p>
    <w:p>
      <w:pPr>
        <w:pageBreakBefore w:val="0"/>
        <w:kinsoku/>
        <w:overflowPunct/>
        <w:topLinePunct w:val="0"/>
        <w:bidi w:val="0"/>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pageBreakBefore w:val="0"/>
        <w:kinsoku/>
        <w:overflowPunct/>
        <w:topLinePunct w:val="0"/>
        <w:bidi w:val="0"/>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包括部门绩效目标制定、目标完成、预算编制准确、支出控制、预算动态调整、执行进度、预算完成情况和违规记录等情况。</w:t>
      </w:r>
    </w:p>
    <w:p>
      <w:pPr>
        <w:pageBreakBefore w:val="0"/>
        <w:kinsoku/>
        <w:overflowPunct/>
        <w:topLinePunct w:val="0"/>
        <w:bidi w:val="0"/>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pageBreakBefore w:val="0"/>
        <w:kinsoku/>
        <w:overflowPunct/>
        <w:topLinePunct w:val="0"/>
        <w:bidi w:val="0"/>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pPr>
        <w:pageBreakBefore w:val="0"/>
        <w:kinsoku/>
        <w:overflowPunct/>
        <w:topLinePunct w:val="0"/>
        <w:bidi w:val="0"/>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pageBreakBefore w:val="0"/>
        <w:kinsoku/>
        <w:overflowPunct/>
        <w:topLinePunct w:val="0"/>
        <w:bidi w:val="0"/>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包括部门自评质量、绩效目标公开和自评公开、评价结果整改和应用结果反馈等情况。</w:t>
      </w:r>
    </w:p>
    <w:p>
      <w:pPr>
        <w:pageBreakBefore w:val="0"/>
        <w:kinsoku/>
        <w:overflowPunct/>
        <w:topLinePunct w:val="0"/>
        <w:bidi w:val="0"/>
        <w:spacing w:line="360" w:lineRule="auto"/>
        <w:ind w:firstLine="640" w:firstLineChars="200"/>
        <w:rPr>
          <w:rFonts w:ascii="黑体" w:hAnsi="黑体" w:eastAsia="黑体" w:cs="黑体"/>
          <w:sz w:val="32"/>
          <w:szCs w:val="32"/>
        </w:rPr>
      </w:pPr>
      <w:r>
        <w:rPr>
          <w:rFonts w:ascii="黑体" w:hAnsi="黑体" w:eastAsia="黑体" w:cs="黑体"/>
          <w:sz w:val="32"/>
          <w:szCs w:val="32"/>
        </w:rPr>
        <w:t>四、评价结论及建议</w:t>
      </w:r>
    </w:p>
    <w:p>
      <w:pPr>
        <w:pageBreakBefore w:val="0"/>
        <w:kinsoku/>
        <w:overflowPunct/>
        <w:topLinePunct w:val="0"/>
        <w:bidi w:val="0"/>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pageBreakBefore w:val="0"/>
        <w:kinsoku/>
        <w:overflowPunct/>
        <w:topLinePunct w:val="0"/>
        <w:bidi w:val="0"/>
        <w:spacing w:line="360" w:lineRule="auto"/>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我单位成立了预算绩效评价工作小组，明确熟悉财务工作的同志具体负责绩效评价工作，机关各科室密切配合，根据考核评分细则，我单位2019年整体支出，严格按照国家的相关财务管理制度规定，财务制度健全、会计核算规范，依照计划管理使用，司法局的整体支出对保障司法行政工作的正常运行、贯彻执行党和国家方针、政策、法律法规，发挥了重要作用。强化部门的责任，司法行政工作取得了一定的成绩，为确保全县社会稳定，提供了优质保障。按照部门整体支出绩效评价指标体系对照打分得出结果为98分，等级为优秀.</w:t>
      </w:r>
    </w:p>
    <w:p>
      <w:pPr>
        <w:pageBreakBefore w:val="0"/>
        <w:numPr>
          <w:ilvl w:val="0"/>
          <w:numId w:val="10"/>
        </w:numPr>
        <w:kinsoku/>
        <w:overflowPunct/>
        <w:topLinePunct w:val="0"/>
        <w:bidi w:val="0"/>
        <w:spacing w:line="360" w:lineRule="auto"/>
        <w:ind w:left="0" w:leftChars="0" w:firstLine="640" w:firstLineChars="200"/>
        <w:rPr>
          <w:rFonts w:ascii="仿宋" w:hAnsi="仿宋" w:eastAsia="仿宋" w:cs="仿宋_GB2312"/>
          <w:sz w:val="32"/>
          <w:szCs w:val="32"/>
        </w:rPr>
      </w:pPr>
      <w:r>
        <w:rPr>
          <w:rFonts w:ascii="仿宋" w:hAnsi="仿宋" w:eastAsia="仿宋" w:cs="仿宋_GB2312"/>
          <w:sz w:val="32"/>
          <w:szCs w:val="32"/>
        </w:rPr>
        <w:t>存在问题</w:t>
      </w:r>
    </w:p>
    <w:p>
      <w:pPr>
        <w:pageBreakBefore w:val="0"/>
        <w:numPr>
          <w:ilvl w:val="0"/>
          <w:numId w:val="0"/>
        </w:numPr>
        <w:kinsoku/>
        <w:overflowPunct/>
        <w:topLinePunct w:val="0"/>
        <w:bidi w:val="0"/>
        <w:spacing w:line="360" w:lineRule="auto"/>
        <w:ind w:leftChars="200"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eastAsia="zh-CN"/>
        </w:rPr>
        <w:t>年初，就</w:t>
      </w:r>
      <w:r>
        <w:rPr>
          <w:rFonts w:hint="eastAsia" w:ascii="仿宋" w:hAnsi="仿宋" w:eastAsia="仿宋" w:cs="仿宋_GB2312"/>
          <w:sz w:val="32"/>
          <w:szCs w:val="32"/>
          <w:lang w:val="en-US" w:eastAsia="zh-CN"/>
        </w:rPr>
        <w:t>2019年绩效考核情况，认真进行梳理，就扣分分项进行分析。针对性提出了工作举措，并对司法所下达年度考核任务，任务层层分解，责任层层分明，通过全年的努力，各方面均取得明显警服，但距离绩效考核标准仍存在薄弱环节。一是司法所专政转变落实率仍然低，2019年我们突出理顺司法所管理体制，力争取得优异的成绩。</w:t>
      </w:r>
    </w:p>
    <w:p>
      <w:pPr>
        <w:pageBreakBefore w:val="0"/>
        <w:kinsoku/>
        <w:overflowPunct/>
        <w:topLinePunct w:val="0"/>
        <w:bidi w:val="0"/>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360" w:lineRule="auto"/>
        <w:ind w:left="0" w:right="0" w:firstLine="42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一是按照预算规定的项目和用途严格财务审核，经费支出严格按预算规定项目的财务支出内容进行财务核算，在预算金额内严格控制费用的支出。</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360" w:lineRule="auto"/>
        <w:ind w:left="0" w:right="0" w:firstLine="42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二是进一步规范“三公经费”管理。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360" w:lineRule="auto"/>
        <w:ind w:left="0" w:right="0" w:firstLine="42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三是预算财务分析常态化，定期做好预算支出财务分析，做好部门整体支出预算评价工作。</w:t>
      </w:r>
    </w:p>
    <w:p>
      <w:pPr>
        <w:spacing w:line="580" w:lineRule="exact"/>
        <w:ind w:firstLine="640" w:firstLineChars="200"/>
        <w:rPr>
          <w:rFonts w:ascii="仿宋_GB2312" w:hAnsi="仿宋_GB2312" w:eastAsia="仿宋_GB2312" w:cs="仿宋_GB2312"/>
          <w:sz w:val="32"/>
          <w:szCs w:val="32"/>
        </w:rPr>
      </w:pPr>
      <w:r>
        <w:rPr>
          <w:rFonts w:hint="eastAsia" w:ascii="仿宋" w:hAnsi="仿宋" w:eastAsia="仿宋" w:cs="仿宋_GB2312"/>
          <w:kern w:val="2"/>
          <w:sz w:val="32"/>
          <w:szCs w:val="32"/>
          <w:lang w:val="en-US" w:eastAsia="zh-CN" w:bidi="ar-SA"/>
        </w:rPr>
        <w:t>四是提高业务经费预算水平，促进业务工作开展。</w:t>
      </w:r>
    </w:p>
    <w:p>
      <w:pPr>
        <w:spacing w:line="580" w:lineRule="exact"/>
        <w:rPr>
          <w:rFonts w:hint="eastAsia" w:ascii="黑体" w:hAnsi="黑体" w:eastAsia="黑体" w:cs="黑体"/>
          <w:sz w:val="32"/>
          <w:szCs w:val="32"/>
        </w:rPr>
      </w:pPr>
      <w:r>
        <w:rPr>
          <w:rFonts w:hint="eastAsia" w:ascii="黑体" w:hAnsi="黑体" w:eastAsia="黑体" w:cs="黑体"/>
          <w:sz w:val="32"/>
          <w:szCs w:val="32"/>
        </w:rPr>
        <w:t>附件2</w:t>
      </w:r>
    </w:p>
    <w:p>
      <w:pPr>
        <w:pageBreakBefore w:val="0"/>
        <w:kinsoku/>
        <w:overflowPunct/>
        <w:topLinePunct w:val="0"/>
        <w:bidi w:val="0"/>
        <w:spacing w:line="360" w:lineRule="auto"/>
        <w:jc w:val="center"/>
        <w:rPr>
          <w:rFonts w:ascii="仿宋_GB2312" w:hAnsi="仿宋_GB2312" w:eastAsia="仿宋_GB2312" w:cs="仿宋_GB2312"/>
          <w:sz w:val="32"/>
          <w:szCs w:val="32"/>
        </w:rPr>
      </w:pPr>
      <w:r>
        <w:rPr>
          <w:rFonts w:hint="eastAsia" w:ascii="黑体" w:hAnsi="黑体" w:eastAsia="黑体" w:cs="方正小标宋简体"/>
          <w:sz w:val="44"/>
          <w:szCs w:val="44"/>
        </w:rPr>
        <w:t>201</w:t>
      </w:r>
      <w:r>
        <w:rPr>
          <w:rFonts w:hint="eastAsia" w:ascii="黑体" w:hAnsi="黑体" w:eastAsia="黑体" w:cs="方正小标宋简体"/>
          <w:sz w:val="44"/>
          <w:szCs w:val="44"/>
          <w:lang w:val="en-US" w:eastAsia="zh-CN"/>
        </w:rPr>
        <w:t>9</w:t>
      </w:r>
      <w:r>
        <w:rPr>
          <w:rFonts w:hint="eastAsia" w:ascii="黑体" w:hAnsi="黑体" w:eastAsia="黑体" w:cs="方正小标宋简体"/>
          <w:sz w:val="44"/>
          <w:szCs w:val="44"/>
        </w:rPr>
        <w:t>年</w:t>
      </w:r>
      <w:r>
        <w:rPr>
          <w:rFonts w:hint="eastAsia" w:ascii="黑体" w:hAnsi="黑体" w:eastAsia="黑体" w:cs="方正小标宋简体"/>
          <w:sz w:val="44"/>
          <w:szCs w:val="44"/>
          <w:lang w:eastAsia="zh-CN"/>
        </w:rPr>
        <w:t>法律援助</w:t>
      </w:r>
      <w:r>
        <w:rPr>
          <w:rFonts w:hint="eastAsia" w:ascii="黑体" w:hAnsi="黑体" w:eastAsia="黑体" w:cs="方正小标宋简体"/>
          <w:sz w:val="44"/>
          <w:szCs w:val="44"/>
        </w:rPr>
        <w:t>项目支出绩效评价报告</w:t>
      </w:r>
    </w:p>
    <w:p>
      <w:pPr>
        <w:pageBreakBefore w:val="0"/>
        <w:numPr>
          <w:ilvl w:val="0"/>
          <w:numId w:val="11"/>
        </w:numPr>
        <w:kinsoku/>
        <w:overflowPunct/>
        <w:topLinePunct w:val="0"/>
        <w:bidi w:val="0"/>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评价工作开展及项目情况</w:t>
      </w:r>
    </w:p>
    <w:p>
      <w:pPr>
        <w:pageBreakBefore w:val="0"/>
        <w:kinsoku/>
        <w:overflowPunct/>
        <w:topLinePunct w:val="0"/>
        <w:bidi w:val="0"/>
        <w:spacing w:line="360" w:lineRule="auto"/>
        <w:ind w:firstLine="640" w:firstLineChars="200"/>
        <w:rPr>
          <w:rFonts w:hint="eastAsia" w:ascii="仿宋" w:hAnsi="仿宋" w:eastAsia="仿宋" w:cs="仿宋_GB2312"/>
          <w:sz w:val="32"/>
          <w:szCs w:val="32"/>
          <w:lang w:eastAsia="zh-CN"/>
        </w:rPr>
      </w:pPr>
      <w:r>
        <w:rPr>
          <w:rFonts w:hint="eastAsia" w:ascii="仿宋_GB2312" w:hAnsi="Times New Roman" w:eastAsia="仿宋_GB2312" w:cs="仿宋_GB2312"/>
          <w:sz w:val="32"/>
          <w:szCs w:val="32"/>
          <w:shd w:val="clear" w:color="auto" w:fill="FFFFFF"/>
          <w:lang w:val="zh-CN"/>
        </w:rPr>
        <w:t>法律援助业务包括用于开展法律援助工作。包括</w:t>
      </w:r>
      <w:r>
        <w:rPr>
          <w:rFonts w:hint="eastAsia" w:ascii="仿宋_GB2312" w:eastAsia="仿宋_GB2312" w:cs="仿宋_GB2312"/>
          <w:sz w:val="32"/>
          <w:szCs w:val="32"/>
          <w:shd w:val="clear" w:color="auto" w:fill="FFFFFF"/>
        </w:rPr>
        <w:t>区</w:t>
      </w:r>
      <w:r>
        <w:rPr>
          <w:rFonts w:hint="eastAsia" w:ascii="仿宋_GB2312" w:hAnsi="仿宋_GB2312" w:eastAsia="仿宋_GB2312" w:cs="仿宋_GB2312"/>
          <w:sz w:val="32"/>
          <w:szCs w:val="32"/>
        </w:rPr>
        <w:t>承办法律援助案件、事项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开展法律援助宣传、教育、培训、调研、检查、指导工作、对外学习交流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法律援助卷宗档案管理</w:t>
      </w:r>
      <w:r>
        <w:rPr>
          <w:rFonts w:hint="eastAsia" w:ascii="仿宋_GB2312" w:hAnsi="仿宋_GB2312" w:eastAsia="仿宋_GB2312" w:cs="仿宋_GB2312"/>
          <w:sz w:val="32"/>
          <w:szCs w:val="32"/>
          <w:lang w:eastAsia="zh-CN"/>
        </w:rPr>
        <w:t>等一系列法律援助业务工作，通过数量指标、时效指标、质量指标、成本指标进行绩效评价</w:t>
      </w:r>
      <w:r>
        <w:rPr>
          <w:rFonts w:ascii="仿宋" w:hAnsi="仿宋" w:eastAsia="仿宋" w:cs="仿宋_GB2312"/>
          <w:sz w:val="32"/>
          <w:szCs w:val="32"/>
        </w:rPr>
        <w:t>项目评价</w:t>
      </w:r>
      <w:r>
        <w:rPr>
          <w:rFonts w:hint="eastAsia" w:ascii="仿宋" w:hAnsi="仿宋" w:eastAsia="仿宋" w:cs="仿宋_GB2312"/>
          <w:sz w:val="32"/>
          <w:szCs w:val="32"/>
          <w:lang w:eastAsia="zh-CN"/>
        </w:rPr>
        <w:t>。</w:t>
      </w:r>
    </w:p>
    <w:p>
      <w:pPr>
        <w:pageBreakBefore w:val="0"/>
        <w:kinsoku/>
        <w:overflowPunct/>
        <w:topLinePunct w:val="0"/>
        <w:bidi w:val="0"/>
        <w:spacing w:line="360" w:lineRule="auto"/>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项目地点：利州区司法局</w:t>
      </w:r>
    </w:p>
    <w:p>
      <w:pPr>
        <w:pageBreakBefore w:val="0"/>
        <w:kinsoku/>
        <w:overflowPunct/>
        <w:topLinePunct w:val="0"/>
        <w:bidi w:val="0"/>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eastAsia="zh-CN"/>
        </w:rPr>
        <w:t>拨付资金情况：决算执行资金</w:t>
      </w:r>
      <w:r>
        <w:rPr>
          <w:rFonts w:hint="eastAsia" w:ascii="仿宋" w:hAnsi="仿宋" w:eastAsia="仿宋" w:cs="仿宋_GB2312"/>
          <w:sz w:val="32"/>
          <w:szCs w:val="32"/>
          <w:lang w:val="en-US" w:eastAsia="zh-CN"/>
        </w:rPr>
        <w:t>21.5万元，年初预算资金21.5万元财政资金拨付率100%。</w:t>
      </w:r>
    </w:p>
    <w:p>
      <w:pPr>
        <w:pageBreakBefore w:val="0"/>
        <w:kinsoku/>
        <w:overflowPunct/>
        <w:topLinePunct w:val="0"/>
        <w:bidi w:val="0"/>
        <w:spacing w:line="360" w:lineRule="auto"/>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拨付资金使用明细情况：主要用于法律援助办公费、办案业务费、差旅费等。</w:t>
      </w:r>
    </w:p>
    <w:p>
      <w:pPr>
        <w:pageBreakBefore w:val="0"/>
        <w:kinsoku/>
        <w:overflowPunct/>
        <w:topLinePunct w:val="0"/>
        <w:bidi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pageBreakBefore w:val="0"/>
        <w:kinsoku/>
        <w:overflowPunct/>
        <w:topLinePunct w:val="0"/>
        <w:bidi w:val="0"/>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pageBreakBefore w:val="0"/>
        <w:kinsoku/>
        <w:overflowPunct/>
        <w:topLinePunct w:val="0"/>
        <w:bidi w:val="0"/>
        <w:spacing w:line="360" w:lineRule="auto"/>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依据法律援助项目设置的绩效评价指标体系、标准值、权重（分值）评价标准，经与指标完成值评价打分，综合得分 98分</w:t>
      </w:r>
      <w:r>
        <w:rPr>
          <w:rFonts w:hint="eastAsia" w:ascii="仿宋" w:hAnsi="仿宋" w:eastAsia="仿宋" w:cs="仿宋_GB2312"/>
          <w:sz w:val="32"/>
          <w:szCs w:val="32"/>
          <w:lang w:eastAsia="zh-CN"/>
        </w:rPr>
        <w:t>。</w:t>
      </w:r>
    </w:p>
    <w:p>
      <w:pPr>
        <w:pageBreakBefore w:val="0"/>
        <w:kinsoku/>
        <w:overflowPunct/>
        <w:topLinePunct w:val="0"/>
        <w:bidi w:val="0"/>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pageBreakBefore w:val="0"/>
        <w:kinsoku/>
        <w:overflowPunct/>
        <w:topLinePunct w:val="0"/>
        <w:bidi w:val="0"/>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pageBreakBefore w:val="0"/>
        <w:kinsoku/>
        <w:overflowPunct/>
        <w:topLinePunct w:val="0"/>
        <w:bidi w:val="0"/>
        <w:spacing w:line="360" w:lineRule="auto"/>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法律援助，是在国家司法制度上运行的各个环节和层刺伤对经济困难及其提前因素而难以通过通常意义上的法律救济手段</w:t>
      </w:r>
      <w:r>
        <w:rPr>
          <w:rFonts w:hint="eastAsia" w:ascii="仿宋" w:hAnsi="仿宋" w:eastAsia="仿宋" w:cs="仿宋_GB2312"/>
          <w:sz w:val="32"/>
          <w:szCs w:val="32"/>
          <w:lang w:val="en-US" w:eastAsia="zh-CN"/>
        </w:rPr>
        <w:t>保障自身基本社会权利的弱者，减免收费提供法律帮助的意向法律保障制度。法律援助是一项国际公认的法律制度，其创立的目的是，为了保障所有公民都能欧不受经济困难等因素影响，同等的获得或者享受公平正义和平等，在国家法律题字中明确规定了法律援助的制度和原则。法律援助制度建立，在推动民生改善和保障、机构和谐的社会发展进程中发挥着越来越重要的作用，越来越受到国家和人民群众的重视。我单位必须要加强法律援助建设并制定完善的发律援助体系和绩效管理制度</w:t>
      </w:r>
      <w:r>
        <w:rPr>
          <w:rFonts w:hint="eastAsia" w:ascii="仿宋" w:hAnsi="仿宋" w:eastAsia="仿宋" w:cs="仿宋_GB2312"/>
          <w:sz w:val="32"/>
          <w:szCs w:val="32"/>
          <w:lang w:eastAsia="zh-CN"/>
        </w:rPr>
        <w:t>。</w:t>
      </w:r>
    </w:p>
    <w:p>
      <w:pPr>
        <w:pageBreakBefore w:val="0"/>
        <w:numPr>
          <w:ilvl w:val="0"/>
          <w:numId w:val="12"/>
        </w:numPr>
        <w:kinsoku/>
        <w:overflowPunct/>
        <w:topLinePunct w:val="0"/>
        <w:bidi w:val="0"/>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项目管理</w:t>
      </w:r>
    </w:p>
    <w:p>
      <w:pPr>
        <w:ind w:firstLine="645"/>
        <w:rPr>
          <w:rFonts w:hint="default" w:ascii="仿宋" w:hAnsi="仿宋" w:eastAsia="仿宋_GB2312" w:cs="仿宋_GB2312"/>
          <w:sz w:val="32"/>
          <w:szCs w:val="32"/>
          <w:lang w:val="en-US" w:eastAsia="zh-CN"/>
        </w:rPr>
      </w:pP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年共拨付法律援助民生工程资金</w:t>
      </w:r>
      <w:r>
        <w:rPr>
          <w:rFonts w:hint="eastAsia" w:ascii="仿宋_GB2312" w:hAnsi="仿宋_GB2312" w:eastAsia="仿宋_GB2312" w:cs="仿宋_GB2312"/>
          <w:color w:val="000000"/>
          <w:sz w:val="32"/>
          <w:szCs w:val="32"/>
          <w:lang w:val="en-US" w:eastAsia="zh-CN"/>
        </w:rPr>
        <w:t>21.5</w:t>
      </w:r>
      <w:r>
        <w:rPr>
          <w:rFonts w:hint="eastAsia" w:ascii="仿宋_GB2312" w:hAnsi="仿宋_GB2312" w:eastAsia="仿宋_GB2312" w:cs="仿宋_GB2312"/>
          <w:color w:val="000000"/>
          <w:sz w:val="32"/>
          <w:szCs w:val="32"/>
        </w:rPr>
        <w:t>万元。其中</w:t>
      </w:r>
      <w:r>
        <w:rPr>
          <w:rFonts w:hint="eastAsia" w:ascii="仿宋_GB2312" w:eastAsia="仿宋_GB2312"/>
          <w:color w:val="000000"/>
          <w:sz w:val="32"/>
          <w:szCs w:val="32"/>
        </w:rPr>
        <w:t>，中央</w:t>
      </w:r>
      <w:r>
        <w:rPr>
          <w:rFonts w:hint="eastAsia" w:ascii="仿宋_GB2312" w:eastAsia="仿宋_GB2312"/>
          <w:color w:val="000000"/>
          <w:sz w:val="32"/>
          <w:szCs w:val="32"/>
          <w:lang w:eastAsia="zh-CN"/>
        </w:rPr>
        <w:t>和</w:t>
      </w:r>
      <w:r>
        <w:rPr>
          <w:rFonts w:hint="eastAsia" w:ascii="仿宋_GB2312" w:eastAsia="仿宋_GB2312"/>
          <w:color w:val="000000"/>
          <w:sz w:val="32"/>
          <w:szCs w:val="32"/>
        </w:rPr>
        <w:t>省级</w:t>
      </w:r>
      <w:r>
        <w:rPr>
          <w:rFonts w:hint="eastAsia" w:ascii="仿宋_GB2312" w:eastAsia="仿宋_GB2312"/>
          <w:color w:val="000000"/>
          <w:sz w:val="32"/>
          <w:szCs w:val="32"/>
          <w:lang w:eastAsia="zh-CN"/>
        </w:rPr>
        <w:t>政府转移支付资金（法律援助经费）</w:t>
      </w:r>
      <w:r>
        <w:rPr>
          <w:rFonts w:hint="eastAsia" w:ascii="仿宋_GB2312" w:eastAsia="仿宋_GB2312"/>
          <w:color w:val="000000"/>
          <w:sz w:val="32"/>
          <w:szCs w:val="32"/>
          <w:lang w:val="en-US" w:eastAsia="zh-CN"/>
        </w:rPr>
        <w:t>16万元，</w:t>
      </w:r>
      <w:r>
        <w:rPr>
          <w:rFonts w:hint="eastAsia" w:ascii="仿宋_GB2312" w:eastAsia="仿宋_GB2312"/>
          <w:color w:val="000000"/>
          <w:sz w:val="32"/>
          <w:szCs w:val="32"/>
        </w:rPr>
        <w:t>区级配套资金5.5万元，现已全部到位</w:t>
      </w:r>
      <w:r>
        <w:rPr>
          <w:rFonts w:hint="eastAsia" w:ascii="仿宋_GB2312" w:eastAsia="仿宋_GB2312"/>
          <w:color w:val="000000"/>
          <w:sz w:val="32"/>
          <w:szCs w:val="32"/>
          <w:lang w:eastAsia="zh-CN"/>
        </w:rPr>
        <w:t>。资金得到合理合规的分配和利用，主要用于</w:t>
      </w:r>
      <w:r>
        <w:rPr>
          <w:rFonts w:hint="eastAsia" w:ascii="仿宋_GB2312" w:eastAsia="仿宋_GB2312"/>
          <w:color w:val="000000"/>
          <w:sz w:val="32"/>
          <w:szCs w:val="32"/>
          <w:lang w:val="en-US" w:eastAsia="zh-CN"/>
        </w:rPr>
        <w:t>2019年法律援助办案业务费、办公经费、差旅费等方面。</w:t>
      </w:r>
    </w:p>
    <w:p>
      <w:pPr>
        <w:pageBreakBefore w:val="0"/>
        <w:numPr>
          <w:ilvl w:val="0"/>
          <w:numId w:val="13"/>
        </w:numPr>
        <w:kinsoku/>
        <w:overflowPunct/>
        <w:topLinePunct w:val="0"/>
        <w:bidi w:val="0"/>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项目绩效</w:t>
      </w:r>
    </w:p>
    <w:p>
      <w:pPr>
        <w:spacing w:line="576" w:lineRule="exact"/>
        <w:ind w:firstLine="640" w:firstLineChars="200"/>
        <w:rPr>
          <w:rFonts w:ascii="仿宋" w:hAnsi="仿宋" w:eastAsia="仿宋" w:cs="仿宋_GB2312"/>
          <w:sz w:val="32"/>
          <w:szCs w:val="32"/>
        </w:rPr>
      </w:pPr>
      <w:r>
        <w:rPr>
          <w:rFonts w:hint="eastAsia" w:ascii="仿宋_GB2312" w:hAnsi="微软雅黑" w:eastAsia="仿宋_GB2312"/>
          <w:color w:val="000000"/>
          <w:sz w:val="32"/>
          <w:szCs w:val="32"/>
        </w:rPr>
        <w:t>根据省、市、区下达的法律援助民生工程目标任务，201</w:t>
      </w:r>
      <w:r>
        <w:rPr>
          <w:rFonts w:hint="eastAsia" w:ascii="仿宋_GB2312" w:hAnsi="微软雅黑" w:eastAsia="仿宋_GB2312"/>
          <w:color w:val="000000"/>
          <w:sz w:val="32"/>
          <w:szCs w:val="32"/>
          <w:lang w:val="en-US" w:eastAsia="zh-CN"/>
        </w:rPr>
        <w:t>9</w:t>
      </w:r>
      <w:r>
        <w:rPr>
          <w:rFonts w:hint="eastAsia" w:ascii="仿宋_GB2312" w:hAnsi="微软雅黑" w:eastAsia="仿宋_GB2312"/>
          <w:color w:val="000000"/>
          <w:sz w:val="32"/>
          <w:szCs w:val="32"/>
        </w:rPr>
        <w:t>年，</w:t>
      </w:r>
      <w:r>
        <w:rPr>
          <w:rFonts w:hint="eastAsia" w:ascii="仿宋_GB2312" w:eastAsia="仿宋_GB2312"/>
          <w:sz w:val="32"/>
          <w:szCs w:val="32"/>
        </w:rPr>
        <w:t>为受援人群提供法律援助</w:t>
      </w:r>
      <w:r>
        <w:rPr>
          <w:rFonts w:hint="eastAsia" w:ascii="仿宋_GB2312" w:eastAsia="仿宋_GB2312"/>
          <w:sz w:val="32"/>
          <w:szCs w:val="32"/>
          <w:lang w:val="en-US" w:eastAsia="zh-CN"/>
        </w:rPr>
        <w:t>1789</w:t>
      </w:r>
      <w:r>
        <w:rPr>
          <w:rFonts w:hint="eastAsia" w:ascii="仿宋_GB2312" w:eastAsia="仿宋_GB2312"/>
          <w:sz w:val="32"/>
          <w:szCs w:val="32"/>
        </w:rPr>
        <w:t>人次，完成全年目标任务1600人次的1</w:t>
      </w:r>
      <w:r>
        <w:rPr>
          <w:rFonts w:hint="eastAsia" w:ascii="仿宋_GB2312" w:eastAsia="仿宋_GB2312"/>
          <w:sz w:val="32"/>
          <w:szCs w:val="32"/>
          <w:lang w:val="en-US" w:eastAsia="zh-CN"/>
        </w:rPr>
        <w:t>10</w:t>
      </w:r>
      <w:r>
        <w:rPr>
          <w:rFonts w:hint="eastAsia" w:ascii="仿宋_GB2312" w:eastAsia="仿宋_GB2312"/>
          <w:sz w:val="32"/>
          <w:szCs w:val="32"/>
        </w:rPr>
        <w:t>%；受理法律援助案件</w:t>
      </w:r>
      <w:r>
        <w:rPr>
          <w:rFonts w:hint="eastAsia" w:ascii="仿宋_GB2312" w:eastAsia="仿宋_GB2312"/>
          <w:sz w:val="32"/>
          <w:szCs w:val="32"/>
          <w:lang w:val="en-US" w:eastAsia="zh-CN"/>
        </w:rPr>
        <w:t>189</w:t>
      </w:r>
      <w:r>
        <w:rPr>
          <w:rFonts w:hint="eastAsia" w:ascii="仿宋_GB2312" w:eastAsia="仿宋_GB2312"/>
          <w:sz w:val="32"/>
          <w:szCs w:val="32"/>
        </w:rPr>
        <w:t>件，</w:t>
      </w:r>
      <w:r>
        <w:rPr>
          <w:rFonts w:hint="eastAsia" w:ascii="仿宋_GB2312" w:hAnsi="微软雅黑" w:eastAsia="仿宋_GB2312" w:cs="仿宋_GB2312"/>
          <w:color w:val="000000"/>
          <w:sz w:val="32"/>
          <w:szCs w:val="32"/>
        </w:rPr>
        <w:t>其中，民事案件</w:t>
      </w:r>
      <w:r>
        <w:rPr>
          <w:rFonts w:hint="eastAsia" w:ascii="仿宋_GB2312" w:hAnsi="微软雅黑" w:eastAsia="仿宋_GB2312" w:cs="仿宋_GB2312"/>
          <w:color w:val="000000"/>
          <w:sz w:val="32"/>
          <w:szCs w:val="32"/>
          <w:lang w:val="en-US" w:eastAsia="zh-CN"/>
        </w:rPr>
        <w:t>59</w:t>
      </w:r>
      <w:r>
        <w:rPr>
          <w:rFonts w:hint="eastAsia" w:ascii="仿宋_GB2312" w:hAnsi="微软雅黑" w:eastAsia="仿宋_GB2312" w:cs="仿宋_GB2312"/>
          <w:color w:val="000000"/>
          <w:sz w:val="32"/>
          <w:szCs w:val="32"/>
        </w:rPr>
        <w:t>件，刑事案件</w:t>
      </w:r>
      <w:r>
        <w:rPr>
          <w:rFonts w:hint="eastAsia" w:ascii="仿宋_GB2312" w:hAnsi="微软雅黑" w:eastAsia="仿宋_GB2312" w:cs="仿宋_GB2312"/>
          <w:color w:val="000000"/>
          <w:sz w:val="32"/>
          <w:szCs w:val="32"/>
          <w:lang w:val="en-US" w:eastAsia="zh-CN"/>
        </w:rPr>
        <w:t>121</w:t>
      </w:r>
      <w:r>
        <w:rPr>
          <w:rFonts w:hint="eastAsia" w:ascii="仿宋_GB2312" w:hAnsi="微软雅黑" w:eastAsia="仿宋_GB2312" w:cs="仿宋_GB2312"/>
          <w:color w:val="000000"/>
          <w:sz w:val="32"/>
          <w:szCs w:val="32"/>
        </w:rPr>
        <w:t>件，公证案件</w:t>
      </w:r>
      <w:r>
        <w:rPr>
          <w:rFonts w:hint="eastAsia" w:ascii="仿宋_GB2312" w:hAnsi="微软雅黑" w:eastAsia="仿宋_GB2312" w:cs="仿宋_GB2312"/>
          <w:color w:val="000000"/>
          <w:sz w:val="32"/>
          <w:szCs w:val="32"/>
          <w:lang w:val="en-US" w:eastAsia="zh-CN"/>
        </w:rPr>
        <w:t>9</w:t>
      </w:r>
      <w:r>
        <w:rPr>
          <w:rFonts w:hint="eastAsia" w:ascii="仿宋_GB2312" w:hAnsi="微软雅黑" w:eastAsia="仿宋_GB2312" w:cs="仿宋_GB2312"/>
          <w:color w:val="000000"/>
          <w:sz w:val="32"/>
          <w:szCs w:val="32"/>
        </w:rPr>
        <w:t>件</w:t>
      </w:r>
      <w:r>
        <w:rPr>
          <w:rFonts w:hint="eastAsia" w:ascii="仿宋_GB2312" w:hAnsi="微软雅黑" w:eastAsia="仿宋_GB2312" w:cs="仿宋_GB2312"/>
          <w:color w:val="000000"/>
          <w:sz w:val="32"/>
          <w:szCs w:val="32"/>
          <w:lang w:eastAsia="zh-CN"/>
        </w:rPr>
        <w:t>。</w:t>
      </w:r>
      <w:r>
        <w:rPr>
          <w:rFonts w:hint="eastAsia" w:ascii="仿宋_GB2312" w:hAnsi="微软雅黑" w:eastAsia="仿宋_GB2312" w:cs="仿宋_GB2312"/>
          <w:color w:val="000000"/>
          <w:sz w:val="32"/>
          <w:szCs w:val="32"/>
        </w:rPr>
        <w:t>已办结</w:t>
      </w:r>
      <w:r>
        <w:rPr>
          <w:rFonts w:hint="eastAsia" w:ascii="仿宋_GB2312" w:eastAsia="仿宋_GB2312"/>
          <w:sz w:val="32"/>
          <w:szCs w:val="32"/>
          <w:lang w:val="en-US" w:eastAsia="zh-CN"/>
        </w:rPr>
        <w:t>106</w:t>
      </w:r>
      <w:r>
        <w:rPr>
          <w:rFonts w:hint="eastAsia" w:ascii="仿宋_GB2312" w:eastAsia="仿宋_GB2312"/>
          <w:sz w:val="32"/>
          <w:szCs w:val="32"/>
        </w:rPr>
        <w:t>件，完成全年目标任务150件的</w:t>
      </w:r>
      <w:r>
        <w:rPr>
          <w:rFonts w:hint="eastAsia" w:ascii="仿宋_GB2312" w:eastAsia="仿宋_GB2312"/>
          <w:sz w:val="32"/>
          <w:szCs w:val="32"/>
          <w:lang w:val="en-US" w:eastAsia="zh-CN"/>
        </w:rPr>
        <w:t>113</w:t>
      </w:r>
      <w:r>
        <w:rPr>
          <w:rFonts w:hint="eastAsia" w:ascii="仿宋_GB2312" w:eastAsia="仿宋_GB2312"/>
          <w:sz w:val="32"/>
          <w:szCs w:val="32"/>
        </w:rPr>
        <w:t>%；办理其他法律援助事项1426件，完成全年目标任务1300件的110%；现已建成法律援助接待受理大厅。</w:t>
      </w:r>
      <w:r>
        <w:rPr>
          <w:rFonts w:hint="eastAsia" w:ascii="仿宋_GB2312" w:hAnsi="微软雅黑" w:eastAsia="仿宋_GB2312" w:cs="仿宋_GB2312"/>
          <w:color w:val="000000"/>
          <w:sz w:val="32"/>
          <w:szCs w:val="32"/>
        </w:rPr>
        <w:t>为当事人挽回经济损失600余万元，在人民群众中赢得了良好的口碑。</w:t>
      </w:r>
    </w:p>
    <w:p>
      <w:pPr>
        <w:pageBreakBefore w:val="0"/>
        <w:numPr>
          <w:ilvl w:val="0"/>
          <w:numId w:val="11"/>
        </w:numPr>
        <w:kinsoku/>
        <w:overflowPunct/>
        <w:topLinePunct w:val="0"/>
        <w:bidi w:val="0"/>
        <w:spacing w:line="360" w:lineRule="auto"/>
        <w:ind w:left="0" w:leftChars="0" w:firstLine="640" w:firstLineChars="200"/>
        <w:rPr>
          <w:rFonts w:ascii="仿宋" w:hAnsi="仿宋" w:eastAsia="仿宋" w:cs="仿宋_GB2312"/>
          <w:sz w:val="32"/>
          <w:szCs w:val="32"/>
        </w:rPr>
      </w:pPr>
      <w:r>
        <w:rPr>
          <w:rFonts w:ascii="仿宋" w:hAnsi="仿宋" w:eastAsia="仿宋" w:cs="仿宋_GB2312"/>
          <w:sz w:val="32"/>
          <w:szCs w:val="32"/>
        </w:rPr>
        <w:t>存在主要问题</w:t>
      </w:r>
    </w:p>
    <w:p>
      <w:pPr>
        <w:spacing w:line="576" w:lineRule="exact"/>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 xml:space="preserve"> </w:t>
      </w:r>
      <w:r>
        <w:rPr>
          <w:rFonts w:hint="eastAsia" w:ascii="仿宋_GB2312" w:eastAsia="仿宋_GB2312" w:cs="仿宋_GB2312"/>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1、法律援助案件办理质量有待提升。在法律援助案件承办方面，部分律师和基层法律服务工作者在法律援助案件上投入的时间和精力较少，案件办理效果难以保证。并随着刑事法律援助案件增多，社会律师办理的法律援助案件也随之增多，但基层法律服务工作者所承办的法律援助案件较少。</w:t>
      </w:r>
    </w:p>
    <w:p>
      <w:pPr>
        <w:spacing w:line="576" w:lineRule="exact"/>
        <w:ind w:firstLine="640" w:firstLineChars="200"/>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2、部分值班人员对群众来访登记不规范、不完整，咨询内容记录不详尽，答复意见过于简略。</w:t>
      </w:r>
    </w:p>
    <w:p>
      <w:pPr>
        <w:pageBreakBefore w:val="0"/>
        <w:numPr>
          <w:ilvl w:val="0"/>
          <w:numId w:val="0"/>
        </w:numPr>
        <w:kinsoku/>
        <w:overflowPunct/>
        <w:topLinePunct w:val="0"/>
        <w:bidi w:val="0"/>
        <w:spacing w:line="360" w:lineRule="auto"/>
        <w:ind w:firstLine="640" w:firstLineChars="200"/>
        <w:rPr>
          <w:rFonts w:ascii="仿宋" w:hAnsi="仿宋" w:eastAsia="仿宋" w:cs="仿宋_GB2312"/>
          <w:sz w:val="32"/>
          <w:szCs w:val="32"/>
        </w:rPr>
      </w:pP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在今后的工作中，我们将进一步加强管理，强化律师办案管理，进一步落实相关管理办法，</w:t>
      </w:r>
      <w:r>
        <w:rPr>
          <w:rFonts w:hint="eastAsia" w:ascii="仿宋_GB2312" w:eastAsia="仿宋_GB2312" w:cs="仿宋_GB2312"/>
          <w:sz w:val="32"/>
          <w:szCs w:val="32"/>
          <w:shd w:val="clear" w:color="auto" w:fill="FFFFFF"/>
        </w:rPr>
        <w:t>并科学的指派案件，规范、优化法律援助案件指派程序，克服法律服务资源分布不均的问题，均衡地指派法律援助案件。</w:t>
      </w:r>
      <w:r>
        <w:rPr>
          <w:rFonts w:hint="eastAsia" w:ascii="仿宋_GB2312" w:hAnsi="仿宋" w:eastAsia="仿宋_GB2312" w:cs="仿宋_GB2312"/>
          <w:sz w:val="32"/>
          <w:szCs w:val="32"/>
        </w:rPr>
        <w:t>同时，加强对工作人员业务知识的培训力度，为法律援助民生工程的顺利推动提供有利的基础保障。</w:t>
      </w:r>
    </w:p>
    <w:p>
      <w:pPr>
        <w:pageBreakBefore w:val="0"/>
        <w:kinsoku/>
        <w:overflowPunct/>
        <w:topLinePunct w:val="0"/>
        <w:bidi w:val="0"/>
        <w:spacing w:line="360" w:lineRule="auto"/>
        <w:ind w:firstLine="640" w:firstLineChars="200"/>
        <w:rPr>
          <w:rStyle w:val="26"/>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576"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进一步加强领导，强化责任分工。我们将进一步统一思想，提高认识，切实把法律援助民生工程抓紧抓实，实行主要领导亲自抓，分管负责人具体抓，按照民生工程要求和职责任务，逐项抓好落实。</w:t>
      </w:r>
    </w:p>
    <w:p>
      <w:pPr>
        <w:spacing w:line="576" w:lineRule="exact"/>
        <w:ind w:firstLine="600" w:firstLineChars="200"/>
        <w:rPr>
          <w:rFonts w:hint="eastAsia" w:ascii="仿宋_GB2312" w:eastAsia="仿宋_GB2312" w:cs="仿宋_GB2312"/>
          <w:sz w:val="32"/>
          <w:szCs w:val="32"/>
          <w:shd w:val="clear" w:color="auto" w:fill="FFFFFF"/>
        </w:rPr>
      </w:pPr>
      <w:r>
        <w:rPr>
          <w:rFonts w:hint="eastAsia" w:ascii="仿宋_GB2312" w:hAnsi="仿宋_GB2312" w:eastAsia="仿宋_GB2312" w:cs="仿宋_GB2312"/>
          <w:color w:val="000000"/>
          <w:sz w:val="30"/>
          <w:szCs w:val="30"/>
        </w:rPr>
        <w:t>加强经费保障，破解工作“瓶颈”。</w:t>
      </w:r>
      <w:r>
        <w:rPr>
          <w:rFonts w:hint="eastAsia" w:ascii="仿宋_GB2312" w:eastAsia="仿宋_GB2312" w:cs="仿宋_GB2312"/>
          <w:sz w:val="32"/>
          <w:szCs w:val="32"/>
          <w:shd w:val="clear" w:color="auto" w:fill="FFFFFF"/>
        </w:rPr>
        <w:t>增强各级党政领导对法律援助工作的认识，提高开展法律援助工作的责任意识，尽快落实和增加法律援助财政预算经费，并建立法援经费随法援案件数量增长机制，提供经费保障。</w:t>
      </w:r>
    </w:p>
    <w:p>
      <w:pPr>
        <w:spacing w:line="576" w:lineRule="exact"/>
        <w:ind w:firstLine="640" w:firstLineChars="200"/>
        <w:rPr>
          <w:rFonts w:hint="eastAsia" w:ascii="仿宋_GB2312" w:eastAsia="仿宋_GB2312" w:cs="仿宋_GB2312"/>
          <w:sz w:val="32"/>
          <w:szCs w:val="32"/>
          <w:shd w:val="clear" w:color="auto" w:fill="FFFFFF"/>
        </w:rPr>
      </w:pPr>
    </w:p>
    <w:p>
      <w:pPr>
        <w:spacing w:line="576" w:lineRule="exact"/>
        <w:ind w:firstLine="640" w:firstLineChars="200"/>
        <w:rPr>
          <w:rFonts w:hint="eastAsia" w:ascii="仿宋_GB2312" w:eastAsia="仿宋_GB2312" w:cs="仿宋_GB2312"/>
          <w:sz w:val="32"/>
          <w:szCs w:val="32"/>
          <w:shd w:val="clear" w:color="auto" w:fill="FFFFFF"/>
        </w:rPr>
      </w:pPr>
    </w:p>
    <w:p>
      <w:pPr>
        <w:spacing w:line="576" w:lineRule="exact"/>
        <w:ind w:firstLine="640" w:firstLineChars="200"/>
        <w:rPr>
          <w:rFonts w:hint="eastAsia" w:ascii="仿宋_GB2312" w:eastAsia="仿宋_GB2312" w:cs="仿宋_GB2312"/>
          <w:sz w:val="32"/>
          <w:szCs w:val="32"/>
          <w:shd w:val="clear" w:color="auto" w:fill="FFFFFF"/>
        </w:rPr>
      </w:pPr>
    </w:p>
    <w:p>
      <w:pPr>
        <w:spacing w:line="576" w:lineRule="exact"/>
        <w:ind w:firstLine="640" w:firstLineChars="200"/>
        <w:rPr>
          <w:rFonts w:hint="eastAsia" w:ascii="仿宋_GB2312" w:eastAsia="仿宋_GB2312" w:cs="仿宋_GB2312"/>
          <w:sz w:val="32"/>
          <w:szCs w:val="32"/>
          <w:shd w:val="clear" w:color="auto" w:fill="FFFFFF"/>
        </w:rPr>
      </w:pPr>
    </w:p>
    <w:p>
      <w:pPr>
        <w:spacing w:line="576" w:lineRule="exact"/>
        <w:ind w:firstLine="640" w:firstLineChars="200"/>
        <w:rPr>
          <w:rFonts w:hint="eastAsia" w:ascii="仿宋_GB2312" w:eastAsia="仿宋_GB2312" w:cs="仿宋_GB2312"/>
          <w:sz w:val="32"/>
          <w:szCs w:val="32"/>
          <w:shd w:val="clear" w:color="auto" w:fill="FFFFFF"/>
        </w:rPr>
      </w:pPr>
    </w:p>
    <w:p>
      <w:pPr>
        <w:spacing w:line="576" w:lineRule="exact"/>
        <w:ind w:firstLine="640" w:firstLineChars="200"/>
        <w:rPr>
          <w:rFonts w:hint="eastAsia" w:ascii="仿宋_GB2312" w:eastAsia="仿宋_GB2312" w:cs="仿宋_GB2312"/>
          <w:sz w:val="32"/>
          <w:szCs w:val="32"/>
          <w:shd w:val="clear" w:color="auto" w:fill="FFFFFF"/>
        </w:rPr>
      </w:pPr>
    </w:p>
    <w:p>
      <w:pPr>
        <w:spacing w:line="576" w:lineRule="exact"/>
        <w:ind w:firstLine="640" w:firstLineChars="200"/>
        <w:rPr>
          <w:rFonts w:hint="eastAsia" w:ascii="仿宋_GB2312" w:eastAsia="仿宋_GB2312" w:cs="仿宋_GB2312"/>
          <w:sz w:val="32"/>
          <w:szCs w:val="32"/>
          <w:shd w:val="clear" w:color="auto" w:fill="FFFFFF"/>
        </w:rPr>
      </w:pPr>
    </w:p>
    <w:p>
      <w:pPr>
        <w:spacing w:line="576" w:lineRule="exact"/>
        <w:ind w:firstLine="640" w:firstLineChars="200"/>
        <w:rPr>
          <w:rFonts w:hint="eastAsia" w:ascii="仿宋_GB2312" w:eastAsia="仿宋_GB2312" w:cs="仿宋_GB2312"/>
          <w:sz w:val="32"/>
          <w:szCs w:val="32"/>
          <w:shd w:val="clear" w:color="auto" w:fill="FFFFFF"/>
        </w:rPr>
      </w:pPr>
    </w:p>
    <w:p>
      <w:pPr>
        <w:spacing w:line="576" w:lineRule="exact"/>
        <w:ind w:firstLine="640" w:firstLineChars="200"/>
        <w:rPr>
          <w:rFonts w:hint="eastAsia" w:ascii="仿宋_GB2312" w:eastAsia="仿宋_GB2312" w:cs="仿宋_GB2312"/>
          <w:sz w:val="32"/>
          <w:szCs w:val="32"/>
          <w:shd w:val="clear" w:color="auto" w:fill="FFFFFF"/>
        </w:rPr>
      </w:pPr>
    </w:p>
    <w:p>
      <w:pPr>
        <w:spacing w:line="576" w:lineRule="exact"/>
        <w:ind w:firstLine="640" w:firstLineChars="200"/>
        <w:rPr>
          <w:rFonts w:hint="eastAsia" w:ascii="仿宋_GB2312" w:eastAsia="仿宋_GB2312" w:cs="仿宋_GB2312"/>
          <w:sz w:val="32"/>
          <w:szCs w:val="32"/>
          <w:shd w:val="clear" w:color="auto" w:fill="FFFFFF"/>
        </w:rPr>
      </w:pPr>
    </w:p>
    <w:p>
      <w:pPr>
        <w:spacing w:line="576" w:lineRule="exact"/>
        <w:ind w:firstLine="640" w:firstLineChars="200"/>
        <w:rPr>
          <w:rFonts w:hint="eastAsia" w:ascii="仿宋_GB2312" w:eastAsia="仿宋_GB2312" w:cs="仿宋_GB2312"/>
          <w:sz w:val="32"/>
          <w:szCs w:val="32"/>
          <w:shd w:val="clear" w:color="auto" w:fill="FFFFFF"/>
        </w:rPr>
      </w:pPr>
    </w:p>
    <w:p>
      <w:pPr>
        <w:spacing w:line="576" w:lineRule="exact"/>
        <w:ind w:firstLine="640" w:firstLineChars="200"/>
        <w:rPr>
          <w:rFonts w:hint="eastAsia" w:ascii="仿宋_GB2312" w:eastAsia="仿宋_GB2312" w:cs="仿宋_GB2312"/>
          <w:sz w:val="32"/>
          <w:szCs w:val="32"/>
          <w:shd w:val="clear" w:color="auto" w:fill="FFFFFF"/>
        </w:rPr>
      </w:pPr>
    </w:p>
    <w:p>
      <w:pPr>
        <w:spacing w:line="576" w:lineRule="exact"/>
        <w:ind w:firstLine="640" w:firstLineChars="200"/>
        <w:rPr>
          <w:rFonts w:hint="eastAsia" w:ascii="仿宋_GB2312" w:eastAsia="仿宋_GB2312" w:cs="仿宋_GB2312"/>
          <w:sz w:val="32"/>
          <w:szCs w:val="32"/>
          <w:shd w:val="clear" w:color="auto" w:fill="FFFFFF"/>
        </w:rPr>
      </w:pPr>
    </w:p>
    <w:p>
      <w:pPr>
        <w:spacing w:line="576" w:lineRule="exact"/>
        <w:ind w:firstLine="640" w:firstLineChars="200"/>
        <w:rPr>
          <w:rFonts w:hint="eastAsia" w:ascii="仿宋_GB2312" w:eastAsia="仿宋_GB2312" w:cs="仿宋_GB2312"/>
          <w:sz w:val="32"/>
          <w:szCs w:val="32"/>
          <w:shd w:val="clear" w:color="auto" w:fill="FFFFFF"/>
        </w:rPr>
      </w:pPr>
    </w:p>
    <w:p>
      <w:pPr>
        <w:spacing w:line="576" w:lineRule="exact"/>
        <w:rPr>
          <w:rFonts w:hint="eastAsia" w:ascii="仿宋_GB2312" w:eastAsia="仿宋_GB2312" w:cs="仿宋_GB2312"/>
          <w:sz w:val="32"/>
          <w:szCs w:val="32"/>
          <w:shd w:val="clear" w:color="auto" w:fill="FFFFFF"/>
        </w:rPr>
      </w:pPr>
    </w:p>
    <w:p>
      <w:pPr>
        <w:spacing w:line="600" w:lineRule="exact"/>
        <w:jc w:val="center"/>
        <w:outlineLvl w:val="0"/>
        <w:rPr>
          <w:rStyle w:val="26"/>
          <w:rFonts w:ascii="黑体" w:hAnsi="黑体" w:eastAsia="黑体"/>
          <w:b w:val="0"/>
        </w:rPr>
      </w:pPr>
      <w:bookmarkStart w:id="59" w:name="_Toc15396618"/>
      <w:r>
        <w:rPr>
          <w:rFonts w:hint="eastAsia" w:ascii="黑体" w:hAnsi="黑体" w:eastAsia="黑体"/>
          <w:color w:val="000000"/>
          <w:sz w:val="44"/>
          <w:szCs w:val="44"/>
        </w:rPr>
        <w:t>第</w:t>
      </w:r>
      <w:r>
        <w:rPr>
          <w:rStyle w:val="26"/>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7"/>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63"/>
    </w:p>
    <w:p>
      <w:pPr>
        <w:pStyle w:val="3"/>
        <w:rPr>
          <w:rStyle w:val="27"/>
          <w:rFonts w:ascii="仿宋" w:hAnsi="仿宋" w:eastAsia="仿宋"/>
          <w:b w:val="0"/>
          <w:bCs w:val="0"/>
        </w:rPr>
      </w:pPr>
      <w:bookmarkStart w:id="64"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14:textFill>
            <w14:solidFill>
              <w14:schemeClr w14:val="tx1"/>
            </w14:solidFill>
          </w14:textFill>
        </w:rPr>
      </w:pPr>
      <w:bookmarkStart w:id="72" w:name="_Toc15396631"/>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有资本经营预算支出决算表</w:t>
      </w:r>
      <w:bookmarkEnd w:id="72"/>
      <w:bookmarkStart w:id="73" w:name="_GoBack"/>
      <w:bookmarkEnd w:id="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9</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0A190C"/>
    <w:multiLevelType w:val="singleLevel"/>
    <w:tmpl w:val="8E0A190C"/>
    <w:lvl w:ilvl="0" w:tentative="0">
      <w:start w:val="1"/>
      <w:numFmt w:val="decimal"/>
      <w:suff w:val="nothing"/>
      <w:lvlText w:val="%1、"/>
      <w:lvlJc w:val="left"/>
    </w:lvl>
  </w:abstractNum>
  <w:abstractNum w:abstractNumId="1">
    <w:nsid w:val="B22D3B44"/>
    <w:multiLevelType w:val="singleLevel"/>
    <w:tmpl w:val="B22D3B44"/>
    <w:lvl w:ilvl="0" w:tentative="0">
      <w:start w:val="2"/>
      <w:numFmt w:val="decimal"/>
      <w:suff w:val="nothing"/>
      <w:lvlText w:val="%1、"/>
      <w:lvlJc w:val="left"/>
    </w:lvl>
  </w:abstractNum>
  <w:abstractNum w:abstractNumId="2">
    <w:nsid w:val="B940801F"/>
    <w:multiLevelType w:val="singleLevel"/>
    <w:tmpl w:val="B940801F"/>
    <w:lvl w:ilvl="0" w:tentative="0">
      <w:start w:val="2"/>
      <w:numFmt w:val="chineseCounting"/>
      <w:suff w:val="nothing"/>
      <w:lvlText w:val="（%1）"/>
      <w:lvlJc w:val="left"/>
      <w:rPr>
        <w:rFonts w:hint="eastAsia"/>
      </w:rPr>
    </w:lvl>
  </w:abstractNum>
  <w:abstractNum w:abstractNumId="3">
    <w:nsid w:val="C5DC5DFF"/>
    <w:multiLevelType w:val="singleLevel"/>
    <w:tmpl w:val="C5DC5DFF"/>
    <w:lvl w:ilvl="0" w:tentative="0">
      <w:start w:val="1"/>
      <w:numFmt w:val="chineseCounting"/>
      <w:suff w:val="nothing"/>
      <w:lvlText w:val="%1、"/>
      <w:lvlJc w:val="left"/>
      <w:rPr>
        <w:rFonts w:hint="eastAsia"/>
      </w:rPr>
    </w:lvl>
  </w:abstractNum>
  <w:abstractNum w:abstractNumId="4">
    <w:nsid w:val="CF652CEC"/>
    <w:multiLevelType w:val="singleLevel"/>
    <w:tmpl w:val="CF652CEC"/>
    <w:lvl w:ilvl="0" w:tentative="0">
      <w:start w:val="9"/>
      <w:numFmt w:val="chineseCounting"/>
      <w:suff w:val="nothing"/>
      <w:lvlText w:val="%1、"/>
      <w:lvlJc w:val="left"/>
      <w:rPr>
        <w:rFonts w:hint="eastAsia"/>
      </w:rPr>
    </w:lvl>
  </w:abstractNum>
  <w:abstractNum w:abstractNumId="5">
    <w:nsid w:val="E2FA047D"/>
    <w:multiLevelType w:val="singleLevel"/>
    <w:tmpl w:val="E2FA047D"/>
    <w:lvl w:ilvl="0" w:tentative="0">
      <w:start w:val="3"/>
      <w:numFmt w:val="chineseCounting"/>
      <w:suff w:val="space"/>
      <w:lvlText w:val="第%1部分"/>
      <w:lvlJc w:val="left"/>
      <w:rPr>
        <w:rFonts w:hint="eastAsia"/>
      </w:rPr>
    </w:lvl>
  </w:abstractNum>
  <w:abstractNum w:abstractNumId="6">
    <w:nsid w:val="EA588D70"/>
    <w:multiLevelType w:val="singleLevel"/>
    <w:tmpl w:val="EA588D70"/>
    <w:lvl w:ilvl="0" w:tentative="0">
      <w:start w:val="1"/>
      <w:numFmt w:val="decimal"/>
      <w:lvlText w:val="%1."/>
      <w:lvlJc w:val="left"/>
      <w:pPr>
        <w:tabs>
          <w:tab w:val="left" w:pos="312"/>
        </w:tabs>
      </w:pPr>
    </w:lvl>
  </w:abstractNum>
  <w:abstractNum w:abstractNumId="7">
    <w:nsid w:val="02FADE99"/>
    <w:multiLevelType w:val="singleLevel"/>
    <w:tmpl w:val="02FADE99"/>
    <w:lvl w:ilvl="0" w:tentative="0">
      <w:start w:val="1"/>
      <w:numFmt w:val="chineseCounting"/>
      <w:suff w:val="nothing"/>
      <w:lvlText w:val="%1、"/>
      <w:lvlJc w:val="left"/>
      <w:rPr>
        <w:rFonts w:hint="eastAsia"/>
      </w:rPr>
    </w:lvl>
  </w:abstractNum>
  <w:abstractNum w:abstractNumId="8">
    <w:nsid w:val="09EEDCB9"/>
    <w:multiLevelType w:val="singleLevel"/>
    <w:tmpl w:val="09EEDCB9"/>
    <w:lvl w:ilvl="0" w:tentative="0">
      <w:start w:val="3"/>
      <w:numFmt w:val="decimal"/>
      <w:suff w:val="nothing"/>
      <w:lvlText w:val="%1、"/>
      <w:lvlJc w:val="left"/>
    </w:lvl>
  </w:abstractNum>
  <w:abstractNum w:abstractNumId="9">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0">
    <w:nsid w:val="1CBDE55C"/>
    <w:multiLevelType w:val="singleLevel"/>
    <w:tmpl w:val="1CBDE55C"/>
    <w:lvl w:ilvl="0" w:tentative="0">
      <w:start w:val="3"/>
      <w:numFmt w:val="decimal"/>
      <w:suff w:val="nothing"/>
      <w:lvlText w:val="（%1）"/>
      <w:lvlJc w:val="left"/>
    </w:lvl>
  </w:abstractNum>
  <w:abstractNum w:abstractNumId="11">
    <w:nsid w:val="3F251F26"/>
    <w:multiLevelType w:val="singleLevel"/>
    <w:tmpl w:val="3F251F26"/>
    <w:lvl w:ilvl="0" w:tentative="0">
      <w:start w:val="2"/>
      <w:numFmt w:val="chineseCounting"/>
      <w:suff w:val="nothing"/>
      <w:lvlText w:val="（%1）"/>
      <w:lvlJc w:val="left"/>
      <w:rPr>
        <w:rFonts w:hint="eastAsia"/>
      </w:rPr>
    </w:lvl>
  </w:abstractNum>
  <w:abstractNum w:abstractNumId="12">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12"/>
  </w:num>
  <w:num w:numId="2">
    <w:abstractNumId w:val="9"/>
  </w:num>
  <w:num w:numId="3">
    <w:abstractNumId w:val="6"/>
  </w:num>
  <w:num w:numId="4">
    <w:abstractNumId w:val="4"/>
  </w:num>
  <w:num w:numId="5">
    <w:abstractNumId w:val="3"/>
  </w:num>
  <w:num w:numId="6">
    <w:abstractNumId w:val="10"/>
  </w:num>
  <w:num w:numId="7">
    <w:abstractNumId w:val="0"/>
  </w:num>
  <w:num w:numId="8">
    <w:abstractNumId w:val="5"/>
  </w:num>
  <w:num w:numId="9">
    <w:abstractNumId w:val="2"/>
  </w:num>
  <w:num w:numId="10">
    <w:abstractNumId w:val="11"/>
  </w:num>
  <w:num w:numId="11">
    <w:abstractNumId w:val="7"/>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16BA"/>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0956"/>
    <w:rsid w:val="0021101A"/>
    <w:rsid w:val="00220536"/>
    <w:rsid w:val="00235629"/>
    <w:rsid w:val="0024625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4BC0"/>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3F96"/>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1F17"/>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049B2"/>
    <w:rsid w:val="00D114F0"/>
    <w:rsid w:val="00D20620"/>
    <w:rsid w:val="00D254F7"/>
    <w:rsid w:val="00D26091"/>
    <w:rsid w:val="00D2685C"/>
    <w:rsid w:val="00D34E7C"/>
    <w:rsid w:val="00D35489"/>
    <w:rsid w:val="00D36AFE"/>
    <w:rsid w:val="00D4616A"/>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16F02"/>
    <w:rsid w:val="00E20E05"/>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90521"/>
    <w:rsid w:val="02354504"/>
    <w:rsid w:val="0D5D3010"/>
    <w:rsid w:val="10C055FF"/>
    <w:rsid w:val="11A94D40"/>
    <w:rsid w:val="16BB723D"/>
    <w:rsid w:val="20385A8C"/>
    <w:rsid w:val="216D354A"/>
    <w:rsid w:val="240371BF"/>
    <w:rsid w:val="2404541E"/>
    <w:rsid w:val="29FD04D3"/>
    <w:rsid w:val="319F7F4E"/>
    <w:rsid w:val="353E67AD"/>
    <w:rsid w:val="3AE6479C"/>
    <w:rsid w:val="3C275ACC"/>
    <w:rsid w:val="4095037E"/>
    <w:rsid w:val="445F11AD"/>
    <w:rsid w:val="45932CC2"/>
    <w:rsid w:val="4DCC139F"/>
    <w:rsid w:val="4ECE2238"/>
    <w:rsid w:val="53672797"/>
    <w:rsid w:val="6C556CAA"/>
    <w:rsid w:val="6F925FEB"/>
    <w:rsid w:val="72734D9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page number"/>
    <w:basedOn w:val="14"/>
    <w:qFormat/>
    <w:uiPriority w:val="0"/>
    <w:rPr>
      <w:szCs w:val="20"/>
    </w:rPr>
  </w:style>
  <w:style w:type="character" w:styleId="17">
    <w:name w:val="Hyperlink"/>
    <w:basedOn w:val="14"/>
    <w:unhideWhenUsed/>
    <w:qFormat/>
    <w:uiPriority w:val="99"/>
    <w:rPr>
      <w:color w:val="0000FF" w:themeColor="hyperlink"/>
      <w:u w:val="single"/>
      <w14:textFill>
        <w14:solidFill>
          <w14:schemeClr w14:val="hlink"/>
        </w14:solidFill>
      </w14:textFill>
    </w:rPr>
  </w:style>
  <w:style w:type="character" w:customStyle="1" w:styleId="18">
    <w:name w:val="Header Char"/>
    <w:basedOn w:val="14"/>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4"/>
    <w:semiHidden/>
    <w:qFormat/>
    <w:uiPriority w:val="99"/>
    <w:rPr>
      <w:rFonts w:ascii="Times New Roman" w:hAnsi="Times New Roman"/>
      <w:sz w:val="18"/>
      <w:szCs w:val="18"/>
    </w:rPr>
  </w:style>
  <w:style w:type="character" w:customStyle="1" w:styleId="21">
    <w:name w:val="页脚 Char"/>
    <w:link w:val="8"/>
    <w:qFormat/>
    <w:locked/>
    <w:uiPriority w:val="99"/>
    <w:rPr>
      <w:sz w:val="18"/>
    </w:rPr>
  </w:style>
  <w:style w:type="character" w:customStyle="1" w:styleId="22">
    <w:name w:val="Body Text Char"/>
    <w:basedOn w:val="14"/>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4"/>
    <w:link w:val="2"/>
    <w:qFormat/>
    <w:uiPriority w:val="9"/>
    <w:rPr>
      <w:rFonts w:ascii="Times New Roman" w:hAnsi="Times New Roman"/>
      <w:b/>
      <w:bCs/>
      <w:kern w:val="44"/>
      <w:sz w:val="44"/>
      <w:szCs w:val="44"/>
    </w:rPr>
  </w:style>
  <w:style w:type="character" w:customStyle="1" w:styleId="27">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4"/>
    <w:link w:val="7"/>
    <w:semiHidden/>
    <w:qFormat/>
    <w:uiPriority w:val="99"/>
    <w:rPr>
      <w:rFonts w:ascii="Times New Roman" w:hAnsi="Times New Roman"/>
      <w:kern w:val="2"/>
      <w:sz w:val="18"/>
      <w:szCs w:val="18"/>
    </w:rPr>
  </w:style>
  <w:style w:type="character" w:customStyle="1" w:styleId="30">
    <w:name w:val="标题 3 Char"/>
    <w:basedOn w:val="14"/>
    <w:link w:val="4"/>
    <w:qFormat/>
    <w:uiPriority w:val="9"/>
    <w:rPr>
      <w:rFonts w:ascii="Times New Roman" w:hAnsi="Times New Roman"/>
      <w:b/>
      <w:bCs/>
      <w:kern w:val="2"/>
      <w:sz w:val="32"/>
      <w:szCs w:val="32"/>
    </w:rPr>
  </w:style>
  <w:style w:type="paragraph" w:customStyle="1" w:styleId="31">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Char"/>
    <w:basedOn w:val="1"/>
    <w:qFormat/>
    <w:uiPriority w:val="0"/>
    <w:rPr>
      <w:rFonts w:ascii="Calibri" w:hAnsi="Calibri"/>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3.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5" Type="http://schemas.microsoft.com/office/2011/relationships/chartColorStyle" Target="colors7.xml"/><Relationship Id="rId4" Type="http://schemas.microsoft.com/office/2011/relationships/chartStyle" Target="style7.xml"/><Relationship Id="rId3" Type="http://schemas.openxmlformats.org/officeDocument/2006/relationships/image" Target="../media/image2.png"/><Relationship Id="rId2" Type="http://schemas.openxmlformats.org/officeDocument/2006/relationships/themeOverride" Target="../theme/themeOverride6.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4.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5" Type="http://schemas.microsoft.com/office/2011/relationships/chartColorStyle" Target="colors1.xml"/><Relationship Id="rId4" Type="http://schemas.microsoft.com/office/2011/relationships/chartStyle" Target="style1.xml"/><Relationship Id="rId3" Type="http://schemas.openxmlformats.org/officeDocument/2006/relationships/image" Target="../media/image1.png"/><Relationship Id="rId2" Type="http://schemas.openxmlformats.org/officeDocument/2006/relationships/themeOverride" Target="../theme/themeOverride1.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5.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收、支决算总计变动情况图</a:t>
            </a:r>
          </a:p>
        </c:rich>
      </c:tx>
      <c:layout/>
      <c:overlay val="0"/>
      <c:spPr>
        <a:noFill/>
        <a:ln>
          <a:noFill/>
        </a:ln>
        <a:effectLst/>
      </c:spPr>
    </c:title>
    <c:autoTitleDeleted val="0"/>
    <c:plotArea>
      <c:layout>
        <c:manualLayout>
          <c:layoutTarget val="inner"/>
          <c:xMode val="edge"/>
          <c:yMode val="edge"/>
          <c:x val="0.0451388888888889"/>
          <c:y val="0.181712962962963"/>
          <c:w val="0.914583333333333"/>
          <c:h val="0.595"/>
        </c:manualLayout>
      </c:layout>
      <c:barChart>
        <c:barDir val="col"/>
        <c:grouping val="clustered"/>
        <c:varyColors val="0"/>
        <c:ser>
          <c:idx val="0"/>
          <c:order val="0"/>
          <c:tx>
            <c:strRef>
              <c:f>[工作簿1]Sheet1!$A$2</c:f>
              <c:strCache>
                <c:ptCount val="1"/>
                <c:pt idx="0">
                  <c:v>收入</c:v>
                </c:pt>
              </c:strCache>
            </c:strRef>
          </c:tx>
          <c:spPr>
            <a:solidFill>
              <a:srgbClr val="42506B"/>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[工作簿1]Sheet1!$B$1:$C$1</c:f>
              <c:strCache>
                <c:ptCount val="2"/>
                <c:pt idx="0">
                  <c:v>2018年</c:v>
                </c:pt>
                <c:pt idx="1">
                  <c:v>2019年</c:v>
                </c:pt>
              </c:strCache>
            </c:strRef>
          </c:cat>
          <c:val>
            <c:numRef>
              <c:f>[工作簿1]Sheet1!$B$2:$C$2</c:f>
              <c:numCache>
                <c:formatCode>General</c:formatCode>
                <c:ptCount val="2"/>
                <c:pt idx="0">
                  <c:v>987.91</c:v>
                </c:pt>
                <c:pt idx="1">
                  <c:v>1690.22</c:v>
                </c:pt>
              </c:numCache>
            </c:numRef>
          </c:val>
        </c:ser>
        <c:ser>
          <c:idx val="1"/>
          <c:order val="1"/>
          <c:tx>
            <c:strRef>
              <c:f>[工作簿1]Sheet1!$A$3</c:f>
              <c:strCache>
                <c:ptCount val="1"/>
                <c:pt idx="0">
                  <c:v>支出</c:v>
                </c:pt>
              </c:strCache>
            </c:strRef>
          </c:tx>
          <c:spPr>
            <a:solidFill>
              <a:srgbClr val="F04A4C"/>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[工作簿1]Sheet1!$B$1:$C$1</c:f>
              <c:strCache>
                <c:ptCount val="2"/>
                <c:pt idx="0">
                  <c:v>2018年</c:v>
                </c:pt>
                <c:pt idx="1">
                  <c:v>2019年</c:v>
                </c:pt>
              </c:strCache>
            </c:strRef>
          </c:cat>
          <c:val>
            <c:numRef>
              <c:f>[工作簿1]Sheet1!$B$3:$C$3</c:f>
              <c:numCache>
                <c:formatCode>General</c:formatCode>
                <c:ptCount val="2"/>
                <c:pt idx="0">
                  <c:v>968.91</c:v>
                </c:pt>
                <c:pt idx="1">
                  <c:v>1424.86</c:v>
                </c:pt>
              </c:numCache>
            </c:numRef>
          </c:val>
        </c:ser>
        <c:dLbls>
          <c:showLegendKey val="0"/>
          <c:showVal val="1"/>
          <c:showCatName val="0"/>
          <c:showSerName val="0"/>
          <c:showPercent val="0"/>
          <c:showBubbleSize val="0"/>
        </c:dLbls>
        <c:gapWidth val="219"/>
        <c:overlap val="-27"/>
        <c:axId val="297589505"/>
        <c:axId val="576081830"/>
      </c:barChart>
      <c:catAx>
        <c:axId val="297589505"/>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alpha val="41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576081830"/>
        <c:crosses val="autoZero"/>
        <c:auto val="1"/>
        <c:lblAlgn val="ctr"/>
        <c:lblOffset val="100"/>
        <c:noMultiLvlLbl val="0"/>
      </c:catAx>
      <c:valAx>
        <c:axId val="576081830"/>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9758950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rgbClr val="2A3950"/>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6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收入决算结构图</a:t>
            </a:r>
          </a:p>
        </c:rich>
      </c:tx>
      <c:layout>
        <c:manualLayout>
          <c:xMode val="edge"/>
          <c:yMode val="edge"/>
          <c:x val="0.285277777777778"/>
          <c:y val="0.0381944444444444"/>
        </c:manualLayout>
      </c:layout>
      <c:overlay val="0"/>
      <c:spPr>
        <a:noFill/>
        <a:ln>
          <a:noFill/>
        </a:ln>
        <a:effectLst/>
      </c:spPr>
    </c:title>
    <c:autoTitleDeleted val="0"/>
    <c:plotArea>
      <c:layout>
        <c:manualLayout>
          <c:layoutTarget val="inner"/>
          <c:xMode val="edge"/>
          <c:yMode val="edge"/>
          <c:x val="0.26465889612255"/>
          <c:y val="0.211675094816688"/>
          <c:w val="0.400959024181846"/>
          <c:h val="0.669068338249754"/>
        </c:manualLayout>
      </c:layout>
      <c:pieChart>
        <c:varyColors val="1"/>
        <c:ser>
          <c:idx val="0"/>
          <c:order val="0"/>
          <c:tx>
            <c:strRef>
              <c:f>[工作簿1]Sheet1!$A$2</c:f>
              <c:strCache>
                <c:ptCount val="1"/>
                <c:pt idx="0">
                  <c:v>收入</c:v>
                </c:pt>
              </c:strCache>
            </c:strRef>
          </c:tx>
          <c:spPr>
            <a:solidFill>
              <a:srgbClr val="1E2223"/>
            </a:solidFill>
            <a:ln w="19050" cap="rnd" cmpd="sng">
              <a:solidFill>
                <a:schemeClr val="tx1">
                  <a:lumMod val="65000"/>
                  <a:lumOff val="35000"/>
                </a:schemeClr>
              </a:solidFill>
              <a:prstDash val="solid"/>
              <a:round/>
            </a:ln>
            <a:effectLst/>
          </c:spPr>
          <c:explosion val="0"/>
          <c:dPt>
            <c:idx val="0"/>
            <c:bubble3D val="0"/>
            <c:spPr>
              <a:solidFill>
                <a:srgbClr val="FFD588"/>
              </a:solidFill>
              <a:ln w="19050" cap="rnd" cmpd="sng">
                <a:solidFill>
                  <a:schemeClr val="tx1">
                    <a:lumMod val="65000"/>
                    <a:lumOff val="35000"/>
                  </a:schemeClr>
                </a:solidFill>
                <a:prstDash val="solid"/>
                <a:round/>
              </a:ln>
              <a:effectLst/>
            </c:spPr>
          </c:dPt>
          <c:dLbls>
            <c:dLbl>
              <c:idx val="0"/>
              <c:layout/>
              <c:numFmt formatCode="General" sourceLinked="1"/>
              <c:spPr>
                <a:solidFill>
                  <a:srgbClr val="F3BF61"/>
                </a:solidFill>
                <a:ln>
                  <a:solidFill>
                    <a:schemeClr val="tx1">
                      <a:lumMod val="65000"/>
                      <a:lumOff val="3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extLst>
                <c:ext xmlns:c15="http://schemas.microsoft.com/office/drawing/2012/chart" uri="{CE6537A1-D6FC-4f65-9D91-7224C49458BB}"/>
              </c:extLst>
            </c:dLbl>
            <c:numFmt formatCode="General" sourceLinked="1"/>
            <c:spPr>
              <a:solidFill>
                <a:srgbClr val="FFD588"/>
              </a:solidFill>
              <a:ln>
                <a:solidFill>
                  <a:schemeClr val="tx1">
                    <a:lumMod val="65000"/>
                    <a:lumOff val="3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[工作簿1]Sheet1!$B$1</c:f>
              <c:strCache>
                <c:ptCount val="1"/>
                <c:pt idx="0">
                  <c:v>2019年</c:v>
                </c:pt>
              </c:strCache>
            </c:strRef>
          </c:cat>
          <c:val>
            <c:numRef>
              <c:f>[工作簿1]Sheet1!$B$2</c:f>
              <c:numCache>
                <c:formatCode>General</c:formatCode>
                <c:ptCount val="1"/>
                <c:pt idx="0">
                  <c:v>1690.22</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r"/>
      <c:layout>
        <c:manualLayout>
          <c:xMode val="edge"/>
          <c:yMode val="edge"/>
          <c:x val="0.844566318826611"/>
          <c:y val="0.296649108020789"/>
          <c:w val="0.0974115606924251"/>
          <c:h val="0.451567635903919"/>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blipFill rotWithShape="1">
      <a:blip xmlns:r="http://schemas.openxmlformats.org/officeDocument/2006/relationships" r:embed="rId3"/>
      <a:stretch>
        <a:fillRect/>
      </a:stretch>
    </a:blipFill>
    <a:ln w="9525" cap="flat" cmpd="sng" algn="ctr">
      <a:noFill/>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tx>
            <c:strRef>
              <c:f>[工作簿1]Sheet1!$B$1</c:f>
              <c:strCache>
                <c:ptCount val="1"/>
                <c:pt idx="0">
                  <c:v>金额</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dLbl>
              <c:idx val="0"/>
              <c:layout/>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extLst>
                <c:ext xmlns:c15="http://schemas.microsoft.com/office/drawing/2012/chart" uri="{CE6537A1-D6FC-4f65-9D91-7224C49458BB}"/>
              </c:extLst>
            </c:dLbl>
            <c:dLbl>
              <c:idx val="1"/>
              <c:layout/>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[工作簿1]Sheet1!$A$2:$A$3</c:f>
              <c:strCache>
                <c:ptCount val="2"/>
                <c:pt idx="0">
                  <c:v>基本支出808.9</c:v>
                </c:pt>
                <c:pt idx="1">
                  <c:v>项目支出615.96</c:v>
                </c:pt>
              </c:strCache>
            </c:strRef>
          </c:cat>
          <c:val>
            <c:numRef>
              <c:f>[工作簿1]Sheet1!$B$2:$B$3</c:f>
              <c:numCache>
                <c:formatCode>General</c:formatCode>
                <c:ptCount val="2"/>
                <c:pt idx="0">
                  <c:v>808.9</c:v>
                </c:pt>
                <c:pt idx="1">
                  <c:v>615.96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财政拨款收、支决算总计变动情况图</a:t>
            </a:r>
          </a:p>
        </c:rich>
      </c:tx>
      <c:layout/>
      <c:overlay val="0"/>
      <c:spPr>
        <a:noFill/>
        <a:ln>
          <a:noFill/>
        </a:ln>
        <a:effectLst/>
      </c:spPr>
    </c:title>
    <c:autoTitleDeleted val="0"/>
    <c:plotArea>
      <c:layout>
        <c:manualLayout>
          <c:layoutTarget val="inner"/>
          <c:xMode val="edge"/>
          <c:yMode val="edge"/>
          <c:x val="0.0157237314312813"/>
          <c:y val="0.264130545380545"/>
          <c:w val="0.914583333333333"/>
          <c:h val="0.595"/>
        </c:manualLayout>
      </c:layout>
      <c:barChart>
        <c:barDir val="col"/>
        <c:grouping val="clustered"/>
        <c:varyColors val="0"/>
        <c:ser>
          <c:idx val="0"/>
          <c:order val="0"/>
          <c:tx>
            <c:strRef>
              <c:f>[工作簿1]Sheet1!$A$2</c:f>
              <c:strCache>
                <c:ptCount val="1"/>
                <c:pt idx="0">
                  <c:v>收入</c:v>
                </c:pt>
              </c:strCache>
            </c:strRef>
          </c:tx>
          <c:spPr>
            <a:solidFill>
              <a:srgbClr val="42506B"/>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[工作簿1]Sheet1!$B$1:$C$1</c:f>
              <c:strCache>
                <c:ptCount val="2"/>
                <c:pt idx="0">
                  <c:v>2018年</c:v>
                </c:pt>
                <c:pt idx="1">
                  <c:v>2019年</c:v>
                </c:pt>
              </c:strCache>
            </c:strRef>
          </c:cat>
          <c:val>
            <c:numRef>
              <c:f>[工作簿1]Sheet1!$B$2:$C$2</c:f>
              <c:numCache>
                <c:formatCode>General</c:formatCode>
                <c:ptCount val="2"/>
                <c:pt idx="0">
                  <c:v>987.91</c:v>
                </c:pt>
                <c:pt idx="1">
                  <c:v>1690.22</c:v>
                </c:pt>
              </c:numCache>
            </c:numRef>
          </c:val>
        </c:ser>
        <c:ser>
          <c:idx val="1"/>
          <c:order val="1"/>
          <c:tx>
            <c:strRef>
              <c:f>[工作簿1]Sheet1!$A$3</c:f>
              <c:strCache>
                <c:ptCount val="1"/>
                <c:pt idx="0">
                  <c:v>支出</c:v>
                </c:pt>
              </c:strCache>
            </c:strRef>
          </c:tx>
          <c:spPr>
            <a:solidFill>
              <a:srgbClr val="F04A4C"/>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[工作簿1]Sheet1!$B$1:$C$1</c:f>
              <c:strCache>
                <c:ptCount val="2"/>
                <c:pt idx="0">
                  <c:v>2018年</c:v>
                </c:pt>
                <c:pt idx="1">
                  <c:v>2019年</c:v>
                </c:pt>
              </c:strCache>
            </c:strRef>
          </c:cat>
          <c:val>
            <c:numRef>
              <c:f>[工作簿1]Sheet1!$B$3:$C$3</c:f>
              <c:numCache>
                <c:formatCode>General</c:formatCode>
                <c:ptCount val="2"/>
                <c:pt idx="0">
                  <c:v>968.91</c:v>
                </c:pt>
                <c:pt idx="1">
                  <c:v>1424.86</c:v>
                </c:pt>
              </c:numCache>
            </c:numRef>
          </c:val>
        </c:ser>
        <c:dLbls>
          <c:showLegendKey val="0"/>
          <c:showVal val="1"/>
          <c:showCatName val="0"/>
          <c:showSerName val="0"/>
          <c:showPercent val="0"/>
          <c:showBubbleSize val="0"/>
        </c:dLbls>
        <c:gapWidth val="219"/>
        <c:overlap val="-27"/>
        <c:axId val="297589505"/>
        <c:axId val="576081830"/>
      </c:barChart>
      <c:catAx>
        <c:axId val="297589505"/>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alpha val="41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576081830"/>
        <c:crosses val="autoZero"/>
        <c:auto val="1"/>
        <c:lblAlgn val="ctr"/>
        <c:lblOffset val="100"/>
        <c:noMultiLvlLbl val="0"/>
      </c:catAx>
      <c:valAx>
        <c:axId val="576081830"/>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9758950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rgbClr val="2A3950"/>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cap="none" spc="0" normalizeH="0" baseline="0">
                <a:solidFill>
                  <a:schemeClr val="tx1">
                    <a:lumMod val="75000"/>
                    <a:lumOff val="25000"/>
                  </a:schemeClr>
                </a:solidFill>
                <a:latin typeface="微软雅黑" panose="020B0503020204020204" charset="-122"/>
                <a:ea typeface="微软雅黑" panose="020B0503020204020204" charset="-122"/>
                <a:cs typeface="+mj-cs"/>
              </a:defRPr>
            </a:pPr>
            <a:r>
              <a:t>一般公共预算财政拨款支出决算变动情况</a:t>
            </a:r>
          </a:p>
        </c:rich>
      </c:tx>
      <c:layout/>
      <c:overlay val="0"/>
      <c:spPr>
        <a:noFill/>
        <a:ln>
          <a:noFill/>
        </a:ln>
        <a:effectLst/>
      </c:spPr>
    </c:title>
    <c:autoTitleDeleted val="0"/>
    <c:plotArea>
      <c:layout>
        <c:manualLayout>
          <c:layoutTarget val="inner"/>
          <c:xMode val="edge"/>
          <c:yMode val="edge"/>
          <c:x val="0.0570833333333333"/>
          <c:y val="0.255324074074074"/>
          <c:w val="0.900277777777778"/>
          <c:h val="0.564907407407407"/>
        </c:manualLayout>
      </c:layout>
      <c:barChart>
        <c:barDir val="col"/>
        <c:grouping val="clustered"/>
        <c:varyColors val="0"/>
        <c:ser>
          <c:idx val="0"/>
          <c:order val="0"/>
          <c:tx>
            <c:strRef>
              <c:f>[工作簿1]Sheet1!$B$1</c:f>
              <c:strCache>
                <c:ptCount val="1"/>
                <c:pt idx="0">
                  <c:v>金额</c:v>
                </c:pt>
              </c:strCache>
            </c:strRef>
          </c:tx>
          <c:spPr>
            <a:blipFill dpi="0" rotWithShape="1">
              <a:blip xmlns:r="http://schemas.openxmlformats.org/officeDocument/2006/relationships" r:embed="rId3"/>
              <a:srcRect/>
              <a:stretch>
                <a:fillRect/>
              </a:stretch>
            </a:blip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800" b="0" i="0" u="none" strike="noStrike" kern="1200" baseline="0">
                    <a:solidFill>
                      <a:schemeClr val="bg1"/>
                    </a:solidFill>
                    <a:latin typeface="微软雅黑" panose="020B0503020204020204" charset="-122"/>
                    <a:ea typeface="微软雅黑" panose="020B0503020204020204" charset="-122"/>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[工作簿1]Sheet1!$A$2:$A$3</c:f>
              <c:strCache>
                <c:ptCount val="2"/>
                <c:pt idx="0">
                  <c:v>2018年</c:v>
                </c:pt>
                <c:pt idx="1">
                  <c:v>2019年</c:v>
                </c:pt>
              </c:strCache>
            </c:strRef>
          </c:cat>
          <c:val>
            <c:numRef>
              <c:f>[工作簿1]Sheet1!$B$2:$B$3</c:f>
              <c:numCache>
                <c:formatCode>General</c:formatCode>
                <c:ptCount val="2"/>
                <c:pt idx="0">
                  <c:v>968.9</c:v>
                </c:pt>
                <c:pt idx="1">
                  <c:v>1424.86</c:v>
                </c:pt>
              </c:numCache>
            </c:numRef>
          </c:val>
        </c:ser>
        <c:dLbls>
          <c:showLegendKey val="0"/>
          <c:showVal val="1"/>
          <c:showCatName val="0"/>
          <c:showSerName val="0"/>
          <c:showPercent val="0"/>
          <c:showBubbleSize val="0"/>
        </c:dLbls>
        <c:gapWidth val="184"/>
        <c:overlap val="-10"/>
        <c:axId val="977160165"/>
        <c:axId val="676895164"/>
      </c:barChart>
      <c:catAx>
        <c:axId val="977160165"/>
        <c:scaling>
          <c:orientation val="minMax"/>
        </c:scaling>
        <c:delete val="0"/>
        <c:axPos val="b"/>
        <c:numFmt formatCode="General" sourceLinked="0"/>
        <c:majorTickMark val="none"/>
        <c:minorTickMark val="none"/>
        <c:tickLblPos val="nextTo"/>
        <c:spPr>
          <a:noFill/>
          <a:ln w="9525" cap="flat" cmpd="sng" algn="ctr">
            <a:solidFill>
              <a:sysClr val="window" lastClr="FFFFFF">
                <a:lumMod val="95000"/>
              </a:sysClr>
            </a:solidFill>
            <a:round/>
          </a:ln>
          <a:effectLst/>
        </c:spPr>
        <c:txPr>
          <a:bodyPr rot="-60000000" spcFirstLastPara="0" vertOverflow="ellipsis" vert="horz" wrap="square" anchor="ctr" anchorCtr="1" forceAA="0"/>
          <a:lstStyle/>
          <a:p>
            <a:pPr>
              <a:defRPr lang="zh-CN" sz="900" b="0" i="0" u="none" strike="noStrike" kern="1200" cap="none" spc="0" normalizeH="0" baseline="0">
                <a:solidFill>
                  <a:schemeClr val="tx1">
                    <a:lumMod val="50000"/>
                    <a:lumOff val="50000"/>
                  </a:schemeClr>
                </a:solidFill>
                <a:latin typeface="微软雅黑" panose="020B0503020204020204" charset="-122"/>
                <a:ea typeface="微软雅黑" panose="020B0503020204020204" charset="-122"/>
                <a:cs typeface="+mn-cs"/>
              </a:defRPr>
            </a:pPr>
          </a:p>
        </c:txPr>
        <c:crossAx val="676895164"/>
        <c:crosses val="autoZero"/>
        <c:auto val="1"/>
        <c:lblAlgn val="ctr"/>
        <c:lblOffset val="100"/>
        <c:noMultiLvlLbl val="0"/>
      </c:catAx>
      <c:valAx>
        <c:axId val="676895164"/>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800" b="0" i="0" u="none" strike="noStrike" kern="1200" baseline="0">
                <a:solidFill>
                  <a:schemeClr val="tx1">
                    <a:lumMod val="50000"/>
                    <a:lumOff val="50000"/>
                  </a:schemeClr>
                </a:solidFill>
                <a:latin typeface="微软雅黑" panose="020B0503020204020204" charset="-122"/>
                <a:ea typeface="微软雅黑" panose="020B0503020204020204" charset="-122"/>
                <a:cs typeface="+mn-cs"/>
              </a:defRPr>
            </a:pPr>
          </a:p>
        </c:txPr>
        <c:crossAx val="977160165"/>
        <c:crosses val="autoZero"/>
        <c:crossBetween val="between"/>
      </c:valAx>
      <c:spPr>
        <a:pattFill prst="ltDnDiag">
          <a:fgClr>
            <a:srgbClr val="000000">
              <a:alpha val="0"/>
            </a:srgbClr>
          </a:fgClr>
          <a:bgClr>
            <a:srgbClr val="FFFFFF"/>
          </a:bgClr>
        </a:pattFill>
        <a:ln w="3175">
          <a:solidFill>
            <a:sysClr val="window" lastClr="FFFFFF"/>
          </a:solid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a:outerShdw blurRad="63500" dist="37357" dir="2700000" sx="0" sy="0" rotWithShape="0">
        <a:scrgbClr r="0" g="0" b="0"/>
      </a:outerShdw>
    </a:effectLst>
  </c:spPr>
  <c:txPr>
    <a:bodyPr/>
    <a:lstStyle/>
    <a:p>
      <a:pPr>
        <a:defRPr lang="zh-CN" sz="800" b="0">
          <a:solidFill>
            <a:schemeClr val="tx1">
              <a:lumMod val="50000"/>
              <a:lumOff val="50000"/>
            </a:schemeClr>
          </a:solidFill>
          <a:latin typeface="微软雅黑" panose="020B0503020204020204" charset="-122"/>
          <a:ea typeface="微软雅黑" panose="020B0503020204020204"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mn-cs"/>
              </a:defRPr>
            </a:pPr>
            <a:r>
              <a:t>一般公共预算财政拨款支出决算结构情况表</a:t>
            </a:r>
          </a:p>
        </c:rich>
      </c:tx>
      <c:layout/>
      <c:overlay val="0"/>
      <c:spPr>
        <a:noFill/>
        <a:ln>
          <a:noFill/>
        </a:ln>
        <a:effectLst/>
      </c:spPr>
    </c:title>
    <c:autoTitleDeleted val="0"/>
    <c:plotArea>
      <c:layout/>
      <c:pieChart>
        <c:varyColors val="1"/>
        <c:ser>
          <c:idx val="0"/>
          <c:order val="0"/>
          <c:spPr>
            <a:ln w="19050">
              <a:noFill/>
            </a:ln>
            <a:effectLst>
              <a:outerShdw blurRad="50800" dist="38100" dir="5400000" algn="t" rotWithShape="0">
                <a:prstClr val="black">
                  <a:alpha val="40000"/>
                </a:prstClr>
              </a:outerShdw>
            </a:effectLst>
          </c:spPr>
          <c:explosion val="4"/>
          <c:dPt>
            <c:idx val="0"/>
            <c:bubble3D val="0"/>
            <c:explosion val="3"/>
            <c:spPr>
              <a:solidFill>
                <a:srgbClr val="1F497D">
                  <a:lumMod val="60000"/>
                  <a:lumOff val="40000"/>
                </a:srgbClr>
              </a:solidFill>
              <a:ln w="19050">
                <a:noFill/>
              </a:ln>
              <a:effectLst>
                <a:outerShdw blurRad="50800" dist="38100" dir="5400000" algn="t" rotWithShape="0">
                  <a:prstClr val="black">
                    <a:alpha val="40000"/>
                  </a:prstClr>
                </a:outerShdw>
              </a:effectLst>
            </c:spPr>
          </c:dPt>
          <c:dPt>
            <c:idx val="1"/>
            <c:bubble3D val="0"/>
            <c:explosion val="0"/>
            <c:spPr>
              <a:solidFill>
                <a:srgbClr val="F79646">
                  <a:lumMod val="60000"/>
                  <a:lumOff val="40000"/>
                </a:srgbClr>
              </a:solidFill>
              <a:ln w="19050">
                <a:noFill/>
              </a:ln>
              <a:effectLst>
                <a:outerShdw blurRad="50800" dist="38100" dir="5400000" algn="t" rotWithShape="0">
                  <a:prstClr val="black">
                    <a:alpha val="40000"/>
                  </a:prstClr>
                </a:outerShdw>
              </a:effectLst>
            </c:spPr>
          </c:dPt>
          <c:dPt>
            <c:idx val="2"/>
            <c:bubble3D val="0"/>
            <c:explosion val="0"/>
            <c:spPr>
              <a:solidFill>
                <a:srgbClr val="8D6EFF"/>
              </a:solidFill>
              <a:ln w="19050">
                <a:noFill/>
              </a:ln>
              <a:effectLst>
                <a:outerShdw blurRad="50800" dist="38100" dir="5400000" algn="t" rotWithShape="0">
                  <a:prstClr val="black">
                    <a:alpha val="40000"/>
                  </a:prstClr>
                </a:outerShdw>
              </a:effectLst>
            </c:spPr>
          </c:dPt>
          <c:dPt>
            <c:idx val="3"/>
            <c:bubble3D val="0"/>
            <c:explosion val="0"/>
            <c:spPr>
              <a:solidFill>
                <a:srgbClr val="C0504D"/>
              </a:solidFill>
              <a:ln w="19050">
                <a:noFill/>
              </a:ln>
              <a:effectLst>
                <a:outerShdw blurRad="50800" dist="38100" dir="5400000" algn="t" rotWithShape="0">
                  <a:prstClr val="black">
                    <a:alpha val="40000"/>
                  </a:prstClr>
                </a:outerShdw>
              </a:effectLst>
            </c:spPr>
          </c:dPt>
          <c:dPt>
            <c:idx val="4"/>
            <c:bubble3D val="0"/>
            <c:explosion val="0"/>
            <c:spPr>
              <a:solidFill>
                <a:srgbClr val="A582FF"/>
              </a:solidFill>
              <a:ln w="19050">
                <a:noFill/>
              </a:ln>
              <a:effectLst>
                <a:outerShdw blurRad="50800" dist="38100" dir="5400000" algn="t" rotWithShape="0">
                  <a:prstClr val="black">
                    <a:alpha val="40000"/>
                  </a:prstClr>
                </a:outerShdw>
              </a:effectLst>
            </c:spPr>
          </c:dPt>
          <c:dLbls>
            <c:dLbl>
              <c:idx val="0"/>
              <c:layout>
                <c:manualLayout>
                  <c:x val="0.243934086157045"/>
                  <c:y val="-0.120945695021133"/>
                </c:manualLayout>
              </c:layout>
              <c:numFmt formatCode="General" sourceLinked="1"/>
              <c:spPr>
                <a:solidFill>
                  <a:srgbClr val="4BACC6">
                    <a:lumMod val="60000"/>
                    <a:lumOff val="40000"/>
                    <a:alpha val="0"/>
                  </a:srgbClr>
                </a:solid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bg1"/>
                      </a:solidFill>
                      <a:latin typeface="微软雅黑" panose="020B0503020204020204" charset="-122"/>
                      <a:ea typeface="微软雅黑" panose="020B0503020204020204"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227328136883299"/>
                  <c:y val="0.18941208241824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19457179367973"/>
                  <c:y val="0.033224944877269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691370820078507"/>
                  <c:y val="0.010339991566813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57615200411074"/>
                  <c:y val="0.068096451140886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General" sourceLinked="1"/>
            <c:spPr>
              <a:solidFill>
                <a:srgbClr val="4BACC6">
                  <a:lumMod val="60000"/>
                  <a:lumOff val="40000"/>
                </a:srgbClr>
              </a:solid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bg1"/>
                    </a:solidFill>
                    <a:latin typeface="微软雅黑" panose="020B0503020204020204" charset="-122"/>
                    <a:ea typeface="微软雅黑" panose="020B0503020204020204" charset="-122"/>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[工作簿1]Sheet1!$A$1:$A$5</c:f>
              <c:strCache>
                <c:ptCount val="5"/>
                <c:pt idx="0">
                  <c:v>一般公共服务（类）</c:v>
                </c:pt>
                <c:pt idx="1">
                  <c:v>社会保障和就业（类）</c:v>
                </c:pt>
                <c:pt idx="2">
                  <c:v>卫生健康支出</c:v>
                </c:pt>
                <c:pt idx="3">
                  <c:v>住房保障支出</c:v>
                </c:pt>
                <c:pt idx="4">
                  <c:v>农林水支出</c:v>
                </c:pt>
              </c:strCache>
            </c:strRef>
          </c:cat>
          <c:val>
            <c:numRef>
              <c:f>[工作簿1]Sheet1!$B$1:$B$5</c:f>
              <c:numCache>
                <c:formatCode>General</c:formatCode>
                <c:ptCount val="5"/>
                <c:pt idx="0">
                  <c:v>1300.52</c:v>
                </c:pt>
                <c:pt idx="1">
                  <c:v>64.29</c:v>
                </c:pt>
                <c:pt idx="2">
                  <c:v>24.28</c:v>
                </c:pt>
                <c:pt idx="3">
                  <c:v>35.27</c:v>
                </c:pt>
                <c:pt idx="4">
                  <c:v>0.5</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gradFill flip="none" rotWithShape="1">
      <a:gsLst>
        <a:gs pos="0">
          <a:schemeClr val="bg1">
            <a:lumMod val="95000"/>
          </a:schemeClr>
        </a:gs>
        <a:gs pos="100000">
          <a:schemeClr val="bg1">
            <a:lumMod val="50000"/>
          </a:schemeClr>
        </a:gs>
      </a:gsLst>
      <a:path path="circle">
        <a:fillToRect l="50000" t="50000" r="50000" b="50000"/>
      </a:path>
      <a:tileRect/>
    </a:gra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mn-cs"/>
              </a:defRPr>
            </a:pPr>
            <a:r>
              <a:t>“三公”经费支出情况结构图</a:t>
            </a:r>
          </a:p>
        </c:rich>
      </c:tx>
      <c:layout/>
      <c:overlay val="0"/>
      <c:spPr>
        <a:noFill/>
        <a:ln>
          <a:noFill/>
        </a:ln>
        <a:effectLst/>
      </c:spPr>
    </c:title>
    <c:autoTitleDeleted val="0"/>
    <c:plotArea>
      <c:layout/>
      <c:pieChart>
        <c:varyColors val="1"/>
        <c:ser>
          <c:idx val="0"/>
          <c:order val="0"/>
          <c:tx>
            <c:strRef>
              <c:f>[工作簿1]Sheet1!#REF!</c:f>
              <c:strCache>
                <c:ptCount val="1"/>
                <c:pt idx="0">
                  <c:v/>
                </c:pt>
              </c:strCache>
            </c:strRef>
          </c:tx>
          <c:spPr>
            <a:solidFill>
              <a:srgbClr val="C0504D"/>
            </a:solidFill>
            <a:ln w="19050">
              <a:noFill/>
            </a:ln>
            <a:effectLst>
              <a:outerShdw blurRad="50800" dist="38100" dir="5400000" algn="t" rotWithShape="0">
                <a:prstClr val="black">
                  <a:alpha val="40000"/>
                </a:prstClr>
              </a:outerShdw>
            </a:effectLst>
          </c:spPr>
          <c:explosion val="4"/>
          <c:dPt>
            <c:idx val="0"/>
            <c:bubble3D val="0"/>
            <c:explosion val="0"/>
            <c:spPr>
              <a:solidFill>
                <a:srgbClr val="4F81BD"/>
              </a:solidFill>
              <a:ln w="19050">
                <a:noFill/>
              </a:ln>
              <a:effectLst>
                <a:outerShdw blurRad="50800" dist="38100" dir="5400000" algn="t" rotWithShape="0">
                  <a:prstClr val="black">
                    <a:alpha val="40000"/>
                  </a:prstClr>
                </a:outerShdw>
              </a:effectLst>
            </c:spPr>
          </c:dPt>
          <c:dPt>
            <c:idx val="1"/>
            <c:bubble3D val="0"/>
            <c:explosion val="13"/>
            <c:spPr>
              <a:solidFill>
                <a:srgbClr val="C0504D"/>
              </a:solidFill>
              <a:ln w="19050">
                <a:noFill/>
              </a:ln>
              <a:effectLst>
                <a:outerShdw blurRad="50800" dist="38100" dir="5400000" algn="t" rotWithShape="0">
                  <a:prstClr val="black">
                    <a:alpha val="40000"/>
                  </a:prstClr>
                </a:outerShdw>
              </a:effectLst>
            </c:spPr>
          </c:dPt>
          <c:dPt>
            <c:idx val="2"/>
            <c:bubble3D val="0"/>
            <c:explosion val="0"/>
            <c:spPr>
              <a:solidFill>
                <a:srgbClr val="C0504D"/>
              </a:solidFill>
              <a:ln w="19050">
                <a:noFill/>
              </a:ln>
              <a:effectLst>
                <a:outerShdw blurRad="50800" dist="38100" dir="5400000" algn="t" rotWithShape="0">
                  <a:prstClr val="black">
                    <a:alpha val="40000"/>
                  </a:prstClr>
                </a:outerShdw>
              </a:effectLst>
            </c:spPr>
          </c:dPt>
          <c:dPt>
            <c:idx val="3"/>
            <c:bubble3D val="0"/>
            <c:explosion val="0"/>
            <c:spPr>
              <a:solidFill>
                <a:srgbClr val="C0504D"/>
              </a:solidFill>
              <a:ln w="19050">
                <a:noFill/>
              </a:ln>
              <a:effectLst>
                <a:outerShdw blurRad="50800" dist="38100" dir="5400000" algn="t" rotWithShape="0">
                  <a:prstClr val="black">
                    <a:alpha val="40000"/>
                  </a:prstClr>
                </a:outerShdw>
              </a:effectLst>
            </c:spPr>
          </c:dPt>
          <c:dPt>
            <c:idx val="4"/>
            <c:bubble3D val="0"/>
            <c:explosion val="0"/>
            <c:spPr>
              <a:solidFill>
                <a:srgbClr val="C0504D"/>
              </a:solidFill>
              <a:ln w="19050">
                <a:noFill/>
              </a:ln>
              <a:effectLst>
                <a:outerShdw blurRad="50800" dist="38100" dir="5400000" algn="t" rotWithShape="0">
                  <a:prstClr val="black">
                    <a:alpha val="40000"/>
                  </a:prstClr>
                </a:outerShdw>
              </a:effectLst>
            </c:spPr>
          </c:dPt>
          <c:dLbls>
            <c:dLbl>
              <c:idx val="1"/>
              <c:layout>
                <c:manualLayout>
                  <c:x val="-0.148031692642847"/>
                  <c:y val="0.0853605160236229"/>
                </c:manualLayout>
              </c:layout>
              <c:numFmt formatCode="General" sourceLinked="1"/>
              <c:spPr>
                <a:solidFill>
                  <a:srgbClr val="C0504D"/>
                </a:solid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bg1"/>
                      </a:solidFill>
                      <a:latin typeface="微软雅黑" panose="020B0503020204020204" charset="-122"/>
                      <a:ea typeface="微软雅黑" panose="020B0503020204020204"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bg1"/>
                    </a:solidFill>
                    <a:latin typeface="微软雅黑" panose="020B0503020204020204" charset="-122"/>
                    <a:ea typeface="微软雅黑" panose="020B0503020204020204" charset="-122"/>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[工作簿1]Sheet1!$A$1:$A$5</c:f>
              <c:strCache>
                <c:ptCount val="5"/>
                <c:pt idx="0">
                  <c:v>公务接待费</c:v>
                </c:pt>
                <c:pt idx="1">
                  <c:v>公车运行费</c:v>
                </c:pt>
              </c:strCache>
            </c:strRef>
          </c:cat>
          <c:val>
            <c:numRef>
              <c:f>[工作簿1]Sheet1!$B$1:$B$5</c:f>
              <c:numCache>
                <c:formatCode>General</c:formatCode>
                <c:ptCount val="5"/>
                <c:pt idx="0">
                  <c:v>1300.52</c:v>
                </c:pt>
                <c:pt idx="1">
                  <c:v>64.29</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gradFill flip="none" rotWithShape="1">
      <a:gsLst>
        <a:gs pos="0">
          <a:schemeClr val="bg1">
            <a:lumMod val="95000"/>
          </a:schemeClr>
        </a:gs>
        <a:gs pos="100000">
          <a:schemeClr val="bg1">
            <a:lumMod val="50000"/>
          </a:schemeClr>
        </a:gs>
      </a:gsLst>
      <a:path path="circle">
        <a:fillToRect l="50000" t="50000" r="50000" b="50000"/>
      </a:path>
      <a:tileRect/>
    </a:gra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自定义 6">
    <a:dk1>
      <a:sysClr val="windowText" lastClr="000000"/>
    </a:dk1>
    <a:lt1>
      <a:sysClr val="window" lastClr="FFFFFF"/>
    </a:lt1>
    <a:dk2>
      <a:srgbClr val="44546A"/>
    </a:dk2>
    <a:lt2>
      <a:srgbClr val="E7E6E6"/>
    </a:lt2>
    <a:accent1>
      <a:srgbClr val="FDAE49"/>
    </a:accent1>
    <a:accent2>
      <a:srgbClr val="F37F60"/>
    </a:accent2>
    <a:accent3>
      <a:srgbClr val="54BDCB"/>
    </a:accent3>
    <a:accent4>
      <a:srgbClr val="B87C7A"/>
    </a:accent4>
    <a:accent5>
      <a:srgbClr val="D26F8E"/>
    </a:accent5>
    <a:accent6>
      <a:srgbClr val="576F85"/>
    </a:accent6>
    <a:hlink>
      <a:srgbClr val="A8C254"/>
    </a:hlink>
    <a:folHlink>
      <a:srgbClr val="559DC9"/>
    </a:folHlink>
  </a:clrScheme>
  <a:fontScheme name="自定义 2">
    <a:majorFont>
      <a:latin typeface="Calibri Light"/>
      <a:ea typeface="微软雅黑"/>
      <a:cs typeface=""/>
    </a:majorFont>
    <a:minorFont>
      <a:latin typeface="Calibri"/>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28</Pages>
  <Words>9910</Words>
  <Characters>978</Characters>
  <Lines>8</Lines>
  <Paragraphs>21</Paragraphs>
  <TotalTime>0</TotalTime>
  <ScaleCrop>false</ScaleCrop>
  <LinksUpToDate>false</LinksUpToDate>
  <CharactersWithSpaces>10867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2020-09-03T02:39:00Z</dcterms:created>
  <dc:creator>曹颖</dc:creator>
  <cp:lastModifiedBy>B IG-豆芽</cp:lastModifiedBy>
  <cp:lastPrinted>2020-07-23T02:58:00Z</cp:lastPrinted>
  <dcterms:modified xsi:type="dcterms:W3CDTF">2020-09-04T11:43:39Z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