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96475"/>
      <w:bookmarkStart w:id="4" w:name="_Toc15377425"/>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194"/>
      <w:bookmarkStart w:id="8" w:name="_Toc15377426"/>
      <w:bookmarkStart w:id="9" w:name="_Toc15396598"/>
      <w:bookmarkStart w:id="10" w:name="_Toc15396476"/>
      <w:r>
        <w:rPr>
          <w:rFonts w:hint="eastAsia" w:ascii="方正小标宋简体" w:hAnsi="宋体" w:eastAsia="方正小标宋简体"/>
          <w:color w:val="000000"/>
          <w:sz w:val="72"/>
          <w:szCs w:val="72"/>
          <w:lang w:eastAsia="zh-CN"/>
        </w:rPr>
        <w:t>广元市利州区</w:t>
      </w:r>
      <w:bookmarkEnd w:id="0"/>
      <w:bookmarkStart w:id="11" w:name="_Toc15306268"/>
      <w:r>
        <w:rPr>
          <w:rFonts w:hint="eastAsia" w:ascii="方正小标宋简体" w:hAnsi="宋体" w:eastAsia="方正小标宋简体"/>
          <w:color w:val="000000"/>
          <w:sz w:val="72"/>
          <w:szCs w:val="72"/>
          <w:lang w:eastAsia="zh-CN"/>
        </w:rPr>
        <w:t>大石镇</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both"/>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w:t>
      </w:r>
      <w:r>
        <w:rPr>
          <w:rFonts w:hint="eastAsia" w:ascii="仿宋" w:hAnsi="仿宋" w:eastAsia="仿宋"/>
          <w:bCs/>
          <w:color w:val="000000"/>
          <w:sz w:val="32"/>
          <w:szCs w:val="32"/>
          <w:lang w:eastAsia="zh-CN"/>
        </w:rPr>
        <w:t>区</w:t>
      </w:r>
      <w:r>
        <w:rPr>
          <w:rFonts w:hint="eastAsia" w:ascii="仿宋" w:hAnsi="仿宋" w:eastAsia="仿宋"/>
          <w:bCs/>
          <w:color w:val="000000"/>
          <w:sz w:val="32"/>
          <w:szCs w:val="32"/>
        </w:rPr>
        <w:t>政府批准的三定方案）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1、执行党和国家的各项方针、政策、法令、法规，在区委、区政府领导下完成各项任务。</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2、建设社会主义物质文明和精神文明，以经济建设为中心，发展街道工业以及与居民密切相关的第三产业。</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3、负责辖区内的社会治安综合治理，人民调解、法律服务工作，依照有关规定管理外来流动人员。</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4、开展社区服务、拥军优属工作，负责社区优抚、社会救济、社会福利、社区文化、科普、体育、教育工作。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5、按照职责范围做好城市建设管理监察、计划生育、爱国卫生、市容环境卫生、环境保护、劳动就业、安全生产等管理工作。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6、配合有关部门做好防汛、防风、防火、防震、抢险和防灾救灾工作。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7、维护老年人、妇女、儿童、青少年和残疾人的合法权益，尊重少数民族的风俗习惯和保障少数民族的权益。</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8、指导和帮助村、社区的工作，促进村、社区的依法建设和发挥自我教育、自我管理、自我服务的作用。</w:t>
      </w:r>
    </w:p>
    <w:p>
      <w:pPr>
        <w:spacing w:line="580" w:lineRule="exact"/>
        <w:ind w:firstLine="627" w:firstLineChars="196"/>
        <w:rPr>
          <w:rFonts w:hint="eastAsia" w:ascii="仿宋" w:hAnsi="仿宋" w:eastAsia="仿宋"/>
          <w:bCs/>
          <w:color w:val="000000"/>
          <w:sz w:val="32"/>
          <w:szCs w:val="32"/>
        </w:rPr>
      </w:pPr>
      <w:r>
        <w:rPr>
          <w:rFonts w:hint="eastAsia" w:ascii="仿宋_GB2312" w:eastAsia="仿宋_GB2312"/>
          <w:sz w:val="32"/>
          <w:szCs w:val="32"/>
        </w:rPr>
        <w:t>9、向市、区人民政府反映群众的意见和要求，办理人民群众的来信来访等事项。</w:t>
      </w:r>
    </w:p>
    <w:bookmarkEnd w:id="16"/>
    <w:bookmarkEnd w:id="17"/>
    <w:p>
      <w:pPr>
        <w:pStyle w:val="5"/>
        <w:adjustRightInd w:val="0"/>
        <w:snapToGrid w:val="0"/>
        <w:spacing w:before="93" w:line="600" w:lineRule="exact"/>
        <w:ind w:firstLine="672" w:firstLineChars="210"/>
        <w:outlineLvl w:val="2"/>
        <w:rPr>
          <w:rFonts w:hint="eastAsia" w:ascii="仿宋" w:hAnsi="仿宋" w:eastAsia="仿宋"/>
          <w:bCs/>
          <w:color w:val="auto"/>
          <w:sz w:val="32"/>
          <w:szCs w:val="32"/>
        </w:rPr>
      </w:pPr>
      <w:bookmarkStart w:id="18" w:name="_Toc15378446"/>
      <w:bookmarkStart w:id="19" w:name="_Toc15377199"/>
      <w:r>
        <w:rPr>
          <w:rFonts w:hint="eastAsia" w:ascii="仿宋" w:hAnsi="仿宋" w:eastAsia="仿宋"/>
          <w:bCs/>
          <w:color w:val="auto"/>
          <w:sz w:val="32"/>
          <w:szCs w:val="32"/>
        </w:rPr>
        <w:t>（二）</w:t>
      </w:r>
      <w:r>
        <w:rPr>
          <w:rFonts w:ascii="仿宋" w:hAnsi="仿宋" w:eastAsia="仿宋"/>
          <w:bCs/>
          <w:color w:val="auto"/>
          <w:sz w:val="32"/>
          <w:szCs w:val="32"/>
        </w:rPr>
        <w:t>201</w:t>
      </w:r>
      <w:r>
        <w:rPr>
          <w:rFonts w:hint="eastAsia" w:ascii="仿宋" w:hAnsi="仿宋" w:eastAsia="仿宋"/>
          <w:bCs/>
          <w:color w:val="auto"/>
          <w:sz w:val="32"/>
          <w:szCs w:val="32"/>
        </w:rPr>
        <w:t>9年重点工作完成情况。</w:t>
      </w:r>
      <w:bookmarkEnd w:id="18"/>
      <w:bookmarkEnd w:id="19"/>
    </w:p>
    <w:p>
      <w:pPr>
        <w:spacing w:line="560" w:lineRule="exact"/>
        <w:ind w:firstLine="640" w:firstLineChars="200"/>
        <w:rPr>
          <w:rFonts w:ascii="仿宋" w:hAnsi="仿宋" w:eastAsia="仿宋"/>
          <w:sz w:val="32"/>
          <w:szCs w:val="32"/>
        </w:rPr>
      </w:pPr>
      <w:r>
        <w:rPr>
          <w:rFonts w:hint="eastAsia" w:ascii="仿宋" w:hAnsi="仿宋" w:eastAsia="仿宋"/>
          <w:sz w:val="32"/>
          <w:szCs w:val="32"/>
        </w:rPr>
        <w:t>全镇地区生产总值实现</w:t>
      </w:r>
      <w:r>
        <w:rPr>
          <w:rFonts w:ascii="仿宋" w:hAnsi="仿宋" w:eastAsia="仿宋"/>
          <w:sz w:val="32"/>
          <w:szCs w:val="32"/>
        </w:rPr>
        <w:t>5.47</w:t>
      </w:r>
      <w:r>
        <w:rPr>
          <w:rFonts w:hint="eastAsia" w:ascii="仿宋" w:hAnsi="仿宋" w:eastAsia="仿宋"/>
          <w:sz w:val="32"/>
          <w:szCs w:val="32"/>
        </w:rPr>
        <w:t>亿元，规上工业产值实现</w:t>
      </w:r>
      <w:r>
        <w:rPr>
          <w:rFonts w:ascii="仿宋" w:hAnsi="仿宋" w:eastAsia="仿宋"/>
          <w:sz w:val="32"/>
          <w:szCs w:val="32"/>
        </w:rPr>
        <w:t>24.1</w:t>
      </w:r>
      <w:r>
        <w:rPr>
          <w:rFonts w:hint="eastAsia" w:ascii="仿宋" w:hAnsi="仿宋" w:eastAsia="仿宋"/>
          <w:sz w:val="32"/>
          <w:szCs w:val="32"/>
        </w:rPr>
        <w:t>亿元，同比增长</w:t>
      </w:r>
      <w:r>
        <w:rPr>
          <w:rFonts w:ascii="仿宋" w:hAnsi="仿宋" w:eastAsia="仿宋"/>
          <w:sz w:val="32"/>
          <w:szCs w:val="32"/>
        </w:rPr>
        <w:t>15%</w:t>
      </w:r>
      <w:r>
        <w:rPr>
          <w:rFonts w:hint="eastAsia" w:ascii="仿宋" w:hAnsi="仿宋" w:eastAsia="仿宋"/>
          <w:sz w:val="32"/>
          <w:szCs w:val="32"/>
        </w:rPr>
        <w:t>，超额完成全年目标任务</w:t>
      </w:r>
      <w:r>
        <w:rPr>
          <w:rFonts w:ascii="仿宋" w:hAnsi="仿宋" w:eastAsia="仿宋"/>
          <w:sz w:val="32"/>
          <w:szCs w:val="32"/>
        </w:rPr>
        <w:t>102%</w:t>
      </w:r>
      <w:r>
        <w:rPr>
          <w:rFonts w:hint="eastAsia" w:ascii="仿宋" w:hAnsi="仿宋" w:eastAsia="仿宋"/>
          <w:sz w:val="32"/>
          <w:szCs w:val="32"/>
        </w:rPr>
        <w:t>；农民人均纯收入</w:t>
      </w:r>
      <w:r>
        <w:rPr>
          <w:rFonts w:ascii="仿宋" w:hAnsi="仿宋" w:eastAsia="仿宋"/>
          <w:sz w:val="32"/>
          <w:szCs w:val="32"/>
        </w:rPr>
        <w:t>16081</w:t>
      </w:r>
      <w:r>
        <w:rPr>
          <w:rFonts w:hint="eastAsia" w:ascii="仿宋" w:hAnsi="仿宋" w:eastAsia="仿宋"/>
          <w:sz w:val="32"/>
          <w:szCs w:val="32"/>
        </w:rPr>
        <w:t>元，同比增长</w:t>
      </w:r>
      <w:r>
        <w:rPr>
          <w:rFonts w:ascii="仿宋" w:hAnsi="仿宋" w:eastAsia="仿宋"/>
          <w:sz w:val="32"/>
          <w:szCs w:val="32"/>
        </w:rPr>
        <w:t>11.8%</w:t>
      </w:r>
      <w:r>
        <w:rPr>
          <w:rFonts w:hint="eastAsia" w:ascii="仿宋" w:hAnsi="仿宋" w:eastAsia="仿宋"/>
          <w:sz w:val="32"/>
          <w:szCs w:val="32"/>
        </w:rPr>
        <w:t>，城镇居民人均可支配收入</w:t>
      </w:r>
      <w:r>
        <w:rPr>
          <w:rFonts w:ascii="仿宋" w:hAnsi="仿宋" w:eastAsia="仿宋"/>
          <w:sz w:val="32"/>
          <w:szCs w:val="32"/>
        </w:rPr>
        <w:t>24034</w:t>
      </w:r>
      <w:r>
        <w:rPr>
          <w:rFonts w:hint="eastAsia" w:ascii="仿宋" w:hAnsi="仿宋" w:eastAsia="仿宋"/>
          <w:sz w:val="32"/>
          <w:szCs w:val="32"/>
        </w:rPr>
        <w:t>元，同比增长</w:t>
      </w:r>
      <w:r>
        <w:rPr>
          <w:rFonts w:ascii="仿宋" w:hAnsi="仿宋" w:eastAsia="仿宋"/>
          <w:sz w:val="32"/>
          <w:szCs w:val="32"/>
        </w:rPr>
        <w:t>8.4%</w:t>
      </w:r>
      <w:r>
        <w:rPr>
          <w:rFonts w:hint="eastAsia" w:ascii="仿宋" w:hAnsi="仿宋" w:eastAsia="仿宋"/>
          <w:sz w:val="32"/>
          <w:szCs w:val="32"/>
        </w:rPr>
        <w:t>；固定资产投资完成</w:t>
      </w:r>
      <w:r>
        <w:rPr>
          <w:rFonts w:ascii="仿宋" w:hAnsi="仿宋" w:eastAsia="仿宋"/>
          <w:sz w:val="32"/>
          <w:szCs w:val="32"/>
        </w:rPr>
        <w:t>15.8</w:t>
      </w:r>
      <w:r>
        <w:rPr>
          <w:rFonts w:hint="eastAsia" w:ascii="仿宋" w:hAnsi="仿宋" w:eastAsia="仿宋"/>
          <w:sz w:val="32"/>
          <w:szCs w:val="32"/>
        </w:rPr>
        <w:t>亿元。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新签订</w:t>
      </w:r>
      <w:r>
        <w:rPr>
          <w:rFonts w:ascii="仿宋" w:hAnsi="仿宋" w:eastAsia="仿宋"/>
          <w:sz w:val="32"/>
          <w:szCs w:val="32"/>
        </w:rPr>
        <w:t>2</w:t>
      </w:r>
      <w:r>
        <w:rPr>
          <w:rFonts w:hint="eastAsia" w:ascii="仿宋" w:hAnsi="仿宋" w:eastAsia="仿宋"/>
          <w:sz w:val="32"/>
          <w:szCs w:val="32"/>
        </w:rPr>
        <w:t>个招商引资省外项目，招商引资到位资金</w:t>
      </w:r>
      <w:r>
        <w:rPr>
          <w:rFonts w:ascii="仿宋" w:hAnsi="仿宋" w:eastAsia="仿宋"/>
          <w:sz w:val="32"/>
          <w:szCs w:val="32"/>
        </w:rPr>
        <w:t>1</w:t>
      </w:r>
      <w:r>
        <w:rPr>
          <w:rFonts w:hint="eastAsia" w:ascii="仿宋" w:hAnsi="仿宋" w:eastAsia="仿宋"/>
          <w:sz w:val="32"/>
          <w:szCs w:val="32"/>
        </w:rPr>
        <w:t>亿元，完成省外到位资金</w:t>
      </w:r>
      <w:r>
        <w:rPr>
          <w:rFonts w:ascii="仿宋" w:hAnsi="仿宋" w:eastAsia="仿宋"/>
          <w:sz w:val="32"/>
          <w:szCs w:val="32"/>
        </w:rPr>
        <w:t>1</w:t>
      </w:r>
      <w:r>
        <w:rPr>
          <w:rFonts w:hint="eastAsia" w:ascii="仿宋" w:hAnsi="仿宋" w:eastAsia="仿宋"/>
          <w:sz w:val="32"/>
          <w:szCs w:val="32"/>
        </w:rPr>
        <w:t>亿元。四川省民营企业调查点工作现场会参观了百夫长清真饮品股份有限公司，全市项目策划包装现场会参观了大东英才迁建等特许经营项目，百夫长清真饮品公司在阿曼苏丹国建成首个境外广元特产馆，镇党委、政府被广元市委、市政府评为“促进民营经济发展先进单位”。</w:t>
      </w:r>
    </w:p>
    <w:p>
      <w:pPr>
        <w:tabs>
          <w:tab w:val="left" w:pos="533"/>
        </w:tabs>
        <w:spacing w:line="560" w:lineRule="exact"/>
        <w:ind w:firstLine="640" w:firstLineChars="200"/>
        <w:rPr>
          <w:rFonts w:ascii="仿宋" w:hAnsi="仿宋" w:eastAsia="仿宋"/>
          <w:sz w:val="32"/>
          <w:szCs w:val="32"/>
        </w:rPr>
      </w:pPr>
      <w:r>
        <w:rPr>
          <w:rFonts w:hint="eastAsia" w:ascii="仿宋" w:hAnsi="仿宋" w:eastAsia="仿宋"/>
          <w:sz w:val="32"/>
          <w:szCs w:val="32"/>
        </w:rPr>
        <w:t>建成城市调节蔬菜、油橄榄、核桃、水果基地</w:t>
      </w:r>
      <w:r>
        <w:rPr>
          <w:rFonts w:ascii="仿宋" w:hAnsi="仿宋" w:eastAsia="仿宋"/>
          <w:sz w:val="32"/>
          <w:szCs w:val="32"/>
        </w:rPr>
        <w:t>22600</w:t>
      </w:r>
      <w:r>
        <w:rPr>
          <w:rFonts w:hint="eastAsia" w:ascii="仿宋" w:hAnsi="仿宋" w:eastAsia="仿宋"/>
          <w:sz w:val="32"/>
          <w:szCs w:val="32"/>
        </w:rPr>
        <w:t>亩。规范发展涉农企业</w:t>
      </w:r>
      <w:r>
        <w:rPr>
          <w:rFonts w:ascii="仿宋" w:hAnsi="仿宋" w:eastAsia="仿宋"/>
          <w:sz w:val="32"/>
          <w:szCs w:val="32"/>
        </w:rPr>
        <w:t>7</w:t>
      </w:r>
      <w:r>
        <w:rPr>
          <w:rFonts w:hint="eastAsia" w:ascii="仿宋" w:hAnsi="仿宋" w:eastAsia="仿宋"/>
          <w:sz w:val="32"/>
          <w:szCs w:val="32"/>
        </w:rPr>
        <w:t>家，培育农业专业合作社</w:t>
      </w:r>
      <w:r>
        <w:rPr>
          <w:rFonts w:ascii="仿宋" w:hAnsi="仿宋" w:eastAsia="仿宋"/>
          <w:sz w:val="32"/>
          <w:szCs w:val="32"/>
        </w:rPr>
        <w:t>73</w:t>
      </w:r>
      <w:r>
        <w:rPr>
          <w:rFonts w:hint="eastAsia" w:ascii="仿宋" w:hAnsi="仿宋" w:eastAsia="仿宋"/>
          <w:sz w:val="32"/>
          <w:szCs w:val="32"/>
        </w:rPr>
        <w:t>家，家庭农场</w:t>
      </w:r>
      <w:r>
        <w:rPr>
          <w:rFonts w:ascii="仿宋" w:hAnsi="仿宋" w:eastAsia="仿宋"/>
          <w:sz w:val="32"/>
          <w:szCs w:val="32"/>
        </w:rPr>
        <w:t>59</w:t>
      </w:r>
      <w:r>
        <w:rPr>
          <w:rFonts w:hint="eastAsia" w:ascii="仿宋" w:hAnsi="仿宋" w:eastAsia="仿宋"/>
          <w:sz w:val="32"/>
          <w:szCs w:val="32"/>
        </w:rPr>
        <w:t>家。开展“三品一标”认证，</w:t>
      </w:r>
      <w:r>
        <w:rPr>
          <w:rFonts w:ascii="仿宋" w:hAnsi="仿宋" w:eastAsia="仿宋"/>
          <w:sz w:val="32"/>
          <w:szCs w:val="32"/>
        </w:rPr>
        <w:t>4</w:t>
      </w:r>
      <w:r>
        <w:rPr>
          <w:rFonts w:hint="eastAsia" w:ascii="仿宋" w:hAnsi="仿宋" w:eastAsia="仿宋"/>
          <w:sz w:val="32"/>
          <w:szCs w:val="32"/>
        </w:rPr>
        <w:t>家专合社农产品取得有机转换认证证书。青岭村股份经济合作社获广元市农村集体产权制度改革后的第一份登记证书。大石镇被广元市政府认定为第四批农产品质量安全监管示范乡镇。改善环境建设宜居新村。继续推进苏家、青岭、小稻等</w:t>
      </w:r>
      <w:r>
        <w:rPr>
          <w:rFonts w:ascii="仿宋" w:hAnsi="仿宋" w:eastAsia="仿宋"/>
          <w:sz w:val="32"/>
          <w:szCs w:val="32"/>
        </w:rPr>
        <w:t>5</w:t>
      </w:r>
      <w:r>
        <w:rPr>
          <w:rFonts w:hint="eastAsia" w:ascii="仿宋" w:hAnsi="仿宋" w:eastAsia="仿宋"/>
          <w:sz w:val="32"/>
          <w:szCs w:val="32"/>
        </w:rPr>
        <w:t>个村新村建设，高标准打造青岭为省级乡村振兴示范村，实施风貌提升等人居环境改善项目。高质量承办了第三届四川村长论坛暨村社发展大会。绿水青山成就魅力乡村。依托黑石坡森林公园、漫天岭国际滑草场等景区，启动全长</w:t>
      </w:r>
      <w:r>
        <w:rPr>
          <w:rFonts w:ascii="仿宋" w:hAnsi="仿宋" w:eastAsia="仿宋"/>
          <w:sz w:val="32"/>
          <w:szCs w:val="32"/>
        </w:rPr>
        <w:t>100</w:t>
      </w:r>
      <w:r>
        <w:rPr>
          <w:rFonts w:hint="eastAsia" w:ascii="仿宋" w:hAnsi="仿宋" w:eastAsia="仿宋"/>
          <w:sz w:val="32"/>
          <w:szCs w:val="32"/>
        </w:rPr>
        <w:t>余公里的骑游旅游环线打造</w:t>
      </w:r>
      <w:r>
        <w:rPr>
          <w:rFonts w:ascii="仿宋" w:hAnsi="仿宋" w:eastAsia="仿宋"/>
          <w:sz w:val="32"/>
          <w:szCs w:val="32"/>
        </w:rPr>
        <w:t>,</w:t>
      </w:r>
      <w:r>
        <w:rPr>
          <w:rFonts w:hint="eastAsia" w:ascii="仿宋" w:hAnsi="仿宋" w:eastAsia="仿宋"/>
          <w:sz w:val="32"/>
          <w:szCs w:val="32"/>
        </w:rPr>
        <w:t>大力发展近郊旅游，规范发展农家乐</w:t>
      </w:r>
      <w:r>
        <w:rPr>
          <w:rFonts w:ascii="仿宋" w:hAnsi="仿宋" w:eastAsia="仿宋"/>
          <w:sz w:val="32"/>
          <w:szCs w:val="32"/>
        </w:rPr>
        <w:t>23</w:t>
      </w:r>
      <w:r>
        <w:rPr>
          <w:rFonts w:hint="eastAsia" w:ascii="仿宋" w:hAnsi="仿宋" w:eastAsia="仿宋"/>
          <w:sz w:val="32"/>
          <w:szCs w:val="32"/>
        </w:rPr>
        <w:t>家，顺利举办青岩草莓采摘、石笋第四届木竹春笋采摘，接待游客</w:t>
      </w:r>
      <w:r>
        <w:rPr>
          <w:rFonts w:ascii="仿宋" w:hAnsi="仿宋" w:eastAsia="仿宋"/>
          <w:sz w:val="32"/>
          <w:szCs w:val="32"/>
        </w:rPr>
        <w:t>5</w:t>
      </w:r>
      <w:r>
        <w:rPr>
          <w:rFonts w:hint="eastAsia" w:ascii="仿宋" w:hAnsi="仿宋" w:eastAsia="仿宋"/>
          <w:sz w:val="32"/>
          <w:szCs w:val="32"/>
        </w:rPr>
        <w:t>万余人次，受到社会各界广泛好评。弘扬新风促进乡风文明。深入推进文明村、文明家庭创建工作，青岭村成功创建为利州区社会主义核心价值观示范点，成功创建广元市文明乡镇，带动了好风气，提振了精气神。</w:t>
      </w:r>
    </w:p>
    <w:p>
      <w:pPr>
        <w:snapToGrid w:val="0"/>
        <w:spacing w:line="560" w:lineRule="exact"/>
        <w:ind w:firstLine="640" w:firstLineChars="200"/>
        <w:rPr>
          <w:rFonts w:hint="eastAsia" w:ascii="仿宋" w:hAnsi="仿宋" w:eastAsia="仿宋"/>
          <w:bCs/>
          <w:color w:val="0000FF"/>
          <w:sz w:val="32"/>
          <w:szCs w:val="32"/>
        </w:rPr>
      </w:pPr>
      <w:r>
        <w:rPr>
          <w:rFonts w:hint="eastAsia" w:ascii="仿宋" w:hAnsi="仿宋" w:eastAsia="仿宋"/>
          <w:sz w:val="32"/>
          <w:szCs w:val="32"/>
        </w:rPr>
        <w:t>重点项目成果丰硕。全年共推进</w:t>
      </w:r>
      <w:r>
        <w:rPr>
          <w:rFonts w:ascii="仿宋" w:hAnsi="仿宋" w:eastAsia="仿宋"/>
          <w:sz w:val="32"/>
          <w:szCs w:val="32"/>
        </w:rPr>
        <w:t>32</w:t>
      </w:r>
      <w:r>
        <w:rPr>
          <w:rFonts w:hint="eastAsia" w:ascii="仿宋" w:hAnsi="仿宋" w:eastAsia="仿宋"/>
          <w:sz w:val="32"/>
          <w:szCs w:val="32"/>
        </w:rPr>
        <w:t>个“四个一批”重点项目。积极对接黑石坡道路、碧桂园南侧、大东英才等</w:t>
      </w:r>
      <w:r>
        <w:rPr>
          <w:rFonts w:ascii="仿宋" w:hAnsi="仿宋" w:eastAsia="仿宋"/>
          <w:sz w:val="32"/>
          <w:szCs w:val="32"/>
        </w:rPr>
        <w:t>5</w:t>
      </w:r>
      <w:r>
        <w:rPr>
          <w:rFonts w:hint="eastAsia" w:ascii="仿宋" w:hAnsi="仿宋" w:eastAsia="仿宋"/>
          <w:sz w:val="32"/>
          <w:szCs w:val="32"/>
        </w:rPr>
        <w:t>个项目前期工作。雷家河水库、香颂湾、浅水湾等</w:t>
      </w:r>
      <w:r>
        <w:rPr>
          <w:rFonts w:ascii="仿宋" w:hAnsi="仿宋" w:eastAsia="仿宋"/>
          <w:sz w:val="32"/>
          <w:szCs w:val="32"/>
        </w:rPr>
        <w:t>14</w:t>
      </w:r>
      <w:r>
        <w:rPr>
          <w:rFonts w:hint="eastAsia" w:ascii="仿宋" w:hAnsi="仿宋" w:eastAsia="仿宋"/>
          <w:sz w:val="32"/>
          <w:szCs w:val="32"/>
        </w:rPr>
        <w:t>个项目有序推进。何家山风电、东方花园二期、悦凯驾校迁建等</w:t>
      </w:r>
      <w:r>
        <w:rPr>
          <w:rFonts w:ascii="仿宋" w:hAnsi="仿宋" w:eastAsia="仿宋"/>
          <w:sz w:val="32"/>
          <w:szCs w:val="32"/>
        </w:rPr>
        <w:t>9</w:t>
      </w:r>
      <w:r>
        <w:rPr>
          <w:rFonts w:hint="eastAsia" w:ascii="仿宋" w:hAnsi="仿宋" w:eastAsia="仿宋"/>
          <w:sz w:val="32"/>
          <w:szCs w:val="32"/>
        </w:rPr>
        <w:t>个项目基本竣工。加大项目征拆及协调服务，已完成黑石坡百松园道路、嘉陵江流域水环境黑臭水体治理、红星公园提升工程等</w:t>
      </w:r>
      <w:r>
        <w:rPr>
          <w:rFonts w:ascii="仿宋" w:hAnsi="仿宋" w:eastAsia="仿宋"/>
          <w:sz w:val="32"/>
          <w:szCs w:val="32"/>
        </w:rPr>
        <w:t>7</w:t>
      </w:r>
      <w:r>
        <w:rPr>
          <w:rFonts w:hint="eastAsia" w:ascii="仿宋" w:hAnsi="仿宋" w:eastAsia="仿宋"/>
          <w:sz w:val="32"/>
          <w:szCs w:val="32"/>
        </w:rPr>
        <w:t>个项目征地拆迁工作。征收土地</w:t>
      </w:r>
      <w:r>
        <w:rPr>
          <w:rFonts w:ascii="仿宋" w:hAnsi="仿宋" w:eastAsia="仿宋"/>
          <w:sz w:val="32"/>
          <w:szCs w:val="32"/>
        </w:rPr>
        <w:t>241.98</w:t>
      </w:r>
      <w:r>
        <w:rPr>
          <w:rFonts w:hint="eastAsia" w:ascii="仿宋" w:hAnsi="仿宋" w:eastAsia="仿宋"/>
          <w:sz w:val="32"/>
          <w:szCs w:val="32"/>
        </w:rPr>
        <w:t>余亩，征用土地</w:t>
      </w:r>
      <w:r>
        <w:rPr>
          <w:rFonts w:ascii="仿宋" w:hAnsi="仿宋" w:eastAsia="仿宋"/>
          <w:sz w:val="32"/>
          <w:szCs w:val="32"/>
        </w:rPr>
        <w:t>31.19</w:t>
      </w:r>
      <w:r>
        <w:rPr>
          <w:rFonts w:hint="eastAsia" w:ascii="仿宋" w:hAnsi="仿宋" w:eastAsia="仿宋"/>
          <w:sz w:val="32"/>
          <w:szCs w:val="32"/>
        </w:rPr>
        <w:t>亩。五一、五四、光荣三个安置点年底前完成宅基地划分。拆迁安置工作得到市委、市政府肯定。</w:t>
      </w:r>
    </w:p>
    <w:p>
      <w:pPr>
        <w:pStyle w:val="3"/>
        <w:numPr>
          <w:ilvl w:val="0"/>
          <w:numId w:val="1"/>
        </w:numPr>
        <w:rPr>
          <w:rStyle w:val="25"/>
          <w:rFonts w:hint="eastAsia" w:ascii="黑体" w:hAnsi="黑体" w:eastAsia="黑体"/>
          <w:b w:val="0"/>
          <w:bCs w:val="0"/>
        </w:rPr>
      </w:pPr>
      <w:bookmarkStart w:id="20" w:name="_Toc15396601"/>
      <w:bookmarkStart w:id="21" w:name="_Toc15377200"/>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3"/>
        <w:numPr>
          <w:ilvl w:val="0"/>
          <w:numId w:val="0"/>
        </w:numPr>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大石镇属一级预算单位，无下属的二级预算单位。</w:t>
      </w:r>
    </w:p>
    <w:p>
      <w:pPr>
        <w:pStyle w:val="3"/>
        <w:numPr>
          <w:ilvl w:val="0"/>
          <w:numId w:val="0"/>
        </w:numPr>
        <w:ind w:firstLine="640" w:firstLineChars="200"/>
        <w:rPr>
          <w:rFonts w:hint="eastAsia"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大石镇编制数47个，公务员编制27个，工勤编制3个，事业人员编制17个；2019年年底大石镇实际在职职工46人，其中公务员25人，事业人员19人，行政工人2人；退休人员22人，遗属人员6人。对比2018年在职增加2人，其中公务员增加了1人，公务员退休1人。事业人员增加2人。</w:t>
      </w:r>
    </w:p>
    <w:p>
      <w:pPr>
        <w:ind w:firstLine="640" w:firstLineChars="200"/>
        <w:rPr>
          <w:rFonts w:hint="eastAsia" w:ascii="仿宋_GB2312" w:eastAsia="仿宋_GB2312"/>
          <w:sz w:val="32"/>
          <w:szCs w:val="32"/>
        </w:rPr>
      </w:pPr>
      <w:r>
        <w:rPr>
          <w:rFonts w:hint="eastAsia" w:ascii="仿宋_GB2312" w:eastAsia="仿宋_GB2312"/>
          <w:sz w:val="32"/>
          <w:szCs w:val="32"/>
        </w:rPr>
        <w:t>大石镇机关内设8个机构（政府办、党委办、计生办、财政所、城管办、文化站、水电站、农技站）。</w:t>
      </w:r>
    </w:p>
    <w:p>
      <w:pPr>
        <w:ind w:firstLine="640" w:firstLineChars="200"/>
        <w:rPr>
          <w:rFonts w:hint="eastAsia" w:ascii="仿宋_GB2312" w:eastAsia="仿宋_GB2312"/>
          <w:sz w:val="32"/>
          <w:szCs w:val="32"/>
        </w:rPr>
      </w:pPr>
      <w:r>
        <w:rPr>
          <w:rFonts w:hint="eastAsia" w:ascii="仿宋_GB2312" w:eastAsia="仿宋_GB2312"/>
          <w:sz w:val="32"/>
          <w:szCs w:val="32"/>
        </w:rPr>
        <w:t>大石镇辖</w:t>
      </w:r>
      <w:r>
        <w:rPr>
          <w:rFonts w:hint="eastAsia" w:ascii="仿宋_GB2312" w:eastAsia="仿宋_GB2312"/>
          <w:sz w:val="32"/>
          <w:szCs w:val="32"/>
          <w:lang w:val="en-US" w:eastAsia="zh-CN"/>
        </w:rPr>
        <w:t>19</w:t>
      </w:r>
      <w:r>
        <w:rPr>
          <w:rFonts w:hint="eastAsia" w:ascii="仿宋_GB2312" w:eastAsia="仿宋_GB2312"/>
          <w:sz w:val="32"/>
          <w:szCs w:val="32"/>
        </w:rPr>
        <w:t>个行政村，13</w:t>
      </w:r>
      <w:r>
        <w:rPr>
          <w:rFonts w:hint="eastAsia" w:ascii="仿宋_GB2312" w:eastAsia="仿宋_GB2312"/>
          <w:sz w:val="32"/>
          <w:szCs w:val="32"/>
          <w:lang w:val="en-US" w:eastAsia="zh-CN"/>
        </w:rPr>
        <w:t>4</w:t>
      </w:r>
      <w:r>
        <w:rPr>
          <w:rFonts w:hint="eastAsia" w:ascii="仿宋_GB2312" w:eastAsia="仿宋_GB2312"/>
          <w:sz w:val="32"/>
          <w:szCs w:val="32"/>
        </w:rPr>
        <w:t>个村民小组，</w:t>
      </w:r>
      <w:r>
        <w:rPr>
          <w:rFonts w:hint="eastAsia" w:ascii="仿宋_GB2312" w:eastAsia="仿宋_GB2312"/>
          <w:sz w:val="32"/>
          <w:szCs w:val="32"/>
          <w:lang w:val="en-US" w:eastAsia="zh-CN"/>
        </w:rPr>
        <w:t>2</w:t>
      </w:r>
      <w:r>
        <w:rPr>
          <w:rFonts w:hint="eastAsia" w:ascii="仿宋_GB2312" w:eastAsia="仿宋_GB2312"/>
          <w:sz w:val="32"/>
          <w:szCs w:val="32"/>
        </w:rPr>
        <w:t>个社区居委会，</w:t>
      </w:r>
      <w:r>
        <w:rPr>
          <w:rFonts w:hint="eastAsia" w:ascii="仿宋_GB2312" w:eastAsia="仿宋_GB2312"/>
          <w:sz w:val="32"/>
          <w:szCs w:val="32"/>
          <w:lang w:val="en-US" w:eastAsia="zh-CN"/>
        </w:rPr>
        <w:t>11</w:t>
      </w:r>
      <w:r>
        <w:rPr>
          <w:rFonts w:hint="eastAsia" w:ascii="仿宋_GB2312" w:eastAsia="仿宋_GB2312"/>
          <w:sz w:val="32"/>
          <w:szCs w:val="32"/>
        </w:rPr>
        <w:t>个居民小组，幅员面积158平方公里，辖区内城镇居民0.</w:t>
      </w:r>
      <w:r>
        <w:rPr>
          <w:rFonts w:hint="eastAsia" w:ascii="仿宋_GB2312" w:eastAsia="仿宋_GB2312"/>
          <w:sz w:val="32"/>
          <w:szCs w:val="32"/>
          <w:lang w:val="en-US" w:eastAsia="zh-CN"/>
        </w:rPr>
        <w:t>84</w:t>
      </w:r>
      <w:r>
        <w:rPr>
          <w:rFonts w:hint="eastAsia" w:ascii="仿宋_GB2312" w:eastAsia="仿宋_GB2312"/>
          <w:sz w:val="32"/>
          <w:szCs w:val="32"/>
        </w:rPr>
        <w:t>万余人，农业人口1.7</w:t>
      </w:r>
      <w:r>
        <w:rPr>
          <w:rFonts w:hint="eastAsia" w:ascii="仿宋_GB2312" w:eastAsia="仿宋_GB2312"/>
          <w:sz w:val="32"/>
          <w:szCs w:val="32"/>
          <w:lang w:val="en-US" w:eastAsia="zh-CN"/>
        </w:rPr>
        <w:t>1</w:t>
      </w:r>
      <w:r>
        <w:rPr>
          <w:rFonts w:hint="eastAsia" w:ascii="仿宋_GB2312" w:eastAsia="仿宋_GB2312"/>
          <w:sz w:val="32"/>
          <w:szCs w:val="32"/>
        </w:rPr>
        <w:t>万余人。区内建有1个工业园区，2个农业园区。</w:t>
      </w:r>
    </w:p>
    <w:p>
      <w:pPr>
        <w:widowControl/>
        <w:jc w:val="left"/>
        <w:rPr>
          <w:rFonts w:hint="eastAsia" w:ascii="黑体" w:hAnsi="黑体" w:eastAsia="黑体"/>
          <w:b w:val="0"/>
          <w:color w:val="000000"/>
        </w:rPr>
      </w:pPr>
      <w:bookmarkStart w:id="22" w:name="_Toc15377204"/>
      <w:bookmarkStart w:id="23" w:name="_Toc15396602"/>
    </w:p>
    <w:p>
      <w:pPr>
        <w:widowControl/>
        <w:ind w:firstLine="880" w:firstLineChars="200"/>
        <w:jc w:val="left"/>
        <w:rPr>
          <w:rStyle w:val="24"/>
          <w:rFonts w:ascii="黑体" w:hAnsi="黑体" w:eastAsia="黑体"/>
          <w:b w:val="0"/>
          <w:bCs w:val="0"/>
        </w:rPr>
      </w:pPr>
      <w:r>
        <w:rPr>
          <w:rStyle w:val="24"/>
          <w:rFonts w:hint="eastAsia" w:ascii="黑体" w:hAnsi="黑体" w:eastAsia="黑体"/>
          <w:b w:val="0"/>
          <w:bCs w:val="0"/>
        </w:rPr>
        <w:t>第二部分 2019年度部门决算情况说明</w:t>
      </w:r>
      <w:bookmarkEnd w:id="22"/>
      <w:bookmarkEnd w:id="23"/>
    </w:p>
    <w:p/>
    <w:p>
      <w:pPr>
        <w:pStyle w:val="23"/>
        <w:numPr>
          <w:ilvl w:val="0"/>
          <w:numId w:val="2"/>
        </w:numPr>
        <w:spacing w:line="600" w:lineRule="exact"/>
        <w:ind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2989.39</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271.79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人员增加，村干部绩效补助增加，政府性基金预算征拆资金预算增加。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2019年支出总计2756.31万元，</w:t>
      </w:r>
      <w:r>
        <w:rPr>
          <w:rFonts w:ascii="仿宋" w:hAnsi="仿宋" w:eastAsia="仿宋"/>
          <w:color w:val="000000"/>
          <w:sz w:val="32"/>
          <w:szCs w:val="32"/>
        </w:rPr>
        <w:t>201</w:t>
      </w:r>
      <w:r>
        <w:rPr>
          <w:rFonts w:hint="eastAsia" w:ascii="仿宋" w:hAnsi="仿宋" w:eastAsia="仿宋"/>
          <w:color w:val="000000"/>
          <w:sz w:val="32"/>
          <w:szCs w:val="32"/>
        </w:rPr>
        <w:t>8年本年支出</w:t>
      </w:r>
      <w:r>
        <w:rPr>
          <w:rFonts w:hint="eastAsia" w:ascii="仿宋" w:hAnsi="仿宋" w:eastAsia="仿宋"/>
          <w:color w:val="000000"/>
          <w:sz w:val="32"/>
          <w:szCs w:val="32"/>
          <w:lang w:eastAsia="zh-CN"/>
        </w:rPr>
        <w:t>总计</w:t>
      </w:r>
      <w:r>
        <w:rPr>
          <w:rFonts w:hint="eastAsia" w:ascii="仿宋" w:hAnsi="仿宋" w:eastAsia="仿宋"/>
          <w:color w:val="000000"/>
          <w:sz w:val="32"/>
          <w:szCs w:val="32"/>
        </w:rPr>
        <w:t>2618.65万元</w:t>
      </w:r>
      <w:r>
        <w:rPr>
          <w:rFonts w:hint="eastAsia" w:ascii="仿宋" w:hAnsi="仿宋" w:eastAsia="仿宋"/>
          <w:color w:val="000000"/>
          <w:sz w:val="32"/>
          <w:szCs w:val="32"/>
          <w:lang w:eastAsia="zh-CN"/>
        </w:rPr>
        <w:t>。与</w:t>
      </w:r>
      <w:r>
        <w:rPr>
          <w:rFonts w:hint="eastAsia" w:ascii="仿宋" w:hAnsi="仿宋" w:eastAsia="仿宋"/>
          <w:color w:val="000000"/>
          <w:sz w:val="32"/>
          <w:szCs w:val="32"/>
          <w:lang w:val="en-US" w:eastAsia="zh-CN"/>
        </w:rPr>
        <w:t>2018年相比增加137.66万元，增加5.25%。</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征拆项目支付增加。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anchor distT="0" distB="0" distL="114300" distR="114300" simplePos="0" relativeHeight="251658240" behindDoc="0" locked="0" layoutInCell="1" allowOverlap="1">
            <wp:simplePos x="0" y="0"/>
            <wp:positionH relativeFrom="column">
              <wp:posOffset>452755</wp:posOffset>
            </wp:positionH>
            <wp:positionV relativeFrom="paragraph">
              <wp:posOffset>127635</wp:posOffset>
            </wp:positionV>
            <wp:extent cx="4462145" cy="3124200"/>
            <wp:effectExtent l="4445" t="4445" r="13970" b="1079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jc w:val="left"/>
        <w:rPr>
          <w:rFonts w:ascii="仿宋_GB2312" w:eastAsia="仿宋_GB2312"/>
          <w:color w:val="00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2989.39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1900.18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63.56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1089.21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36.43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anchor distT="0" distB="0" distL="114300" distR="114300" simplePos="0" relativeHeight="251659264" behindDoc="0" locked="0" layoutInCell="1" allowOverlap="1">
            <wp:simplePos x="0" y="0"/>
            <wp:positionH relativeFrom="column">
              <wp:posOffset>427355</wp:posOffset>
            </wp:positionH>
            <wp:positionV relativeFrom="paragraph">
              <wp:posOffset>108585</wp:posOffset>
            </wp:positionV>
            <wp:extent cx="4292600" cy="2498725"/>
            <wp:effectExtent l="4445" t="4445" r="15875" b="1143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2756.31</w:t>
      </w:r>
      <w:r>
        <w:rPr>
          <w:rFonts w:hint="eastAsia" w:ascii="仿宋" w:hAnsi="仿宋" w:eastAsia="仿宋"/>
          <w:color w:val="000000"/>
          <w:sz w:val="32"/>
          <w:szCs w:val="32"/>
        </w:rPr>
        <w:t>万元，其中：基本支出1090.33万元，占</w:t>
      </w:r>
      <w:r>
        <w:rPr>
          <w:rFonts w:hint="eastAsia" w:ascii="仿宋" w:hAnsi="仿宋" w:eastAsia="仿宋"/>
          <w:color w:val="000000"/>
          <w:sz w:val="32"/>
          <w:szCs w:val="32"/>
          <w:lang w:val="en-US" w:eastAsia="zh-CN"/>
        </w:rPr>
        <w:t>39.55</w:t>
      </w:r>
      <w:r>
        <w:rPr>
          <w:rFonts w:ascii="仿宋" w:hAnsi="仿宋" w:eastAsia="仿宋"/>
          <w:color w:val="000000"/>
          <w:sz w:val="32"/>
          <w:szCs w:val="32"/>
        </w:rPr>
        <w:t>%</w:t>
      </w:r>
      <w:r>
        <w:rPr>
          <w:rFonts w:hint="eastAsia" w:ascii="仿宋" w:hAnsi="仿宋" w:eastAsia="仿宋"/>
          <w:color w:val="000000"/>
          <w:sz w:val="32"/>
          <w:szCs w:val="32"/>
        </w:rPr>
        <w:t>；项目支出1665.98万元，占</w:t>
      </w:r>
      <w:r>
        <w:rPr>
          <w:rFonts w:hint="eastAsia" w:ascii="仿宋" w:hAnsi="仿宋" w:eastAsia="仿宋"/>
          <w:color w:val="000000"/>
          <w:sz w:val="32"/>
          <w:szCs w:val="32"/>
          <w:lang w:val="en-US" w:eastAsia="zh-CN"/>
        </w:rPr>
        <w:t>60.44</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hint="eastAsia" w:ascii="仿宋" w:hAnsi="仿宋" w:eastAsia="仿宋"/>
          <w:color w:val="000000" w:themeColor="text1"/>
          <w:sz w:val="32"/>
          <w:szCs w:val="32"/>
        </w:rPr>
      </w:pPr>
    </w:p>
    <w:p>
      <w:pPr>
        <w:spacing w:line="600" w:lineRule="exact"/>
        <w:rPr>
          <w:rFonts w:hint="eastAsia" w:ascii="仿宋" w:hAnsi="仿宋" w:eastAsia="仿宋"/>
          <w:color w:val="000000" w:themeColor="text1"/>
          <w:sz w:val="32"/>
          <w:szCs w:val="32"/>
        </w:rPr>
      </w:pPr>
    </w:p>
    <w:p>
      <w:pPr>
        <w:spacing w:line="600" w:lineRule="exact"/>
        <w:ind w:firstLine="640" w:firstLineChars="200"/>
        <w:outlineLvl w:val="1"/>
        <w:rPr>
          <w:rFonts w:hint="eastAsia" w:ascii="黑体" w:hAnsi="黑体" w:eastAsia="黑体"/>
          <w:color w:val="000000"/>
          <w:sz w:val="32"/>
          <w:szCs w:val="32"/>
          <w:lang w:eastAsia="zh-CN"/>
        </w:rPr>
      </w:pPr>
      <w:bookmarkStart w:id="30" w:name="_Toc15396606"/>
      <w:bookmarkStart w:id="31" w:name="_Toc15377208"/>
      <w:r>
        <w:rPr>
          <w:rFonts w:hint="eastAsia" w:ascii="黑体" w:hAnsi="黑体" w:eastAsia="黑体"/>
          <w:color w:val="000000"/>
          <w:sz w:val="32"/>
          <w:szCs w:val="32"/>
          <w:lang w:eastAsia="zh-CN"/>
        </w:rPr>
        <w:drawing>
          <wp:anchor distT="0" distB="0" distL="114300" distR="114300" simplePos="0" relativeHeight="251660288" behindDoc="0" locked="0" layoutInCell="1" allowOverlap="1">
            <wp:simplePos x="0" y="0"/>
            <wp:positionH relativeFrom="column">
              <wp:posOffset>334645</wp:posOffset>
            </wp:positionH>
            <wp:positionV relativeFrom="paragraph">
              <wp:posOffset>-173355</wp:posOffset>
            </wp:positionV>
            <wp:extent cx="4598035" cy="3132455"/>
            <wp:effectExtent l="5080" t="4445" r="14605" b="177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w:t>
      </w:r>
      <w:r>
        <w:rPr>
          <w:rFonts w:hint="eastAsia" w:ascii="仿宋" w:hAnsi="仿宋" w:eastAsia="仿宋"/>
          <w:color w:val="000000"/>
          <w:sz w:val="32"/>
          <w:szCs w:val="32"/>
          <w:lang w:eastAsia="zh-CN"/>
        </w:rPr>
        <w:t>财政拨款收入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2989.39</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271.79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10</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人员增加，村干部绩效补助增加，政府性基金预算征拆资金预算增加。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2019年</w:t>
      </w:r>
      <w:r>
        <w:rPr>
          <w:rFonts w:hint="eastAsia" w:ascii="仿宋" w:hAnsi="仿宋" w:eastAsia="仿宋"/>
          <w:color w:val="000000"/>
          <w:sz w:val="32"/>
          <w:szCs w:val="32"/>
          <w:lang w:eastAsia="zh-CN"/>
        </w:rPr>
        <w:t>财政拨款</w:t>
      </w:r>
      <w:r>
        <w:rPr>
          <w:rFonts w:hint="eastAsia" w:ascii="仿宋" w:hAnsi="仿宋" w:eastAsia="仿宋"/>
          <w:color w:val="000000"/>
          <w:sz w:val="32"/>
          <w:szCs w:val="32"/>
          <w:lang w:val="en-US" w:eastAsia="zh-CN"/>
        </w:rPr>
        <w:t>支出总计2756.31万元，</w:t>
      </w:r>
      <w:r>
        <w:rPr>
          <w:rFonts w:ascii="仿宋" w:hAnsi="仿宋" w:eastAsia="仿宋"/>
          <w:color w:val="000000"/>
          <w:sz w:val="32"/>
          <w:szCs w:val="32"/>
        </w:rPr>
        <w:t>201</w:t>
      </w:r>
      <w:r>
        <w:rPr>
          <w:rFonts w:hint="eastAsia" w:ascii="仿宋" w:hAnsi="仿宋" w:eastAsia="仿宋"/>
          <w:color w:val="000000"/>
          <w:sz w:val="32"/>
          <w:szCs w:val="32"/>
        </w:rPr>
        <w:t>8年本年支出</w:t>
      </w:r>
      <w:r>
        <w:rPr>
          <w:rFonts w:hint="eastAsia" w:ascii="仿宋" w:hAnsi="仿宋" w:eastAsia="仿宋"/>
          <w:color w:val="000000"/>
          <w:sz w:val="32"/>
          <w:szCs w:val="32"/>
          <w:lang w:eastAsia="zh-CN"/>
        </w:rPr>
        <w:t>总计</w:t>
      </w:r>
      <w:r>
        <w:rPr>
          <w:rFonts w:hint="eastAsia" w:ascii="仿宋" w:hAnsi="仿宋" w:eastAsia="仿宋"/>
          <w:color w:val="000000"/>
          <w:sz w:val="32"/>
          <w:szCs w:val="32"/>
        </w:rPr>
        <w:t>2618.65万元</w:t>
      </w:r>
      <w:r>
        <w:rPr>
          <w:rFonts w:hint="eastAsia" w:ascii="仿宋" w:hAnsi="仿宋" w:eastAsia="仿宋"/>
          <w:color w:val="000000"/>
          <w:sz w:val="32"/>
          <w:szCs w:val="32"/>
          <w:lang w:eastAsia="zh-CN"/>
        </w:rPr>
        <w:t>。与</w:t>
      </w:r>
      <w:r>
        <w:rPr>
          <w:rFonts w:hint="eastAsia" w:ascii="仿宋" w:hAnsi="仿宋" w:eastAsia="仿宋"/>
          <w:color w:val="000000"/>
          <w:sz w:val="32"/>
          <w:szCs w:val="32"/>
          <w:lang w:val="en-US" w:eastAsia="zh-CN"/>
        </w:rPr>
        <w:t>2018年相比增加137.66万元，增加5.25%。</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人员增加，村干部绩效补助增加，政府性基金预算征拆资金预算增加。</w:t>
      </w:r>
    </w:p>
    <w:p>
      <w:pPr>
        <w:spacing w:line="600"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firstLineChars="200"/>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drawing>
          <wp:anchor distT="0" distB="0" distL="114300" distR="114300" simplePos="0" relativeHeight="251661312" behindDoc="0" locked="0" layoutInCell="1" allowOverlap="1">
            <wp:simplePos x="0" y="0"/>
            <wp:positionH relativeFrom="column">
              <wp:posOffset>385445</wp:posOffset>
            </wp:positionH>
            <wp:positionV relativeFrom="paragraph">
              <wp:posOffset>109220</wp:posOffset>
            </wp:positionV>
            <wp:extent cx="4488815" cy="2844800"/>
            <wp:effectExtent l="4445" t="5080" r="17780" b="1524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9年一般公共预算财政拨款支出1767.1万元，占本年支出合计的</w:t>
      </w:r>
      <w:r>
        <w:rPr>
          <w:rFonts w:hint="eastAsia" w:ascii="仿宋" w:hAnsi="仿宋" w:eastAsia="仿宋"/>
          <w:color w:val="000000"/>
          <w:sz w:val="32"/>
          <w:szCs w:val="32"/>
          <w:lang w:val="en-US" w:eastAsia="zh-CN"/>
        </w:rPr>
        <w:t>64.11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11.65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0.66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人员增加，村干部绩效补助增加。</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r>
        <w:rPr>
          <w:rFonts w:hint="eastAsia" w:ascii="仿宋" w:hAnsi="仿宋" w:eastAsia="仿宋"/>
          <w:color w:val="000000" w:themeColor="text1"/>
          <w:sz w:val="32"/>
          <w:szCs w:val="32"/>
          <w:lang w:eastAsia="zh-CN"/>
        </w:rPr>
        <w:drawing>
          <wp:anchor distT="0" distB="0" distL="114300" distR="114300" simplePos="0" relativeHeight="251662336" behindDoc="0" locked="0" layoutInCell="1" allowOverlap="1">
            <wp:simplePos x="0" y="0"/>
            <wp:positionH relativeFrom="column">
              <wp:posOffset>215265</wp:posOffset>
            </wp:positionH>
            <wp:positionV relativeFrom="paragraph">
              <wp:posOffset>201930</wp:posOffset>
            </wp:positionV>
            <wp:extent cx="4742180" cy="2879090"/>
            <wp:effectExtent l="4445" t="4445" r="8255" b="1206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hint="default" w:ascii="仿宋_GB2312" w:eastAsia="仿宋_GB2312"/>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rPr>
        <w:t>1767.1</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支出502.97万元，占</w:t>
      </w:r>
      <w:r>
        <w:rPr>
          <w:rFonts w:hint="eastAsia" w:ascii="仿宋" w:hAnsi="仿宋" w:eastAsia="仿宋"/>
          <w:color w:val="000000" w:themeColor="text1"/>
          <w:sz w:val="32"/>
          <w:szCs w:val="32"/>
          <w:lang w:val="en-US" w:eastAsia="zh-CN"/>
        </w:rPr>
        <w:t>28.47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文化旅游体育与传媒（类）支出17.66万元，占</w:t>
      </w:r>
      <w:r>
        <w:rPr>
          <w:rFonts w:hint="eastAsia" w:ascii="仿宋" w:hAnsi="仿宋" w:eastAsia="仿宋"/>
          <w:b/>
          <w:bCs/>
          <w:color w:val="000000" w:themeColor="text1"/>
          <w:sz w:val="32"/>
          <w:szCs w:val="32"/>
          <w:lang w:val="en-US" w:eastAsia="zh-CN"/>
        </w:rPr>
        <w:t>1</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支出95.66万元，占</w:t>
      </w:r>
      <w:r>
        <w:rPr>
          <w:rFonts w:hint="eastAsia" w:ascii="仿宋" w:hAnsi="仿宋" w:eastAsia="仿宋"/>
          <w:color w:val="000000" w:themeColor="text1"/>
          <w:sz w:val="32"/>
          <w:szCs w:val="32"/>
          <w:lang w:val="en-US" w:eastAsia="zh-CN"/>
        </w:rPr>
        <w:t>5.42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rPr>
        <w:t>58.2万元，占</w:t>
      </w:r>
      <w:r>
        <w:rPr>
          <w:rFonts w:hint="eastAsia" w:ascii="仿宋" w:hAnsi="仿宋" w:eastAsia="仿宋"/>
          <w:color w:val="000000" w:themeColor="text1"/>
          <w:sz w:val="32"/>
          <w:szCs w:val="32"/>
          <w:lang w:val="en-US" w:eastAsia="zh-CN"/>
        </w:rPr>
        <w:t>3.29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_GB2312" w:eastAsia="仿宋_GB2312"/>
          <w:color w:val="000000"/>
          <w:sz w:val="32"/>
          <w:szCs w:val="32"/>
        </w:rPr>
        <w:t>节能环保支出30</w:t>
      </w:r>
      <w:r>
        <w:rPr>
          <w:rFonts w:hint="eastAsia" w:ascii="仿宋" w:hAnsi="仿宋" w:eastAsia="仿宋"/>
          <w:color w:val="000000" w:themeColor="text1"/>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1.69</w:t>
      </w:r>
      <w:r>
        <w:rPr>
          <w:rFonts w:hint="eastAsia"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lang w:val="en-US" w:eastAsia="zh-CN"/>
        </w:rPr>
        <w:t>42.36万元，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2.39</w:t>
      </w:r>
      <w:r>
        <w:rPr>
          <w:rFonts w:hint="eastAsia" w:ascii="仿宋_GB2312" w:eastAsia="仿宋_GB2312"/>
          <w:color w:val="000000"/>
          <w:sz w:val="32"/>
          <w:szCs w:val="32"/>
        </w:rPr>
        <w:t>%；农林水支出</w:t>
      </w:r>
      <w:r>
        <w:rPr>
          <w:rFonts w:hint="eastAsia" w:ascii="仿宋_GB2312" w:eastAsia="仿宋_GB2312"/>
          <w:color w:val="000000"/>
          <w:sz w:val="32"/>
          <w:szCs w:val="32"/>
          <w:lang w:val="en-US" w:eastAsia="zh-CN"/>
        </w:rPr>
        <w:t>942.47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53.33</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30.29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1.73</w:t>
      </w:r>
      <w:r>
        <w:rPr>
          <w:rFonts w:hint="eastAsia" w:ascii="仿宋_GB2312" w:eastAsia="仿宋_GB2312"/>
          <w:color w:val="000000"/>
          <w:sz w:val="32"/>
          <w:szCs w:val="32"/>
        </w:rPr>
        <w:t>%。灾害防治及应急管理支出47.5</w:t>
      </w:r>
      <w:r>
        <w:rPr>
          <w:rFonts w:hint="eastAsia" w:ascii="仿宋_GB2312" w:eastAsia="仿宋_GB2312"/>
          <w:color w:val="000000"/>
          <w:sz w:val="32"/>
          <w:szCs w:val="32"/>
          <w:lang w:eastAsia="zh-CN"/>
        </w:rPr>
        <w:t>万元，占</w:t>
      </w:r>
      <w:r>
        <w:rPr>
          <w:rFonts w:hint="eastAsia" w:ascii="仿宋_GB2312" w:eastAsia="仿宋_GB2312"/>
          <w:color w:val="000000"/>
          <w:sz w:val="32"/>
          <w:szCs w:val="32"/>
          <w:lang w:val="en-US" w:eastAsia="zh-CN"/>
        </w:rPr>
        <w:t>2.68%。</w:t>
      </w:r>
    </w:p>
    <w:p>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（罗列全部功能分类科目，至类级。）</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3360" behindDoc="0" locked="0" layoutInCell="1" allowOverlap="1">
            <wp:simplePos x="0" y="0"/>
            <wp:positionH relativeFrom="column">
              <wp:posOffset>114300</wp:posOffset>
            </wp:positionH>
            <wp:positionV relativeFrom="paragraph">
              <wp:posOffset>64135</wp:posOffset>
            </wp:positionV>
            <wp:extent cx="5080000" cy="3810000"/>
            <wp:effectExtent l="4445" t="4445" r="5715" b="1079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color w:val="000000"/>
          <w:sz w:val="32"/>
          <w:szCs w:val="32"/>
        </w:rPr>
        <w:t>1767.1</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92.99</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_GB2312" w:eastAsia="仿宋_GB2312"/>
          <w:color w:val="000000"/>
          <w:sz w:val="32"/>
          <w:szCs w:val="32"/>
        </w:rPr>
        <w:t>1.一般公共服务:</w:t>
      </w:r>
      <w:r>
        <w:rPr>
          <w:rStyle w:val="14"/>
          <w:rFonts w:hint="eastAsia" w:ascii="仿宋_GB2312" w:eastAsia="仿宋_GB2312"/>
          <w:b w:val="0"/>
          <w:color w:val="000000"/>
          <w:sz w:val="32"/>
          <w:szCs w:val="32"/>
        </w:rPr>
        <w:t xml:space="preserve"> </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019年决算数为502.97万元，完成预算99.44%，决算数小于预算数的主要原因是2019年综合绩效定向补助未支付。其中：一般公共服务支出-人大事务-代表工作2.06万元；一般公共服务支出-政府办公厅（室）--行政运行423.39万元，一般公共服务支出-政府办公厅（室）--一般行政管理事务11.7万元；一般公共服务支出-财政事务--行政运行28.08万元；一般公共服务支出-党委办公厅（室）及相关机构事务--行政运行36.42万元，一般公共服务支出-党委办公厅（室）及相关机构事务--专项业务费1.</w:t>
      </w:r>
      <w:r>
        <w:rPr>
          <w:rFonts w:hint="eastAsia" w:ascii="仿宋_GB2312" w:eastAsia="仿宋_GB2312"/>
          <w:color w:val="000000"/>
          <w:sz w:val="32"/>
          <w:szCs w:val="32"/>
        </w:rPr>
        <w:t>32万元。</w:t>
      </w:r>
    </w:p>
    <w:p>
      <w:pPr>
        <w:spacing w:line="600" w:lineRule="exact"/>
        <w:ind w:firstLine="643" w:firstLineChars="200"/>
        <w:rPr>
          <w:rFonts w:hint="eastAsia" w:ascii="仿宋_GB2312" w:eastAsia="仿宋_GB2312"/>
          <w:color w:val="000000"/>
          <w:sz w:val="32"/>
          <w:szCs w:val="32"/>
          <w:lang w:val="en-US" w:eastAsia="zh-CN"/>
        </w:rPr>
      </w:pPr>
      <w:r>
        <w:rPr>
          <w:rStyle w:val="14"/>
          <w:rFonts w:hint="eastAsia" w:ascii="仿宋_GB2312" w:eastAsia="仿宋_GB2312"/>
          <w:color w:val="000000"/>
          <w:sz w:val="32"/>
          <w:szCs w:val="32"/>
        </w:rPr>
        <w:t>2.文化体育与传媒支出:</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17.66</w:t>
      </w:r>
      <w:r>
        <w:rPr>
          <w:rFonts w:hint="eastAsia" w:ascii="仿宋_GB2312" w:eastAsia="仿宋_GB2312"/>
          <w:color w:val="000000"/>
          <w:sz w:val="32"/>
          <w:szCs w:val="32"/>
        </w:rPr>
        <w:t>万元，完成预算100%。其中：</w:t>
      </w:r>
      <w:r>
        <w:rPr>
          <w:rFonts w:hint="eastAsia" w:ascii="仿宋_GB2312" w:eastAsia="仿宋_GB2312"/>
          <w:color w:val="000000"/>
          <w:sz w:val="32"/>
          <w:szCs w:val="32"/>
          <w:lang w:val="en-US" w:eastAsia="zh-CN"/>
        </w:rPr>
        <w:t>文化体育与传媒支出-文化-行政运行12.66万元；文化体育与传媒支出-其他文化体育与传媒支出-其他文化体育与传媒支出5万元。　</w:t>
      </w:r>
    </w:p>
    <w:p>
      <w:pPr>
        <w:spacing w:line="600" w:lineRule="exact"/>
        <w:ind w:firstLine="643" w:firstLineChars="200"/>
        <w:rPr>
          <w:rFonts w:hint="default" w:ascii="仿宋_GB2312" w:eastAsia="仿宋_GB2312"/>
          <w:color w:val="000000"/>
          <w:sz w:val="32"/>
          <w:szCs w:val="32"/>
          <w:lang w:val="en-US" w:eastAsia="zh-CN"/>
        </w:rPr>
      </w:pPr>
      <w:r>
        <w:rPr>
          <w:rStyle w:val="14"/>
          <w:rFonts w:hint="eastAsia" w:ascii="仿宋_GB2312" w:eastAsia="仿宋_GB2312"/>
          <w:color w:val="000000"/>
          <w:sz w:val="32"/>
          <w:szCs w:val="32"/>
        </w:rPr>
        <w:t>3.社会保障和就业支出:</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95.66</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其中：社会保障和就业支出-行政事业单位离退休-机关事业单位基本养老保险缴费支出44.95万元，  社会保障和就业支出-抚恤-死亡抚恤15.25万元，社会保障和就业支出-抚恤-义务兵优待33.02万元，社会保障和就业支出-其他社会保障和就业支出- 其他社会保障和就业支出2.44万元。</w:t>
      </w:r>
    </w:p>
    <w:p>
      <w:pPr>
        <w:spacing w:line="600" w:lineRule="exact"/>
        <w:ind w:firstLine="643" w:firstLineChars="200"/>
        <w:rPr>
          <w:rFonts w:hint="eastAsia" w:ascii="仿宋_GB2312" w:eastAsia="仿宋_GB2312"/>
          <w:color w:val="000000"/>
          <w:sz w:val="32"/>
          <w:szCs w:val="32"/>
          <w:lang w:val="en-US" w:eastAsia="zh-CN"/>
        </w:rPr>
      </w:pPr>
      <w:r>
        <w:rPr>
          <w:rFonts w:hint="eastAsia" w:ascii="仿宋_GB2312" w:eastAsia="仿宋_GB2312"/>
          <w:b/>
          <w:color w:val="000000"/>
          <w:sz w:val="32"/>
          <w:szCs w:val="32"/>
        </w:rPr>
        <w:t>4</w:t>
      </w:r>
      <w:r>
        <w:rPr>
          <w:rStyle w:val="14"/>
          <w:rFonts w:hint="eastAsia" w:ascii="仿宋_GB2312" w:eastAsia="仿宋_GB2312"/>
          <w:color w:val="000000"/>
          <w:sz w:val="32"/>
          <w:szCs w:val="32"/>
        </w:rPr>
        <w:t>.医疗卫生与计划生育支出:</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019年决算数为58.2万元，完成预算100%。其中：医疗卫生与计划生育支出-计划生育事务-计划生育机构32.05万元；医疗卫生与计划生育支出-计划生育事务-计划生育服务4.77万元；医疗卫生与计划生育支出-行政事业单位医疗-行政单位医疗21.38万元。</w:t>
      </w:r>
    </w:p>
    <w:p>
      <w:pPr>
        <w:spacing w:line="600" w:lineRule="exact"/>
        <w:ind w:firstLine="643" w:firstLineChars="200"/>
        <w:rPr>
          <w:rFonts w:hint="default" w:ascii="仿宋_GB2312" w:eastAsia="仿宋_GB2312"/>
          <w:color w:val="000000"/>
          <w:sz w:val="32"/>
          <w:szCs w:val="32"/>
          <w:lang w:val="en-US" w:eastAsia="zh-CN"/>
        </w:rPr>
      </w:pPr>
      <w:r>
        <w:rPr>
          <w:rStyle w:val="14"/>
          <w:rFonts w:hint="eastAsia" w:ascii="仿宋_GB2312" w:eastAsia="仿宋_GB2312"/>
          <w:color w:val="000000"/>
          <w:sz w:val="32"/>
          <w:szCs w:val="32"/>
          <w:lang w:val="en-US" w:eastAsia="zh-CN"/>
        </w:rPr>
        <w:t>5.节能环保支出：</w:t>
      </w:r>
      <w:r>
        <w:rPr>
          <w:rFonts w:hint="eastAsia" w:ascii="仿宋_GB2312" w:eastAsia="仿宋_GB2312"/>
          <w:color w:val="000000"/>
          <w:sz w:val="32"/>
          <w:szCs w:val="32"/>
          <w:lang w:val="en-US" w:eastAsia="zh-CN"/>
        </w:rPr>
        <w:t>2019年决算数为30万元，完成预算100%。其中：节能环保支出-其他节能环保支出-农村环境保护30万元。</w:t>
      </w:r>
    </w:p>
    <w:p>
      <w:pPr>
        <w:spacing w:line="600" w:lineRule="exact"/>
        <w:ind w:firstLine="643" w:firstLineChars="200"/>
        <w:rPr>
          <w:rFonts w:hint="eastAsia" w:ascii="仿宋_GB2312" w:eastAsia="仿宋_GB2312"/>
          <w:color w:val="000000"/>
          <w:sz w:val="32"/>
          <w:szCs w:val="32"/>
          <w:lang w:val="en-US" w:eastAsia="zh-CN"/>
        </w:rPr>
      </w:pPr>
      <w:r>
        <w:rPr>
          <w:rStyle w:val="14"/>
          <w:rFonts w:hint="eastAsia" w:ascii="仿宋_GB2312" w:eastAsia="仿宋_GB2312"/>
          <w:color w:val="000000"/>
          <w:sz w:val="32"/>
          <w:szCs w:val="32"/>
          <w:lang w:val="en-US" w:eastAsia="zh-CN"/>
        </w:rPr>
        <w:t>6</w:t>
      </w:r>
      <w:r>
        <w:rPr>
          <w:rStyle w:val="14"/>
          <w:rFonts w:hint="eastAsia" w:ascii="仿宋_GB2312" w:eastAsia="仿宋_GB2312"/>
          <w:color w:val="000000"/>
          <w:sz w:val="32"/>
          <w:szCs w:val="32"/>
        </w:rPr>
        <w:t>.城乡社区支出：</w:t>
      </w:r>
      <w:r>
        <w:rPr>
          <w:rFonts w:hint="eastAsia" w:ascii="仿宋_GB2312" w:eastAsia="仿宋_GB2312"/>
          <w:color w:val="000000"/>
          <w:sz w:val="32"/>
          <w:szCs w:val="32"/>
          <w:lang w:val="en-US" w:eastAsia="zh-CN"/>
        </w:rPr>
        <w:t>2019年决算数为42.36万元，完成预算100%。其中：城乡社区支出-城乡社区管理事务-行政运行6.36万元，城乡社区支出-城乡社区管理事务-一般行政管理事务36万元。</w:t>
      </w:r>
    </w:p>
    <w:p>
      <w:pPr>
        <w:spacing w:line="600" w:lineRule="exact"/>
        <w:ind w:firstLine="643" w:firstLineChars="200"/>
        <w:rPr>
          <w:rStyle w:val="14"/>
          <w:rFonts w:hint="eastAsia" w:ascii="仿宋_GB2312" w:eastAsia="仿宋_GB2312"/>
          <w:color w:val="000000"/>
          <w:sz w:val="32"/>
          <w:szCs w:val="32"/>
        </w:rPr>
      </w:pPr>
    </w:p>
    <w:p>
      <w:pPr>
        <w:numPr>
          <w:ilvl w:val="0"/>
          <w:numId w:val="3"/>
        </w:numPr>
        <w:spacing w:line="600" w:lineRule="exact"/>
        <w:ind w:firstLine="643" w:firstLineChars="200"/>
        <w:rPr>
          <w:rFonts w:hint="eastAsia" w:ascii="仿宋_GB2312" w:eastAsia="仿宋_GB2312"/>
          <w:color w:val="000000"/>
          <w:sz w:val="32"/>
          <w:szCs w:val="32"/>
        </w:rPr>
      </w:pPr>
      <w:r>
        <w:rPr>
          <w:rStyle w:val="14"/>
          <w:rFonts w:hint="eastAsia" w:ascii="仿宋_GB2312" w:eastAsia="仿宋_GB2312"/>
          <w:color w:val="000000"/>
          <w:sz w:val="32"/>
          <w:szCs w:val="32"/>
        </w:rPr>
        <w:t>农林水支出：</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942.47</w:t>
      </w:r>
      <w:r>
        <w:rPr>
          <w:rFonts w:hint="eastAsia" w:ascii="仿宋_GB2312" w:eastAsia="仿宋_GB2312"/>
          <w:color w:val="000000"/>
          <w:sz w:val="32"/>
          <w:szCs w:val="32"/>
          <w:lang w:eastAsia="zh-CN"/>
        </w:rPr>
        <w:t>万元</w:t>
      </w:r>
      <w:r>
        <w:rPr>
          <w:rFonts w:hint="eastAsia" w:ascii="仿宋_GB2312" w:eastAsia="仿宋_GB2312"/>
          <w:color w:val="000000"/>
          <w:sz w:val="32"/>
          <w:szCs w:val="32"/>
        </w:rPr>
        <w:t>，完成预算</w:t>
      </w:r>
      <w:r>
        <w:rPr>
          <w:rFonts w:hint="eastAsia" w:ascii="仿宋_GB2312" w:eastAsia="仿宋_GB2312"/>
          <w:color w:val="000000"/>
          <w:sz w:val="32"/>
          <w:szCs w:val="32"/>
          <w:lang w:val="en-US" w:eastAsia="zh-CN"/>
        </w:rPr>
        <w:t>84.13</w:t>
      </w:r>
      <w:r>
        <w:rPr>
          <w:rFonts w:hint="eastAsia" w:ascii="仿宋_GB2312" w:eastAsia="仿宋_GB2312"/>
          <w:color w:val="000000"/>
          <w:sz w:val="32"/>
          <w:szCs w:val="32"/>
        </w:rPr>
        <w:t>%。决算数小于预算数的主要原因</w:t>
      </w:r>
      <w:r>
        <w:rPr>
          <w:rFonts w:hint="eastAsia" w:ascii="仿宋_GB2312" w:eastAsia="仿宋_GB2312"/>
          <w:color w:val="000000"/>
          <w:sz w:val="32"/>
          <w:szCs w:val="32"/>
          <w:lang w:eastAsia="zh-CN"/>
        </w:rPr>
        <w:t>是山园村道路建设项目</w:t>
      </w:r>
      <w:r>
        <w:rPr>
          <w:rFonts w:hint="eastAsia" w:ascii="仿宋_GB2312" w:eastAsia="仿宋_GB2312"/>
          <w:color w:val="000000"/>
          <w:sz w:val="32"/>
          <w:szCs w:val="32"/>
          <w:lang w:val="en-US" w:eastAsia="zh-CN"/>
        </w:rPr>
        <w:t>，五四村太阳能灯村道绿化项目，五一村产业扶持资金，村干部绩效及连任离任等补助未支付完成。</w:t>
      </w:r>
      <w:r>
        <w:rPr>
          <w:rFonts w:hint="eastAsia" w:ascii="仿宋_GB2312" w:eastAsia="仿宋_GB2312"/>
          <w:color w:val="000000"/>
          <w:sz w:val="32"/>
          <w:szCs w:val="32"/>
        </w:rPr>
        <w:t>其中：农林水支出-农业-行政运行</w:t>
      </w:r>
      <w:r>
        <w:rPr>
          <w:rFonts w:hint="eastAsia" w:ascii="仿宋_GB2312" w:eastAsia="仿宋_GB2312"/>
          <w:color w:val="000000"/>
          <w:sz w:val="32"/>
          <w:szCs w:val="32"/>
          <w:lang w:val="en-US" w:eastAsia="zh-CN"/>
        </w:rPr>
        <w:t>28.72</w:t>
      </w:r>
      <w:r>
        <w:rPr>
          <w:rFonts w:hint="eastAsia" w:ascii="仿宋_GB2312" w:eastAsia="仿宋_GB2312"/>
          <w:color w:val="000000"/>
          <w:sz w:val="32"/>
          <w:szCs w:val="32"/>
        </w:rPr>
        <w:t>万元，农林水支出-农业-</w:t>
      </w:r>
      <w:r>
        <w:rPr>
          <w:rFonts w:hint="eastAsia" w:ascii="仿宋_GB2312" w:eastAsia="仿宋_GB2312"/>
          <w:color w:val="000000"/>
          <w:sz w:val="32"/>
          <w:szCs w:val="32"/>
          <w:lang w:eastAsia="zh-CN"/>
        </w:rPr>
        <w:t>其他农业支出202万元；</w:t>
      </w:r>
      <w:r>
        <w:rPr>
          <w:rFonts w:hint="eastAsia" w:ascii="仿宋_GB2312" w:eastAsia="仿宋_GB2312"/>
          <w:color w:val="000000"/>
          <w:sz w:val="32"/>
          <w:szCs w:val="32"/>
        </w:rPr>
        <w:t>农林水支出-林业-林业防灾减灾2万元；农林水支出-水利-行政运行</w:t>
      </w:r>
      <w:r>
        <w:rPr>
          <w:rFonts w:hint="eastAsia" w:ascii="仿宋_GB2312" w:eastAsia="仿宋_GB2312"/>
          <w:color w:val="000000"/>
          <w:sz w:val="32"/>
          <w:szCs w:val="32"/>
          <w:lang w:val="en-US" w:eastAsia="zh-CN"/>
        </w:rPr>
        <w:t>6.41</w:t>
      </w:r>
      <w:r>
        <w:rPr>
          <w:rFonts w:hint="eastAsia" w:ascii="仿宋_GB2312" w:eastAsia="仿宋_GB2312"/>
          <w:color w:val="000000"/>
          <w:sz w:val="32"/>
          <w:szCs w:val="32"/>
        </w:rPr>
        <w:t>万元；农林水支出-扶贫-其他扶贫支出175.4万元；农林水支出-农村综合改革-对村民委员会和村党支部的补助</w:t>
      </w:r>
      <w:r>
        <w:rPr>
          <w:rFonts w:hint="eastAsia" w:ascii="仿宋_GB2312" w:eastAsia="仿宋_GB2312"/>
          <w:color w:val="000000"/>
          <w:sz w:val="32"/>
          <w:szCs w:val="32"/>
          <w:lang w:val="en-US" w:eastAsia="zh-CN"/>
        </w:rPr>
        <w:t>401.94</w:t>
      </w:r>
      <w:r>
        <w:rPr>
          <w:rFonts w:hint="eastAsia" w:ascii="仿宋_GB2312" w:eastAsia="仿宋_GB2312"/>
          <w:color w:val="000000"/>
          <w:sz w:val="32"/>
          <w:szCs w:val="32"/>
        </w:rPr>
        <w:t>万元；农林水支出-农村综合改革-对村集体经济组织的补助20</w:t>
      </w:r>
      <w:r>
        <w:rPr>
          <w:rFonts w:hint="eastAsia" w:ascii="仿宋_GB2312" w:eastAsia="仿宋_GB2312"/>
          <w:color w:val="000000"/>
          <w:sz w:val="32"/>
          <w:szCs w:val="32"/>
          <w:lang w:eastAsia="zh-CN"/>
        </w:rPr>
        <w:t>万元；</w:t>
      </w:r>
      <w:r>
        <w:rPr>
          <w:rFonts w:hint="eastAsia" w:ascii="仿宋_GB2312" w:eastAsia="仿宋_GB2312"/>
          <w:color w:val="000000"/>
          <w:sz w:val="32"/>
          <w:szCs w:val="32"/>
        </w:rPr>
        <w:t>农林水事务-农村综合改革-其他农村综合改革</w:t>
      </w:r>
      <w:r>
        <w:rPr>
          <w:rFonts w:hint="eastAsia" w:ascii="仿宋_GB2312" w:eastAsia="仿宋_GB2312"/>
          <w:color w:val="000000"/>
          <w:sz w:val="32"/>
          <w:szCs w:val="32"/>
          <w:lang w:eastAsia="zh-CN"/>
        </w:rPr>
        <w:t>支出</w:t>
      </w:r>
      <w:r>
        <w:rPr>
          <w:rFonts w:hint="eastAsia" w:ascii="仿宋_GB2312" w:eastAsia="仿宋_GB2312"/>
          <w:color w:val="000000"/>
          <w:sz w:val="32"/>
          <w:szCs w:val="32"/>
          <w:lang w:val="en-US" w:eastAsia="zh-CN"/>
        </w:rPr>
        <w:t>106</w:t>
      </w:r>
      <w:r>
        <w:rPr>
          <w:rFonts w:hint="eastAsia" w:ascii="仿宋_GB2312" w:eastAsia="仿宋_GB2312"/>
          <w:color w:val="000000"/>
          <w:sz w:val="32"/>
          <w:szCs w:val="32"/>
        </w:rPr>
        <w:t>万元。</w:t>
      </w:r>
    </w:p>
    <w:p>
      <w:pPr>
        <w:numPr>
          <w:ilvl w:val="0"/>
          <w:numId w:val="3"/>
        </w:numPr>
        <w:spacing w:line="600" w:lineRule="exact"/>
        <w:ind w:left="0" w:leftChars="0" w:firstLine="643" w:firstLineChars="200"/>
        <w:rPr>
          <w:rFonts w:hint="eastAsia" w:ascii="仿宋_GB2312" w:eastAsia="仿宋_GB2312"/>
          <w:color w:val="000000"/>
          <w:sz w:val="32"/>
          <w:szCs w:val="32"/>
          <w:lang w:val="en-US" w:eastAsia="zh-CN"/>
        </w:rPr>
      </w:pPr>
      <w:r>
        <w:rPr>
          <w:rFonts w:hint="eastAsia" w:ascii="仿宋_GB2312" w:eastAsia="仿宋_GB2312"/>
          <w:b/>
          <w:bCs/>
          <w:color w:val="000000"/>
          <w:sz w:val="32"/>
          <w:szCs w:val="32"/>
        </w:rPr>
        <w:t>住房保障支出：2</w:t>
      </w:r>
      <w:r>
        <w:rPr>
          <w:rFonts w:hint="eastAsia" w:ascii="仿宋_GB2312" w:eastAsia="仿宋_GB2312"/>
          <w:color w:val="000000"/>
          <w:sz w:val="32"/>
          <w:szCs w:val="32"/>
        </w:rPr>
        <w:t>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年决算数为</w:t>
      </w:r>
      <w:r>
        <w:rPr>
          <w:rStyle w:val="14"/>
          <w:rFonts w:hint="eastAsia" w:ascii="仿宋_GB2312" w:eastAsia="仿宋_GB2312"/>
          <w:b w:val="0"/>
          <w:bCs w:val="0"/>
          <w:color w:val="000000"/>
          <w:sz w:val="32"/>
          <w:szCs w:val="32"/>
          <w:lang w:val="en-US" w:eastAsia="zh-CN"/>
        </w:rPr>
        <w:t>30.29</w:t>
      </w:r>
      <w:r>
        <w:rPr>
          <w:rFonts w:hint="eastAsia" w:ascii="仿宋_GB2312" w:eastAsia="仿宋_GB2312"/>
          <w:color w:val="000000"/>
          <w:sz w:val="32"/>
          <w:szCs w:val="32"/>
        </w:rPr>
        <w:t>万元，完成预算</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%。其中：</w:t>
      </w:r>
      <w:r>
        <w:rPr>
          <w:rFonts w:hint="eastAsia" w:ascii="仿宋_GB2312" w:eastAsia="仿宋_GB2312"/>
          <w:color w:val="000000"/>
          <w:sz w:val="32"/>
          <w:szCs w:val="32"/>
          <w:lang w:val="en-US" w:eastAsia="zh-CN"/>
        </w:rPr>
        <w:t>住房保障支出-住房改革支出-住房公积金30.29万元。</w:t>
      </w:r>
    </w:p>
    <w:p>
      <w:pPr>
        <w:numPr>
          <w:ilvl w:val="0"/>
          <w:numId w:val="3"/>
        </w:numPr>
        <w:spacing w:line="600" w:lineRule="exact"/>
        <w:ind w:left="0" w:leftChars="0"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灾害防治及应急管理支出</w:t>
      </w:r>
      <w:r>
        <w:rPr>
          <w:rFonts w:hint="eastAsia" w:ascii="仿宋_GB2312" w:eastAsia="仿宋_GB2312"/>
          <w:b/>
          <w:bCs/>
          <w:color w:val="000000"/>
          <w:sz w:val="32"/>
          <w:szCs w:val="32"/>
          <w:lang w:eastAsia="zh-CN"/>
        </w:rPr>
        <w:t>：</w:t>
      </w:r>
      <w:r>
        <w:rPr>
          <w:rFonts w:hint="eastAsia" w:ascii="仿宋_GB2312" w:eastAsia="仿宋_GB2312"/>
          <w:b/>
          <w:bCs/>
          <w:color w:val="000000"/>
          <w:sz w:val="32"/>
          <w:szCs w:val="32"/>
          <w:lang w:val="en-US" w:eastAsia="zh-CN"/>
        </w:rPr>
        <w:t>47.5万元。</w:t>
      </w:r>
      <w:r>
        <w:rPr>
          <w:rFonts w:hint="eastAsia" w:ascii="仿宋_GB2312" w:eastAsia="仿宋_GB2312"/>
          <w:color w:val="000000"/>
          <w:sz w:val="32"/>
          <w:szCs w:val="32"/>
          <w:lang w:val="en-US" w:eastAsia="zh-CN"/>
        </w:rPr>
        <w:t>本项目为2018年结转资金。其中灾害防治及应急管理支出-自然灾害救灾及恢复重建支出- 中央自然灾害生活补助37.5万元；灾害防治及应急管理支出-自然灾害救灾及恢复重建支出- 自然灾害救助补助支出10万元。</w:t>
      </w:r>
    </w:p>
    <w:p>
      <w:pPr>
        <w:numPr>
          <w:ilvl w:val="0"/>
          <w:numId w:val="0"/>
        </w:numPr>
        <w:spacing w:line="600" w:lineRule="exact"/>
        <w:ind w:left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（注：数据来源于财决Z01-1表，罗列全部功能分类科目至项级。上述“预算”口径为调整预算数。增减变动原因为决算数&lt;项级&gt;和调整预算数&lt;项级&gt;比较，与预算数持平可以不写原因。）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1090.33</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840.24</w:t>
      </w:r>
      <w:r>
        <w:rPr>
          <w:rFonts w:hint="eastAsia" w:ascii="仿宋" w:hAnsi="仿宋" w:eastAsia="仿宋"/>
          <w:color w:val="000000"/>
          <w:sz w:val="32"/>
          <w:szCs w:val="32"/>
        </w:rPr>
        <w:t>万元，主要包括：基本工资170.98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、津贴补贴82.84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、奖金8.75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、伙食补助费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、绩效工资51.67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、机关事业单位基本养老保险缴费44.95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、职工基本医疗保险缴费21.38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、其他社会保障缴费6.83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其他工资福利支出133.7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、住房公积金30.29</w:t>
      </w:r>
      <w:r>
        <w:rPr>
          <w:rFonts w:hint="eastAsia" w:ascii="仿宋" w:hAnsi="仿宋" w:eastAsia="仿宋"/>
          <w:color w:val="000000"/>
          <w:sz w:val="32"/>
          <w:szCs w:val="32"/>
          <w:lang w:eastAsia="zh-CN"/>
        </w:rPr>
        <w:t>、</w:t>
      </w:r>
      <w:r>
        <w:rPr>
          <w:rFonts w:hint="eastAsia" w:ascii="仿宋" w:hAnsi="仿宋" w:eastAsia="仿宋"/>
          <w:color w:val="000000"/>
          <w:sz w:val="32"/>
          <w:szCs w:val="32"/>
        </w:rPr>
        <w:t>离休费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、退休费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、抚恤金</w:t>
      </w:r>
      <w:r>
        <w:rPr>
          <w:rFonts w:hint="eastAsia" w:ascii="仿宋" w:hAnsi="仿宋" w:eastAsia="仿宋"/>
          <w:color w:val="000000"/>
          <w:sz w:val="32"/>
          <w:szCs w:val="32"/>
          <w:lang w:val="en-US" w:eastAsia="zh-CN"/>
        </w:rPr>
        <w:t>15.25万元</w:t>
      </w:r>
      <w:r>
        <w:rPr>
          <w:rFonts w:hint="eastAsia" w:ascii="仿宋" w:hAnsi="仿宋" w:eastAsia="仿宋"/>
          <w:color w:val="000000"/>
          <w:sz w:val="32"/>
          <w:szCs w:val="32"/>
        </w:rPr>
        <w:t>、生活补助273.4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、医疗费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、奖励金0.21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、提租补贴</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、购房补贴</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、其他对个人和家庭的补助支出</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250.1</w:t>
      </w:r>
      <w:r>
        <w:rPr>
          <w:rFonts w:hint="eastAsia" w:ascii="仿宋" w:hAnsi="仿宋" w:eastAsia="仿宋"/>
          <w:color w:val="000000"/>
          <w:sz w:val="32"/>
          <w:szCs w:val="32"/>
        </w:rPr>
        <w:t>万元，主要包括：办公费172.2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、印刷费8.72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、咨询费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、手续费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、水费0.6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、电费5.67</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、邮电费1.41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、取暖费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、差旅费1.71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、因公出国（境）费用</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、维修（护）费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、租赁费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、会议费0.46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、培训费0.68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、公务接待费9.95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1.03元</w:t>
      </w:r>
      <w:r>
        <w:rPr>
          <w:rFonts w:hint="eastAsia" w:ascii="仿宋" w:hAnsi="仿宋" w:eastAsia="仿宋"/>
          <w:color w:val="000000"/>
          <w:sz w:val="32"/>
          <w:szCs w:val="32"/>
        </w:rPr>
        <w:t>、委托业务费</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、工会经费6.61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、福利费14.54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、公务用车运行维护费6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、其他交通费11.91</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、税金及附加费用</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5.56元</w:t>
      </w:r>
      <w:r>
        <w:rPr>
          <w:rFonts w:hint="eastAsia" w:ascii="仿宋" w:hAnsi="仿宋" w:eastAsia="仿宋"/>
          <w:color w:val="000000"/>
          <w:sz w:val="32"/>
          <w:szCs w:val="32"/>
        </w:rPr>
        <w:t>、办公设备购置3.05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、专用设备购置</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、信息网络及软件购置更新</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、其他资本性支出</w:t>
      </w:r>
      <w:r>
        <w:rPr>
          <w:rFonts w:hint="eastAsia" w:ascii="仿宋" w:hAnsi="仿宋" w:eastAsia="仿宋"/>
          <w:color w:val="000000"/>
          <w:sz w:val="32"/>
          <w:szCs w:val="32"/>
          <w:lang w:val="en-US" w:eastAsia="zh-CN"/>
        </w:rPr>
        <w:t>0元</w:t>
      </w:r>
      <w:r>
        <w:rPr>
          <w:rFonts w:hint="eastAsia" w:ascii="仿宋" w:hAnsi="仿宋" w:eastAsia="仿宋"/>
          <w:color w:val="000000"/>
          <w:sz w:val="32"/>
          <w:szCs w:val="32"/>
        </w:rPr>
        <w:t>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15.95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37.62</w:t>
      </w:r>
      <w:r>
        <w:rPr>
          <w:rFonts w:ascii="仿宋" w:hAnsi="仿宋" w:eastAsia="仿宋"/>
          <w:color w:val="000000"/>
          <w:sz w:val="32"/>
          <w:szCs w:val="32"/>
        </w:rPr>
        <w:t>%</w:t>
      </w:r>
      <w:r>
        <w:rPr>
          <w:rFonts w:hint="eastAsia" w:ascii="仿宋" w:hAnsi="仿宋" w:eastAsia="仿宋"/>
          <w:color w:val="000000"/>
          <w:sz w:val="32"/>
          <w:szCs w:val="32"/>
        </w:rPr>
        <w:t>；公务接待费支出决算9.95万元，占</w:t>
      </w:r>
      <w:r>
        <w:rPr>
          <w:rFonts w:hint="eastAsia" w:ascii="仿宋" w:hAnsi="仿宋" w:eastAsia="仿宋"/>
          <w:color w:val="000000"/>
          <w:sz w:val="32"/>
          <w:szCs w:val="32"/>
          <w:lang w:val="en-US" w:eastAsia="zh-CN"/>
        </w:rPr>
        <w:t>62.38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numPr>
          <w:ilvl w:val="0"/>
          <w:numId w:val="4"/>
        </w:numPr>
        <w:spacing w:line="600" w:lineRule="exact"/>
        <w:ind w:firstLine="640"/>
        <w:rPr>
          <w:rFonts w:hint="eastAsia" w:ascii="仿宋_GB2312" w:eastAsia="仿宋_GB2312"/>
          <w:color w:val="000000"/>
          <w:sz w:val="32"/>
          <w:szCs w:val="32"/>
        </w:rPr>
      </w:pPr>
      <w:bookmarkStart w:id="46" w:name="_Toc15396610"/>
      <w:bookmarkStart w:id="47" w:name="_Toc15377218"/>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辆、载客汽</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6万元。</w:t>
      </w:r>
      <w:r>
        <w:rPr>
          <w:rFonts w:hint="eastAsia" w:ascii="仿宋" w:hAnsi="仿宋" w:eastAsia="仿宋"/>
          <w:sz w:val="32"/>
          <w:szCs w:val="32"/>
        </w:rPr>
        <w:t>主要用于扶贫、安全社区创建、广陕广巴重点项目建设，大荣组团项目工程建设及其他日常性工作等所需的公务用车燃料费、维修费、过路过桥费、保险费等支出</w:t>
      </w:r>
    </w:p>
    <w:p>
      <w:pPr>
        <w:numPr>
          <w:ilvl w:val="0"/>
          <w:numId w:val="4"/>
        </w:numPr>
        <w:spacing w:line="600" w:lineRule="exact"/>
        <w:ind w:left="0" w:leftChars="0" w:firstLine="640" w:firstLineChars="0"/>
        <w:rPr>
          <w:rFonts w:hint="eastAsia" w:ascii="仿宋_GB2312" w:eastAsia="仿宋_GB2312"/>
          <w:color w:val="000000"/>
          <w:sz w:val="32"/>
          <w:szCs w:val="32"/>
          <w:lang w:val="en-US" w:eastAsia="zh-CN"/>
        </w:rPr>
      </w:pPr>
      <w:r>
        <w:rPr>
          <w:rFonts w:hint="eastAsia" w:ascii="仿宋_GB2312" w:eastAsia="仿宋_GB2312"/>
          <w:b/>
          <w:color w:val="000000"/>
          <w:sz w:val="32"/>
          <w:szCs w:val="32"/>
        </w:rPr>
        <w:t>公务接待费支出</w:t>
      </w:r>
      <w:r>
        <w:rPr>
          <w:rFonts w:hint="eastAsia" w:ascii="仿宋_GB2312" w:eastAsia="仿宋_GB2312"/>
          <w:color w:val="000000"/>
          <w:sz w:val="32"/>
          <w:szCs w:val="32"/>
        </w:rPr>
        <w:t>9.95万元，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持平。</w:t>
      </w:r>
      <w:r>
        <w:rPr>
          <w:rFonts w:hint="eastAsia" w:ascii="仿宋_GB2312" w:eastAsia="仿宋_GB2312"/>
          <w:color w:val="000000"/>
          <w:sz w:val="32"/>
          <w:szCs w:val="32"/>
        </w:rPr>
        <w:t>主要用于执行公务、开展业务活动开支的交通费、住宿费、用餐费等。</w:t>
      </w:r>
      <w:r>
        <w:rPr>
          <w:rFonts w:hint="eastAsia" w:ascii="仿宋_GB2312" w:eastAsia="仿宋_GB2312"/>
          <w:color w:val="auto"/>
          <w:sz w:val="32"/>
          <w:szCs w:val="32"/>
        </w:rPr>
        <w:t>国内公务接待</w:t>
      </w:r>
      <w:r>
        <w:rPr>
          <w:rFonts w:hint="eastAsia" w:ascii="仿宋" w:hAnsi="仿宋" w:eastAsia="仿宋"/>
          <w:sz w:val="32"/>
          <w:szCs w:val="32"/>
        </w:rPr>
        <w:t>共接待</w:t>
      </w:r>
      <w:r>
        <w:rPr>
          <w:rFonts w:ascii="仿宋" w:hAnsi="仿宋" w:eastAsia="仿宋"/>
          <w:sz w:val="32"/>
          <w:szCs w:val="32"/>
        </w:rPr>
        <w:t>260</w:t>
      </w:r>
      <w:r>
        <w:rPr>
          <w:rFonts w:hint="eastAsia" w:ascii="仿宋" w:hAnsi="仿宋" w:eastAsia="仿宋"/>
          <w:sz w:val="32"/>
          <w:szCs w:val="32"/>
        </w:rPr>
        <w:t>次，</w:t>
      </w:r>
      <w:r>
        <w:rPr>
          <w:rFonts w:ascii="仿宋" w:hAnsi="仿宋" w:eastAsia="仿宋"/>
          <w:sz w:val="32"/>
          <w:szCs w:val="32"/>
        </w:rPr>
        <w:t>1536</w:t>
      </w:r>
      <w:r>
        <w:rPr>
          <w:rFonts w:hint="eastAsia" w:ascii="仿宋" w:hAnsi="仿宋" w:eastAsia="仿宋"/>
          <w:sz w:val="32"/>
          <w:szCs w:val="32"/>
        </w:rPr>
        <w:t>人次，</w:t>
      </w:r>
      <w:r>
        <w:rPr>
          <w:rFonts w:hint="eastAsia" w:ascii="仿宋_GB2312" w:eastAsia="仿宋_GB2312"/>
          <w:color w:val="auto"/>
          <w:sz w:val="32"/>
          <w:szCs w:val="32"/>
        </w:rPr>
        <w:t>共计支出9.95万元，具体内容包括：扶贫攻坚</w:t>
      </w:r>
      <w:r>
        <w:rPr>
          <w:rFonts w:hint="eastAsia" w:ascii="仿宋_GB2312" w:eastAsia="仿宋_GB2312"/>
          <w:color w:val="auto"/>
          <w:sz w:val="32"/>
          <w:szCs w:val="32"/>
          <w:lang w:val="en-US" w:eastAsia="zh-CN"/>
        </w:rPr>
        <w:t>130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780</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w:t>
      </w:r>
      <w:r>
        <w:rPr>
          <w:rFonts w:hint="eastAsia" w:ascii="仿宋_GB2312" w:eastAsia="仿宋_GB2312"/>
          <w:color w:val="auto"/>
          <w:sz w:val="32"/>
          <w:szCs w:val="32"/>
          <w:lang w:eastAsia="zh-CN"/>
        </w:rPr>
        <w:t>乡村振兴</w:t>
      </w:r>
      <w:r>
        <w:rPr>
          <w:rFonts w:hint="eastAsia" w:ascii="仿宋_GB2312" w:eastAsia="仿宋_GB2312"/>
          <w:color w:val="auto"/>
          <w:sz w:val="32"/>
          <w:szCs w:val="32"/>
          <w:lang w:val="en-US" w:eastAsia="zh-CN"/>
        </w:rPr>
        <w:t>30批次，56人次；</w:t>
      </w:r>
      <w:r>
        <w:rPr>
          <w:rFonts w:hint="eastAsia" w:ascii="仿宋_GB2312" w:eastAsia="仿宋_GB2312"/>
          <w:color w:val="auto"/>
          <w:sz w:val="32"/>
          <w:szCs w:val="32"/>
        </w:rPr>
        <w:t>重点项目拆迁</w:t>
      </w:r>
      <w:r>
        <w:rPr>
          <w:rFonts w:hint="eastAsia" w:ascii="仿宋_GB2312" w:eastAsia="仿宋_GB2312"/>
          <w:color w:val="auto"/>
          <w:sz w:val="32"/>
          <w:szCs w:val="32"/>
          <w:lang w:val="en-US" w:eastAsia="zh-CN"/>
        </w:rPr>
        <w:t>80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350</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；安全社区创建8批次，</w:t>
      </w:r>
      <w:r>
        <w:rPr>
          <w:rFonts w:hint="eastAsia" w:ascii="仿宋_GB2312" w:eastAsia="仿宋_GB2312"/>
          <w:color w:val="auto"/>
          <w:sz w:val="32"/>
          <w:szCs w:val="32"/>
          <w:lang w:val="en-US" w:eastAsia="zh-CN"/>
        </w:rPr>
        <w:t>32</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w:t>
      </w:r>
      <w:r>
        <w:rPr>
          <w:rFonts w:hint="eastAsia" w:ascii="仿宋_GB2312" w:eastAsia="仿宋_GB2312"/>
          <w:color w:val="auto"/>
          <w:sz w:val="32"/>
          <w:szCs w:val="32"/>
          <w:lang w:eastAsia="zh-CN"/>
        </w:rPr>
        <w:t>依法治区</w:t>
      </w:r>
      <w:r>
        <w:rPr>
          <w:rFonts w:hint="eastAsia" w:ascii="仿宋_GB2312" w:eastAsia="仿宋_GB2312"/>
          <w:color w:val="auto"/>
          <w:sz w:val="32"/>
          <w:szCs w:val="32"/>
          <w:lang w:val="en-US" w:eastAsia="zh-CN"/>
        </w:rPr>
        <w:t>5批次，20人；次</w:t>
      </w:r>
      <w:r>
        <w:rPr>
          <w:rFonts w:hint="eastAsia" w:ascii="仿宋_GB2312" w:eastAsia="仿宋_GB2312"/>
          <w:color w:val="auto"/>
          <w:sz w:val="32"/>
          <w:szCs w:val="32"/>
        </w:rPr>
        <w:t>其他日常共检查</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298</w:t>
      </w:r>
      <w:r>
        <w:rPr>
          <w:rFonts w:hint="eastAsia" w:ascii="仿宋_GB2312" w:eastAsia="仿宋_GB2312"/>
          <w:color w:val="auto"/>
          <w:sz w:val="32"/>
          <w:szCs w:val="32"/>
        </w:rPr>
        <w:t>人</w:t>
      </w:r>
      <w:r>
        <w:rPr>
          <w:rFonts w:hint="eastAsia" w:ascii="仿宋_GB2312" w:eastAsia="仿宋_GB2312"/>
          <w:color w:val="auto"/>
          <w:sz w:val="32"/>
          <w:szCs w:val="32"/>
          <w:lang w:eastAsia="zh-CN"/>
        </w:rPr>
        <w:t>次</w:t>
      </w:r>
      <w:r>
        <w:rPr>
          <w:rFonts w:hint="eastAsia" w:ascii="仿宋_GB2312" w:eastAsia="仿宋_GB2312"/>
          <w:color w:val="auto"/>
          <w:sz w:val="32"/>
          <w:szCs w:val="32"/>
        </w:rPr>
        <w:t>。</w:t>
      </w:r>
    </w:p>
    <w:p>
      <w:pPr>
        <w:numPr>
          <w:ilvl w:val="0"/>
          <w:numId w:val="0"/>
        </w:numPr>
        <w:spacing w:line="600" w:lineRule="exact"/>
        <w:ind w:firstLine="643" w:firstLineChars="200"/>
        <w:rPr>
          <w:rFonts w:hint="eastAsia" w:ascii="仿宋_GB2312" w:eastAsia="仿宋_GB2312"/>
          <w:color w:val="000000"/>
          <w:sz w:val="32"/>
          <w:szCs w:val="32"/>
          <w:lang w:val="en-US"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9年政府性基金预算拨款支出989.21万元。</w:t>
      </w:r>
    </w:p>
    <w:p>
      <w:pPr>
        <w:numPr>
          <w:ilvl w:val="0"/>
          <w:numId w:val="5"/>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大石镇</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250.09</w:t>
      </w:r>
      <w:r>
        <w:rPr>
          <w:rFonts w:hint="eastAsia" w:ascii="仿宋_GB2312" w:eastAsia="仿宋_GB2312"/>
          <w:color w:val="000000"/>
          <w:sz w:val="32"/>
          <w:szCs w:val="32"/>
        </w:rPr>
        <w:t>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5.02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2.04</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shd w:val="clear" w:fill="FFFFFF" w:themeFill="background1"/>
          <w:lang w:eastAsia="zh-CN"/>
        </w:rPr>
        <w:t>增加原因：人员增加及</w:t>
      </w:r>
      <w:r>
        <w:rPr>
          <w:rFonts w:hint="eastAsia" w:ascii="仿宋_GB2312" w:eastAsia="仿宋_GB2312"/>
          <w:color w:val="000000"/>
          <w:sz w:val="32"/>
          <w:szCs w:val="32"/>
          <w:shd w:val="clear" w:fill="FFFFFF" w:themeFill="background1"/>
          <w:lang w:val="en-US" w:eastAsia="zh-CN"/>
        </w:rPr>
        <w:t>2018年部分办公费未支付于2019年支付完成。</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大石镇</w:t>
      </w:r>
      <w:r>
        <w:rPr>
          <w:rFonts w:hint="eastAsia" w:ascii="仿宋_GB2312" w:eastAsia="仿宋_GB2312"/>
          <w:color w:val="000000"/>
          <w:sz w:val="32"/>
          <w:szCs w:val="32"/>
        </w:rPr>
        <w:t>政府采购支出总额</w:t>
      </w:r>
      <w:r>
        <w:rPr>
          <w:rFonts w:hint="eastAsia" w:ascii="仿宋" w:hAnsi="仿宋" w:eastAsia="仿宋"/>
          <w:color w:val="000000"/>
          <w:sz w:val="32"/>
          <w:szCs w:val="32"/>
        </w:rPr>
        <w:t>3.05</w:t>
      </w:r>
      <w:r>
        <w:rPr>
          <w:rFonts w:hint="eastAsia" w:ascii="仿宋_GB2312" w:eastAsia="仿宋_GB2312"/>
          <w:color w:val="000000"/>
          <w:sz w:val="32"/>
          <w:szCs w:val="32"/>
        </w:rPr>
        <w:t>万元，其中：政府采购货物支出</w:t>
      </w:r>
      <w:r>
        <w:rPr>
          <w:rFonts w:hint="eastAsia" w:ascii="仿宋" w:hAnsi="仿宋" w:eastAsia="仿宋"/>
          <w:color w:val="000000"/>
          <w:sz w:val="32"/>
          <w:szCs w:val="32"/>
        </w:rPr>
        <w:t>3.05</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非洲猪瘟防控工作，农业农村工作，安全管理工作等工作采购空调、电脑、办公座椅等</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大石镇</w:t>
      </w:r>
      <w:r>
        <w:rPr>
          <w:rFonts w:hint="eastAsia" w:ascii="仿宋_GB2312" w:eastAsia="仿宋_GB2312"/>
          <w:color w:val="000000"/>
          <w:sz w:val="32"/>
          <w:szCs w:val="32"/>
        </w:rPr>
        <w:t>政府共有车辆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大石镇</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shd w:val="clear" w:fill="FFFF00"/>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部门整体支出绩效评价自查自评结果良好，按照预算绩效管理要求，本部门对201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96.5</w:t>
      </w:r>
      <w:r>
        <w:rPr>
          <w:rFonts w:hint="eastAsia" w:ascii="仿宋_GB2312" w:eastAsia="仿宋_GB2312"/>
          <w:color w:val="000000"/>
          <w:sz w:val="32"/>
          <w:szCs w:val="32"/>
        </w:rPr>
        <w:t>分</w:t>
      </w:r>
      <w:r>
        <w:rPr>
          <w:rFonts w:hint="eastAsia" w:ascii="仿宋_GB2312" w:eastAsia="仿宋_GB2312"/>
          <w:color w:val="000000"/>
          <w:sz w:val="32"/>
          <w:szCs w:val="32"/>
          <w:lang w:eastAsia="zh-CN"/>
        </w:rPr>
        <w:t>，基本支出</w:t>
      </w:r>
      <w:r>
        <w:rPr>
          <w:rFonts w:hint="eastAsia" w:ascii="仿宋_GB2312" w:eastAsia="仿宋_GB2312"/>
          <w:color w:val="000000"/>
          <w:sz w:val="32"/>
          <w:szCs w:val="32"/>
        </w:rPr>
        <w:t>保证了部门的正常运行和日常工作的正常开展，项目支出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保障重点工作的开展，达到预期绩效目标</w:t>
      </w:r>
      <w:r>
        <w:rPr>
          <w:rFonts w:hint="eastAsia" w:ascii="仿宋_GB2312" w:hAnsi="仿宋_GB2312" w:eastAsia="仿宋_GB2312" w:cs="仿宋_GB2312"/>
          <w:sz w:val="32"/>
          <w:szCs w:val="32"/>
        </w:rPr>
        <w:t>。</w:t>
      </w:r>
      <w:r>
        <w:rPr>
          <w:rFonts w:hint="eastAsia" w:ascii="仿宋_GB2312" w:eastAsia="仿宋_GB2312"/>
          <w:color w:val="000000"/>
          <w:sz w:val="32"/>
          <w:szCs w:val="32"/>
        </w:rPr>
        <w:t>本部门还自行组织了</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个项目绩效评价，从评价情况来看</w:t>
      </w:r>
      <w:r>
        <w:rPr>
          <w:rFonts w:hint="eastAsia" w:ascii="仿宋_GB2312" w:eastAsia="仿宋_GB2312"/>
          <w:color w:val="000000"/>
          <w:sz w:val="32"/>
          <w:szCs w:val="32"/>
          <w:lang w:eastAsia="zh-CN"/>
        </w:rPr>
        <w:t>项目</w:t>
      </w:r>
      <w:r>
        <w:rPr>
          <w:rFonts w:hint="eastAsia" w:ascii="仿宋_GB2312" w:eastAsia="仿宋_GB2312"/>
          <w:color w:val="000000"/>
          <w:sz w:val="32"/>
          <w:szCs w:val="32"/>
        </w:rPr>
        <w:t>整体支出绩效评价</w:t>
      </w:r>
      <w:r>
        <w:rPr>
          <w:rFonts w:hint="eastAsia" w:ascii="仿宋_GB2312" w:eastAsia="仿宋_GB2312"/>
          <w:color w:val="000000"/>
          <w:sz w:val="32"/>
          <w:szCs w:val="32"/>
          <w:lang w:eastAsia="zh-CN"/>
        </w:rPr>
        <w:t>较好，</w:t>
      </w:r>
      <w:r>
        <w:rPr>
          <w:rFonts w:hint="eastAsia" w:ascii="仿宋_GB2312" w:eastAsia="仿宋_GB2312"/>
          <w:color w:val="000000"/>
          <w:sz w:val="32"/>
          <w:szCs w:val="32"/>
        </w:rPr>
        <w:t>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w:t>
      </w:r>
      <w:r>
        <w:rPr>
          <w:rFonts w:hint="eastAsia" w:ascii="仿宋_GB2312" w:eastAsia="仿宋_GB2312"/>
          <w:color w:val="000000"/>
          <w:sz w:val="32"/>
          <w:szCs w:val="32"/>
          <w:lang w:eastAsia="zh-CN"/>
        </w:rPr>
        <w:t>了</w:t>
      </w:r>
      <w:r>
        <w:rPr>
          <w:rFonts w:hint="eastAsia" w:ascii="仿宋_GB2312" w:eastAsia="仿宋_GB2312"/>
          <w:color w:val="000000"/>
          <w:sz w:val="32"/>
          <w:szCs w:val="32"/>
        </w:rPr>
        <w:t>绩效目标。</w:t>
      </w:r>
    </w:p>
    <w:p>
      <w:pPr>
        <w:numPr>
          <w:ilvl w:val="0"/>
          <w:numId w:val="6"/>
        </w:num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项目绩效目标完成情况。</w:t>
      </w:r>
    </w:p>
    <w:p>
      <w:pPr>
        <w:numPr>
          <w:ilvl w:val="0"/>
          <w:numId w:val="7"/>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年度部门决算中反映“依法治区工作经费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农村义务兵优待金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“人大主席团及代表活动经费”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森林防火专项经费</w:t>
      </w:r>
      <w:r>
        <w:rPr>
          <w:rFonts w:hint="eastAsia" w:ascii="仿宋_GB2312" w:hAnsi="仿宋_GB2312" w:eastAsia="仿宋_GB2312" w:cs="仿宋_GB2312"/>
          <w:sz w:val="32"/>
          <w:szCs w:val="32"/>
          <w:lang w:eastAsia="zh-CN"/>
        </w:rPr>
        <w:t>”“基层武装专项经费”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pPr>
        <w:numPr>
          <w:ilvl w:val="0"/>
          <w:numId w:val="8"/>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依法治区工作经</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%。通过项目实施，提高了群众的法律意识，</w:t>
      </w:r>
      <w:r>
        <w:rPr>
          <w:rFonts w:hint="eastAsia" w:ascii="仿宋_GB2312" w:hAnsi="仿宋_GB2312" w:eastAsia="仿宋_GB2312" w:cs="仿宋_GB2312"/>
          <w:sz w:val="32"/>
          <w:szCs w:val="32"/>
          <w:lang w:eastAsia="zh-CN"/>
        </w:rPr>
        <w:t>保证了社会安定团结，保障了群众的满意度。</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法律宣传措施和方式单一，预期效果无法完全达到</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创新法律宣传方式方法，进一步提高群众法律意识。</w:t>
      </w:r>
    </w:p>
    <w:p>
      <w:pPr>
        <w:numPr>
          <w:ilvl w:val="0"/>
          <w:numId w:val="8"/>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人大主席团及代表活动经费项目绩效目标完成情况综述。项目全年预算数</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代表会议不少于2次/年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群众对人大工作只晓度低</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进一步加大人大工作宣传力度，特别提高对代表会议的召开的宣传力度。保证民生述求能够及时收集到位。</w:t>
      </w:r>
    </w:p>
    <w:p>
      <w:pPr>
        <w:numPr>
          <w:ilvl w:val="0"/>
          <w:numId w:val="8"/>
        </w:numPr>
        <w:spacing w:line="580" w:lineRule="exact"/>
        <w:ind w:firstLine="640" w:firstLineChars="200"/>
        <w:rPr>
          <w:rFonts w:ascii="仿宋_GB2312" w:hAnsi="仿宋_GB2312" w:eastAsia="仿宋_GB2312" w:cs="仿宋_GB2312"/>
          <w:sz w:val="32"/>
          <w:szCs w:val="32"/>
          <w:shd w:val="clear" w:fill="FFFFFF" w:themeFill="background1"/>
        </w:rPr>
      </w:pPr>
      <w:r>
        <w:rPr>
          <w:rFonts w:hint="eastAsia" w:ascii="仿宋_GB2312" w:hAnsi="仿宋_GB2312" w:eastAsia="仿宋_GB2312" w:cs="仿宋_GB2312"/>
          <w:sz w:val="32"/>
          <w:szCs w:val="32"/>
        </w:rPr>
        <w:t>农村义务兵优待金项目绩效目标完成情况综述。项目全年预算数</w:t>
      </w:r>
      <w:r>
        <w:rPr>
          <w:rFonts w:hint="eastAsia" w:ascii="仿宋_GB2312" w:hAnsi="仿宋_GB2312" w:eastAsia="仿宋_GB2312" w:cs="仿宋_GB2312"/>
          <w:sz w:val="32"/>
          <w:szCs w:val="32"/>
          <w:lang w:val="en-US" w:eastAsia="zh-CN"/>
        </w:rPr>
        <w:t>33.02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33.02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%。通过项目实施，提高农村义务兵家庭生活质量，保证服役人员安心保家卫国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fill="FFFFFF" w:themeFill="background1"/>
        </w:rPr>
        <w:t>发现的主要问题：</w:t>
      </w:r>
      <w:r>
        <w:rPr>
          <w:rFonts w:hint="eastAsia" w:ascii="仿宋_GB2312" w:hAnsi="仿宋_GB2312" w:eastAsia="仿宋_GB2312" w:cs="仿宋_GB2312"/>
          <w:sz w:val="32"/>
          <w:szCs w:val="32"/>
          <w:shd w:val="clear" w:fill="FFFFFF" w:themeFill="background1"/>
          <w:lang w:eastAsia="zh-CN"/>
        </w:rPr>
        <w:t>因涉及每年有的新增退伍军人收集数据有一定困难</w:t>
      </w:r>
      <w:r>
        <w:rPr>
          <w:rFonts w:hint="eastAsia" w:ascii="仿宋_GB2312" w:hAnsi="仿宋_GB2312" w:eastAsia="仿宋_GB2312" w:cs="仿宋_GB2312"/>
          <w:sz w:val="32"/>
          <w:szCs w:val="32"/>
          <w:shd w:val="clear" w:fill="FFFFFF" w:themeFill="background1"/>
        </w:rPr>
        <w:t>。下一步改进措施：</w:t>
      </w:r>
      <w:r>
        <w:rPr>
          <w:rFonts w:hint="eastAsia" w:ascii="仿宋_GB2312" w:hAnsi="仿宋_GB2312" w:eastAsia="仿宋_GB2312" w:cs="仿宋_GB2312"/>
          <w:sz w:val="32"/>
          <w:szCs w:val="32"/>
          <w:shd w:val="clear" w:fill="FFFFFF" w:themeFill="background1"/>
          <w:lang w:eastAsia="zh-CN"/>
        </w:rPr>
        <w:t>提前就辖区内将新增退伍军人人数做好摸底，及时收集数据，保障资金支付的时效性。</w:t>
      </w:r>
    </w:p>
    <w:p>
      <w:pPr>
        <w:numPr>
          <w:ilvl w:val="0"/>
          <w:numId w:val="8"/>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森林防火专项经费项目绩效目标完成情况综述。项目全年预算数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r>
        <w:rPr>
          <w:rFonts w:hint="eastAsia" w:ascii="仿宋_GB2312" w:hAnsi="仿宋_GB2312" w:eastAsia="仿宋_GB2312" w:cs="仿宋_GB2312"/>
          <w:sz w:val="32"/>
          <w:szCs w:val="32"/>
        </w:rPr>
        <w:t>按照项目总体目标简要描述项目成效），发现的主要问题：</w:t>
      </w:r>
      <w:r>
        <w:rPr>
          <w:rFonts w:hint="eastAsia" w:ascii="仿宋_GB2312" w:hAnsi="仿宋_GB2312" w:eastAsia="仿宋_GB2312" w:cs="仿宋_GB2312"/>
          <w:sz w:val="32"/>
          <w:szCs w:val="32"/>
          <w:lang w:eastAsia="zh-CN"/>
        </w:rPr>
        <w:t>群众森林防火意识需进一步加强</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加强森林防火宣传，创新宣传方式方法。</w:t>
      </w:r>
    </w:p>
    <w:p>
      <w:pPr>
        <w:numPr>
          <w:ilvl w:val="0"/>
          <w:numId w:val="9"/>
        </w:numPr>
        <w:spacing w:line="580" w:lineRule="exact"/>
        <w:ind w:firstLine="640" w:firstLineChars="200"/>
        <w:rPr>
          <w:rFonts w:ascii="仿宋_GB2312" w:hAnsi="仿宋_GB2312" w:eastAsia="仿宋_GB2312" w:cs="仿宋_GB2312"/>
          <w:sz w:val="32"/>
          <w:szCs w:val="32"/>
          <w:shd w:val="clear" w:fill="FFFF00"/>
        </w:rPr>
      </w:pPr>
      <w:r>
        <w:rPr>
          <w:rFonts w:hint="eastAsia" w:ascii="仿宋_GB2312" w:hAnsi="仿宋_GB2312" w:eastAsia="仿宋_GB2312" w:cs="仿宋_GB2312"/>
          <w:sz w:val="32"/>
          <w:szCs w:val="32"/>
          <w:lang w:eastAsia="zh-CN"/>
        </w:rPr>
        <w:t>基层武装专项经费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民兵训练不少于200人次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ascii="仿宋" w:hAnsi="仿宋" w:eastAsia="仿宋" w:cs="仿宋_GB2312"/>
          <w:sz w:val="32"/>
          <w:szCs w:val="32"/>
        </w:rPr>
        <w:t>存在主要问题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群众对基层武装训练知晓度低，民兵训练次数多但因预算经费有限。</w:t>
      </w:r>
      <w:r>
        <w:rPr>
          <w:rFonts w:ascii="仿宋" w:hAnsi="仿宋" w:eastAsia="仿宋" w:cs="仿宋_GB2312"/>
          <w:sz w:val="32"/>
          <w:szCs w:val="32"/>
        </w:rPr>
        <w:t>相关措施建议</w:t>
      </w:r>
      <w:r>
        <w:rPr>
          <w:rFonts w:hint="eastAsia" w:ascii="仿宋" w:hAnsi="仿宋" w:eastAsia="仿宋" w:cs="仿宋_GB2312"/>
          <w:sz w:val="32"/>
          <w:szCs w:val="32"/>
          <w:lang w:eastAsia="zh-CN"/>
        </w:rPr>
        <w:t>：加强民兵思想学习，确保民兵训练经费保证，提高基层武装力量。</w:t>
      </w: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大石镇部门</w:t>
            </w:r>
            <w:r>
              <w:rPr>
                <w:rFonts w:hint="eastAsia" w:ascii="宋体" w:hAnsi="宋体" w:cs="宋体"/>
                <w:color w:val="000000"/>
                <w:sz w:val="24"/>
                <w:lang w:eastAsia="zh-CN"/>
              </w:rPr>
              <w:t>项目</w:t>
            </w:r>
            <w:r>
              <w:rPr>
                <w:rFonts w:hint="eastAsia" w:ascii="宋体" w:hAnsi="宋体" w:cs="宋体"/>
                <w:color w:val="000000"/>
                <w:sz w:val="24"/>
              </w:rPr>
              <w:t>整体支出绩效目标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1862.48万元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1665.98万元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1862.48万元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1665.98万元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w:t>
            </w:r>
            <w:r>
              <w:rPr>
                <w:rFonts w:hint="eastAsia" w:ascii="宋体" w:hAnsi="宋体" w:cs="宋体"/>
                <w:color w:val="000000"/>
                <w:sz w:val="24"/>
                <w:lang w:val="en-US" w:eastAsia="zh-CN"/>
              </w:rPr>
              <w:t>10</w:t>
            </w:r>
            <w:r>
              <w:rPr>
                <w:rFonts w:hint="eastAsia" w:ascii="宋体" w:hAnsi="宋体" w:cs="宋体"/>
                <w:color w:val="000000"/>
                <w:sz w:val="24"/>
              </w:rPr>
              <w:t>：保证民兵训练工作顺利开展，保证民兵训练工作顺利开展，民兵训练不少于200人次； 目标1</w:t>
            </w:r>
            <w:r>
              <w:rPr>
                <w:rFonts w:hint="eastAsia" w:ascii="宋体" w:hAnsi="宋体" w:cs="宋体"/>
                <w:color w:val="000000"/>
                <w:sz w:val="24"/>
                <w:lang w:val="en-US" w:eastAsia="zh-CN"/>
              </w:rPr>
              <w:t>1</w:t>
            </w:r>
            <w:r>
              <w:rPr>
                <w:rFonts w:hint="eastAsia" w:ascii="宋体" w:hAnsi="宋体" w:cs="宋体"/>
                <w:color w:val="000000"/>
                <w:sz w:val="24"/>
              </w:rPr>
              <w:t>： 保证国家计划生育政策宣传到位、执行到位，组织免费妇检人员2400余人次；目标1</w:t>
            </w:r>
            <w:r>
              <w:rPr>
                <w:rFonts w:hint="eastAsia" w:ascii="宋体" w:hAnsi="宋体" w:cs="宋体"/>
                <w:color w:val="000000"/>
                <w:sz w:val="24"/>
                <w:lang w:val="en-US" w:eastAsia="zh-CN"/>
              </w:rPr>
              <w:t>2</w:t>
            </w:r>
            <w:r>
              <w:rPr>
                <w:rFonts w:hint="eastAsia" w:ascii="宋体" w:hAnsi="宋体" w:cs="宋体"/>
                <w:color w:val="000000"/>
                <w:sz w:val="24"/>
              </w:rPr>
              <w:t>：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目标1：提高群众的法律意识，依法治镇                                                                                          目标2：提高80岁老党员生活的幸福指数 ，安度晚年                                                                                        目标3：将矛盾化解在基层，维护社会和谐稳定  目标4：提高农村义务兵家庭生活质量，保证服役人员安心保家卫国； 目标5：保证城镇路灯、基础设施、场镇垃圾处理车辆的正常运转；目标6：保证党代会、人代会及代表工作正常开展，代表会议，不少于2次/年； 目标7：保证政府政策宣讲，业务培训，老体协活动开展的正常进行；目标8： 促进乡镇伙食团的正常运转 ，使职工生活有保障 ；目标9：保证远程教育工作正常运转，每月组织学习2次；目标</w:t>
            </w:r>
            <w:r>
              <w:rPr>
                <w:rFonts w:hint="eastAsia" w:ascii="宋体" w:hAnsi="宋体" w:cs="宋体"/>
                <w:color w:val="000000"/>
                <w:sz w:val="24"/>
                <w:lang w:val="en-US" w:eastAsia="zh-CN"/>
              </w:rPr>
              <w:t>10</w:t>
            </w:r>
            <w:r>
              <w:rPr>
                <w:rFonts w:hint="eastAsia" w:ascii="宋体" w:hAnsi="宋体" w:cs="宋体"/>
                <w:color w:val="000000"/>
                <w:sz w:val="24"/>
              </w:rPr>
              <w:t>：保证民兵训练工作顺利开展，保证民兵训练工作顺利开展，民兵训练不少于200人次； 目标1</w:t>
            </w:r>
            <w:r>
              <w:rPr>
                <w:rFonts w:hint="eastAsia" w:ascii="宋体" w:hAnsi="宋体" w:cs="宋体"/>
                <w:color w:val="000000"/>
                <w:sz w:val="24"/>
                <w:lang w:val="en-US" w:eastAsia="zh-CN"/>
              </w:rPr>
              <w:t>1</w:t>
            </w:r>
            <w:r>
              <w:rPr>
                <w:rFonts w:hint="eastAsia" w:ascii="宋体" w:hAnsi="宋体" w:cs="宋体"/>
                <w:color w:val="000000"/>
                <w:sz w:val="24"/>
              </w:rPr>
              <w:t>： 保证国家计划生育政策宣传到位、执行到位，组织免费妇检人员2400余人次；目标1</w:t>
            </w:r>
            <w:r>
              <w:rPr>
                <w:rFonts w:hint="eastAsia" w:ascii="宋体" w:hAnsi="宋体" w:cs="宋体"/>
                <w:color w:val="000000"/>
                <w:sz w:val="24"/>
                <w:lang w:val="en-US" w:eastAsia="zh-CN"/>
              </w:rPr>
              <w:t>2</w:t>
            </w:r>
            <w:r>
              <w:rPr>
                <w:rFonts w:hint="eastAsia" w:ascii="宋体" w:hAnsi="宋体" w:cs="宋体"/>
                <w:color w:val="000000"/>
                <w:sz w:val="24"/>
              </w:rPr>
              <w:t>：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群众知晓度提升，达到</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群众知晓度有所提升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免费妇检</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辖区内妇女免费妇检不少于2450人次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辖区内妇女免费妇检不少于2450人次</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人大</w:t>
            </w: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不少于2次/年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民兵训练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不少于200人次/年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不少于200人次/年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推动辖区内经济有序发展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80岁老党员生活幸福</w:t>
            </w:r>
            <w:r>
              <w:rPr>
                <w:rFonts w:hint="eastAsia" w:ascii="宋体" w:hAnsi="宋体" w:cs="宋体"/>
                <w:color w:val="000000"/>
                <w:sz w:val="24"/>
                <w:lang w:eastAsia="zh-CN"/>
              </w:rPr>
              <w:t>补助到位</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乡村文明、和谐</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p>
            <w:pPr>
              <w:widowControl/>
              <w:jc w:val="left"/>
              <w:rPr>
                <w:rFonts w:ascii="宋体" w:hAnsi="宋体" w:cs="宋体"/>
                <w:color w:val="000000"/>
                <w:sz w:val="24"/>
              </w:rPr>
            </w:pPr>
          </w:p>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场镇整洁、卫生</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rPr>
          <w:rFonts w:ascii="Calibri" w:hAnsi="Calibri"/>
        </w:rPr>
      </w:pPr>
    </w:p>
    <w:p>
      <w:pPr>
        <w:rPr>
          <w:rFonts w:ascii="Calibri" w:hAnsi="Calibri"/>
        </w:rPr>
      </w:pPr>
    </w:p>
    <w:p>
      <w:pPr>
        <w:rPr>
          <w:rFonts w:ascii="Calibri" w:hAnsi="Calibri"/>
        </w:rPr>
      </w:pPr>
    </w:p>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w:t>
            </w:r>
            <w:r>
              <w:rPr>
                <w:rFonts w:hint="eastAsia" w:ascii="宋体" w:hAnsi="宋体" w:cs="宋体"/>
                <w:color w:val="000000"/>
                <w:sz w:val="24"/>
                <w:lang w:eastAsia="zh-CN"/>
              </w:rPr>
              <w:t>依法治区经费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color w:val="000000"/>
                <w:sz w:val="24"/>
                <w:lang w:eastAsia="zh-CN"/>
              </w:rPr>
              <w:t>加强法制宣传，</w:t>
            </w:r>
            <w:r>
              <w:rPr>
                <w:rFonts w:hint="eastAsia" w:ascii="宋体" w:hAnsi="宋体" w:cs="宋体"/>
                <w:color w:val="000000"/>
                <w:sz w:val="24"/>
              </w:rPr>
              <w:t xml:space="preserve">提高群众的法律意识，依法治镇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加强法制宣传，</w:t>
            </w:r>
            <w:r>
              <w:rPr>
                <w:rFonts w:hint="eastAsia" w:ascii="宋体" w:hAnsi="宋体" w:cs="宋体"/>
                <w:color w:val="000000"/>
                <w:sz w:val="24"/>
              </w:rPr>
              <w:t xml:space="preserve">提高群众的法律意识，依法治镇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依法治区宣传标语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12副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12副</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依法治区</w:t>
            </w:r>
            <w:r>
              <w:rPr>
                <w:rFonts w:hint="eastAsia" w:ascii="宋体" w:hAnsi="宋体" w:cs="宋体"/>
                <w:color w:val="000000"/>
                <w:sz w:val="24"/>
                <w:lang w:eastAsia="zh-CN"/>
              </w:rPr>
              <w:t>宣传活动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不少于</w:t>
            </w:r>
            <w:r>
              <w:rPr>
                <w:rFonts w:hint="eastAsia" w:ascii="宋体" w:hAnsi="宋体" w:cs="宋体"/>
                <w:color w:val="000000"/>
                <w:sz w:val="24"/>
                <w:lang w:val="en-US" w:eastAsia="zh-CN"/>
              </w:rPr>
              <w:t>12次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15次/年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法律宣讲活动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不少于4次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4次</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提高群众法律意识，知法，懂法用法律武器保护自己</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辖区内和谐安定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辖区内和谐安定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lang w:eastAsia="zh-CN"/>
              </w:rPr>
              <w:t>辖区内和谐安定</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w:t>
            </w:r>
            <w:r>
              <w:rPr>
                <w:rFonts w:hint="eastAsia" w:ascii="仿宋_GB2312" w:hAnsi="仿宋_GB2312" w:eastAsia="仿宋_GB2312" w:cs="仿宋_GB2312"/>
                <w:sz w:val="32"/>
                <w:szCs w:val="32"/>
              </w:rPr>
              <w:t>人大主席团及代表活动经费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375"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2.06万元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党代会、人代会及代表工作正常开展，代表会议，不少于2次/年</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保证党代会、人代会及代表工作正常开展</w:t>
            </w:r>
            <w:r>
              <w:rPr>
                <w:rFonts w:hint="eastAsia" w:ascii="宋体" w:hAnsi="宋体" w:cs="宋体"/>
                <w:color w:val="000000"/>
                <w:sz w:val="24"/>
                <w:lang w:eastAsia="zh-CN"/>
              </w:rPr>
              <w:t>。履行代表权益。</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代表会议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不少于2次/年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default" w:ascii="宋体" w:hAnsi="宋体" w:eastAsia="宋体" w:cs="宋体"/>
                <w:color w:val="000000"/>
                <w:sz w:val="24"/>
                <w:lang w:val="en-US" w:eastAsia="zh-CN"/>
              </w:rPr>
              <w:t>2次/年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群众知晓度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w:t>
            </w:r>
            <w:r>
              <w:rPr>
                <w:rFonts w:hint="eastAsia" w:ascii="宋体" w:hAnsi="宋体" w:cs="宋体"/>
                <w:color w:val="000000"/>
                <w:sz w:val="24"/>
              </w:rPr>
              <w:t>群众知晓度</w:t>
            </w:r>
            <w:r>
              <w:rPr>
                <w:rFonts w:hint="eastAsia" w:ascii="宋体" w:hAnsi="宋体" w:cs="宋体"/>
                <w:color w:val="000000"/>
                <w:sz w:val="24"/>
                <w:lang w:eastAsia="zh-CN"/>
              </w:rPr>
              <w:t>，广泛收集群众述求。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进一步提高</w:t>
            </w:r>
            <w:r>
              <w:rPr>
                <w:rFonts w:hint="eastAsia" w:ascii="宋体" w:hAnsi="宋体" w:cs="宋体"/>
                <w:color w:val="000000"/>
                <w:sz w:val="24"/>
              </w:rPr>
              <w:t>群众知晓度</w:t>
            </w:r>
            <w:r>
              <w:rPr>
                <w:rFonts w:hint="eastAsia" w:ascii="宋体" w:hAnsi="宋体" w:cs="宋体"/>
                <w:color w:val="000000"/>
                <w:sz w:val="24"/>
                <w:lang w:eastAsia="zh-CN"/>
              </w:rPr>
              <w:t>，广泛收集群众述求。高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保证代表履行权益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保证代表履行权益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保证</w:t>
            </w:r>
            <w:r>
              <w:rPr>
                <w:rFonts w:hint="eastAsia" w:ascii="宋体" w:hAnsi="宋体" w:cs="宋体"/>
                <w:color w:val="000000"/>
                <w:sz w:val="24"/>
                <w:lang w:eastAsia="zh-CN"/>
              </w:rPr>
              <w:t>了</w:t>
            </w:r>
            <w:r>
              <w:rPr>
                <w:rFonts w:hint="eastAsia" w:ascii="宋体" w:hAnsi="宋体" w:cs="宋体"/>
                <w:color w:val="000000"/>
                <w:sz w:val="24"/>
              </w:rPr>
              <w:t>代表权益</w:t>
            </w:r>
            <w:r>
              <w:rPr>
                <w:rFonts w:hint="eastAsia" w:ascii="宋体" w:hAnsi="宋体" w:cs="宋体"/>
                <w:color w:val="000000"/>
                <w:sz w:val="24"/>
                <w:lang w:eastAsia="zh-CN"/>
              </w:rPr>
              <w:t>履行</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大石镇农村义务兵优待金项目支出绩效目标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33.02</w:t>
            </w:r>
            <w:r>
              <w:rPr>
                <w:rFonts w:hint="eastAsia" w:ascii="宋体" w:hAnsi="宋体" w:cs="宋体"/>
                <w:color w:val="000000"/>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33.02</w:t>
            </w:r>
            <w:r>
              <w:rPr>
                <w:rFonts w:hint="eastAsia" w:ascii="宋体" w:hAnsi="宋体" w:cs="宋体"/>
                <w:color w:val="000000"/>
                <w:sz w:val="24"/>
                <w:lang w:eastAsia="zh-CN"/>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33.02</w:t>
            </w:r>
            <w:r>
              <w:rPr>
                <w:rFonts w:hint="eastAsia" w:ascii="宋体" w:hAnsi="宋体" w:cs="宋体"/>
                <w:color w:val="000000"/>
                <w:sz w:val="24"/>
                <w:lang w:eastAsia="zh-CN"/>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33.02</w:t>
            </w:r>
            <w:r>
              <w:rPr>
                <w:rFonts w:hint="eastAsia" w:ascii="宋体" w:hAnsi="宋体" w:cs="宋体"/>
                <w:color w:val="000000"/>
                <w:sz w:val="24"/>
                <w:lang w:eastAsia="zh-CN"/>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提高农村义务兵家庭生活质量，保证服役人员安心保家卫国 </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提高农村义务兵家庭生活质量，保证服役人员安心保家卫国</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保证辖区内所有符合条件的义务兵享受生活补助。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100%覆盖辖区内所有符合条件的义务兵享受生活补助。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及时有效解决</w:t>
            </w:r>
            <w:r>
              <w:rPr>
                <w:rFonts w:hint="eastAsia" w:ascii="宋体" w:hAnsi="宋体" w:cs="宋体"/>
                <w:color w:val="000000"/>
                <w:sz w:val="24"/>
                <w:lang w:eastAsia="zh-CN"/>
              </w:rPr>
              <w:t>辖区内义务兵</w:t>
            </w:r>
            <w:r>
              <w:rPr>
                <w:rFonts w:hint="eastAsia" w:ascii="宋体" w:hAnsi="宋体" w:cs="宋体"/>
                <w:color w:val="000000"/>
                <w:sz w:val="24"/>
              </w:rPr>
              <w:t>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及时有效解决</w:t>
            </w:r>
            <w:r>
              <w:rPr>
                <w:rFonts w:hint="eastAsia" w:ascii="宋体" w:hAnsi="宋体" w:cs="宋体"/>
                <w:color w:val="000000"/>
                <w:sz w:val="24"/>
                <w:lang w:eastAsia="zh-CN"/>
              </w:rPr>
              <w:t>辖区内义务兵</w:t>
            </w:r>
            <w:r>
              <w:rPr>
                <w:rFonts w:hint="eastAsia" w:ascii="宋体" w:hAnsi="宋体" w:cs="宋体"/>
                <w:color w:val="000000"/>
                <w:sz w:val="24"/>
              </w:rPr>
              <w:t>生活补助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保证农村义务兵生活补助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社会安定团结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推动辖区内稳定和谐</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w:t>
            </w:r>
            <w:r>
              <w:rPr>
                <w:rFonts w:hint="eastAsia" w:ascii="仿宋_GB2312" w:hAnsi="仿宋_GB2312" w:eastAsia="仿宋_GB2312" w:cs="仿宋_GB2312"/>
                <w:sz w:val="32"/>
                <w:szCs w:val="32"/>
              </w:rPr>
              <w:t>森林防火专项经费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无森林火灾，绿化面积逐年提升</w:t>
            </w:r>
            <w:r>
              <w:rPr>
                <w:rFonts w:hint="eastAsia" w:ascii="宋体" w:hAnsi="宋体" w:cs="宋体"/>
                <w:color w:val="000000"/>
                <w:sz w:val="24"/>
                <w:lang w:eastAsia="zh-CN"/>
              </w:rPr>
              <w:t>。</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森林防火宣传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12次</w:t>
            </w:r>
            <w:r>
              <w:rPr>
                <w:rFonts w:hint="eastAsia" w:ascii="宋体" w:hAnsi="宋体" w:cs="宋体"/>
                <w:color w:val="000000"/>
                <w:sz w:val="24"/>
                <w:lang w:val="en-US" w:eastAsia="zh-CN"/>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eastAsia="zh-CN"/>
              </w:rPr>
              <w:t>12次</w:t>
            </w:r>
            <w:r>
              <w:rPr>
                <w:rFonts w:hint="eastAsia" w:ascii="宋体" w:hAnsi="宋体" w:cs="宋体"/>
                <w:color w:val="000000"/>
                <w:sz w:val="24"/>
                <w:lang w:val="en-US" w:eastAsia="zh-CN"/>
              </w:rPr>
              <w:t>/年</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数量指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防火</w:t>
            </w:r>
            <w:r>
              <w:rPr>
                <w:rFonts w:hint="eastAsia" w:ascii="宋体" w:hAnsi="宋体" w:cs="宋体"/>
                <w:color w:val="000000"/>
                <w:sz w:val="24"/>
                <w:lang w:eastAsia="zh-CN"/>
              </w:rPr>
              <w:t>标示标牌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35副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40副</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保护珍稀植物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保护珍稀植物</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提高群众森林防火意识</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有明显提高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可持续影响</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无森林火灾，绿化面积逐年提升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绿化面积有明显的提高</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142"/>
        <w:gridCol w:w="2275"/>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大石镇</w:t>
            </w:r>
            <w:r>
              <w:rPr>
                <w:rFonts w:hint="eastAsia" w:ascii="宋体" w:hAnsi="宋体" w:cs="宋体"/>
                <w:color w:val="000000"/>
                <w:sz w:val="24"/>
                <w:lang w:eastAsia="zh-CN"/>
              </w:rPr>
              <w:t>基层武装经费</w:t>
            </w:r>
            <w:r>
              <w:rPr>
                <w:rFonts w:hint="eastAsia" w:ascii="宋体" w:hAnsi="宋体" w:cs="宋体"/>
                <w:color w:val="000000"/>
                <w:sz w:val="24"/>
              </w:rPr>
              <w:t>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06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大石镇</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5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保证民兵训练工作顺利开展，保证民兵训练工作顺利开展，民兵训练不少于200人</w:t>
            </w:r>
            <w:r>
              <w:rPr>
                <w:rFonts w:hint="eastAsia" w:ascii="宋体" w:hAnsi="宋体" w:cs="宋体"/>
                <w:color w:val="000000"/>
                <w:sz w:val="24"/>
                <w:lang w:eastAsia="zh-CN"/>
              </w:rPr>
              <w:t>次。</w:t>
            </w:r>
            <w:r>
              <w:rPr>
                <w:rFonts w:hint="eastAsia" w:ascii="宋体" w:hAnsi="宋体"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sz w:val="24"/>
              </w:rPr>
            </w:pPr>
            <w:r>
              <w:rPr>
                <w:rFonts w:hint="eastAsia" w:ascii="宋体" w:hAnsi="宋体" w:cs="宋体"/>
                <w:color w:val="000000"/>
                <w:sz w:val="24"/>
              </w:rPr>
              <w:t>保证民兵训练工作顺利开展，保证民兵训练工作顺利开展，民兵训练不少于200人</w:t>
            </w:r>
            <w:r>
              <w:rPr>
                <w:rFonts w:hint="eastAsia" w:ascii="宋体" w:hAnsi="宋体" w:cs="宋体"/>
                <w:color w:val="000000"/>
                <w:sz w:val="24"/>
                <w:lang w:eastAsia="zh-CN"/>
              </w:rPr>
              <w:t>次。</w:t>
            </w:r>
            <w:r>
              <w:rPr>
                <w:rFonts w:hint="eastAsia" w:ascii="宋体" w:hAnsi="宋体" w:cs="宋体"/>
                <w:color w:val="000000"/>
                <w:sz w:val="24"/>
              </w:rPr>
              <w:t xml:space="preserve">                                                                                         </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民兵训练不少于200人次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民兵训练不少于200人次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民兵训练不少于200人次升</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w:t>
            </w:r>
            <w:r>
              <w:rPr>
                <w:rFonts w:hint="eastAsia" w:ascii="宋体" w:hAnsi="宋体" w:cs="宋体"/>
                <w:color w:val="000000"/>
                <w:sz w:val="24"/>
              </w:rPr>
              <w:t>量指</w:t>
            </w:r>
            <w:r>
              <w:rPr>
                <w:rFonts w:hint="eastAsia" w:ascii="宋体" w:hAnsi="宋体" w:cs="宋体"/>
                <w:color w:val="000000"/>
                <w:sz w:val="24"/>
                <w:lang w:eastAsia="zh-CN"/>
              </w:rPr>
              <w:t>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基层民兵训练高质量完成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基层民兵训练高质量完成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基层民兵训练高质量完成</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r>
              <w:rPr>
                <w:rFonts w:hint="eastAsia" w:ascii="宋体" w:hAnsi="宋体" w:cs="宋体"/>
                <w:color w:val="000000"/>
                <w:sz w:val="24"/>
                <w:lang w:val="en-US" w:eastAsia="zh-CN"/>
              </w:rPr>
              <w:t>19</w:t>
            </w:r>
            <w:r>
              <w:rPr>
                <w:rFonts w:hint="eastAsia" w:ascii="宋体" w:hAnsi="宋体" w:cs="宋体"/>
                <w:color w:val="000000"/>
                <w:sz w:val="24"/>
              </w:rPr>
              <w:t>.01.01—201</w:t>
            </w:r>
            <w:r>
              <w:rPr>
                <w:rFonts w:hint="eastAsia" w:ascii="宋体" w:hAnsi="宋体" w:cs="宋体"/>
                <w:color w:val="000000"/>
                <w:sz w:val="24"/>
                <w:lang w:val="en-US" w:eastAsia="zh-CN"/>
              </w:rPr>
              <w:t>9</w:t>
            </w:r>
            <w:r>
              <w:rPr>
                <w:rFonts w:hint="eastAsia" w:ascii="宋体" w:hAnsi="宋体" w:cs="宋体"/>
                <w:color w:val="000000"/>
                <w:sz w:val="24"/>
              </w:rPr>
              <w:t>.12.31</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时效指标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确保民兵训练及时顺利开展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确保民兵训练及时顺利开展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确保民兵训练及时顺利开展</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27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确保</w:t>
            </w:r>
            <w:r>
              <w:rPr>
                <w:rFonts w:hint="eastAsia" w:ascii="宋体" w:hAnsi="宋体" w:cs="宋体"/>
                <w:color w:val="000000"/>
                <w:sz w:val="24"/>
              </w:rPr>
              <w:t>群众满意度</w:t>
            </w:r>
            <w:r>
              <w:rPr>
                <w:rFonts w:hint="eastAsia" w:ascii="宋体" w:hAnsi="宋体" w:cs="宋体"/>
                <w:color w:val="000000"/>
                <w:sz w:val="24"/>
                <w:lang w:val="en-US" w:eastAsia="zh-CN"/>
              </w:rPr>
              <w:t>100%</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大石镇</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依法治区经费</w:t>
      </w:r>
      <w:r>
        <w:rPr>
          <w:rFonts w:hint="eastAsia" w:ascii="仿宋_GB2312" w:hAnsi="仿宋_GB2312" w:eastAsia="仿宋_GB2312" w:cs="仿宋_GB2312"/>
          <w:sz w:val="32"/>
          <w:szCs w:val="32"/>
        </w:rPr>
        <w:t>项目、义务兵家庭生活补助项目</w:t>
      </w:r>
      <w:r>
        <w:rPr>
          <w:rFonts w:hint="eastAsia" w:ascii="仿宋_GB2312" w:hAnsi="仿宋_GB2312" w:eastAsia="仿宋_GB2312" w:cs="仿宋_GB2312"/>
          <w:sz w:val="32"/>
          <w:szCs w:val="32"/>
          <w:lang w:eastAsia="zh-CN"/>
        </w:rPr>
        <w:t>、基础武装经费项目、森林防火经费项目、人大主席团及代表经费项目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大石镇</w:t>
      </w:r>
      <w:r>
        <w:rPr>
          <w:rFonts w:hint="eastAsia" w:ascii="仿宋_GB2312" w:hAnsi="仿宋_GB2312" w:eastAsia="仿宋_GB2312" w:cs="仿宋_GB2312"/>
          <w:sz w:val="32"/>
          <w:szCs w:val="32"/>
        </w:rPr>
        <w:t>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10"/>
        </w:numPr>
        <w:spacing w:line="600" w:lineRule="exact"/>
        <w:ind w:firstLine="660"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9.一般公共服务支出：反映政府提供一般公共服务的支出。</w:t>
      </w:r>
    </w:p>
    <w:p>
      <w:pPr>
        <w:numPr>
          <w:ilvl w:val="0"/>
          <w:numId w:val="11"/>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一般公共服务支出-人大事务-代表工作：反映人大代表开展各类视察等方面的支出；</w:t>
      </w:r>
    </w:p>
    <w:p>
      <w:pPr>
        <w:numPr>
          <w:ilvl w:val="0"/>
          <w:numId w:val="11"/>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一般公共服务支出-政府办公厅（室）--行政运行：反映行政单位的基本支出；</w:t>
      </w:r>
    </w:p>
    <w:p>
      <w:pPr>
        <w:numPr>
          <w:ilvl w:val="0"/>
          <w:numId w:val="11"/>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一般公共服务支出-政府办公厅（室）--一般行政管理事务：反映行政单位未单独设置项级科目的其他项目支出；</w:t>
      </w:r>
    </w:p>
    <w:p>
      <w:pPr>
        <w:numPr>
          <w:ilvl w:val="0"/>
          <w:numId w:val="11"/>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一般公共服务支出-财政事务--行政运行：反映财政事务方面的支出</w:t>
      </w:r>
    </w:p>
    <w:p>
      <w:pPr>
        <w:numPr>
          <w:ilvl w:val="0"/>
          <w:numId w:val="11"/>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一般公共服务支出-财政事务--其他财政事务支出：反映行政单位未单独设置项级科目的其他项目支出；</w:t>
      </w:r>
    </w:p>
    <w:p>
      <w:pPr>
        <w:numPr>
          <w:ilvl w:val="0"/>
          <w:numId w:val="11"/>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一般公共服务支出-党委办公厅（室）及相关机构事务--行政运行：反映党委办公厅（室）及相关机构的支出；</w:t>
      </w:r>
    </w:p>
    <w:p>
      <w:pPr>
        <w:numPr>
          <w:ilvl w:val="0"/>
          <w:numId w:val="11"/>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一般公共服务支出-党委办公厅（室）及相关机构事务--专项业务费；反映党委办公厅（室）及相关机构开展专项业务所发生的支出。</w:t>
      </w:r>
    </w:p>
    <w:p>
      <w:pPr>
        <w:numPr>
          <w:ilvl w:val="0"/>
          <w:numId w:val="0"/>
        </w:numPr>
        <w:spacing w:line="600" w:lineRule="exac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10、文化体育与传媒支出:反映政府在文化、文物、体育、广播影视、新闻出版等方面的支出。</w:t>
      </w:r>
    </w:p>
    <w:p>
      <w:pPr>
        <w:spacing w:line="600" w:lineRule="exac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（1）文化体育与传媒支出-文化-行政运行：反映行政单位的基本支出；</w:t>
      </w:r>
    </w:p>
    <w:p>
      <w:pPr>
        <w:spacing w:line="600" w:lineRule="exac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（2）文化体育与传媒支出-其他文化体育与传媒支出-其他文化体育与传媒支出：反映文化体育与传媒支出所列项目以外的其他用于文化体育与传媒方面的支出。　</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11.社会保障和就业支出：反映政府在社会保障和就业方面的支出。</w:t>
      </w:r>
    </w:p>
    <w:p>
      <w:pPr>
        <w:numPr>
          <w:ilvl w:val="0"/>
          <w:numId w:val="12"/>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社会保障和就业支出-行政事业单位离退休-未归口管理的行政事业单位离退休：反映未实行归口管理的行政事业单位开支的离退休经费；</w:t>
      </w:r>
    </w:p>
    <w:p>
      <w:pPr>
        <w:numPr>
          <w:ilvl w:val="0"/>
          <w:numId w:val="12"/>
        </w:num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社会保障和就业支出-行政事业单位离退休-机关事业单位基本养老保险缴费支出：反映机关事业单位实施养老保险制度由单位缴纳的基本养老保险支出；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社会保障和就业支出-抚恤-义务兵优待：反映用于义务兵优待方面的支出；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社会保障和就业支出-其他社会保障和就业支出-其他社会保障和就业支出：反映除社会保障和就业支出项目以外其他用于社会保障和就业方面的支出；</w:t>
      </w:r>
      <w:r>
        <w:rPr>
          <w:rFonts w:hint="eastAsia" w:ascii="仿宋_GB2312" w:hAnsi="Calibri" w:eastAsia="仿宋_GB2312" w:cs="仿宋"/>
          <w:color w:val="000000"/>
          <w:kern w:val="0"/>
          <w:sz w:val="32"/>
          <w:szCs w:val="32"/>
          <w:lang w:val="en-US" w:eastAsia="zh-CN" w:bidi="ar-SA"/>
        </w:rPr>
        <w:br w:type="textWrapping"/>
      </w:r>
      <w:r>
        <w:rPr>
          <w:rFonts w:hint="eastAsia" w:ascii="仿宋_GB2312" w:hAnsi="Calibri" w:eastAsia="仿宋_GB2312" w:cs="仿宋"/>
          <w:color w:val="000000"/>
          <w:kern w:val="0"/>
          <w:sz w:val="32"/>
          <w:szCs w:val="32"/>
          <w:lang w:val="en-US" w:eastAsia="zh-CN" w:bidi="ar-SA"/>
        </w:rPr>
        <w:t>　12.医疗卫生与计划生育支出:反映政府医疗卫生与计划生育管理方面的支出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医疗卫生与计划生育支出-医疗卫生与计划生育管理事务-行政运行:反映行政单位的基本支出；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医疗卫生与计划生育支出-计划生育事务-计划生育服务：反映计划生育服务支出；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医疗卫生与计划生育支出-计划生育事务-其他计划生育事务支出：反映除医疗卫生与计划生育项目以外其他用于医疗卫生与计划生育方面的支出。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13.节能环保支出：节能环保支出-污染防治-排污费安排的支出是指用排污费安排的支出。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14.城乡社区支出：反映政府城乡社区管理事务方面的支出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（1）城乡社区支出-城乡社区管理事务-行政运行：反映行政单位的基本支出；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（2）城乡社区支出-城乡社区管理事务-一般行政管理事务：反映行政单位未单独设置项级科目的其他项目支出；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（3）城乡社区支出-城乡社区公共设施-小城镇基础设施建设：反映用于小城镇路、气、税、电等基本建设反面的支出。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15.农林水支出：反映政府农林水事务方面的支出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（1）农林水支出-农业-行政运行：反映行政单位的基本支出；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（2）农林水支出-农业-农业结构调整补贴：反映政府对农业结构调整给予的补贴；</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（3）农林水支出-农业-其他农业支出：；农林水反映农林水支出-农业所列项目以外的其他农林水支出-农业方面的支出；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（4）支出-林业-林业防灾：反映为预防和补救、救治森林火灾、林业有害生物灾害、自然水灾、旱灾等发生的支出；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（5）农林水支出-水利-行政运行:反映行政单位的基本支出；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(6)农林水支出-扶贫-其他扶贫支出:反映除农林水支出-扶贫项目以外其他用于农林水支出-扶贫方面的支出；</w:t>
      </w:r>
      <w:r>
        <w:rPr>
          <w:rFonts w:hint="eastAsia" w:ascii="仿宋_GB2312" w:hAnsi="Calibri" w:eastAsia="仿宋_GB2312" w:cs="仿宋"/>
          <w:color w:val="000000"/>
          <w:kern w:val="0"/>
          <w:sz w:val="32"/>
          <w:szCs w:val="32"/>
          <w:lang w:val="en-US" w:eastAsia="zh-CN" w:bidi="ar-SA"/>
        </w:rPr>
        <w:br w:type="textWrapping"/>
      </w:r>
      <w:r>
        <w:rPr>
          <w:rFonts w:hint="eastAsia" w:ascii="仿宋_GB2312" w:hAnsi="Calibri" w:eastAsia="仿宋_GB2312" w:cs="仿宋"/>
          <w:color w:val="000000"/>
          <w:kern w:val="0"/>
          <w:sz w:val="32"/>
          <w:szCs w:val="32"/>
          <w:lang w:val="en-US" w:eastAsia="zh-CN" w:bidi="ar-SA"/>
        </w:rPr>
        <w:t xml:space="preserve">    (7)农林水支出-农村综合改革-一事一议的补助:反映农村税费改革后对村级公益事业一事一议的补助支出；</w:t>
      </w:r>
    </w:p>
    <w:p>
      <w:pPr>
        <w:spacing w:line="60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（8）农林水支出-农村综合改革-对村民委员会和村党支部的补助：反映各级财政对村民委员会和村党支部的补助支出，以及支持建立县级基本财力保障机制安排的村级组织运转奖励金；              </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（9）农林水事务-农村综合改革-其他农林水事务：反映除农林水事务-农村综合改革项目以外其他用于农林水事务-农村综合改革方面的支出；</w:t>
      </w:r>
    </w:p>
    <w:p>
      <w:pPr>
        <w:spacing w:line="600" w:lineRule="exact"/>
        <w:ind w:firstLine="640" w:firstLineChars="200"/>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16.住房保障支出：住房保障支出-住房改革支出-住房公积金：反映行政事业单位按人力资源和社会保障部、财政部规定的基本工资和津贴补贴以及规定比例为职工缴纳的住房公积金。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ascii="仿宋_GB2312" w:eastAsia="仿宋_GB2312"/>
          <w:color w:val="000000"/>
          <w:sz w:val="32"/>
          <w:szCs w:val="32"/>
        </w:rPr>
        <w:t>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2</w:t>
      </w:r>
      <w:r>
        <w:rPr>
          <w:rFonts w:ascii="仿宋_GB2312" w:eastAsia="仿宋_GB2312"/>
          <w:sz w:val="32"/>
          <w:szCs w:val="32"/>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spacing w:line="600" w:lineRule="exact"/>
        <w:jc w:val="center"/>
        <w:rPr>
          <w:rFonts w:ascii="黑体" w:hAnsi="黑体" w:eastAsia="黑体" w:cs="黑体"/>
          <w:sz w:val="32"/>
          <w:szCs w:val="32"/>
        </w:rPr>
      </w:pPr>
      <w:r>
        <w:rPr>
          <w:rFonts w:hint="eastAsia" w:ascii="黑体" w:hAnsi="黑体" w:eastAsia="黑体" w:cs="方正小标宋简体"/>
          <w:sz w:val="36"/>
          <w:szCs w:val="36"/>
          <w:lang w:eastAsia="zh-CN"/>
        </w:rPr>
        <w:t>大石镇</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ind w:firstLine="640" w:firstLineChars="200"/>
        <w:rPr>
          <w:rFonts w:hint="eastAsia" w:ascii="仿宋_GB2312" w:eastAsia="仿宋_GB2312"/>
          <w:sz w:val="32"/>
          <w:szCs w:val="32"/>
        </w:rPr>
      </w:pPr>
      <w:r>
        <w:rPr>
          <w:rFonts w:hint="eastAsia" w:ascii="仿宋_GB2312" w:eastAsia="仿宋_GB2312"/>
          <w:sz w:val="32"/>
          <w:szCs w:val="32"/>
        </w:rPr>
        <w:t>一、单位概况</w:t>
      </w:r>
    </w:p>
    <w:p>
      <w:pPr>
        <w:ind w:firstLine="640" w:firstLineChars="200"/>
        <w:rPr>
          <w:rFonts w:hint="eastAsia" w:ascii="仿宋_GB2312" w:eastAsia="仿宋_GB2312"/>
          <w:sz w:val="32"/>
          <w:szCs w:val="32"/>
        </w:rPr>
      </w:pPr>
      <w:r>
        <w:rPr>
          <w:rFonts w:hint="eastAsia" w:ascii="仿宋_GB2312" w:eastAsia="仿宋_GB2312"/>
          <w:sz w:val="32"/>
          <w:szCs w:val="32"/>
        </w:rPr>
        <w:t>（一）机构组成。大石镇属一级预算单位，无下属的二级预算单位。大石镇机关内设8个机构（政府办、党委办、计生办、财政所、城管办、文化站、水电站、农技站）。</w:t>
      </w:r>
    </w:p>
    <w:p>
      <w:pPr>
        <w:ind w:firstLine="640" w:firstLineChars="200"/>
        <w:rPr>
          <w:rFonts w:ascii="仿宋" w:hAnsi="仿宋" w:eastAsia="仿宋" w:cs="仿宋_GB2312"/>
          <w:sz w:val="32"/>
          <w:szCs w:val="32"/>
        </w:rPr>
      </w:pPr>
      <w:r>
        <w:rPr>
          <w:rFonts w:hint="eastAsia" w:ascii="仿宋_GB2312" w:eastAsia="仿宋_GB2312"/>
          <w:sz w:val="32"/>
          <w:szCs w:val="32"/>
        </w:rPr>
        <w:t>大石镇方公里，辖区内城镇居民0.</w:t>
      </w:r>
      <w:r>
        <w:rPr>
          <w:rFonts w:hint="eastAsia" w:ascii="仿宋_GB2312" w:eastAsia="仿宋_GB2312"/>
          <w:sz w:val="32"/>
          <w:szCs w:val="32"/>
          <w:lang w:val="en-US" w:eastAsia="zh-CN"/>
        </w:rPr>
        <w:t>84</w:t>
      </w:r>
      <w:r>
        <w:rPr>
          <w:rFonts w:hint="eastAsia" w:ascii="仿宋_GB2312" w:eastAsia="仿宋_GB2312"/>
          <w:sz w:val="32"/>
          <w:szCs w:val="32"/>
        </w:rPr>
        <w:t>万余人，农业人口1.7</w:t>
      </w:r>
      <w:r>
        <w:rPr>
          <w:rFonts w:hint="eastAsia" w:ascii="仿宋_GB2312" w:eastAsia="仿宋_GB2312"/>
          <w:sz w:val="32"/>
          <w:szCs w:val="32"/>
          <w:lang w:val="en-US" w:eastAsia="zh-CN"/>
        </w:rPr>
        <w:t>1</w:t>
      </w:r>
      <w:r>
        <w:rPr>
          <w:rFonts w:hint="eastAsia" w:ascii="仿宋_GB2312" w:eastAsia="仿宋_GB2312"/>
          <w:sz w:val="32"/>
          <w:szCs w:val="32"/>
        </w:rPr>
        <w:t>万余人。区内建有1个工业园区，2个农业园区。</w:t>
      </w:r>
    </w:p>
    <w:p>
      <w:pPr>
        <w:numPr>
          <w:ilvl w:val="0"/>
          <w:numId w:val="13"/>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numPr>
          <w:ilvl w:val="0"/>
          <w:numId w:val="0"/>
        </w:num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1、执行党和国家的各项方针、政策、法令、法规，在区委、区政府领导下完成各项任务。</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2、建设社会主义物质文明和精神文明，以经济建设为中心，发展街道工业以及与居民密切相关的第三产业。</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3、负责辖区内的社会治安综合治理，人民调解、法律服务工作，依照有关规定管理外来流动人员。</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4、开展社区服务、拥军优属工作，负责社区优抚、社会救济、社会福利、社区文化、科普、体育、教育工作。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5、按照职责范围做好城市建设管理监察、计划生育、爱国卫生、市容环境卫生、环境保护、劳动就业、安全生产等管理工作。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6、配合有关部门做好防汛、防风、防火、防震、抢险和防灾救灾工作。</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7、维护老年人、妇女、儿童、青少年和残疾人的合法权益，尊重少数民族的风俗习惯和保障少数民族的权益。</w:t>
      </w:r>
    </w:p>
    <w:p>
      <w:pPr>
        <w:spacing w:line="580" w:lineRule="exact"/>
        <w:ind w:firstLine="627" w:firstLineChars="196"/>
        <w:rPr>
          <w:rFonts w:hint="eastAsia" w:ascii="仿宋_GB2312" w:eastAsia="仿宋_GB2312"/>
          <w:sz w:val="32"/>
          <w:szCs w:val="32"/>
        </w:rPr>
      </w:pPr>
      <w:r>
        <w:rPr>
          <w:rFonts w:hint="eastAsia" w:ascii="仿宋_GB2312" w:eastAsia="仿宋_GB2312"/>
          <w:sz w:val="32"/>
          <w:szCs w:val="32"/>
        </w:rPr>
        <w:t>8、指导和帮助村、社区的工作，促进村、社区的依法建设和发挥自我教育、自我管理、自我服务的作用。</w:t>
      </w:r>
    </w:p>
    <w:p>
      <w:pPr>
        <w:spacing w:line="580" w:lineRule="exact"/>
        <w:ind w:firstLine="627" w:firstLineChars="196"/>
        <w:rPr>
          <w:rFonts w:ascii="仿宋" w:hAnsi="仿宋" w:eastAsia="仿宋" w:cs="仿宋_GB2312"/>
          <w:sz w:val="32"/>
          <w:szCs w:val="32"/>
        </w:rPr>
      </w:pPr>
      <w:r>
        <w:rPr>
          <w:rFonts w:hint="eastAsia" w:ascii="仿宋_GB2312" w:eastAsia="仿宋_GB2312"/>
          <w:sz w:val="32"/>
          <w:szCs w:val="32"/>
        </w:rPr>
        <w:t>9、向市、区人民政府反映群众的意见和要求，办理人民群众的来信来访等事项。</w:t>
      </w:r>
    </w:p>
    <w:p>
      <w:pPr>
        <w:numPr>
          <w:ilvl w:val="0"/>
          <w:numId w:val="13"/>
        </w:numPr>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人员概况。</w:t>
      </w:r>
    </w:p>
    <w:p>
      <w:pPr>
        <w:snapToGrid w:val="0"/>
        <w:spacing w:line="560" w:lineRule="exact"/>
        <w:ind w:firstLine="640" w:firstLineChars="200"/>
        <w:rPr>
          <w:rFonts w:ascii="仿宋" w:hAnsi="仿宋" w:eastAsia="仿宋" w:cs="仿宋_GB2312"/>
          <w:sz w:val="32"/>
          <w:szCs w:val="32"/>
        </w:rPr>
      </w:pPr>
      <w:r>
        <w:rPr>
          <w:rFonts w:hint="eastAsia" w:ascii="仿宋_GB2312" w:eastAsia="仿宋_GB2312"/>
          <w:sz w:val="32"/>
          <w:szCs w:val="32"/>
        </w:rPr>
        <w:t>大石镇</w:t>
      </w:r>
      <w:r>
        <w:rPr>
          <w:rFonts w:hint="eastAsia" w:ascii="仿宋_GB2312" w:eastAsia="仿宋_GB2312"/>
          <w:sz w:val="32"/>
          <w:szCs w:val="32"/>
          <w:lang w:eastAsia="zh-CN"/>
        </w:rPr>
        <w:t>编制数</w:t>
      </w:r>
      <w:r>
        <w:rPr>
          <w:rFonts w:hint="eastAsia" w:ascii="仿宋_GB2312" w:eastAsia="仿宋_GB2312"/>
          <w:sz w:val="32"/>
          <w:szCs w:val="32"/>
          <w:lang w:val="en-US" w:eastAsia="zh-CN"/>
        </w:rPr>
        <w:t>47个，公务员编制27个，工勤编制3个，事业人员编制17个；</w:t>
      </w:r>
      <w:r>
        <w:rPr>
          <w:rFonts w:hint="eastAsia" w:ascii="仿宋" w:hAnsi="仿宋" w:eastAsia="仿宋"/>
          <w:sz w:val="32"/>
          <w:szCs w:val="32"/>
        </w:rPr>
        <w:t>2019年年底大石镇实际在职职工46人，</w:t>
      </w:r>
      <w:r>
        <w:rPr>
          <w:rFonts w:hint="eastAsia" w:ascii="仿宋" w:hAnsi="仿宋" w:eastAsia="仿宋"/>
          <w:color w:val="auto"/>
          <w:sz w:val="32"/>
          <w:szCs w:val="32"/>
        </w:rPr>
        <w:t>其中公务员25人，事业人员19人，行政工人2人；退休人员22人，遗属人员6人。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olor w:val="000000"/>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2989.39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1900.18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63.56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1089.21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36.43</w:t>
      </w:r>
      <w:r>
        <w:rPr>
          <w:rFonts w:ascii="仿宋" w:hAnsi="仿宋" w:eastAsia="仿宋"/>
          <w:color w:val="000000"/>
          <w:sz w:val="32"/>
          <w:szCs w:val="32"/>
        </w:rPr>
        <w:t>%</w:t>
      </w:r>
    </w:p>
    <w:p>
      <w:pPr>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（二）部门财政资金支出情况。</w:t>
      </w: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2756.31</w:t>
      </w:r>
      <w:r>
        <w:rPr>
          <w:rFonts w:hint="eastAsia" w:ascii="仿宋" w:hAnsi="仿宋" w:eastAsia="仿宋"/>
          <w:color w:val="000000"/>
          <w:sz w:val="32"/>
          <w:szCs w:val="32"/>
        </w:rPr>
        <w:t>万元，其中：基本支出1090.33万元，占</w:t>
      </w:r>
      <w:r>
        <w:rPr>
          <w:rFonts w:hint="eastAsia" w:ascii="仿宋" w:hAnsi="仿宋" w:eastAsia="仿宋"/>
          <w:color w:val="000000"/>
          <w:sz w:val="32"/>
          <w:szCs w:val="32"/>
          <w:lang w:val="en-US" w:eastAsia="zh-CN"/>
        </w:rPr>
        <w:t>39.55</w:t>
      </w:r>
      <w:r>
        <w:rPr>
          <w:rFonts w:ascii="仿宋" w:hAnsi="仿宋" w:eastAsia="仿宋"/>
          <w:color w:val="000000"/>
          <w:sz w:val="32"/>
          <w:szCs w:val="32"/>
        </w:rPr>
        <w:t>%</w:t>
      </w:r>
      <w:r>
        <w:rPr>
          <w:rFonts w:hint="eastAsia" w:ascii="仿宋" w:hAnsi="仿宋" w:eastAsia="仿宋"/>
          <w:color w:val="000000"/>
          <w:sz w:val="32"/>
          <w:szCs w:val="32"/>
        </w:rPr>
        <w:t>；项目支出1665.98万元，占</w:t>
      </w:r>
      <w:r>
        <w:rPr>
          <w:rFonts w:hint="eastAsia" w:ascii="仿宋" w:hAnsi="仿宋" w:eastAsia="仿宋"/>
          <w:color w:val="000000"/>
          <w:sz w:val="32"/>
          <w:szCs w:val="32"/>
          <w:lang w:val="en-US" w:eastAsia="zh-CN"/>
        </w:rPr>
        <w:t>60.44</w:t>
      </w:r>
      <w:r>
        <w:rPr>
          <w:rFonts w:ascii="仿宋" w:hAnsi="仿宋" w:eastAsia="仿宋"/>
          <w:color w:val="000000"/>
          <w:sz w:val="32"/>
          <w:szCs w:val="32"/>
        </w:rPr>
        <w:t>%</w:t>
      </w:r>
      <w:r>
        <w:rPr>
          <w:rFonts w:hint="eastAsia" w:ascii="仿宋" w:hAnsi="仿宋" w:eastAsia="仿宋"/>
          <w:color w:val="000000"/>
          <w:sz w:val="32"/>
          <w:szCs w:val="32"/>
        </w:rPr>
        <w:t>；</w:t>
      </w:r>
    </w:p>
    <w:p>
      <w:pPr>
        <w:shd w:val="clear" w:fill="FFFFFF" w:themeFill="background1"/>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hd w:val="clear" w:fill="FFFFFF" w:themeFill="background1"/>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hd w:val="clear" w:fill="FFFFFF" w:themeFill="background1"/>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年初预算时制定总体</w:t>
      </w:r>
      <w:r>
        <w:rPr>
          <w:rFonts w:ascii="仿宋" w:hAnsi="仿宋" w:eastAsia="仿宋" w:cs="仿宋_GB2312"/>
          <w:sz w:val="32"/>
          <w:szCs w:val="32"/>
        </w:rPr>
        <w:t>绩效目标、</w:t>
      </w:r>
      <w:r>
        <w:rPr>
          <w:rFonts w:hint="eastAsia" w:ascii="仿宋" w:hAnsi="仿宋" w:eastAsia="仿宋" w:cs="仿宋_GB2312"/>
          <w:sz w:val="32"/>
          <w:szCs w:val="32"/>
        </w:rPr>
        <w:t>人员经费</w:t>
      </w:r>
      <w:r>
        <w:rPr>
          <w:rFonts w:hint="eastAsia" w:ascii="仿宋" w:hAnsi="仿宋" w:eastAsia="仿宋" w:cs="仿宋_GB2312"/>
          <w:sz w:val="32"/>
          <w:szCs w:val="32"/>
          <w:lang w:eastAsia="zh-CN"/>
        </w:rPr>
        <w:t>做好实有人数，人员情况登记造册，按照财政部门制定的定额标准直接计算编制。维持机构正常运行的公用经费按照财政部门制定的定额标准直接计算编制，做到</w:t>
      </w:r>
      <w:r>
        <w:rPr>
          <w:rFonts w:ascii="仿宋" w:hAnsi="仿宋" w:eastAsia="仿宋" w:cs="仿宋_GB2312"/>
          <w:sz w:val="32"/>
          <w:szCs w:val="32"/>
        </w:rPr>
        <w:t>预算编制准确</w:t>
      </w:r>
      <w:r>
        <w:rPr>
          <w:rFonts w:hint="eastAsia" w:ascii="仿宋" w:hAnsi="仿宋" w:eastAsia="仿宋" w:cs="仿宋_GB2312"/>
          <w:sz w:val="32"/>
          <w:szCs w:val="32"/>
          <w:lang w:eastAsia="zh-CN"/>
        </w:rPr>
        <w:t>。严格</w:t>
      </w:r>
      <w:r>
        <w:rPr>
          <w:rFonts w:ascii="仿宋" w:hAnsi="仿宋" w:eastAsia="仿宋" w:cs="仿宋_GB2312"/>
          <w:sz w:val="32"/>
          <w:szCs w:val="32"/>
        </w:rPr>
        <w:t>支出控制、</w:t>
      </w:r>
      <w:r>
        <w:rPr>
          <w:rFonts w:hint="eastAsia" w:ascii="仿宋" w:hAnsi="仿宋" w:eastAsia="仿宋" w:cs="仿宋_GB2312"/>
          <w:sz w:val="32"/>
          <w:szCs w:val="32"/>
          <w:lang w:eastAsia="zh-CN"/>
        </w:rPr>
        <w:t>层层把关审核。做好</w:t>
      </w:r>
      <w:r>
        <w:rPr>
          <w:rFonts w:ascii="仿宋" w:hAnsi="仿宋" w:eastAsia="仿宋" w:cs="仿宋_GB2312"/>
          <w:sz w:val="32"/>
          <w:szCs w:val="32"/>
        </w:rPr>
        <w:t>预算动态调整、执行进度、预算完成情况和违规记录</w:t>
      </w:r>
      <w:r>
        <w:rPr>
          <w:rFonts w:hint="eastAsia" w:ascii="仿宋" w:hAnsi="仿宋" w:eastAsia="仿宋" w:cs="仿宋_GB2312"/>
          <w:sz w:val="32"/>
          <w:szCs w:val="32"/>
          <w:lang w:eastAsia="zh-CN"/>
        </w:rPr>
        <w:t>等</w:t>
      </w:r>
      <w:r>
        <w:rPr>
          <w:rFonts w:ascii="仿宋" w:hAnsi="仿宋" w:eastAsia="仿宋" w:cs="仿宋_GB2312"/>
          <w:sz w:val="32"/>
          <w:szCs w:val="32"/>
        </w:rPr>
        <w:t>。</w:t>
      </w:r>
    </w:p>
    <w:p>
      <w:pPr>
        <w:shd w:val="clear" w:fill="FFFFFF" w:themeFill="background1"/>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hd w:val="clear" w:fill="FFFFFF" w:themeFill="background1"/>
        <w:spacing w:line="580" w:lineRule="exact"/>
        <w:ind w:firstLine="640" w:firstLineChars="200"/>
        <w:rPr>
          <w:rFonts w:hint="eastAsia" w:ascii="仿宋" w:hAnsi="仿宋" w:eastAsia="仿宋" w:cs="仿宋_GB2312"/>
          <w:sz w:val="32"/>
          <w:szCs w:val="32"/>
          <w:lang w:eastAsia="zh-CN"/>
        </w:rPr>
      </w:pP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按照效率最优</w:t>
      </w:r>
      <w:r>
        <w:rPr>
          <w:rFonts w:ascii="仿宋" w:hAnsi="仿宋" w:eastAsia="仿宋" w:cs="仿宋_GB2312"/>
          <w:sz w:val="32"/>
          <w:szCs w:val="32"/>
        </w:rPr>
        <w:t>规划合理</w:t>
      </w:r>
      <w:r>
        <w:rPr>
          <w:rFonts w:hint="eastAsia" w:ascii="仿宋" w:hAnsi="仿宋" w:eastAsia="仿宋" w:cs="仿宋_GB2312"/>
          <w:sz w:val="32"/>
          <w:szCs w:val="32"/>
          <w:lang w:eastAsia="zh-CN"/>
        </w:rPr>
        <w:t>，</w:t>
      </w:r>
      <w:r>
        <w:rPr>
          <w:rFonts w:ascii="仿宋" w:hAnsi="仿宋" w:eastAsia="仿宋" w:cs="仿宋_GB2312"/>
          <w:sz w:val="32"/>
          <w:szCs w:val="32"/>
        </w:rPr>
        <w:t>分配科学</w:t>
      </w:r>
      <w:r>
        <w:rPr>
          <w:rFonts w:hint="eastAsia" w:ascii="仿宋" w:hAnsi="仿宋" w:eastAsia="仿宋" w:cs="仿宋_GB2312"/>
          <w:sz w:val="32"/>
          <w:szCs w:val="32"/>
          <w:lang w:eastAsia="zh-CN"/>
        </w:rPr>
        <w:t>编制专项预算。</w:t>
      </w:r>
      <w:r>
        <w:rPr>
          <w:rFonts w:ascii="仿宋" w:hAnsi="仿宋" w:eastAsia="仿宋" w:cs="仿宋_GB2312"/>
          <w:sz w:val="32"/>
          <w:szCs w:val="32"/>
        </w:rPr>
        <w:t>及时</w:t>
      </w:r>
      <w:r>
        <w:rPr>
          <w:rFonts w:hint="eastAsia" w:ascii="仿宋" w:hAnsi="仿宋" w:eastAsia="仿宋" w:cs="仿宋_GB2312"/>
          <w:sz w:val="32"/>
          <w:szCs w:val="32"/>
          <w:lang w:eastAsia="zh-CN"/>
        </w:rPr>
        <w:t>做好</w:t>
      </w:r>
      <w:r>
        <w:rPr>
          <w:rFonts w:ascii="仿宋" w:hAnsi="仿宋" w:eastAsia="仿宋" w:cs="仿宋_GB2312"/>
          <w:sz w:val="32"/>
          <w:szCs w:val="32"/>
        </w:rPr>
        <w:t>专项预算绩效目标完成、实施绩效、违规</w:t>
      </w:r>
      <w:r>
        <w:rPr>
          <w:rFonts w:hint="eastAsia" w:ascii="仿宋" w:hAnsi="仿宋" w:eastAsia="仿宋" w:cs="仿宋_GB2312"/>
          <w:sz w:val="32"/>
          <w:szCs w:val="32"/>
          <w:lang w:eastAsia="zh-CN"/>
        </w:rPr>
        <w:t>等</w:t>
      </w:r>
      <w:r>
        <w:rPr>
          <w:rFonts w:ascii="仿宋" w:hAnsi="仿宋" w:eastAsia="仿宋" w:cs="仿宋_GB2312"/>
          <w:sz w:val="32"/>
          <w:szCs w:val="32"/>
        </w:rPr>
        <w:t>记录</w:t>
      </w:r>
      <w:r>
        <w:rPr>
          <w:rFonts w:hint="eastAsia" w:ascii="仿宋" w:hAnsi="仿宋" w:eastAsia="仿宋" w:cs="仿宋_GB2312"/>
          <w:sz w:val="32"/>
          <w:szCs w:val="32"/>
          <w:lang w:eastAsia="zh-CN"/>
        </w:rPr>
        <w:t>。</w:t>
      </w:r>
    </w:p>
    <w:p>
      <w:pPr>
        <w:numPr>
          <w:ilvl w:val="0"/>
          <w:numId w:val="13"/>
        </w:numPr>
        <w:shd w:val="clear" w:fill="FFFFFF" w:themeFill="background1"/>
        <w:spacing w:line="580" w:lineRule="exact"/>
        <w:ind w:left="0" w:leftChars="0" w:firstLine="640" w:firstLineChars="200"/>
        <w:rPr>
          <w:rFonts w:ascii="仿宋" w:hAnsi="仿宋" w:eastAsia="仿宋" w:cs="仿宋_GB2312"/>
          <w:sz w:val="32"/>
          <w:szCs w:val="32"/>
        </w:rPr>
      </w:pPr>
      <w:r>
        <w:rPr>
          <w:rFonts w:ascii="仿宋" w:hAnsi="仿宋" w:eastAsia="仿宋" w:cs="仿宋_GB2312"/>
          <w:sz w:val="32"/>
          <w:szCs w:val="32"/>
        </w:rPr>
        <w:t>结果应用情况。</w:t>
      </w:r>
    </w:p>
    <w:p>
      <w:pPr>
        <w:numPr>
          <w:ilvl w:val="0"/>
          <w:numId w:val="0"/>
        </w:numPr>
        <w:shd w:val="clear" w:fill="FFFFFF" w:themeFill="background1"/>
        <w:spacing w:line="580" w:lineRule="exact"/>
        <w:ind w:leftChars="20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2019年大石镇整体绩效较为良好，</w:t>
      </w:r>
      <w:r>
        <w:rPr>
          <w:rFonts w:hint="eastAsia" w:ascii="仿宋" w:hAnsi="仿宋" w:eastAsia="仿宋" w:cs="仿宋_GB2312"/>
          <w:sz w:val="32"/>
          <w:szCs w:val="32"/>
          <w:lang w:eastAsia="zh-CN"/>
        </w:rPr>
        <w:t>财政支出严格按照规程执行</w:t>
      </w:r>
      <w:r>
        <w:rPr>
          <w:rFonts w:hint="eastAsia" w:ascii="仿宋" w:hAnsi="仿宋" w:eastAsia="仿宋" w:cs="仿宋_GB2312"/>
          <w:sz w:val="32"/>
          <w:szCs w:val="32"/>
          <w:lang w:val="en-US" w:eastAsia="zh-CN"/>
        </w:rPr>
        <w:t>达到预期的绩效目标。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r>
        <w:rPr>
          <w:rFonts w:hint="eastAsia" w:ascii="仿宋_GB2312" w:eastAsia="仿宋_GB2312"/>
          <w:color w:val="000000"/>
          <w:sz w:val="32"/>
          <w:szCs w:val="32"/>
        </w:rPr>
        <w:t>　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部门整体支出绩效评价自查自评结果良好，按照预算绩效管理要求，本部门对201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年整体支出开展绩效自评，自评得分</w:t>
      </w:r>
      <w:r>
        <w:rPr>
          <w:rFonts w:hint="eastAsia" w:ascii="仿宋_GB2312" w:eastAsia="仿宋_GB2312"/>
          <w:color w:val="000000"/>
          <w:sz w:val="32"/>
          <w:szCs w:val="32"/>
          <w:lang w:val="en-US" w:eastAsia="zh-CN"/>
        </w:rPr>
        <w:t>96.5</w:t>
      </w:r>
      <w:r>
        <w:rPr>
          <w:rFonts w:hint="eastAsia" w:ascii="仿宋_GB2312" w:eastAsia="仿宋_GB2312"/>
          <w:color w:val="000000"/>
          <w:sz w:val="32"/>
          <w:szCs w:val="32"/>
        </w:rPr>
        <w:t>分</w:t>
      </w:r>
      <w:r>
        <w:rPr>
          <w:rFonts w:hint="eastAsia" w:ascii="仿宋_GB2312" w:eastAsia="仿宋_GB2312"/>
          <w:color w:val="000000"/>
          <w:sz w:val="32"/>
          <w:szCs w:val="32"/>
          <w:lang w:eastAsia="zh-CN"/>
        </w:rPr>
        <w:t>，基本支出</w:t>
      </w:r>
      <w:r>
        <w:rPr>
          <w:rFonts w:hint="eastAsia" w:ascii="仿宋_GB2312" w:eastAsia="仿宋_GB2312"/>
          <w:color w:val="000000"/>
          <w:sz w:val="32"/>
          <w:szCs w:val="32"/>
        </w:rPr>
        <w:t>保证了部门的正常运行和日常工作的正常开展，项目支出</w:t>
      </w:r>
      <w:r>
        <w:rPr>
          <w:rFonts w:hint="eastAsia" w:ascii="仿宋_GB2312" w:eastAsia="仿宋_GB2312"/>
          <w:color w:val="000000"/>
          <w:sz w:val="32"/>
          <w:szCs w:val="32"/>
          <w:lang w:eastAsia="zh-CN"/>
        </w:rPr>
        <w:t>能够</w:t>
      </w:r>
      <w:r>
        <w:rPr>
          <w:rFonts w:hint="eastAsia" w:ascii="仿宋_GB2312" w:eastAsia="仿宋_GB2312"/>
          <w:color w:val="000000"/>
          <w:sz w:val="32"/>
          <w:szCs w:val="32"/>
        </w:rPr>
        <w:t>保障重点工作的开展，达到预期</w:t>
      </w:r>
      <w:r>
        <w:rPr>
          <w:rFonts w:hint="eastAsia" w:ascii="仿宋_GB2312" w:eastAsia="仿宋_GB2312"/>
          <w:color w:val="000000"/>
          <w:sz w:val="32"/>
          <w:szCs w:val="32"/>
          <w:lang w:eastAsia="zh-CN"/>
        </w:rPr>
        <w:t>了</w:t>
      </w:r>
      <w:r>
        <w:rPr>
          <w:rFonts w:hint="eastAsia" w:ascii="仿宋_GB2312" w:eastAsia="仿宋_GB2312"/>
          <w:color w:val="000000"/>
          <w:sz w:val="32"/>
          <w:szCs w:val="32"/>
        </w:rPr>
        <w:t>绩效目标。</w:t>
      </w:r>
      <w:r>
        <w:rPr>
          <w:rFonts w:hint="eastAsia" w:ascii="仿宋_GB2312" w:eastAsia="仿宋_GB2312"/>
          <w:color w:val="000000"/>
          <w:sz w:val="32"/>
          <w:szCs w:val="32"/>
        </w:rPr>
        <w:br w:type="textWrapping"/>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_GB2312" w:eastAsia="仿宋_GB2312"/>
          <w:color w:val="000000"/>
          <w:sz w:val="32"/>
          <w:szCs w:val="32"/>
        </w:rPr>
        <w:t>　内控</w:t>
      </w:r>
      <w:r>
        <w:rPr>
          <w:rFonts w:hint="eastAsia" w:ascii="仿宋_GB2312" w:eastAsia="仿宋_GB2312"/>
          <w:color w:val="000000"/>
          <w:sz w:val="32"/>
          <w:szCs w:val="32"/>
          <w:lang w:eastAsia="zh-CN"/>
        </w:rPr>
        <w:t>信息化</w:t>
      </w:r>
      <w:r>
        <w:rPr>
          <w:rFonts w:hint="eastAsia" w:ascii="仿宋_GB2312" w:eastAsia="仿宋_GB2312"/>
          <w:color w:val="000000"/>
          <w:sz w:val="32"/>
          <w:szCs w:val="32"/>
        </w:rPr>
        <w:t>建设不够完善</w:t>
      </w:r>
      <w:r>
        <w:rPr>
          <w:rFonts w:hint="eastAsia" w:ascii="仿宋_GB2312" w:eastAsia="仿宋_GB2312"/>
          <w:color w:val="000000"/>
          <w:sz w:val="32"/>
          <w:szCs w:val="32"/>
          <w:lang w:eastAsia="zh-CN"/>
        </w:rPr>
        <w:t>，预算项目不够全面。</w:t>
      </w:r>
    </w:p>
    <w:p>
      <w:pPr>
        <w:spacing w:line="600" w:lineRule="exact"/>
        <w:ind w:firstLine="640" w:firstLineChars="200"/>
        <w:rPr>
          <w:rFonts w:hint="eastAsia" w:ascii="仿宋_GB2312" w:eastAsia="仿宋_GB2312"/>
          <w:color w:val="000000"/>
          <w:sz w:val="32"/>
          <w:szCs w:val="32"/>
          <w:lang w:eastAsia="zh-CN"/>
        </w:rPr>
      </w:pPr>
      <w:r>
        <w:rPr>
          <w:rFonts w:ascii="仿宋" w:hAnsi="仿宋" w:eastAsia="仿宋" w:cs="仿宋_GB2312"/>
          <w:sz w:val="32"/>
          <w:szCs w:val="32"/>
        </w:rPr>
        <w:t>（三）改进建议。</w:t>
      </w:r>
      <w:r>
        <w:rPr>
          <w:rFonts w:hint="eastAsia" w:ascii="仿宋_GB2312" w:eastAsia="仿宋_GB2312"/>
          <w:color w:val="000000"/>
          <w:sz w:val="32"/>
          <w:szCs w:val="32"/>
        </w:rPr>
        <w:t>一是在完善内控制度工作基础上，我</w:t>
      </w:r>
      <w:r>
        <w:rPr>
          <w:rFonts w:hint="eastAsia" w:ascii="仿宋_GB2312" w:eastAsia="仿宋_GB2312"/>
          <w:color w:val="000000"/>
          <w:sz w:val="32"/>
          <w:szCs w:val="32"/>
          <w:lang w:eastAsia="zh-CN"/>
        </w:rPr>
        <w:t>镇</w:t>
      </w:r>
      <w:r>
        <w:rPr>
          <w:rFonts w:hint="eastAsia" w:ascii="仿宋_GB2312" w:eastAsia="仿宋_GB2312"/>
          <w:color w:val="000000"/>
          <w:sz w:val="32"/>
          <w:szCs w:val="32"/>
        </w:rPr>
        <w:t>将进一步加强内控信息化建设，采取“分期建设、分步推进”的方式，覆盖内控重点环节。二是梳理细化工作流程及风险点，将各项财经法律、法规以及中央、省各项规章制度与经费支出衔接，实现预设标准、范围，做到提前预警控制。三是强化内控信息化数据分析，发挥信息化管理数据分析优势，并将内控分析结果运用于预算安排、绩效目标编报、资产配置管理等方面</w:t>
      </w:r>
      <w:r>
        <w:rPr>
          <w:rFonts w:hint="eastAsia" w:ascii="仿宋_GB2312" w:eastAsia="仿宋_GB2312"/>
          <w:color w:val="000000"/>
          <w:sz w:val="32"/>
          <w:szCs w:val="32"/>
          <w:lang w:eastAsia="zh-CN"/>
        </w:rPr>
        <w:t>，四是加强预算项目的前瞻性，确保预算项目的全面性。</w:t>
      </w: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pStyle w:val="3"/>
        <w:rPr>
          <w:rFonts w:ascii="仿宋_GB2312" w:hAnsi="仿宋_GB2312" w:eastAsia="仿宋_GB2312" w:cs="仿宋_GB2312"/>
          <w:color w:val="auto"/>
          <w:sz w:val="32"/>
          <w:szCs w:val="32"/>
        </w:rPr>
      </w:pPr>
      <w:r>
        <w:rPr>
          <w:rStyle w:val="24"/>
          <w:rFonts w:hint="eastAsia" w:ascii="仿宋" w:hAnsi="仿宋" w:eastAsia="仿宋"/>
          <w:b w:val="0"/>
          <w:bCs w:val="0"/>
          <w:color w:val="auto"/>
          <w:sz w:val="32"/>
          <w:szCs w:val="32"/>
        </w:rPr>
        <w:t>附件2</w:t>
      </w:r>
    </w:p>
    <w:p>
      <w:pPr>
        <w:spacing w:line="600" w:lineRule="exact"/>
        <w:jc w:val="center"/>
        <w:rPr>
          <w:rFonts w:ascii="宋体" w:hAnsi="宋体"/>
          <w:color w:val="auto"/>
          <w:sz w:val="32"/>
          <w:szCs w:val="32"/>
          <w:lang w:val="zh-CN"/>
        </w:rPr>
      </w:pPr>
      <w:r>
        <w:rPr>
          <w:rFonts w:hint="eastAsia" w:ascii="黑体" w:hAnsi="黑体" w:eastAsia="黑体" w:cs="方正小标宋简体"/>
          <w:sz w:val="44"/>
          <w:szCs w:val="44"/>
        </w:rPr>
        <w:t>依法治区</w:t>
      </w:r>
      <w:r>
        <w:rPr>
          <w:rFonts w:hint="eastAsia" w:ascii="方正小标宋简体" w:hAnsi="宋体" w:eastAsia="方正小标宋简体"/>
          <w:color w:val="auto"/>
          <w:kern w:val="0"/>
          <w:sz w:val="44"/>
          <w:szCs w:val="44"/>
          <w:lang w:val="zh-CN"/>
        </w:rPr>
        <w:t>项目</w:t>
      </w:r>
      <w:r>
        <w:rPr>
          <w:rFonts w:hint="eastAsia" w:ascii="方正小标宋简体" w:hAnsi="宋体" w:eastAsia="方正小标宋简体"/>
          <w:color w:val="auto"/>
          <w:kern w:val="0"/>
          <w:sz w:val="44"/>
          <w:szCs w:val="44"/>
        </w:rPr>
        <w:t>2019年</w:t>
      </w:r>
      <w:r>
        <w:rPr>
          <w:rFonts w:hint="eastAsia" w:ascii="方正小标宋简体" w:hAnsi="宋体" w:eastAsia="方正小标宋简体"/>
          <w:color w:val="auto"/>
          <w:kern w:val="0"/>
          <w:sz w:val="44"/>
          <w:szCs w:val="44"/>
          <w:lang w:val="zh-CN"/>
        </w:rPr>
        <w:t>绩效评价报告</w:t>
      </w: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 w:hAnsi="仿宋" w:eastAsia="仿宋" w:cs="仿宋_GB2312"/>
          <w:color w:val="auto"/>
          <w:sz w:val="32"/>
          <w:szCs w:val="32"/>
        </w:rPr>
        <w:t>依法治区</w:t>
      </w:r>
      <w:r>
        <w:rPr>
          <w:rFonts w:hint="eastAsia" w:ascii="仿宋" w:hAnsi="仿宋" w:eastAsia="仿宋" w:cs="仿宋_GB2312"/>
          <w:color w:val="auto"/>
          <w:sz w:val="32"/>
          <w:szCs w:val="32"/>
          <w:lang w:eastAsia="zh-CN"/>
        </w:rPr>
        <w:t>工作重点为辖区内全年的法治宣传，法律进乡村，进学校，进企业等宣讲活动。主管部门主要是确保法治宣传到位，提高辖区居民法律意识。</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hint="eastAsia" w:ascii="仿宋" w:hAnsi="仿宋" w:eastAsia="仿宋" w:cs="仿宋_GB2312"/>
          <w:color w:val="auto"/>
          <w:sz w:val="32"/>
          <w:szCs w:val="32"/>
          <w:lang w:eastAsia="zh-CN"/>
        </w:rPr>
        <w:t>依法治国是党领导群众的基本方略，依法治区是依法治国的基层具体实践。</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：全部资金主要是用于法治宣传，辖区内法治宣传标语制作。</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w:t>
      </w:r>
      <w:r>
        <w:rPr>
          <w:rFonts w:hint="eastAsia" w:ascii="仿宋" w:hAnsi="仿宋" w:eastAsia="仿宋" w:cs="仿宋_GB2312"/>
          <w:color w:val="auto"/>
          <w:sz w:val="32"/>
          <w:szCs w:val="32"/>
          <w:lang w:eastAsia="zh-CN"/>
        </w:rPr>
        <w:t>依法治国是党领导群众的基本方略，依法治区是依法治国的基层具体实践。主要是用于法治宣传，辖区内法治宣传标语制作。</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1．项目主要内容。</w:t>
      </w:r>
      <w:r>
        <w:rPr>
          <w:rFonts w:hint="eastAsia" w:ascii="仿宋" w:hAnsi="仿宋" w:eastAsia="仿宋" w:cs="仿宋_GB2312"/>
          <w:color w:val="auto"/>
          <w:sz w:val="32"/>
          <w:szCs w:val="32"/>
        </w:rPr>
        <w:t>依法治区</w:t>
      </w:r>
      <w:r>
        <w:rPr>
          <w:rFonts w:hint="eastAsia" w:ascii="仿宋" w:hAnsi="仿宋" w:eastAsia="仿宋" w:cs="仿宋_GB2312"/>
          <w:color w:val="auto"/>
          <w:sz w:val="32"/>
          <w:szCs w:val="32"/>
          <w:lang w:eastAsia="zh-CN"/>
        </w:rPr>
        <w:t>工作重点为辖区内全年的法治宣传，法律进乡村，进学校，进企业等宣讲活动。全年法律宣传费用支出，法律宣传活动开展次数。</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宣传活动开展法律进学校、进乡村、进企业</w:t>
      </w:r>
      <w:r>
        <w:rPr>
          <w:rFonts w:hint="eastAsia" w:ascii="仿宋" w:hAnsi="仿宋" w:eastAsia="仿宋" w:cs="仿宋_GB2312"/>
          <w:color w:val="auto"/>
          <w:sz w:val="32"/>
          <w:szCs w:val="32"/>
          <w:lang w:val="en-US" w:eastAsia="zh-CN"/>
        </w:rPr>
        <w:t>16余次。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10副。</w:t>
      </w:r>
      <w:r>
        <w:rPr>
          <w:rFonts w:ascii="仿宋" w:hAnsi="仿宋" w:eastAsia="仿宋" w:cs="仿宋_GB2312"/>
          <w:color w:val="auto"/>
          <w:sz w:val="32"/>
          <w:szCs w:val="32"/>
        </w:rPr>
        <w:t>项目效益情况</w:t>
      </w:r>
      <w:r>
        <w:rPr>
          <w:rFonts w:hint="eastAsia" w:ascii="仿宋" w:hAnsi="仿宋" w:eastAsia="仿宋" w:cs="仿宋_GB2312"/>
          <w:color w:val="auto"/>
          <w:sz w:val="32"/>
          <w:szCs w:val="32"/>
          <w:lang w:eastAsia="zh-CN"/>
        </w:rPr>
        <w:t>：</w:t>
      </w:r>
      <w:r>
        <w:rPr>
          <w:rFonts w:ascii="仿宋" w:hAnsi="仿宋" w:eastAsia="仿宋" w:cs="仿宋_GB2312"/>
          <w:color w:val="auto"/>
          <w:sz w:val="32"/>
          <w:szCs w:val="32"/>
        </w:rPr>
        <w:t>项目</w:t>
      </w:r>
      <w:r>
        <w:rPr>
          <w:rFonts w:hint="eastAsia" w:ascii="仿宋" w:hAnsi="仿宋" w:eastAsia="仿宋" w:cs="仿宋_GB2312"/>
          <w:color w:val="auto"/>
          <w:sz w:val="32"/>
          <w:szCs w:val="32"/>
          <w:lang w:eastAsia="zh-CN"/>
        </w:rPr>
        <w:t>提高群众法律意识，知法，懂法用法律武器保护自己；促进辖区内和谐安定，群众满意度较高。</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580" w:lineRule="exact"/>
        <w:ind w:firstLine="640" w:firstLineChars="200"/>
        <w:rPr>
          <w:rFonts w:ascii="仿宋_GB2312" w:hAnsi="宋体" w:eastAsia="仿宋_GB2312"/>
          <w:color w:val="auto"/>
          <w:sz w:val="32"/>
          <w:szCs w:val="32"/>
          <w:lang w:val="zh-CN"/>
        </w:rPr>
      </w:pPr>
      <w:r>
        <w:rPr>
          <w:rFonts w:hint="eastAsia" w:ascii="仿宋" w:hAnsi="仿宋" w:eastAsia="仿宋" w:cs="仿宋_GB2312"/>
          <w:color w:val="auto"/>
          <w:sz w:val="32"/>
          <w:szCs w:val="32"/>
          <w:lang w:eastAsia="zh-CN"/>
        </w:rPr>
        <w:t>资料翻阅，法律宣传效果展示，群众问卷调查群众满意度。</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1．资金计划。该项目由区财政统一年初预算</w:t>
      </w:r>
      <w:r>
        <w:rPr>
          <w:rFonts w:hint="eastAsia" w:ascii="仿宋" w:hAnsi="仿宋" w:eastAsia="仿宋" w:cs="仿宋_GB2312"/>
          <w:color w:val="auto"/>
          <w:sz w:val="32"/>
          <w:szCs w:val="32"/>
          <w:lang w:val="en-US" w:eastAsia="zh-CN"/>
        </w:rPr>
        <w:t xml:space="preserve">1万元。  </w:t>
      </w:r>
    </w:p>
    <w:p>
      <w:pPr>
        <w:adjustRightInd w:val="0"/>
        <w:snapToGrid w:val="0"/>
        <w:spacing w:line="600" w:lineRule="exact"/>
        <w:ind w:firstLine="72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2．资金到位情况：该项目财政预算</w:t>
      </w:r>
      <w:r>
        <w:rPr>
          <w:rFonts w:hint="eastAsia" w:ascii="仿宋" w:hAnsi="仿宋" w:eastAsia="仿宋" w:cs="仿宋_GB2312"/>
          <w:color w:val="auto"/>
          <w:sz w:val="32"/>
          <w:szCs w:val="32"/>
          <w:lang w:val="en-US" w:eastAsia="zh-CN"/>
        </w:rPr>
        <w:t>1万元全部到位。</w:t>
      </w:r>
    </w:p>
    <w:p>
      <w:pPr>
        <w:adjustRightInd w:val="0"/>
        <w:snapToGrid w:val="0"/>
        <w:spacing w:line="600" w:lineRule="exact"/>
        <w:ind w:firstLine="72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zh-CN" w:eastAsia="zh-CN"/>
        </w:rPr>
        <w:t>3．资金使用。</w:t>
      </w:r>
      <w:r>
        <w:rPr>
          <w:rFonts w:hint="eastAsia" w:ascii="仿宋" w:hAnsi="仿宋" w:eastAsia="仿宋" w:cs="仿宋_GB2312"/>
          <w:color w:val="auto"/>
          <w:sz w:val="32"/>
          <w:szCs w:val="32"/>
          <w:lang w:eastAsia="zh-CN"/>
        </w:rPr>
        <w:t>宣传活动开展法律进学校、进乡村、进企业</w:t>
      </w:r>
      <w:r>
        <w:rPr>
          <w:rFonts w:hint="eastAsia" w:ascii="仿宋" w:hAnsi="仿宋" w:eastAsia="仿宋" w:cs="仿宋_GB2312"/>
          <w:color w:val="auto"/>
          <w:sz w:val="32"/>
          <w:szCs w:val="32"/>
          <w:lang w:val="en-US" w:eastAsia="zh-CN"/>
        </w:rPr>
        <w:t>16余次。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10副。</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left="319" w:leftChars="152" w:firstLine="774" w:firstLineChars="242"/>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eastAsia="zh-CN"/>
        </w:rPr>
        <w:t>法律进学校、进乡村、进企业</w:t>
      </w:r>
      <w:r>
        <w:rPr>
          <w:rFonts w:hint="eastAsia" w:ascii="仿宋" w:hAnsi="仿宋" w:eastAsia="仿宋" w:cs="仿宋_GB2312"/>
          <w:color w:val="auto"/>
          <w:sz w:val="32"/>
          <w:szCs w:val="32"/>
          <w:lang w:val="en-US" w:eastAsia="zh-CN"/>
        </w:rPr>
        <w:t>16余次。</w:t>
      </w:r>
      <w:r>
        <w:rPr>
          <w:rFonts w:hint="eastAsia" w:ascii="仿宋" w:hAnsi="仿宋" w:eastAsia="仿宋" w:cs="仿宋_GB2312"/>
          <w:color w:val="auto"/>
          <w:sz w:val="32"/>
          <w:szCs w:val="32"/>
          <w:lang w:eastAsia="zh-CN"/>
        </w:rPr>
        <w:t>宣传标语</w:t>
      </w:r>
      <w:r>
        <w:rPr>
          <w:rFonts w:hint="eastAsia" w:ascii="仿宋" w:hAnsi="仿宋" w:eastAsia="仿宋" w:cs="仿宋_GB2312"/>
          <w:color w:val="auto"/>
          <w:sz w:val="32"/>
          <w:szCs w:val="32"/>
          <w:lang w:val="en-US" w:eastAsia="zh-CN"/>
        </w:rPr>
        <w:t>10副。</w:t>
      </w:r>
    </w:p>
    <w:p>
      <w:p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adjustRightInd w:val="0"/>
        <w:snapToGrid w:val="0"/>
        <w:spacing w:line="600" w:lineRule="exact"/>
        <w:ind w:firstLine="720"/>
        <w:rPr>
          <w:rFonts w:hint="eastAsia" w:ascii="仿宋" w:hAnsi="仿宋" w:eastAsia="仿宋" w:cs="仿宋_GB2312"/>
          <w:color w:val="auto"/>
          <w:sz w:val="32"/>
          <w:szCs w:val="32"/>
          <w:lang w:val="zh-CN" w:eastAsia="zh-CN"/>
        </w:rPr>
      </w:pPr>
      <w:r>
        <w:rPr>
          <w:rFonts w:hint="eastAsia" w:ascii="仿宋_GB2312" w:hAnsi="宋体" w:eastAsia="仿宋_GB2312"/>
          <w:color w:val="auto"/>
          <w:sz w:val="32"/>
          <w:szCs w:val="32"/>
          <w:lang w:val="zh-CN"/>
        </w:rPr>
        <w:t>项目社会效益：</w:t>
      </w:r>
      <w:r>
        <w:rPr>
          <w:rFonts w:hint="eastAsia" w:ascii="仿宋" w:hAnsi="仿宋" w:eastAsia="仿宋" w:cs="仿宋_GB2312"/>
          <w:color w:val="auto"/>
          <w:sz w:val="32"/>
          <w:szCs w:val="32"/>
          <w:lang w:eastAsia="zh-CN"/>
        </w:rPr>
        <w:t>提高群众法律意识，知法，懂法用法律武器保护自己；</w:t>
      </w:r>
      <w:r>
        <w:rPr>
          <w:rFonts w:hint="eastAsia" w:ascii="仿宋" w:hAnsi="仿宋" w:eastAsia="仿宋" w:cs="仿宋_GB2312"/>
          <w:color w:val="auto"/>
          <w:sz w:val="32"/>
          <w:szCs w:val="32"/>
          <w:lang w:val="zh-CN" w:eastAsia="zh-CN"/>
        </w:rPr>
        <w:t>社会效益：</w:t>
      </w:r>
      <w:r>
        <w:rPr>
          <w:rFonts w:hint="eastAsia" w:ascii="仿宋" w:hAnsi="仿宋" w:eastAsia="仿宋" w:cs="仿宋_GB2312"/>
          <w:color w:val="auto"/>
          <w:sz w:val="32"/>
          <w:szCs w:val="32"/>
          <w:lang w:eastAsia="zh-CN"/>
        </w:rPr>
        <w:t>辖区内和谐安定；确保群众满意度</w:t>
      </w:r>
      <w:r>
        <w:rPr>
          <w:rFonts w:hint="eastAsia" w:ascii="仿宋" w:hAnsi="仿宋" w:eastAsia="仿宋" w:cs="仿宋_GB2312"/>
          <w:color w:val="auto"/>
          <w:sz w:val="32"/>
          <w:szCs w:val="32"/>
          <w:lang w:val="en-US" w:eastAsia="zh-CN"/>
        </w:rPr>
        <w:t>100%。</w:t>
      </w:r>
    </w:p>
    <w:p>
      <w:pPr>
        <w:adjustRightInd w:val="0"/>
        <w:snapToGrid w:val="0"/>
        <w:spacing w:line="600" w:lineRule="exact"/>
        <w:ind w:firstLine="720"/>
        <w:rPr>
          <w:rFonts w:hint="eastAsia" w:ascii="黑体" w:hAnsi="宋体" w:eastAsia="黑体"/>
          <w:color w:val="auto"/>
          <w:sz w:val="32"/>
          <w:szCs w:val="32"/>
          <w:lang w:val="zh-CN"/>
        </w:rPr>
      </w:pPr>
      <w:r>
        <w:rPr>
          <w:rFonts w:hint="eastAsia" w:ascii="黑体" w:hAnsi="宋体" w:eastAsia="黑体"/>
          <w:color w:val="auto"/>
          <w:sz w:val="32"/>
          <w:szCs w:val="32"/>
          <w:lang w:val="zh-CN"/>
        </w:rPr>
        <w:t>五、存在主要问题</w:t>
      </w:r>
    </w:p>
    <w:p>
      <w:pPr>
        <w:numPr>
          <w:ilvl w:val="0"/>
          <w:numId w:val="0"/>
        </w:numPr>
        <w:spacing w:line="58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lang w:eastAsia="zh-CN"/>
        </w:rPr>
        <w:t>部分村社区对依法治区重视不够，宣传力度不到位。</w:t>
      </w:r>
    </w:p>
    <w:p>
      <w:pPr>
        <w:adjustRightInd w:val="0"/>
        <w:snapToGrid w:val="0"/>
        <w:spacing w:line="600" w:lineRule="exact"/>
        <w:ind w:firstLine="720"/>
        <w:rPr>
          <w:rFonts w:hint="eastAsia" w:ascii="黑体" w:hAnsi="宋体" w:eastAsia="黑体"/>
          <w:color w:val="auto"/>
          <w:sz w:val="32"/>
          <w:szCs w:val="32"/>
          <w:lang w:val="zh-CN"/>
        </w:rPr>
      </w:pPr>
      <w:r>
        <w:rPr>
          <w:rFonts w:hint="eastAsia" w:ascii="黑体" w:hAnsi="宋体" w:eastAsia="黑体"/>
          <w:color w:val="auto"/>
          <w:sz w:val="32"/>
          <w:szCs w:val="32"/>
          <w:lang w:val="zh-CN"/>
        </w:rPr>
        <w:t>六、相关措施建议</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提高法律治区思想意识，营造浓厚工作氛围，创新法律宣传方式方法，进一步提高群众法律意识。</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年人大主席团及代表活动经费项目支出绩效评价报告</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确保人大代表会议的顺利召开，</w:t>
      </w:r>
      <w:r>
        <w:rPr>
          <w:rFonts w:hint="eastAsia" w:ascii="仿宋_GB2312" w:hAnsi="仿宋_GB2312" w:eastAsia="仿宋_GB2312" w:cs="仿宋_GB2312"/>
          <w:sz w:val="32"/>
          <w:szCs w:val="32"/>
        </w:rPr>
        <w:t>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保证农村代表误工生活补助。</w:t>
      </w:r>
    </w:p>
    <w:p>
      <w:pPr>
        <w:spacing w:line="580" w:lineRule="exact"/>
        <w:ind w:firstLine="640" w:firstLineChars="200"/>
        <w:rPr>
          <w:rFonts w:hint="eastAsia" w:ascii="仿宋" w:hAnsi="仿宋" w:eastAsia="仿宋_GB2312" w:cs="仿宋_GB2312"/>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ascii="仿宋" w:hAnsi="仿宋" w:eastAsia="仿宋" w:cs="仿宋_GB2312"/>
          <w:sz w:val="32"/>
          <w:szCs w:val="32"/>
        </w:rPr>
        <w:t>乡镇人大作为最基层的国家权力机关，是人大工作的重要组成部分</w:t>
      </w:r>
      <w:r>
        <w:rPr>
          <w:rFonts w:hint="eastAsia" w:ascii="仿宋" w:hAnsi="仿宋" w:eastAsia="仿宋" w:cs="仿宋_GB2312"/>
          <w:sz w:val="32"/>
          <w:szCs w:val="32"/>
          <w:lang w:eastAsia="zh-CN"/>
        </w:rPr>
        <w:t>，</w:t>
      </w:r>
      <w:r>
        <w:rPr>
          <w:rFonts w:ascii="仿宋" w:hAnsi="仿宋" w:eastAsia="仿宋" w:cs="仿宋_GB2312"/>
          <w:sz w:val="32"/>
          <w:szCs w:val="32"/>
        </w:rPr>
        <w:t>乡镇人大</w:t>
      </w:r>
      <w:r>
        <w:rPr>
          <w:rFonts w:hint="eastAsia" w:ascii="仿宋" w:hAnsi="仿宋" w:eastAsia="仿宋" w:cs="仿宋_GB2312"/>
          <w:sz w:val="32"/>
          <w:szCs w:val="32"/>
          <w:lang w:eastAsia="zh-CN"/>
        </w:rPr>
        <w:t>是</w:t>
      </w:r>
      <w:r>
        <w:rPr>
          <w:rFonts w:ascii="仿宋" w:hAnsi="仿宋" w:eastAsia="仿宋" w:cs="仿宋_GB2312"/>
          <w:sz w:val="32"/>
          <w:szCs w:val="32"/>
        </w:rPr>
        <w:t>联系人大代表与人民群众的桥梁纽带</w:t>
      </w:r>
      <w:r>
        <w:rPr>
          <w:rFonts w:hint="eastAsia" w:ascii="仿宋" w:hAnsi="仿宋" w:eastAsia="仿宋" w:cs="仿宋_GB2312"/>
          <w:sz w:val="32"/>
          <w:szCs w:val="32"/>
          <w:lang w:eastAsia="zh-CN"/>
        </w:rPr>
        <w:t>。改项目能</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人代会会议费支出</w:t>
      </w:r>
      <w:r>
        <w:rPr>
          <w:rFonts w:hint="eastAsia" w:ascii="仿宋" w:hAnsi="仿宋" w:eastAsia="仿宋" w:cs="仿宋_GB2312"/>
          <w:sz w:val="32"/>
          <w:szCs w:val="32"/>
          <w:lang w:val="en-US" w:eastAsia="zh-CN"/>
        </w:rPr>
        <w:t>2.06万。</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人大代表会议的顺利召开，</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r>
        <w:rPr>
          <w:rFonts w:hint="eastAsia" w:ascii="仿宋" w:hAnsi="仿宋" w:eastAsia="仿宋" w:cs="仿宋_GB2312"/>
          <w:sz w:val="32"/>
          <w:szCs w:val="32"/>
          <w:lang w:eastAsia="zh-CN"/>
        </w:rPr>
        <w:t>保障农村代表的误工生活补助。</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1．项目主要内容。</w:t>
      </w:r>
      <w:r>
        <w:rPr>
          <w:rFonts w:hint="eastAsia" w:ascii="仿宋_GB2312" w:hAnsi="仿宋_GB2312" w:eastAsia="仿宋_GB2312" w:cs="仿宋_GB2312"/>
          <w:sz w:val="32"/>
          <w:szCs w:val="32"/>
        </w:rPr>
        <w:t>保障人代会及代表工作正常开展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代表权益履行</w:t>
      </w:r>
      <w:r>
        <w:rPr>
          <w:rFonts w:hint="eastAsia" w:ascii="仿宋_GB2312" w:hAnsi="仿宋_GB2312" w:cs="仿宋_GB2312"/>
          <w:sz w:val="32"/>
          <w:szCs w:val="32"/>
          <w:lang w:eastAsia="zh-CN"/>
        </w:rPr>
        <w:t>。</w:t>
      </w:r>
    </w:p>
    <w:p>
      <w:pPr>
        <w:spacing w:line="580" w:lineRule="exact"/>
        <w:ind w:firstLine="640" w:firstLineChars="200"/>
        <w:rPr>
          <w:rFonts w:hint="eastAsia" w:ascii="仿宋" w:hAnsi="仿宋" w:eastAsia="仿宋" w:cs="仿宋_GB2312"/>
          <w:color w:val="auto"/>
          <w:sz w:val="32"/>
          <w:szCs w:val="32"/>
          <w:lang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该项目绩效完成情况较好，保障了人代会的及时召开，民意及时得到收集。</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580" w:lineRule="exact"/>
        <w:ind w:firstLine="640" w:firstLineChars="200"/>
        <w:rPr>
          <w:rFonts w:ascii="仿宋_GB2312" w:hAnsi="宋体" w:eastAsia="仿宋_GB2312"/>
          <w:color w:val="auto"/>
          <w:sz w:val="32"/>
          <w:szCs w:val="32"/>
          <w:lang w:val="zh-CN"/>
        </w:rPr>
      </w:pPr>
      <w:r>
        <w:rPr>
          <w:rFonts w:hint="eastAsia" w:ascii="仿宋" w:hAnsi="仿宋" w:eastAsia="仿宋" w:cs="仿宋_GB2312"/>
          <w:color w:val="auto"/>
          <w:sz w:val="32"/>
          <w:szCs w:val="32"/>
          <w:lang w:eastAsia="zh-CN"/>
        </w:rPr>
        <w:t>资料翻阅，</w:t>
      </w:r>
      <w:r>
        <w:rPr>
          <w:rFonts w:hint="eastAsia" w:ascii="仿宋" w:hAnsi="仿宋" w:eastAsia="仿宋" w:cs="仿宋_GB2312"/>
          <w:sz w:val="32"/>
          <w:szCs w:val="32"/>
          <w:lang w:eastAsia="zh-CN"/>
        </w:rPr>
        <w:t>人代会的及时召开，民意及时得到收集。</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1．资金计划。该项目由区财政统一年初预算</w:t>
      </w:r>
      <w:r>
        <w:rPr>
          <w:rFonts w:hint="eastAsia" w:ascii="仿宋_GB2312" w:hAnsi="宋体" w:eastAsia="仿宋_GB2312"/>
          <w:color w:val="auto"/>
          <w:sz w:val="32"/>
          <w:szCs w:val="32"/>
          <w:lang w:val="en-US" w:eastAsia="zh-CN"/>
        </w:rPr>
        <w:t xml:space="preserve">2.06万元。  </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2．资金到位情况：该项目财政预算</w:t>
      </w:r>
      <w:r>
        <w:rPr>
          <w:rFonts w:hint="eastAsia" w:ascii="仿宋_GB2312" w:hAnsi="宋体" w:eastAsia="仿宋_GB2312"/>
          <w:color w:val="auto"/>
          <w:sz w:val="32"/>
          <w:szCs w:val="32"/>
          <w:lang w:val="en-US" w:eastAsia="zh-CN"/>
        </w:rPr>
        <w:t>2.06万元全部到位。</w:t>
      </w:r>
    </w:p>
    <w:p>
      <w:pPr>
        <w:adjustRightInd w:val="0"/>
        <w:snapToGrid w:val="0"/>
        <w:spacing w:line="600" w:lineRule="exact"/>
        <w:ind w:firstLine="720"/>
        <w:rPr>
          <w:rFonts w:hint="eastAsia" w:ascii="仿宋_GB2312" w:hAnsi="宋体" w:eastAsia="仿宋_GB2312"/>
          <w:color w:val="auto"/>
          <w:sz w:val="32"/>
          <w:szCs w:val="32"/>
          <w:lang w:val="zh-CN" w:eastAsia="zh-CN"/>
        </w:rPr>
      </w:pPr>
      <w:r>
        <w:rPr>
          <w:rFonts w:hint="eastAsia" w:ascii="仿宋_GB2312" w:hAnsi="宋体" w:eastAsia="仿宋_GB2312"/>
          <w:color w:val="auto"/>
          <w:sz w:val="32"/>
          <w:szCs w:val="32"/>
          <w:lang w:val="zh-CN" w:eastAsia="zh-CN"/>
        </w:rPr>
        <w:t>3．资金使用：镇人代会召开及日常的人大主席团日常运行。</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四、项目绩效情况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_GB2312"/>
          <w:sz w:val="32"/>
          <w:szCs w:val="32"/>
          <w:lang w:eastAsia="zh-CN"/>
        </w:rPr>
        <w:t>人大代表会议的顺利召开，</w:t>
      </w:r>
      <w:r>
        <w:rPr>
          <w:rFonts w:hint="eastAsia" w:ascii="仿宋_GB2312" w:hAnsi="仿宋_GB2312" w:eastAsia="仿宋_GB2312" w:cs="仿宋_GB2312"/>
          <w:sz w:val="32"/>
          <w:szCs w:val="32"/>
        </w:rPr>
        <w:t>保障了人代会及代表工作正常开展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代表权益</w:t>
      </w:r>
      <w:r>
        <w:rPr>
          <w:rFonts w:hint="eastAsia" w:ascii="仿宋_GB2312" w:hAnsi="仿宋_GB2312" w:eastAsia="仿宋_GB2312" w:cs="仿宋_GB2312"/>
          <w:sz w:val="32"/>
          <w:szCs w:val="32"/>
          <w:lang w:eastAsia="zh-CN"/>
        </w:rPr>
        <w:t>履行。</w:t>
      </w:r>
    </w:p>
    <w:p>
      <w:p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adjustRightInd w:val="0"/>
        <w:snapToGrid w:val="0"/>
        <w:spacing w:line="600" w:lineRule="exact"/>
        <w:ind w:firstLine="720"/>
        <w:rPr>
          <w:rFonts w:hint="eastAsia" w:ascii="仿宋" w:hAnsi="仿宋" w:eastAsia="仿宋" w:cs="仿宋_GB2312"/>
          <w:color w:val="auto"/>
          <w:sz w:val="32"/>
          <w:szCs w:val="32"/>
          <w:lang w:val="zh-CN" w:eastAsia="zh-CN"/>
        </w:rPr>
      </w:pPr>
      <w:r>
        <w:rPr>
          <w:rFonts w:hint="eastAsia" w:ascii="仿宋_GB2312" w:hAnsi="宋体" w:eastAsia="仿宋_GB2312"/>
          <w:color w:val="auto"/>
          <w:sz w:val="32"/>
          <w:szCs w:val="32"/>
          <w:lang w:val="zh-CN"/>
        </w:rPr>
        <w:t>项目社会效益：</w:t>
      </w:r>
      <w:r>
        <w:rPr>
          <w:rFonts w:hint="eastAsia" w:ascii="仿宋" w:hAnsi="仿宋" w:eastAsia="仿宋" w:cs="仿宋_GB2312"/>
          <w:sz w:val="32"/>
          <w:szCs w:val="32"/>
          <w:lang w:eastAsia="zh-CN"/>
        </w:rPr>
        <w:t>进一步提高群众知晓度，广泛收集群众述求</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zh-CN" w:eastAsia="zh-CN"/>
        </w:rPr>
        <w:t>社会效益：</w:t>
      </w:r>
      <w:r>
        <w:rPr>
          <w:rFonts w:hint="eastAsia" w:ascii="仿宋" w:hAnsi="仿宋" w:eastAsia="仿宋" w:cs="仿宋_GB2312"/>
          <w:sz w:val="32"/>
          <w:szCs w:val="32"/>
          <w:lang w:eastAsia="zh-CN"/>
        </w:rPr>
        <w:t>保证代表履行权益</w:t>
      </w:r>
      <w:r>
        <w:rPr>
          <w:rFonts w:hint="eastAsia" w:ascii="仿宋" w:hAnsi="仿宋" w:eastAsia="仿宋" w:cs="仿宋_GB2312"/>
          <w:color w:val="auto"/>
          <w:sz w:val="32"/>
          <w:szCs w:val="32"/>
          <w:lang w:eastAsia="zh-CN"/>
        </w:rPr>
        <w:t>；确保群众满意度</w:t>
      </w:r>
      <w:r>
        <w:rPr>
          <w:rFonts w:hint="eastAsia" w:ascii="仿宋" w:hAnsi="仿宋" w:eastAsia="仿宋" w:cs="仿宋_GB2312"/>
          <w:color w:val="auto"/>
          <w:sz w:val="32"/>
          <w:szCs w:val="32"/>
          <w:lang w:val="en-US" w:eastAsia="zh-CN"/>
        </w:rPr>
        <w:t>100%。</w:t>
      </w:r>
    </w:p>
    <w:p>
      <w:pPr>
        <w:adjustRightInd w:val="0"/>
        <w:snapToGrid w:val="0"/>
        <w:spacing w:line="600" w:lineRule="exact"/>
        <w:ind w:firstLine="720"/>
        <w:rPr>
          <w:rFonts w:ascii="仿宋" w:hAnsi="仿宋" w:eastAsia="仿宋" w:cs="仿宋_GB2312"/>
          <w:color w:val="auto"/>
          <w:sz w:val="32"/>
          <w:szCs w:val="32"/>
        </w:rPr>
      </w:pPr>
      <w:r>
        <w:rPr>
          <w:rFonts w:hint="eastAsia" w:ascii="黑体" w:hAnsi="宋体" w:eastAsia="黑体"/>
          <w:color w:val="auto"/>
          <w:sz w:val="32"/>
          <w:szCs w:val="32"/>
          <w:lang w:val="zh-CN"/>
        </w:rPr>
        <w:t>五、存在主要问题：</w:t>
      </w:r>
      <w:r>
        <w:rPr>
          <w:rFonts w:hint="eastAsia" w:ascii="仿宋_GB2312" w:hAnsi="仿宋_GB2312" w:eastAsia="仿宋_GB2312" w:cs="仿宋_GB2312"/>
          <w:sz w:val="32"/>
          <w:szCs w:val="32"/>
          <w:lang w:eastAsia="zh-CN"/>
        </w:rPr>
        <w:t>群众依然对镇人大工作知晓度低。</w:t>
      </w:r>
    </w:p>
    <w:p>
      <w:pPr>
        <w:adjustRightInd w:val="0"/>
        <w:snapToGrid w:val="0"/>
        <w:spacing w:line="600" w:lineRule="exact"/>
        <w:ind w:firstLine="720"/>
        <w:rPr>
          <w:rFonts w:ascii="仿宋" w:hAnsi="仿宋" w:eastAsia="仿宋" w:cs="仿宋_GB2312"/>
          <w:sz w:val="32"/>
          <w:szCs w:val="32"/>
        </w:rPr>
      </w:pPr>
      <w:r>
        <w:rPr>
          <w:rFonts w:hint="eastAsia" w:ascii="黑体" w:hAnsi="宋体" w:eastAsia="黑体"/>
          <w:color w:val="auto"/>
          <w:sz w:val="32"/>
          <w:szCs w:val="32"/>
          <w:lang w:val="zh-CN"/>
        </w:rPr>
        <w:t>六、相关措施建议：</w:t>
      </w:r>
      <w:r>
        <w:rPr>
          <w:rFonts w:hint="eastAsia" w:ascii="仿宋_GB2312" w:hAnsi="仿宋_GB2312" w:eastAsia="仿宋_GB2312" w:cs="仿宋_GB2312"/>
          <w:sz w:val="32"/>
          <w:szCs w:val="32"/>
          <w:lang w:eastAsia="zh-CN"/>
        </w:rPr>
        <w:t>提高对代表会议的召开的宣传力度。保证民生述求能够及时收集到位。</w:t>
      </w:r>
    </w:p>
    <w:p>
      <w:pPr>
        <w:spacing w:line="580" w:lineRule="exact"/>
        <w:jc w:val="both"/>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年农村义务兵优待金经费项目支出绩效评价报告</w:t>
      </w:r>
    </w:p>
    <w:p>
      <w:pPr>
        <w:spacing w:line="580" w:lineRule="exact"/>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确保辖区内符合条件的</w:t>
      </w:r>
      <w:r>
        <w:rPr>
          <w:rFonts w:hint="eastAsia" w:ascii="仿宋_GB2312" w:hAnsi="仿宋_GB2312" w:eastAsia="仿宋_GB2312" w:cs="仿宋_GB2312"/>
          <w:sz w:val="32"/>
          <w:szCs w:val="32"/>
        </w:rPr>
        <w:t>农村义</w:t>
      </w:r>
      <w:r>
        <w:rPr>
          <w:rFonts w:hint="eastAsia" w:ascii="仿宋" w:hAnsi="仿宋" w:eastAsia="仿宋" w:cs="仿宋_GB2312"/>
          <w:sz w:val="32"/>
          <w:szCs w:val="32"/>
        </w:rPr>
        <w:t>务兵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ascii="仿宋" w:hAnsi="仿宋" w:eastAsia="仿宋" w:cs="仿宋_GB2312"/>
          <w:sz w:val="32"/>
          <w:szCs w:val="32"/>
        </w:rPr>
        <w:t>据有关政策规定，退伍军人按照服役年数，给予每月相应的生活补助</w:t>
      </w:r>
      <w:r>
        <w:rPr>
          <w:rFonts w:hint="eastAsia" w:ascii="仿宋" w:hAnsi="仿宋" w:eastAsia="仿宋"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33.02</w:t>
      </w:r>
      <w:r>
        <w:rPr>
          <w:rFonts w:hint="eastAsia" w:ascii="仿宋_GB2312" w:hAnsi="仿宋_GB2312" w:eastAsia="仿宋_GB2312" w:cs="仿宋_GB2312"/>
          <w:sz w:val="32"/>
          <w:szCs w:val="32"/>
        </w:rPr>
        <w:t>万元</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:有我镇服役人员数情况而定。</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hint="eastAsia" w:ascii="仿宋_GB2312" w:hAnsi="仿宋_GB2312" w:cs="仿宋_GB2312"/>
          <w:sz w:val="32"/>
          <w:szCs w:val="32"/>
          <w:lang w:eastAsia="zh-CN"/>
        </w:rPr>
      </w:pPr>
      <w:r>
        <w:rPr>
          <w:rFonts w:hint="eastAsia" w:ascii="仿宋_GB2312" w:hAnsi="宋体" w:eastAsia="仿宋_GB2312"/>
          <w:color w:val="auto"/>
          <w:sz w:val="32"/>
          <w:szCs w:val="32"/>
          <w:lang w:val="zh-CN"/>
        </w:rPr>
        <w:t>1．项目主要内容。</w:t>
      </w:r>
      <w:r>
        <w:rPr>
          <w:rFonts w:hint="eastAsia" w:ascii="仿宋" w:hAnsi="仿宋" w:eastAsia="仿宋" w:cs="仿宋_GB2312"/>
          <w:sz w:val="32"/>
          <w:szCs w:val="32"/>
          <w:lang w:eastAsia="zh-CN"/>
        </w:rPr>
        <w:t>确保辖区内符合条件的</w:t>
      </w:r>
      <w:r>
        <w:rPr>
          <w:rFonts w:hint="eastAsia" w:ascii="仿宋_GB2312" w:hAnsi="仿宋_GB2312" w:eastAsia="仿宋_GB2312" w:cs="仿宋_GB2312"/>
          <w:sz w:val="32"/>
          <w:szCs w:val="32"/>
        </w:rPr>
        <w:t>农村义务兵</w:t>
      </w:r>
      <w:r>
        <w:rPr>
          <w:rFonts w:hint="eastAsia" w:ascii="仿宋" w:hAnsi="仿宋" w:eastAsia="仿宋" w:cs="仿宋_GB2312"/>
          <w:sz w:val="32"/>
          <w:szCs w:val="32"/>
          <w:lang w:eastAsia="zh-CN"/>
        </w:rPr>
        <w:t>生活补助按时，按标准发放，提高农村义务兵家庭生活质量，保证服役人员安心保家卫国。</w:t>
      </w:r>
    </w:p>
    <w:p>
      <w:pPr>
        <w:spacing w:line="580" w:lineRule="exact"/>
        <w:ind w:firstLine="640" w:firstLineChars="200"/>
        <w:rPr>
          <w:rFonts w:hint="default" w:ascii="仿宋" w:hAnsi="仿宋" w:eastAsia="仿宋" w:cs="仿宋_GB2312"/>
          <w:color w:val="auto"/>
          <w:sz w:val="32"/>
          <w:szCs w:val="32"/>
          <w:lang w:val="en-US"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提高农村义务兵家庭生活质量，保证服役人员安心保家卫国，并保障群众满意度。全部补助的到位。</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支付凭证资料查阅，电话抽查是否真实发放到位。</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说明项目资金申报由年初预算统一向区财政申报，由区政府统一上报上人代会进行批复。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1．资金计划。该项目由区财政统一年初预算</w:t>
      </w:r>
      <w:r>
        <w:rPr>
          <w:rFonts w:hint="eastAsia" w:ascii="仿宋_GB2312" w:hAnsi="宋体" w:eastAsia="仿宋_GB2312"/>
          <w:color w:val="auto"/>
          <w:sz w:val="32"/>
          <w:szCs w:val="32"/>
          <w:lang w:val="en-US" w:eastAsia="zh-CN"/>
        </w:rPr>
        <w:t xml:space="preserve">33.02万元。  </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2．资金到位情况：该项目财政预算</w:t>
      </w:r>
      <w:r>
        <w:rPr>
          <w:rFonts w:hint="eastAsia" w:ascii="仿宋_GB2312" w:hAnsi="宋体" w:eastAsia="仿宋_GB2312"/>
          <w:color w:val="auto"/>
          <w:sz w:val="32"/>
          <w:szCs w:val="32"/>
          <w:lang w:val="en-US" w:eastAsia="zh-CN"/>
        </w:rPr>
        <w:t>33.02万元全部到位。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eastAsia="zh-CN"/>
        </w:rPr>
        <w:t>3．资金使用：</w:t>
      </w:r>
      <w:r>
        <w:rPr>
          <w:rFonts w:hint="eastAsia" w:ascii="仿宋" w:hAnsi="仿宋" w:eastAsia="仿宋" w:cs="仿宋_GB2312"/>
          <w:sz w:val="32"/>
          <w:szCs w:val="32"/>
          <w:lang w:eastAsia="zh-CN"/>
        </w:rPr>
        <w:t>辖区内符合条件的</w:t>
      </w:r>
      <w:r>
        <w:rPr>
          <w:rFonts w:hint="eastAsia" w:ascii="仿宋_GB2312" w:hAnsi="仿宋_GB2312" w:eastAsia="仿宋_GB2312" w:cs="仿宋_GB2312"/>
          <w:sz w:val="32"/>
          <w:szCs w:val="32"/>
        </w:rPr>
        <w:t>农村义</w:t>
      </w:r>
      <w:r>
        <w:rPr>
          <w:rFonts w:hint="eastAsia" w:ascii="仿宋" w:hAnsi="仿宋" w:eastAsia="仿宋" w:cs="仿宋_GB2312"/>
          <w:sz w:val="32"/>
          <w:szCs w:val="32"/>
        </w:rPr>
        <w:t>务兵</w:t>
      </w:r>
      <w:r>
        <w:rPr>
          <w:rFonts w:hint="eastAsia" w:ascii="仿宋" w:hAnsi="仿宋" w:eastAsia="仿宋" w:cs="仿宋_GB2312"/>
          <w:sz w:val="32"/>
          <w:szCs w:val="32"/>
          <w:lang w:eastAsia="zh-CN"/>
        </w:rPr>
        <w:t>生活补助</w:t>
      </w:r>
      <w:r>
        <w:rPr>
          <w:rFonts w:hint="eastAsia" w:ascii="仿宋" w:hAnsi="仿宋" w:eastAsia="仿宋" w:cs="仿宋_GB2312"/>
          <w:sz w:val="32"/>
          <w:szCs w:val="32"/>
          <w:lang w:val="en-US" w:eastAsia="zh-CN"/>
        </w:rPr>
        <w:t xml:space="preserve"> 。 </w:t>
      </w: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_GB2312"/>
          <w:sz w:val="32"/>
          <w:szCs w:val="32"/>
          <w:lang w:eastAsia="zh-CN"/>
        </w:rPr>
        <w:t>辖区内符合条件的</w:t>
      </w:r>
      <w:r>
        <w:rPr>
          <w:rFonts w:hint="eastAsia" w:ascii="仿宋_GB2312" w:hAnsi="仿宋_GB2312" w:eastAsia="仿宋_GB2312" w:cs="仿宋_GB2312"/>
          <w:sz w:val="32"/>
          <w:szCs w:val="32"/>
        </w:rPr>
        <w:t>农村义务兵</w:t>
      </w:r>
      <w:r>
        <w:rPr>
          <w:rFonts w:hint="eastAsia" w:ascii="仿宋" w:hAnsi="仿宋" w:eastAsia="仿宋" w:cs="仿宋_GB2312"/>
          <w:sz w:val="32"/>
          <w:szCs w:val="32"/>
          <w:lang w:eastAsia="zh-CN"/>
        </w:rPr>
        <w:t>生活补助按时按标准发放到位，提高农村义务兵家庭生活质量，保证服役人员安心保家卫国。</w:t>
      </w:r>
    </w:p>
    <w:p>
      <w:p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adjustRightInd w:val="0"/>
        <w:snapToGrid w:val="0"/>
        <w:spacing w:line="600" w:lineRule="exact"/>
        <w:ind w:firstLine="720"/>
        <w:rPr>
          <w:rFonts w:hint="eastAsia" w:ascii="仿宋" w:hAnsi="仿宋" w:eastAsia="仿宋" w:cs="仿宋_GB2312"/>
          <w:color w:val="auto"/>
          <w:sz w:val="32"/>
          <w:szCs w:val="32"/>
          <w:lang w:val="zh-CN" w:eastAsia="zh-CN"/>
        </w:rPr>
      </w:pPr>
      <w:r>
        <w:rPr>
          <w:rFonts w:hint="eastAsia" w:ascii="仿宋" w:hAnsi="仿宋" w:eastAsia="仿宋" w:cs="仿宋_GB2312"/>
          <w:sz w:val="32"/>
          <w:szCs w:val="32"/>
          <w:lang w:eastAsia="zh-CN"/>
        </w:rPr>
        <w:t>时效指标：及时有效解决辖区内义务兵生活补助；经济效益：保证农村义务兵生活补助；</w:t>
      </w:r>
      <w:r>
        <w:rPr>
          <w:rFonts w:hint="eastAsia" w:ascii="仿宋" w:hAnsi="仿宋" w:eastAsia="仿宋" w:cs="仿宋_GB2312"/>
          <w:sz w:val="32"/>
          <w:szCs w:val="32"/>
          <w:lang w:val="zh-CN" w:eastAsia="zh-CN"/>
        </w:rPr>
        <w:t>社会效益：</w:t>
      </w:r>
      <w:r>
        <w:rPr>
          <w:rFonts w:hint="eastAsia" w:ascii="仿宋" w:hAnsi="仿宋" w:eastAsia="仿宋" w:cs="仿宋_GB2312"/>
          <w:sz w:val="32"/>
          <w:szCs w:val="32"/>
          <w:lang w:eastAsia="zh-CN"/>
        </w:rPr>
        <w:t>推动辖区内稳定和谐；确保群众满意度</w:t>
      </w:r>
      <w:r>
        <w:rPr>
          <w:rFonts w:hint="eastAsia" w:ascii="仿宋" w:hAnsi="仿宋" w:eastAsia="仿宋" w:cs="仿宋_GB2312"/>
          <w:sz w:val="32"/>
          <w:szCs w:val="32"/>
          <w:lang w:val="en-US" w:eastAsia="zh-CN"/>
        </w:rPr>
        <w:t>100%。</w:t>
      </w:r>
    </w:p>
    <w:p>
      <w:pPr>
        <w:numPr>
          <w:ilvl w:val="0"/>
          <w:numId w:val="0"/>
        </w:numPr>
        <w:shd w:val="clear" w:fill="FFFFFF" w:themeFill="background1"/>
        <w:spacing w:line="580" w:lineRule="exact"/>
        <w:ind w:firstLine="640" w:firstLineChars="200"/>
        <w:rPr>
          <w:rFonts w:ascii="仿宋" w:hAnsi="仿宋" w:eastAsia="仿宋" w:cs="仿宋_GB2312"/>
          <w:color w:val="auto"/>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_GB2312" w:cs="仿宋_GB2312"/>
          <w:sz w:val="32"/>
          <w:szCs w:val="32"/>
          <w:shd w:val="clear" w:fill="FFFFFF" w:themeFill="background1"/>
          <w:lang w:eastAsia="zh-CN"/>
        </w:rPr>
        <w:t>每年对新增退伍军人收集数据有一定困难。</w:t>
      </w:r>
    </w:p>
    <w:p>
      <w:pPr>
        <w:numPr>
          <w:ilvl w:val="0"/>
          <w:numId w:val="0"/>
        </w:numPr>
        <w:spacing w:line="580" w:lineRule="exact"/>
        <w:ind w:firstLine="640" w:firstLineChars="200"/>
        <w:rPr>
          <w:rStyle w:val="24"/>
          <w:rFonts w:hint="eastAsia" w:ascii="仿宋" w:hAnsi="仿宋" w:eastAsia="仿宋"/>
          <w:b w:val="0"/>
          <w:bCs w:val="0"/>
          <w:sz w:val="32"/>
          <w:szCs w:val="32"/>
        </w:rPr>
      </w:pPr>
      <w:r>
        <w:rPr>
          <w:rFonts w:hint="eastAsia" w:ascii="黑体" w:hAnsi="宋体" w:eastAsia="黑体"/>
          <w:color w:val="auto"/>
          <w:sz w:val="32"/>
          <w:szCs w:val="32"/>
          <w:lang w:val="zh-CN"/>
        </w:rPr>
        <w:t>五、相关措施建议：</w:t>
      </w:r>
      <w:r>
        <w:rPr>
          <w:rFonts w:hint="eastAsia" w:ascii="仿宋_GB2312" w:hAnsi="仿宋_GB2312" w:eastAsia="仿宋_GB2312" w:cs="仿宋_GB2312"/>
          <w:sz w:val="32"/>
          <w:szCs w:val="32"/>
          <w:shd w:val="clear" w:fill="FFFFFF" w:themeFill="background1"/>
          <w:lang w:eastAsia="zh-CN"/>
        </w:rPr>
        <w:t>提前就辖区内将新增退伍军人人数做好摸底，及时收集数据，保障资金支付的时效性。</w:t>
      </w:r>
    </w:p>
    <w:p>
      <w:pPr>
        <w:adjustRightInd w:val="0"/>
        <w:snapToGrid w:val="0"/>
        <w:spacing w:line="600" w:lineRule="exact"/>
        <w:ind w:firstLine="720"/>
        <w:rPr>
          <w:rFonts w:ascii="仿宋" w:hAnsi="仿宋" w:eastAsia="仿宋" w:cs="仿宋_GB2312"/>
          <w:sz w:val="32"/>
          <w:szCs w:val="32"/>
        </w:rPr>
      </w:pPr>
    </w:p>
    <w:p>
      <w:pPr>
        <w:pStyle w:val="3"/>
        <w:rPr>
          <w:rStyle w:val="24"/>
          <w:rFonts w:hint="eastAsia" w:ascii="仿宋" w:hAnsi="仿宋" w:eastAsia="仿宋"/>
          <w:b w:val="0"/>
          <w:bCs w:val="0"/>
          <w:sz w:val="32"/>
          <w:szCs w:val="32"/>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年森林防火专项经费项目支出绩效评价报告</w:t>
      </w:r>
    </w:p>
    <w:p>
      <w:pPr>
        <w:spacing w:line="580" w:lineRule="exact"/>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森林是地球上最大的陆地生态系统，是全球生物圈中重要的一环。森林火灾是一种突发性强、破坏性大、处置救助较为困难的自然灾害。由于其来势迅猛、毁灭性强等，给国家和人民造成严重的损失，不仅包括财产和资源损失，还会引起人身伤亡事故的发生。所以森林防火工作的实施相当重要。</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pPr>
        <w:spacing w:line="58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:主要用于</w:t>
      </w:r>
      <w:r>
        <w:rPr>
          <w:rFonts w:hint="eastAsia" w:ascii="仿宋" w:hAnsi="仿宋" w:eastAsia="仿宋" w:cs="仿宋_GB2312"/>
          <w:sz w:val="32"/>
          <w:szCs w:val="32"/>
          <w:lang w:eastAsia="zh-CN"/>
        </w:rPr>
        <w:t>防火宣传标示标牌的制作和安装，防火物资的采购储备。</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1．项目主要内容。</w:t>
      </w:r>
      <w:r>
        <w:rPr>
          <w:rFonts w:hint="eastAsia" w:ascii="仿宋" w:hAnsi="仿宋" w:eastAsia="仿宋" w:cs="仿宋_GB2312"/>
          <w:sz w:val="32"/>
          <w:szCs w:val="32"/>
          <w:lang w:eastAsia="zh-CN"/>
        </w:rPr>
        <w:t>防范森林火灾，保护珍稀植物，增强群众防火意识。</w:t>
      </w:r>
    </w:p>
    <w:p>
      <w:pPr>
        <w:spacing w:line="580" w:lineRule="exact"/>
        <w:ind w:firstLine="640" w:firstLineChars="200"/>
        <w:rPr>
          <w:rFonts w:hint="default" w:ascii="仿宋" w:hAnsi="仿宋" w:eastAsia="仿宋" w:cs="仿宋_GB2312"/>
          <w:color w:val="auto"/>
          <w:sz w:val="32"/>
          <w:szCs w:val="32"/>
          <w:lang w:val="en-US"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有效防范辖区森林火灾的发生，保护珍稀植物，保障森林防火宣传，提高群众森林防火意识，绿化面积逐年提升</w:t>
      </w:r>
      <w:r>
        <w:rPr>
          <w:rFonts w:hint="eastAsia" w:ascii="仿宋_GB2312" w:hAnsi="仿宋_GB2312" w:cs="仿宋_GB2312"/>
          <w:sz w:val="32"/>
          <w:szCs w:val="32"/>
          <w:lang w:eastAsia="zh-CN"/>
        </w:rPr>
        <w:t>。</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支付凭证资料查阅，相关资料翻阅，森林火灾发生控制率。</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说明项目资金申报由年初预算统一向区财政申报，由区政府统一上报区人代会进行批复。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1．资金计划。该项目由区财政统一年初预算</w:t>
      </w:r>
      <w:r>
        <w:rPr>
          <w:rFonts w:hint="eastAsia" w:ascii="仿宋_GB2312" w:hAnsi="宋体" w:eastAsia="仿宋_GB2312"/>
          <w:color w:val="auto"/>
          <w:sz w:val="32"/>
          <w:szCs w:val="32"/>
          <w:lang w:val="en-US" w:eastAsia="zh-CN"/>
        </w:rPr>
        <w:t xml:space="preserve">2万元。  </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val="zh-CN" w:eastAsia="zh-CN"/>
        </w:rPr>
        <w:t>2．资金到位情况：该项目财政预算</w:t>
      </w:r>
      <w:r>
        <w:rPr>
          <w:rFonts w:hint="eastAsia" w:ascii="仿宋_GB2312" w:hAnsi="宋体" w:eastAsia="仿宋_GB2312"/>
          <w:color w:val="auto"/>
          <w:sz w:val="32"/>
          <w:szCs w:val="32"/>
          <w:lang w:val="en-US" w:eastAsia="zh-CN"/>
        </w:rPr>
        <w:t>2万元全部到位。</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宋体" w:eastAsia="仿宋_GB2312"/>
          <w:color w:val="auto"/>
          <w:sz w:val="32"/>
          <w:szCs w:val="32"/>
          <w:lang w:val="zh-CN" w:eastAsia="zh-CN"/>
        </w:rPr>
        <w:t>3．资金使用：</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bookmarkStart w:id="73" w:name="_GoBack"/>
      <w:bookmarkEnd w:id="73"/>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spacing w:line="580" w:lineRule="exact"/>
        <w:ind w:firstLine="640" w:firstLineChars="200"/>
        <w:rPr>
          <w:rFonts w:hint="eastAsia" w:ascii="仿宋_GB2312" w:hAnsi="仿宋_GB2312" w:cs="仿宋_GB2312"/>
          <w:sz w:val="32"/>
          <w:szCs w:val="32"/>
          <w:lang w:eastAsia="zh-CN"/>
        </w:rPr>
      </w:pPr>
      <w:r>
        <w:rPr>
          <w:rFonts w:hint="eastAsia" w:ascii="仿宋" w:hAnsi="仿宋" w:eastAsia="仿宋" w:cs="仿宋_GB2312"/>
          <w:sz w:val="32"/>
          <w:szCs w:val="32"/>
          <w:lang w:eastAsia="zh-CN"/>
        </w:rPr>
        <w:t>该项目实施较好，</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600" w:lineRule="exact"/>
        <w:ind w:firstLine="643" w:firstLineChars="20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（二）项目效益情况。</w:t>
      </w:r>
    </w:p>
    <w:p>
      <w:pPr>
        <w:spacing w:line="580" w:lineRule="exact"/>
        <w:ind w:firstLine="640" w:firstLineChars="200"/>
        <w:rPr>
          <w:rFonts w:hint="eastAsia" w:ascii="仿宋" w:hAnsi="仿宋" w:eastAsia="仿宋" w:cs="仿宋_GB2312"/>
          <w:sz w:val="32"/>
          <w:szCs w:val="32"/>
          <w:lang w:val="zh-CN" w:eastAsia="zh-CN"/>
        </w:rPr>
      </w:pPr>
      <w:r>
        <w:rPr>
          <w:rFonts w:hint="eastAsia" w:ascii="仿宋" w:hAnsi="仿宋" w:eastAsia="仿宋" w:cs="仿宋_GB2312"/>
          <w:sz w:val="32"/>
          <w:szCs w:val="32"/>
          <w:lang w:eastAsia="zh-CN"/>
        </w:rPr>
        <w:t>经济效益：保护珍稀植物；</w:t>
      </w:r>
      <w:r>
        <w:rPr>
          <w:rFonts w:hint="eastAsia" w:ascii="仿宋" w:hAnsi="仿宋" w:eastAsia="仿宋" w:cs="仿宋_GB2312"/>
          <w:sz w:val="32"/>
          <w:szCs w:val="32"/>
          <w:lang w:val="zh-CN" w:eastAsia="zh-CN"/>
        </w:rPr>
        <w:t>社会效益：</w:t>
      </w:r>
      <w:r>
        <w:rPr>
          <w:rFonts w:hint="eastAsia" w:ascii="仿宋" w:hAnsi="仿宋" w:eastAsia="仿宋" w:cs="仿宋_GB2312"/>
          <w:sz w:val="32"/>
          <w:szCs w:val="32"/>
          <w:lang w:eastAsia="zh-CN"/>
        </w:rPr>
        <w:t>提高群众森林防火意识；生态效益：无森林火灾，绿化面积逐年提升益；可持续影响：无森林火灾，绿化面积逐年提升；确保群众满意度</w:t>
      </w:r>
      <w:r>
        <w:rPr>
          <w:rFonts w:hint="eastAsia" w:ascii="仿宋" w:hAnsi="仿宋" w:eastAsia="仿宋" w:cs="仿宋_GB2312"/>
          <w:sz w:val="32"/>
          <w:szCs w:val="32"/>
          <w:lang w:val="en-US" w:eastAsia="zh-CN"/>
        </w:rPr>
        <w:t>100%。</w:t>
      </w:r>
    </w:p>
    <w:p>
      <w:pPr>
        <w:numPr>
          <w:ilvl w:val="0"/>
          <w:numId w:val="0"/>
        </w:numPr>
        <w:spacing w:line="580" w:lineRule="exact"/>
        <w:ind w:firstLine="640" w:firstLineChars="200"/>
        <w:rPr>
          <w:rFonts w:ascii="仿宋" w:hAnsi="仿宋" w:eastAsia="仿宋" w:cs="仿宋_GB2312"/>
          <w:color w:val="auto"/>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_GB2312" w:cs="仿宋_GB2312"/>
          <w:sz w:val="32"/>
          <w:szCs w:val="32"/>
          <w:lang w:eastAsia="zh-CN"/>
        </w:rPr>
        <w:t>群众森林防火意识依然不足。</w:t>
      </w:r>
      <w:r>
        <w:rPr>
          <w:rFonts w:hint="eastAsia" w:ascii="仿宋_GB2312" w:hAnsi="仿宋_GB2312" w:cs="仿宋_GB2312"/>
          <w:sz w:val="32"/>
          <w:szCs w:val="32"/>
          <w:lang w:eastAsia="zh-CN"/>
        </w:rPr>
        <w:t>。</w:t>
      </w:r>
    </w:p>
    <w:p>
      <w:pPr>
        <w:numPr>
          <w:ilvl w:val="0"/>
          <w:numId w:val="0"/>
        </w:numPr>
        <w:spacing w:line="580" w:lineRule="exact"/>
        <w:ind w:firstLine="640" w:firstLineChars="200"/>
        <w:rPr>
          <w:rStyle w:val="24"/>
          <w:rFonts w:hint="eastAsia" w:ascii="仿宋" w:hAnsi="仿宋" w:eastAsia="仿宋"/>
          <w:b w:val="0"/>
          <w:bCs w:val="0"/>
          <w:sz w:val="32"/>
          <w:szCs w:val="32"/>
        </w:rPr>
      </w:pPr>
      <w:r>
        <w:rPr>
          <w:rFonts w:hint="eastAsia" w:ascii="黑体" w:hAnsi="宋体" w:eastAsia="黑体"/>
          <w:color w:val="auto"/>
          <w:sz w:val="32"/>
          <w:szCs w:val="32"/>
          <w:lang w:val="zh-CN"/>
        </w:rPr>
        <w:t>五、相关措施建议：</w:t>
      </w:r>
      <w:r>
        <w:rPr>
          <w:rFonts w:hint="eastAsia" w:ascii="仿宋_GB2312" w:hAnsi="仿宋_GB2312" w:eastAsia="仿宋_GB2312" w:cs="仿宋_GB2312"/>
          <w:sz w:val="32"/>
          <w:szCs w:val="32"/>
          <w:lang w:eastAsia="zh-CN"/>
        </w:rPr>
        <w:t>加强森林防火宣传，提高群众防火意识。</w:t>
      </w:r>
    </w:p>
    <w:p>
      <w:pPr>
        <w:widowControl w:val="0"/>
        <w:numPr>
          <w:ilvl w:val="0"/>
          <w:numId w:val="0"/>
        </w:numPr>
        <w:spacing w:line="580" w:lineRule="exact"/>
        <w:jc w:val="both"/>
        <w:rPr>
          <w:rFonts w:hint="eastAsia" w:ascii="仿宋_GB2312" w:hAnsi="仿宋_GB2312" w:eastAsia="仿宋_GB2312" w:cs="仿宋_GB2312"/>
          <w:sz w:val="32"/>
          <w:szCs w:val="32"/>
          <w:lang w:eastAsia="zh-CN"/>
        </w:rPr>
      </w:pP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r>
        <w:rPr>
          <w:rFonts w:hint="eastAsia" w:ascii="黑体" w:hAnsi="黑体" w:eastAsia="黑体" w:cs="方正小标宋简体"/>
          <w:sz w:val="44"/>
          <w:szCs w:val="44"/>
        </w:rPr>
        <w:t>年</w:t>
      </w:r>
      <w:r>
        <w:rPr>
          <w:rFonts w:hint="eastAsia" w:ascii="黑体" w:hAnsi="黑体" w:eastAsia="黑体" w:cs="方正小标宋简体"/>
          <w:sz w:val="44"/>
          <w:szCs w:val="44"/>
          <w:lang w:eastAsia="zh-CN"/>
        </w:rPr>
        <w:t>基层武装专项经费</w:t>
      </w:r>
      <w:r>
        <w:rPr>
          <w:rFonts w:hint="eastAsia" w:ascii="黑体" w:hAnsi="黑体" w:eastAsia="黑体" w:cs="方正小标宋简体"/>
          <w:sz w:val="44"/>
          <w:szCs w:val="44"/>
        </w:rPr>
        <w:t>项目支出绩效评价报告</w:t>
      </w:r>
    </w:p>
    <w:p>
      <w:pPr>
        <w:adjustRightInd w:val="0"/>
        <w:snapToGrid w:val="0"/>
        <w:spacing w:line="600" w:lineRule="exact"/>
        <w:ind w:firstLine="720"/>
        <w:rPr>
          <w:rFonts w:ascii="黑体" w:hAnsi="宋体" w:eastAsia="黑体"/>
          <w:color w:val="auto"/>
          <w:sz w:val="32"/>
          <w:szCs w:val="32"/>
          <w:lang w:val="zh-CN"/>
        </w:rPr>
      </w:pPr>
      <w:r>
        <w:rPr>
          <w:rFonts w:hint="eastAsia" w:ascii="黑体" w:hAnsi="宋体" w:eastAsia="黑体"/>
          <w:color w:val="auto"/>
          <w:sz w:val="32"/>
          <w:szCs w:val="32"/>
        </w:rPr>
        <w:t>一、</w:t>
      </w:r>
      <w:r>
        <w:rPr>
          <w:rFonts w:hint="eastAsia" w:ascii="黑体" w:hAnsi="宋体" w:eastAsia="黑体"/>
          <w:color w:val="auto"/>
          <w:sz w:val="32"/>
          <w:szCs w:val="32"/>
          <w:lang w:val="zh-CN"/>
        </w:rPr>
        <w:t>项目概况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（一）项目基本情况。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olor w:val="auto"/>
          <w:sz w:val="32"/>
          <w:szCs w:val="32"/>
          <w:lang w:val="zh-CN"/>
        </w:rPr>
        <w:t>1．项目主管部门（单位）在该项目管理中的职能</w:t>
      </w:r>
      <w:r>
        <w:rPr>
          <w:rFonts w:hint="eastAsia" w:ascii="仿宋_GB2312" w:hAnsi="宋体" w:eastAsia="仿宋_GB2312"/>
          <w:color w:val="auto"/>
          <w:sz w:val="32"/>
          <w:szCs w:val="32"/>
          <w:lang w:val="en-US" w:eastAsia="zh-CN"/>
        </w:rPr>
        <w:t>:</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，高质量完成基层民兵训练</w:t>
      </w:r>
      <w:r>
        <w:rPr>
          <w:rFonts w:hint="eastAsia" w:ascii="仿宋_GB2312" w:hAnsi="仿宋_GB2312" w:eastAsia="仿宋_GB2312" w:cs="仿宋_GB2312"/>
          <w:sz w:val="32"/>
          <w:szCs w:val="32"/>
          <w:lang w:val="en-US" w:eastAsia="zh-CN"/>
        </w:rPr>
        <w:t>.</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2．项目立项、资金申报的依据</w:t>
      </w:r>
      <w:r>
        <w:rPr>
          <w:rFonts w:hint="eastAsia" w:ascii="仿宋_GB2312" w:hAnsi="宋体" w:eastAsia="仿宋_GB2312"/>
          <w:color w:val="auto"/>
          <w:sz w:val="32"/>
          <w:szCs w:val="32"/>
          <w:lang w:val="en-US" w:eastAsia="zh-CN"/>
        </w:rPr>
        <w:t>:</w:t>
      </w:r>
      <w:r>
        <w:rPr>
          <w:rFonts w:hint="eastAsia" w:ascii="仿宋" w:hAnsi="仿宋" w:eastAsia="仿宋" w:cs="仿宋_GB2312"/>
          <w:sz w:val="32"/>
          <w:szCs w:val="32"/>
          <w:lang w:eastAsia="zh-CN"/>
        </w:rPr>
        <w:t>民兵是中国共产党领导的群众武装组织，是中华人民共和国武装力量的重要组成部分，是中国人民解放军的后备军，是巩固基层政权、维护国家安全与社会稳定的一支重要力量，是进行现代条件下人民战争的基础。保障基层武装民兵训练即保障辖区稳定与安全。</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3．</w:t>
      </w:r>
      <w:r>
        <w:rPr>
          <w:rFonts w:ascii="仿宋" w:hAnsi="仿宋" w:eastAsia="仿宋" w:cs="仿宋_GB2312"/>
          <w:color w:val="auto"/>
          <w:sz w:val="32"/>
          <w:szCs w:val="32"/>
        </w:rPr>
        <w:t>资金分配情况（资金分配管理的科学合理性）</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cs="仿宋_GB2312"/>
          <w:sz w:val="32"/>
          <w:szCs w:val="32"/>
          <w:lang w:eastAsia="zh-CN"/>
        </w:rPr>
        <w:t>，</w:t>
      </w:r>
      <w:r>
        <w:rPr>
          <w:rFonts w:hint="eastAsia" w:ascii="仿宋" w:hAnsi="仿宋" w:eastAsia="仿宋" w:cs="仿宋_GB2312"/>
          <w:sz w:val="32"/>
          <w:szCs w:val="32"/>
          <w:lang w:eastAsia="zh-CN"/>
        </w:rPr>
        <w:t>用于民兵训练生活补助及部分物资购买。</w:t>
      </w:r>
    </w:p>
    <w:p>
      <w:pPr>
        <w:spacing w:line="580" w:lineRule="exact"/>
        <w:ind w:firstLine="640" w:firstLineChars="200"/>
        <w:rPr>
          <w:rFonts w:hint="eastAsia" w:ascii="仿宋_GB2312" w:hAnsi="仿宋_GB2312" w:cs="仿宋_GB2312"/>
          <w:sz w:val="32"/>
          <w:szCs w:val="32"/>
          <w:lang w:eastAsia="zh-CN"/>
        </w:rPr>
      </w:pPr>
      <w:r>
        <w:rPr>
          <w:rFonts w:hint="eastAsia" w:ascii="仿宋_GB2312" w:hAnsi="宋体" w:eastAsia="仿宋_GB2312"/>
          <w:color w:val="auto"/>
          <w:sz w:val="32"/>
          <w:szCs w:val="32"/>
          <w:lang w:val="zh-CN"/>
        </w:rPr>
        <w:t>4．资金分配的原则及考虑因素</w:t>
      </w:r>
      <w:r>
        <w:rPr>
          <w:rFonts w:hint="eastAsia" w:ascii="仿宋_GB2312" w:hAnsi="宋体" w:eastAsia="仿宋_GB2312"/>
          <w:color w:val="auto"/>
          <w:sz w:val="32"/>
          <w:szCs w:val="32"/>
          <w:lang w:val="en-US" w:eastAsia="zh-CN"/>
        </w:rPr>
        <w:t>:</w:t>
      </w:r>
      <w:r>
        <w:rPr>
          <w:rFonts w:hint="eastAsia" w:ascii="仿宋_GB2312" w:hAnsi="仿宋_GB2312" w:eastAsia="仿宋_GB2312" w:cs="仿宋_GB2312"/>
          <w:sz w:val="32"/>
          <w:szCs w:val="32"/>
          <w:lang w:eastAsia="zh-CN"/>
        </w:rPr>
        <w:t>该项目共计使用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 w:hAnsi="仿宋" w:eastAsia="仿宋" w:cs="仿宋_GB2312"/>
          <w:sz w:val="32"/>
          <w:szCs w:val="32"/>
          <w:lang w:eastAsia="zh-CN"/>
        </w:rPr>
        <w:t>用于民兵训练生活补助及部分民兵训练服等物资购买</w:t>
      </w:r>
      <w:r>
        <w:rPr>
          <w:rFonts w:hint="eastAsia" w:ascii="仿宋_GB2312" w:hAnsi="仿宋_GB2312" w:cs="仿宋_GB2312"/>
          <w:sz w:val="32"/>
          <w:szCs w:val="32"/>
          <w:lang w:eastAsia="zh-CN"/>
        </w:rPr>
        <w:t>。</w:t>
      </w:r>
    </w:p>
    <w:p>
      <w:pPr>
        <w:spacing w:line="580" w:lineRule="exact"/>
        <w:ind w:firstLine="640" w:firstLineChars="200"/>
        <w:rPr>
          <w:rFonts w:hint="eastAsia" w:ascii="仿宋_GB2312" w:hAnsi="宋体" w:eastAsia="仿宋_GB2312"/>
          <w:color w:val="auto"/>
          <w:sz w:val="32"/>
          <w:szCs w:val="32"/>
          <w:lang w:val="en-US" w:eastAsia="zh-CN"/>
        </w:rPr>
      </w:pP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spacing w:line="580" w:lineRule="exact"/>
        <w:ind w:firstLine="640" w:firstLineChars="200"/>
        <w:rPr>
          <w:rFonts w:hint="eastAsia" w:ascii="仿宋" w:hAnsi="仿宋" w:eastAsia="仿宋" w:cs="仿宋_GB2312"/>
          <w:sz w:val="32"/>
          <w:szCs w:val="32"/>
          <w:lang w:eastAsia="zh-CN"/>
        </w:rPr>
      </w:pPr>
      <w:r>
        <w:rPr>
          <w:rFonts w:hint="eastAsia" w:ascii="仿宋_GB2312" w:hAnsi="宋体" w:eastAsia="仿宋_GB2312"/>
          <w:color w:val="auto"/>
          <w:sz w:val="32"/>
          <w:szCs w:val="32"/>
          <w:lang w:val="zh-CN"/>
        </w:rPr>
        <w:t>1．项目主要内容。</w:t>
      </w:r>
      <w:r>
        <w:rPr>
          <w:rFonts w:hint="eastAsia" w:ascii="仿宋_GB2312" w:hAnsi="仿宋_GB2312" w:eastAsia="仿宋_GB2312" w:cs="仿宋_GB2312"/>
          <w:sz w:val="32"/>
          <w:szCs w:val="32"/>
        </w:rPr>
        <w:t>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民兵训练不少于200人次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高质量完成基层民兵训练</w:t>
      </w:r>
      <w:r>
        <w:rPr>
          <w:rFonts w:hint="eastAsia" w:ascii="仿宋" w:hAnsi="仿宋" w:eastAsia="仿宋" w:cs="仿宋_GB2312"/>
          <w:sz w:val="32"/>
          <w:szCs w:val="32"/>
          <w:lang w:eastAsia="zh-CN"/>
        </w:rPr>
        <w:t>。</w:t>
      </w:r>
    </w:p>
    <w:p>
      <w:pPr>
        <w:spacing w:line="580" w:lineRule="exact"/>
        <w:ind w:firstLine="640" w:firstLineChars="200"/>
        <w:rPr>
          <w:rFonts w:hint="default" w:ascii="仿宋" w:hAnsi="仿宋" w:eastAsia="仿宋" w:cs="仿宋_GB2312"/>
          <w:color w:val="auto"/>
          <w:sz w:val="32"/>
          <w:szCs w:val="32"/>
          <w:lang w:val="en-US" w:eastAsia="zh-CN"/>
        </w:rPr>
      </w:pPr>
      <w:r>
        <w:rPr>
          <w:rFonts w:hint="eastAsia" w:ascii="仿宋_GB2312" w:hAnsi="宋体" w:eastAsia="仿宋_GB2312"/>
          <w:color w:val="auto"/>
          <w:sz w:val="32"/>
          <w:szCs w:val="32"/>
          <w:lang w:val="zh-CN"/>
        </w:rPr>
        <w:t>2．</w:t>
      </w:r>
      <w:r>
        <w:rPr>
          <w:rFonts w:ascii="仿宋" w:hAnsi="仿宋" w:eastAsia="仿宋" w:cs="仿宋_GB2312"/>
          <w:color w:val="auto"/>
          <w:sz w:val="32"/>
          <w:szCs w:val="32"/>
        </w:rPr>
        <w:t>项目目标完成情况</w:t>
      </w:r>
      <w:r>
        <w:rPr>
          <w:rFonts w:hint="eastAsia" w:ascii="仿宋" w:hAnsi="仿宋" w:eastAsia="仿宋" w:cs="仿宋_GB2312"/>
          <w:color w:val="auto"/>
          <w:sz w:val="32"/>
          <w:szCs w:val="32"/>
          <w:lang w:eastAsia="zh-CN"/>
        </w:rPr>
        <w:t>：</w:t>
      </w:r>
      <w:r>
        <w:rPr>
          <w:rFonts w:hint="eastAsia" w:ascii="仿宋" w:hAnsi="仿宋" w:eastAsia="仿宋" w:cs="仿宋_GB2312"/>
          <w:sz w:val="32"/>
          <w:szCs w:val="32"/>
          <w:lang w:eastAsia="zh-CN"/>
        </w:rPr>
        <w:t>该项目总体实践较好，</w:t>
      </w:r>
      <w:r>
        <w:rPr>
          <w:rFonts w:hint="eastAsia" w:ascii="仿宋_GB2312" w:hAnsi="仿宋_GB2312" w:eastAsia="仿宋_GB2312" w:cs="仿宋_GB2312"/>
          <w:sz w:val="32"/>
          <w:szCs w:val="32"/>
        </w:rPr>
        <w:t>通过项目实施，保障民兵训练工作顺利开展，</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民兵训练不少于200人次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高质量完成了基层民兵训练。</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3．分析评价申报内容与实际相符，申报目标可行高。</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（三）项目自评步骤及方法。</w:t>
      </w:r>
    </w:p>
    <w:p>
      <w:pPr>
        <w:adjustRightInd w:val="0"/>
        <w:snapToGrid w:val="0"/>
        <w:spacing w:line="600" w:lineRule="exact"/>
        <w:ind w:firstLine="72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支付凭证资料查阅，相关训练资料翻阅。</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二、项目资金申报及使用情况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（一）项目资金申报及批复情况。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说明项目资金申报由年初预算统一向区财政申报，由区政府统一上报区人代会进行批复。</w:t>
      </w:r>
    </w:p>
    <w:p>
      <w:pPr>
        <w:adjustRightInd w:val="0"/>
        <w:snapToGrid w:val="0"/>
        <w:spacing w:line="600" w:lineRule="exact"/>
        <w:ind w:firstLine="720"/>
        <w:rPr>
          <w:rFonts w:ascii="仿宋_GB2312" w:hAnsi="宋体" w:eastAsia="仿宋_GB2312"/>
          <w:color w:val="auto"/>
          <w:sz w:val="32"/>
          <w:szCs w:val="32"/>
          <w:lang w:val="zh-CN"/>
        </w:rPr>
      </w:pPr>
      <w:r>
        <w:rPr>
          <w:rFonts w:hint="eastAsia" w:ascii="楷体_GB2312" w:hAnsi="宋体" w:eastAsia="楷体_GB2312"/>
          <w:b/>
          <w:color w:val="auto"/>
          <w:sz w:val="32"/>
          <w:szCs w:val="32"/>
          <w:lang w:val="zh-CN"/>
        </w:rPr>
        <w:t>（二）资金计划、到位及使用情况（可用表格形式反映）。</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zh-CN" w:eastAsia="zh-CN"/>
        </w:rPr>
        <w:t>1．资金计划。该项目由区财政统一年初预算</w:t>
      </w:r>
      <w:r>
        <w:rPr>
          <w:rFonts w:hint="eastAsia" w:ascii="仿宋_GB2312" w:hAnsi="宋体" w:eastAsia="仿宋_GB2312"/>
          <w:color w:val="auto"/>
          <w:sz w:val="32"/>
          <w:szCs w:val="32"/>
          <w:lang w:val="en-US" w:eastAsia="zh-CN"/>
        </w:rPr>
        <w:t xml:space="preserve">1万元。  </w:t>
      </w:r>
    </w:p>
    <w:p>
      <w:pPr>
        <w:adjustRightInd w:val="0"/>
        <w:snapToGrid w:val="0"/>
        <w:spacing w:line="600" w:lineRule="exact"/>
        <w:ind w:firstLine="72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val="zh-CN" w:eastAsia="zh-CN"/>
        </w:rPr>
        <w:t>2．资金到位情况：该项目财政预算</w:t>
      </w:r>
      <w:r>
        <w:rPr>
          <w:rFonts w:hint="eastAsia" w:ascii="仿宋_GB2312" w:hAnsi="宋体" w:eastAsia="仿宋_GB2312"/>
          <w:color w:val="auto"/>
          <w:sz w:val="32"/>
          <w:szCs w:val="32"/>
          <w:lang w:val="en-US" w:eastAsia="zh-CN"/>
        </w:rPr>
        <w:t>1万元全部到位。</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宋体" w:eastAsia="仿宋_GB2312"/>
          <w:color w:val="auto"/>
          <w:sz w:val="32"/>
          <w:szCs w:val="32"/>
          <w:lang w:val="zh-CN" w:eastAsia="zh-CN"/>
        </w:rPr>
        <w:t>3．资金使用：</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lang w:eastAsia="zh-CN"/>
        </w:rPr>
        <w:t>三</w:t>
      </w:r>
      <w:r>
        <w:rPr>
          <w:rFonts w:hint="eastAsia" w:ascii="黑体" w:hAnsi="宋体" w:eastAsia="黑体"/>
          <w:color w:val="auto"/>
          <w:sz w:val="32"/>
          <w:szCs w:val="32"/>
        </w:rPr>
        <w:t>、项目绩效情况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spacing w:line="580" w:lineRule="exact"/>
        <w:ind w:firstLine="640" w:firstLineChars="200"/>
        <w:rPr>
          <w:rFonts w:hint="eastAsia" w:ascii="仿宋_GB2312" w:hAnsi="仿宋_GB2312" w:cs="仿宋_GB2312"/>
          <w:sz w:val="32"/>
          <w:szCs w:val="32"/>
          <w:lang w:eastAsia="zh-CN"/>
        </w:rPr>
      </w:pPr>
      <w:r>
        <w:rPr>
          <w:rFonts w:hint="eastAsia" w:ascii="仿宋" w:hAnsi="仿宋" w:eastAsia="仿宋" w:cs="仿宋_GB2312"/>
          <w:sz w:val="32"/>
          <w:szCs w:val="32"/>
          <w:lang w:eastAsia="zh-CN"/>
        </w:rPr>
        <w:t>该项目实施较好，</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7"/>
        </w:numPr>
        <w:adjustRightInd w:val="0"/>
        <w:snapToGrid w:val="0"/>
        <w:spacing w:line="600" w:lineRule="exact"/>
        <w:ind w:left="0" w:leftChars="0" w:firstLine="643" w:firstLineChars="20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项目效益情况。</w:t>
      </w:r>
    </w:p>
    <w:p>
      <w:pPr>
        <w:numPr>
          <w:ilvl w:val="0"/>
          <w:numId w:val="0"/>
        </w:num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zh-CN" w:eastAsia="zh-CN"/>
        </w:rPr>
        <w:t>数量指标：</w:t>
      </w:r>
      <w:r>
        <w:rPr>
          <w:rFonts w:hint="eastAsia" w:ascii="仿宋" w:hAnsi="仿宋" w:eastAsia="仿宋" w:cs="仿宋_GB2312"/>
          <w:sz w:val="32"/>
          <w:szCs w:val="32"/>
          <w:lang w:eastAsia="zh-CN"/>
        </w:rPr>
        <w:t>民兵训练不少于200人次；质量指标：基层民兵训练高质量完成；时效指标：确保民兵训练及时顺利开展；确保群众满意度</w:t>
      </w:r>
      <w:r>
        <w:rPr>
          <w:rFonts w:hint="eastAsia" w:ascii="仿宋" w:hAnsi="仿宋" w:eastAsia="仿宋" w:cs="仿宋_GB2312"/>
          <w:sz w:val="32"/>
          <w:szCs w:val="32"/>
          <w:lang w:val="en-US" w:eastAsia="zh-CN"/>
        </w:rPr>
        <w:t>100%。</w:t>
      </w:r>
    </w:p>
    <w:p>
      <w:pPr>
        <w:numPr>
          <w:ilvl w:val="0"/>
          <w:numId w:val="0"/>
        </w:numPr>
        <w:spacing w:line="580" w:lineRule="exact"/>
        <w:ind w:firstLine="640" w:firstLineChars="200"/>
        <w:rPr>
          <w:rFonts w:ascii="仿宋" w:hAnsi="仿宋" w:eastAsia="仿宋" w:cs="仿宋_GB2312"/>
          <w:sz w:val="32"/>
          <w:szCs w:val="32"/>
        </w:rPr>
      </w:pPr>
      <w:r>
        <w:rPr>
          <w:rFonts w:hint="eastAsia" w:ascii="黑体" w:hAnsi="宋体" w:eastAsia="黑体"/>
          <w:color w:val="auto"/>
          <w:sz w:val="32"/>
          <w:szCs w:val="32"/>
          <w:lang w:val="zh-CN"/>
        </w:rPr>
        <w:t>四、存在主要问题：</w:t>
      </w:r>
      <w:r>
        <w:rPr>
          <w:rFonts w:hint="eastAsia" w:ascii="仿宋_GB2312" w:hAnsi="仿宋_GB2312" w:eastAsia="仿宋_GB2312" w:cs="仿宋_GB2312"/>
          <w:sz w:val="32"/>
          <w:szCs w:val="32"/>
          <w:lang w:eastAsia="zh-CN"/>
        </w:rPr>
        <w:t>民兵训练次数多但因预算经费有限。</w:t>
      </w:r>
    </w:p>
    <w:p>
      <w:pPr>
        <w:numPr>
          <w:ilvl w:val="0"/>
          <w:numId w:val="0"/>
        </w:numPr>
        <w:spacing w:line="580" w:lineRule="exact"/>
        <w:ind w:firstLine="640" w:firstLineChars="200"/>
        <w:rPr>
          <w:rFonts w:ascii="仿宋" w:hAnsi="仿宋" w:eastAsia="仿宋" w:cs="仿宋_GB2312"/>
          <w:sz w:val="32"/>
          <w:szCs w:val="32"/>
        </w:rPr>
      </w:pPr>
      <w:r>
        <w:rPr>
          <w:rFonts w:hint="eastAsia" w:ascii="黑体" w:hAnsi="宋体" w:eastAsia="黑体"/>
          <w:color w:val="auto"/>
          <w:sz w:val="32"/>
          <w:szCs w:val="32"/>
          <w:lang w:val="zh-CN"/>
        </w:rPr>
        <w:t>五、相关措施建议：</w:t>
      </w:r>
      <w:r>
        <w:rPr>
          <w:rFonts w:hint="eastAsia" w:ascii="仿宋" w:hAnsi="仿宋" w:eastAsia="仿宋" w:cs="仿宋_GB2312"/>
          <w:sz w:val="32"/>
          <w:szCs w:val="32"/>
          <w:lang w:eastAsia="zh-CN"/>
        </w:rPr>
        <w:t>加强民兵思想学习，确保民兵训练经费保证，提高基层武装力量。</w:t>
      </w: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678A8"/>
    <w:multiLevelType w:val="singleLevel"/>
    <w:tmpl w:val="A69678A8"/>
    <w:lvl w:ilvl="0" w:tentative="0">
      <w:start w:val="2"/>
      <w:numFmt w:val="chineseCounting"/>
      <w:suff w:val="nothing"/>
      <w:lvlText w:val="%1、"/>
      <w:lvlJc w:val="left"/>
      <w:rPr>
        <w:rFonts w:hint="eastAsia"/>
      </w:rPr>
    </w:lvl>
  </w:abstractNum>
  <w:abstractNum w:abstractNumId="1">
    <w:nsid w:val="B026C66B"/>
    <w:multiLevelType w:val="singleLevel"/>
    <w:tmpl w:val="B026C66B"/>
    <w:lvl w:ilvl="0" w:tentative="0">
      <w:start w:val="1"/>
      <w:numFmt w:val="decimal"/>
      <w:lvlText w:val="%1."/>
      <w:lvlJc w:val="left"/>
      <w:pPr>
        <w:tabs>
          <w:tab w:val="left" w:pos="312"/>
        </w:tabs>
      </w:pPr>
    </w:lvl>
  </w:abstractNum>
  <w:abstractNum w:abstractNumId="2">
    <w:nsid w:val="BB51D4CB"/>
    <w:multiLevelType w:val="singleLevel"/>
    <w:tmpl w:val="BB51D4CB"/>
    <w:lvl w:ilvl="0" w:tentative="0">
      <w:start w:val="7"/>
      <w:numFmt w:val="decimal"/>
      <w:lvlText w:val="%1."/>
      <w:lvlJc w:val="left"/>
      <w:pPr>
        <w:tabs>
          <w:tab w:val="left" w:pos="312"/>
        </w:tabs>
      </w:p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6D04F4E"/>
    <w:multiLevelType w:val="singleLevel"/>
    <w:tmpl w:val="D6D04F4E"/>
    <w:lvl w:ilvl="0" w:tentative="0">
      <w:start w:val="1"/>
      <w:numFmt w:val="decimal"/>
      <w:lvlText w:val="%1."/>
      <w:lvlJc w:val="left"/>
      <w:pPr>
        <w:tabs>
          <w:tab w:val="left" w:pos="312"/>
        </w:tabs>
      </w:p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32B2F5DB"/>
    <w:multiLevelType w:val="singleLevel"/>
    <w:tmpl w:val="32B2F5DB"/>
    <w:lvl w:ilvl="0" w:tentative="0">
      <w:start w:val="3"/>
      <w:numFmt w:val="chineseCounting"/>
      <w:suff w:val="nothing"/>
      <w:lvlText w:val="%1、"/>
      <w:lvlJc w:val="left"/>
      <w:rPr>
        <w:rFonts w:hint="eastAsia"/>
      </w:rPr>
    </w:lvl>
  </w:abstractNum>
  <w:abstractNum w:abstractNumId="9">
    <w:nsid w:val="376585FB"/>
    <w:multiLevelType w:val="singleLevel"/>
    <w:tmpl w:val="376585FB"/>
    <w:lvl w:ilvl="0" w:tentative="0">
      <w:start w:val="1"/>
      <w:numFmt w:val="decimal"/>
      <w:lvlText w:val="%1."/>
      <w:lvlJc w:val="left"/>
      <w:pPr>
        <w:tabs>
          <w:tab w:val="left" w:pos="312"/>
        </w:tabs>
      </w:pPr>
    </w:lvl>
  </w:abstractNum>
  <w:abstractNum w:abstractNumId="10">
    <w:nsid w:val="45007ABA"/>
    <w:multiLevelType w:val="singleLevel"/>
    <w:tmpl w:val="45007ABA"/>
    <w:lvl w:ilvl="0" w:tentative="0">
      <w:start w:val="2"/>
      <w:numFmt w:val="chineseCounting"/>
      <w:suff w:val="nothing"/>
      <w:lvlText w:val="（%1）"/>
      <w:lvlJc w:val="left"/>
      <w:rPr>
        <w:rFonts w:hint="eastAsia"/>
      </w:rPr>
    </w:lvl>
  </w:abstractNum>
  <w:abstractNum w:abstractNumId="11">
    <w:nsid w:val="59B526BD"/>
    <w:multiLevelType w:val="singleLevel"/>
    <w:tmpl w:val="59B526BD"/>
    <w:lvl w:ilvl="0" w:tentative="0">
      <w:start w:val="1"/>
      <w:numFmt w:val="decimal"/>
      <w:suff w:val="nothing"/>
      <w:lvlText w:val="（%1）"/>
      <w:lvlJc w:val="left"/>
    </w:lvl>
  </w:abstractNum>
  <w:abstractNum w:abstractNumId="12">
    <w:nsid w:val="59B52ADB"/>
    <w:multiLevelType w:val="singleLevel"/>
    <w:tmpl w:val="59B52ADB"/>
    <w:lvl w:ilvl="0" w:tentative="0">
      <w:start w:val="1"/>
      <w:numFmt w:val="decimal"/>
      <w:suff w:val="nothing"/>
      <w:lvlText w:val="（%1）"/>
      <w:lvlJc w:val="left"/>
    </w:lvl>
  </w:abstractNum>
  <w:num w:numId="1">
    <w:abstractNumId w:val="0"/>
  </w:num>
  <w:num w:numId="2">
    <w:abstractNumId w:val="7"/>
  </w:num>
  <w:num w:numId="3">
    <w:abstractNumId w:val="2"/>
  </w:num>
  <w:num w:numId="4">
    <w:abstractNumId w:val="9"/>
  </w:num>
  <w:num w:numId="5">
    <w:abstractNumId w:val="3"/>
  </w:num>
  <w:num w:numId="6">
    <w:abstractNumId w:val="4"/>
  </w:num>
  <w:num w:numId="7">
    <w:abstractNumId w:val="6"/>
  </w:num>
  <w:num w:numId="8">
    <w:abstractNumId w:val="1"/>
  </w:num>
  <w:num w:numId="9">
    <w:abstractNumId w:val="8"/>
  </w:num>
  <w:num w:numId="10">
    <w:abstractNumId w:val="5"/>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D6AD6"/>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3BB0"/>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571E"/>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1820D8"/>
    <w:rsid w:val="014B2EAA"/>
    <w:rsid w:val="01586B29"/>
    <w:rsid w:val="01680AC4"/>
    <w:rsid w:val="017A62E2"/>
    <w:rsid w:val="019C695D"/>
    <w:rsid w:val="019C6BA7"/>
    <w:rsid w:val="01B84428"/>
    <w:rsid w:val="01C85BAC"/>
    <w:rsid w:val="01E52BD3"/>
    <w:rsid w:val="022D0253"/>
    <w:rsid w:val="02651530"/>
    <w:rsid w:val="02970146"/>
    <w:rsid w:val="02CB1B4D"/>
    <w:rsid w:val="03026651"/>
    <w:rsid w:val="031F0021"/>
    <w:rsid w:val="035D129B"/>
    <w:rsid w:val="035F0730"/>
    <w:rsid w:val="037C06A1"/>
    <w:rsid w:val="03C34570"/>
    <w:rsid w:val="040A21B0"/>
    <w:rsid w:val="0412272E"/>
    <w:rsid w:val="04EA0D28"/>
    <w:rsid w:val="04ED368A"/>
    <w:rsid w:val="05123C55"/>
    <w:rsid w:val="052941D7"/>
    <w:rsid w:val="05583C02"/>
    <w:rsid w:val="05871C66"/>
    <w:rsid w:val="058D16AC"/>
    <w:rsid w:val="05FB58E9"/>
    <w:rsid w:val="062D428D"/>
    <w:rsid w:val="06303C63"/>
    <w:rsid w:val="063E1526"/>
    <w:rsid w:val="0695245A"/>
    <w:rsid w:val="069E7759"/>
    <w:rsid w:val="06A13E5B"/>
    <w:rsid w:val="06FA0940"/>
    <w:rsid w:val="07050CDD"/>
    <w:rsid w:val="071261BE"/>
    <w:rsid w:val="074D1527"/>
    <w:rsid w:val="07A62144"/>
    <w:rsid w:val="07B668A3"/>
    <w:rsid w:val="07D769B9"/>
    <w:rsid w:val="07E10557"/>
    <w:rsid w:val="07E44F9B"/>
    <w:rsid w:val="08360156"/>
    <w:rsid w:val="08421747"/>
    <w:rsid w:val="08471C1C"/>
    <w:rsid w:val="08767DDC"/>
    <w:rsid w:val="08867218"/>
    <w:rsid w:val="088D5656"/>
    <w:rsid w:val="08E257CF"/>
    <w:rsid w:val="08E9710D"/>
    <w:rsid w:val="09162C52"/>
    <w:rsid w:val="09447A02"/>
    <w:rsid w:val="09B05FE2"/>
    <w:rsid w:val="09C80E4B"/>
    <w:rsid w:val="09E934B0"/>
    <w:rsid w:val="0A731CD1"/>
    <w:rsid w:val="0A757E62"/>
    <w:rsid w:val="0AA60253"/>
    <w:rsid w:val="0AB828C5"/>
    <w:rsid w:val="0ABE3384"/>
    <w:rsid w:val="0AC31837"/>
    <w:rsid w:val="0B0E6D1F"/>
    <w:rsid w:val="0B1226C9"/>
    <w:rsid w:val="0B14060A"/>
    <w:rsid w:val="0B153B0D"/>
    <w:rsid w:val="0B20511B"/>
    <w:rsid w:val="0B237D20"/>
    <w:rsid w:val="0B381276"/>
    <w:rsid w:val="0B3C3EA4"/>
    <w:rsid w:val="0B5C5F16"/>
    <w:rsid w:val="0B5E4001"/>
    <w:rsid w:val="0B794884"/>
    <w:rsid w:val="0B850962"/>
    <w:rsid w:val="0BF672CC"/>
    <w:rsid w:val="0C1F16C5"/>
    <w:rsid w:val="0C29678D"/>
    <w:rsid w:val="0C315DB7"/>
    <w:rsid w:val="0C74532D"/>
    <w:rsid w:val="0CA750C3"/>
    <w:rsid w:val="0D26636F"/>
    <w:rsid w:val="0D3706C3"/>
    <w:rsid w:val="0D921AF5"/>
    <w:rsid w:val="0DB66E96"/>
    <w:rsid w:val="0DC26D89"/>
    <w:rsid w:val="0DDD0E3F"/>
    <w:rsid w:val="0E047B70"/>
    <w:rsid w:val="0E0C2E2C"/>
    <w:rsid w:val="0E1931CD"/>
    <w:rsid w:val="0E211030"/>
    <w:rsid w:val="0E584A7B"/>
    <w:rsid w:val="0E7134E1"/>
    <w:rsid w:val="0EA13351"/>
    <w:rsid w:val="0EA53D80"/>
    <w:rsid w:val="0EAA3339"/>
    <w:rsid w:val="0EB62D00"/>
    <w:rsid w:val="0FA711B9"/>
    <w:rsid w:val="0FCE2C80"/>
    <w:rsid w:val="101D3CA2"/>
    <w:rsid w:val="101F1E95"/>
    <w:rsid w:val="10266AEE"/>
    <w:rsid w:val="1052357E"/>
    <w:rsid w:val="10721AEC"/>
    <w:rsid w:val="10AA35BD"/>
    <w:rsid w:val="10B317FA"/>
    <w:rsid w:val="10C055FF"/>
    <w:rsid w:val="10EF409A"/>
    <w:rsid w:val="11030E74"/>
    <w:rsid w:val="11107F0B"/>
    <w:rsid w:val="11193B79"/>
    <w:rsid w:val="11387D7F"/>
    <w:rsid w:val="11717068"/>
    <w:rsid w:val="119C6B1E"/>
    <w:rsid w:val="11A050E7"/>
    <w:rsid w:val="11D700F0"/>
    <w:rsid w:val="11E02304"/>
    <w:rsid w:val="11F725AD"/>
    <w:rsid w:val="12020CCF"/>
    <w:rsid w:val="12220F7B"/>
    <w:rsid w:val="12262DB6"/>
    <w:rsid w:val="124E5906"/>
    <w:rsid w:val="126B7C6B"/>
    <w:rsid w:val="126E1740"/>
    <w:rsid w:val="12705A9F"/>
    <w:rsid w:val="12851974"/>
    <w:rsid w:val="12963D10"/>
    <w:rsid w:val="12B01B17"/>
    <w:rsid w:val="12D669AC"/>
    <w:rsid w:val="131A1C66"/>
    <w:rsid w:val="13591C7E"/>
    <w:rsid w:val="137E0C1B"/>
    <w:rsid w:val="138A740B"/>
    <w:rsid w:val="138D1A4E"/>
    <w:rsid w:val="139134B9"/>
    <w:rsid w:val="13B236E8"/>
    <w:rsid w:val="14434351"/>
    <w:rsid w:val="145162E6"/>
    <w:rsid w:val="14B973D1"/>
    <w:rsid w:val="14C205FF"/>
    <w:rsid w:val="15D44A2E"/>
    <w:rsid w:val="15E57E02"/>
    <w:rsid w:val="160F6CCE"/>
    <w:rsid w:val="16432645"/>
    <w:rsid w:val="16480BCC"/>
    <w:rsid w:val="169D53AC"/>
    <w:rsid w:val="16BB723D"/>
    <w:rsid w:val="16E91915"/>
    <w:rsid w:val="172F7964"/>
    <w:rsid w:val="17620CEF"/>
    <w:rsid w:val="177212DC"/>
    <w:rsid w:val="178915E8"/>
    <w:rsid w:val="17A67DDF"/>
    <w:rsid w:val="17EE0706"/>
    <w:rsid w:val="17FE19F9"/>
    <w:rsid w:val="187B2D41"/>
    <w:rsid w:val="187F60D3"/>
    <w:rsid w:val="187F7254"/>
    <w:rsid w:val="18B464B9"/>
    <w:rsid w:val="18CC2C77"/>
    <w:rsid w:val="18D13C95"/>
    <w:rsid w:val="19530E95"/>
    <w:rsid w:val="1955280C"/>
    <w:rsid w:val="19584330"/>
    <w:rsid w:val="1984209C"/>
    <w:rsid w:val="198B3AD2"/>
    <w:rsid w:val="19CB355F"/>
    <w:rsid w:val="1A4501A2"/>
    <w:rsid w:val="1A537DE7"/>
    <w:rsid w:val="1A751145"/>
    <w:rsid w:val="1AA01D0C"/>
    <w:rsid w:val="1ABA0D9A"/>
    <w:rsid w:val="1AD07193"/>
    <w:rsid w:val="1BB200B8"/>
    <w:rsid w:val="1BBA4E6A"/>
    <w:rsid w:val="1BF86CC2"/>
    <w:rsid w:val="1C0F012F"/>
    <w:rsid w:val="1C1523EF"/>
    <w:rsid w:val="1C2453AD"/>
    <w:rsid w:val="1C4A698D"/>
    <w:rsid w:val="1C69129F"/>
    <w:rsid w:val="1CBE3F5C"/>
    <w:rsid w:val="1CD614DA"/>
    <w:rsid w:val="1CF70F38"/>
    <w:rsid w:val="1D0112E4"/>
    <w:rsid w:val="1D3D3DD3"/>
    <w:rsid w:val="1D544E26"/>
    <w:rsid w:val="1DB326AE"/>
    <w:rsid w:val="1DDB4E6A"/>
    <w:rsid w:val="1DE63FAF"/>
    <w:rsid w:val="1E261575"/>
    <w:rsid w:val="1E4D18A5"/>
    <w:rsid w:val="1EC87FAA"/>
    <w:rsid w:val="1EE65476"/>
    <w:rsid w:val="1EF12435"/>
    <w:rsid w:val="1EFA458D"/>
    <w:rsid w:val="1F006D94"/>
    <w:rsid w:val="1F1405D2"/>
    <w:rsid w:val="1F1C4904"/>
    <w:rsid w:val="1F2F11CC"/>
    <w:rsid w:val="1F3A2A82"/>
    <w:rsid w:val="1F61520A"/>
    <w:rsid w:val="1F7028DC"/>
    <w:rsid w:val="1F9A311B"/>
    <w:rsid w:val="1FA95FFB"/>
    <w:rsid w:val="200426E9"/>
    <w:rsid w:val="20117722"/>
    <w:rsid w:val="20C317D1"/>
    <w:rsid w:val="20E33A61"/>
    <w:rsid w:val="20EA222B"/>
    <w:rsid w:val="2101711A"/>
    <w:rsid w:val="21242427"/>
    <w:rsid w:val="213108A3"/>
    <w:rsid w:val="21721D72"/>
    <w:rsid w:val="21782ADB"/>
    <w:rsid w:val="21C20E43"/>
    <w:rsid w:val="22103F0D"/>
    <w:rsid w:val="223E2116"/>
    <w:rsid w:val="230547B4"/>
    <w:rsid w:val="23097481"/>
    <w:rsid w:val="230B5A0A"/>
    <w:rsid w:val="23234969"/>
    <w:rsid w:val="23257BE4"/>
    <w:rsid w:val="23373315"/>
    <w:rsid w:val="23404BC8"/>
    <w:rsid w:val="23704CC3"/>
    <w:rsid w:val="238327B9"/>
    <w:rsid w:val="239161F6"/>
    <w:rsid w:val="23AD1EDD"/>
    <w:rsid w:val="23BB21C0"/>
    <w:rsid w:val="23D274BD"/>
    <w:rsid w:val="23EE5631"/>
    <w:rsid w:val="240371BF"/>
    <w:rsid w:val="24171C2B"/>
    <w:rsid w:val="24224B01"/>
    <w:rsid w:val="242443E0"/>
    <w:rsid w:val="24480080"/>
    <w:rsid w:val="24741D26"/>
    <w:rsid w:val="249E4071"/>
    <w:rsid w:val="24C40E9B"/>
    <w:rsid w:val="24C511B4"/>
    <w:rsid w:val="24E96302"/>
    <w:rsid w:val="251C3B91"/>
    <w:rsid w:val="25841D45"/>
    <w:rsid w:val="2598612F"/>
    <w:rsid w:val="25A10069"/>
    <w:rsid w:val="25BE654A"/>
    <w:rsid w:val="25DB1FA3"/>
    <w:rsid w:val="25E948B4"/>
    <w:rsid w:val="26277276"/>
    <w:rsid w:val="26643DE3"/>
    <w:rsid w:val="268C5657"/>
    <w:rsid w:val="269E024C"/>
    <w:rsid w:val="26E90BD1"/>
    <w:rsid w:val="272B28DC"/>
    <w:rsid w:val="27A91F11"/>
    <w:rsid w:val="27C21F07"/>
    <w:rsid w:val="27F67912"/>
    <w:rsid w:val="28237BB1"/>
    <w:rsid w:val="282869E3"/>
    <w:rsid w:val="284E170E"/>
    <w:rsid w:val="2898214D"/>
    <w:rsid w:val="28A5798E"/>
    <w:rsid w:val="28B56623"/>
    <w:rsid w:val="28DA6D77"/>
    <w:rsid w:val="291773CB"/>
    <w:rsid w:val="29631771"/>
    <w:rsid w:val="29847973"/>
    <w:rsid w:val="29BB2C5F"/>
    <w:rsid w:val="29F73D6F"/>
    <w:rsid w:val="29FD04D3"/>
    <w:rsid w:val="2A117309"/>
    <w:rsid w:val="2A1E3A91"/>
    <w:rsid w:val="2A391853"/>
    <w:rsid w:val="2B002380"/>
    <w:rsid w:val="2B052612"/>
    <w:rsid w:val="2B062C5E"/>
    <w:rsid w:val="2BB63454"/>
    <w:rsid w:val="2BE010BC"/>
    <w:rsid w:val="2C503E45"/>
    <w:rsid w:val="2C635D4B"/>
    <w:rsid w:val="2CBE69DC"/>
    <w:rsid w:val="2CFA3BFF"/>
    <w:rsid w:val="2D0219E5"/>
    <w:rsid w:val="2D401EDB"/>
    <w:rsid w:val="2D46381D"/>
    <w:rsid w:val="2E7730C5"/>
    <w:rsid w:val="2E7A03F6"/>
    <w:rsid w:val="2EB333C4"/>
    <w:rsid w:val="2EF4671E"/>
    <w:rsid w:val="2F173E87"/>
    <w:rsid w:val="2F7464DD"/>
    <w:rsid w:val="2F820703"/>
    <w:rsid w:val="2F8210EF"/>
    <w:rsid w:val="2F930BAB"/>
    <w:rsid w:val="2FA10D01"/>
    <w:rsid w:val="2FC8076C"/>
    <w:rsid w:val="2FD90670"/>
    <w:rsid w:val="2FF775AE"/>
    <w:rsid w:val="2FFC61E3"/>
    <w:rsid w:val="30385417"/>
    <w:rsid w:val="30556EF9"/>
    <w:rsid w:val="306240F6"/>
    <w:rsid w:val="30910504"/>
    <w:rsid w:val="30C12828"/>
    <w:rsid w:val="317A5673"/>
    <w:rsid w:val="319F7F4E"/>
    <w:rsid w:val="31E738DA"/>
    <w:rsid w:val="31EB7CA9"/>
    <w:rsid w:val="31FF03E3"/>
    <w:rsid w:val="324B0E9C"/>
    <w:rsid w:val="326515BD"/>
    <w:rsid w:val="3270529F"/>
    <w:rsid w:val="333B5DEF"/>
    <w:rsid w:val="335B60A5"/>
    <w:rsid w:val="337C3638"/>
    <w:rsid w:val="33B60D82"/>
    <w:rsid w:val="33B94BC2"/>
    <w:rsid w:val="33F06233"/>
    <w:rsid w:val="340F3BD9"/>
    <w:rsid w:val="342840BF"/>
    <w:rsid w:val="34365B91"/>
    <w:rsid w:val="346F4D0E"/>
    <w:rsid w:val="34A21145"/>
    <w:rsid w:val="34B126BD"/>
    <w:rsid w:val="34CA159A"/>
    <w:rsid w:val="34E55B4E"/>
    <w:rsid w:val="34FC214E"/>
    <w:rsid w:val="350A7C98"/>
    <w:rsid w:val="35250D03"/>
    <w:rsid w:val="353E67AD"/>
    <w:rsid w:val="35856DB9"/>
    <w:rsid w:val="36065EA2"/>
    <w:rsid w:val="36733B60"/>
    <w:rsid w:val="3703404F"/>
    <w:rsid w:val="372F5705"/>
    <w:rsid w:val="378B3D93"/>
    <w:rsid w:val="38370784"/>
    <w:rsid w:val="3871191E"/>
    <w:rsid w:val="388B790F"/>
    <w:rsid w:val="389078BC"/>
    <w:rsid w:val="38C52513"/>
    <w:rsid w:val="38E30BB1"/>
    <w:rsid w:val="394A4E4F"/>
    <w:rsid w:val="39613C96"/>
    <w:rsid w:val="398A751E"/>
    <w:rsid w:val="399301CF"/>
    <w:rsid w:val="399C53A0"/>
    <w:rsid w:val="39FB76F2"/>
    <w:rsid w:val="3A206202"/>
    <w:rsid w:val="3A5E2E4A"/>
    <w:rsid w:val="3A667DDF"/>
    <w:rsid w:val="3A7B1EA9"/>
    <w:rsid w:val="3ABE66E0"/>
    <w:rsid w:val="3B011A1B"/>
    <w:rsid w:val="3B091F85"/>
    <w:rsid w:val="3B0E36AE"/>
    <w:rsid w:val="3B5600D3"/>
    <w:rsid w:val="3B791D38"/>
    <w:rsid w:val="3B867DF7"/>
    <w:rsid w:val="3BAF1346"/>
    <w:rsid w:val="3C2044D4"/>
    <w:rsid w:val="3C310899"/>
    <w:rsid w:val="3C395DDA"/>
    <w:rsid w:val="3DAF14D8"/>
    <w:rsid w:val="3DB00D9B"/>
    <w:rsid w:val="3DD95A28"/>
    <w:rsid w:val="3E661233"/>
    <w:rsid w:val="3E8433D8"/>
    <w:rsid w:val="3EAE2EC3"/>
    <w:rsid w:val="3EF351CD"/>
    <w:rsid w:val="3F55592A"/>
    <w:rsid w:val="3F71675B"/>
    <w:rsid w:val="3F7B2C2F"/>
    <w:rsid w:val="3FAA174F"/>
    <w:rsid w:val="401502C7"/>
    <w:rsid w:val="40153BC4"/>
    <w:rsid w:val="4022604D"/>
    <w:rsid w:val="406D5C7E"/>
    <w:rsid w:val="406D7A5F"/>
    <w:rsid w:val="40797903"/>
    <w:rsid w:val="4089631F"/>
    <w:rsid w:val="40C03C4F"/>
    <w:rsid w:val="40C05FE9"/>
    <w:rsid w:val="410456FA"/>
    <w:rsid w:val="412151E4"/>
    <w:rsid w:val="413F3153"/>
    <w:rsid w:val="41403D79"/>
    <w:rsid w:val="419D0B6C"/>
    <w:rsid w:val="41AA0709"/>
    <w:rsid w:val="41AE5BC2"/>
    <w:rsid w:val="42055810"/>
    <w:rsid w:val="4205713E"/>
    <w:rsid w:val="422A0AEF"/>
    <w:rsid w:val="42881F5D"/>
    <w:rsid w:val="42C259EA"/>
    <w:rsid w:val="43347A00"/>
    <w:rsid w:val="435720FD"/>
    <w:rsid w:val="4373255D"/>
    <w:rsid w:val="439C0921"/>
    <w:rsid w:val="43E818E9"/>
    <w:rsid w:val="43F243FA"/>
    <w:rsid w:val="44047A79"/>
    <w:rsid w:val="44311B09"/>
    <w:rsid w:val="443B7AC4"/>
    <w:rsid w:val="44576FE1"/>
    <w:rsid w:val="44640D23"/>
    <w:rsid w:val="44663617"/>
    <w:rsid w:val="44771D0D"/>
    <w:rsid w:val="44C80233"/>
    <w:rsid w:val="45521941"/>
    <w:rsid w:val="45C23920"/>
    <w:rsid w:val="45DF0201"/>
    <w:rsid w:val="462946CF"/>
    <w:rsid w:val="46691B4F"/>
    <w:rsid w:val="46691D4F"/>
    <w:rsid w:val="46CC017E"/>
    <w:rsid w:val="47257310"/>
    <w:rsid w:val="472F27AA"/>
    <w:rsid w:val="48694A49"/>
    <w:rsid w:val="486A202E"/>
    <w:rsid w:val="48D657B3"/>
    <w:rsid w:val="48FF261B"/>
    <w:rsid w:val="491E0302"/>
    <w:rsid w:val="492552DA"/>
    <w:rsid w:val="49532AE2"/>
    <w:rsid w:val="4954082F"/>
    <w:rsid w:val="495E5288"/>
    <w:rsid w:val="49605BD0"/>
    <w:rsid w:val="49772C8B"/>
    <w:rsid w:val="49AE5996"/>
    <w:rsid w:val="49D22822"/>
    <w:rsid w:val="49F922B7"/>
    <w:rsid w:val="4A2814A8"/>
    <w:rsid w:val="4A2D7806"/>
    <w:rsid w:val="4A633C7B"/>
    <w:rsid w:val="4AAA1D9E"/>
    <w:rsid w:val="4AE45664"/>
    <w:rsid w:val="4AEF1CE2"/>
    <w:rsid w:val="4B5801B7"/>
    <w:rsid w:val="4B665C66"/>
    <w:rsid w:val="4B6C1F1E"/>
    <w:rsid w:val="4B6D25ED"/>
    <w:rsid w:val="4B88307A"/>
    <w:rsid w:val="4BB342D6"/>
    <w:rsid w:val="4BC70E3C"/>
    <w:rsid w:val="4BC9373D"/>
    <w:rsid w:val="4BD05B9F"/>
    <w:rsid w:val="4BE70639"/>
    <w:rsid w:val="4C2A75C0"/>
    <w:rsid w:val="4C4A220E"/>
    <w:rsid w:val="4CAC55B5"/>
    <w:rsid w:val="4CB05202"/>
    <w:rsid w:val="4D0A5A93"/>
    <w:rsid w:val="4D3D6704"/>
    <w:rsid w:val="4D413B13"/>
    <w:rsid w:val="4D4C3110"/>
    <w:rsid w:val="4D9B5769"/>
    <w:rsid w:val="4DBE6834"/>
    <w:rsid w:val="4E082AD8"/>
    <w:rsid w:val="4E433FBE"/>
    <w:rsid w:val="4E7023A1"/>
    <w:rsid w:val="4ECE2238"/>
    <w:rsid w:val="4EF94F5D"/>
    <w:rsid w:val="4F0D7E0E"/>
    <w:rsid w:val="4F2C61AB"/>
    <w:rsid w:val="4F532EBC"/>
    <w:rsid w:val="4F6745FA"/>
    <w:rsid w:val="4F8C55A9"/>
    <w:rsid w:val="4FBD3712"/>
    <w:rsid w:val="4FDF67C9"/>
    <w:rsid w:val="4FE5342F"/>
    <w:rsid w:val="4FF672DE"/>
    <w:rsid w:val="5000200D"/>
    <w:rsid w:val="502A33ED"/>
    <w:rsid w:val="50317403"/>
    <w:rsid w:val="50AA3C4E"/>
    <w:rsid w:val="50E13C6B"/>
    <w:rsid w:val="510952BA"/>
    <w:rsid w:val="5134383F"/>
    <w:rsid w:val="51437559"/>
    <w:rsid w:val="521C65CF"/>
    <w:rsid w:val="5227040C"/>
    <w:rsid w:val="52397F63"/>
    <w:rsid w:val="52606FCE"/>
    <w:rsid w:val="52683609"/>
    <w:rsid w:val="52AD3D80"/>
    <w:rsid w:val="52C06FE0"/>
    <w:rsid w:val="52E1128A"/>
    <w:rsid w:val="52F94C24"/>
    <w:rsid w:val="53093759"/>
    <w:rsid w:val="532E4681"/>
    <w:rsid w:val="53B2466F"/>
    <w:rsid w:val="53FD0C73"/>
    <w:rsid w:val="542A5DCD"/>
    <w:rsid w:val="544C2C43"/>
    <w:rsid w:val="5476201E"/>
    <w:rsid w:val="548B35BB"/>
    <w:rsid w:val="549C439E"/>
    <w:rsid w:val="54CD3A25"/>
    <w:rsid w:val="54EF2CE2"/>
    <w:rsid w:val="56103005"/>
    <w:rsid w:val="562D17B9"/>
    <w:rsid w:val="564F4324"/>
    <w:rsid w:val="5671093B"/>
    <w:rsid w:val="56CB177C"/>
    <w:rsid w:val="56CB6038"/>
    <w:rsid w:val="56F667DB"/>
    <w:rsid w:val="572437D7"/>
    <w:rsid w:val="57285E4F"/>
    <w:rsid w:val="573C559B"/>
    <w:rsid w:val="57402F83"/>
    <w:rsid w:val="57BB270E"/>
    <w:rsid w:val="57C40E70"/>
    <w:rsid w:val="57D73741"/>
    <w:rsid w:val="57FB2B7B"/>
    <w:rsid w:val="58156EAE"/>
    <w:rsid w:val="588E578A"/>
    <w:rsid w:val="58922D55"/>
    <w:rsid w:val="58994813"/>
    <w:rsid w:val="58BB51CA"/>
    <w:rsid w:val="59235787"/>
    <w:rsid w:val="59450A7E"/>
    <w:rsid w:val="598F1E41"/>
    <w:rsid w:val="599911CA"/>
    <w:rsid w:val="59EE204E"/>
    <w:rsid w:val="5A00426E"/>
    <w:rsid w:val="5A1F2ED6"/>
    <w:rsid w:val="5A264FC5"/>
    <w:rsid w:val="5A2E5E67"/>
    <w:rsid w:val="5A375A24"/>
    <w:rsid w:val="5AAB0DDC"/>
    <w:rsid w:val="5AAE1337"/>
    <w:rsid w:val="5B071845"/>
    <w:rsid w:val="5B432D6D"/>
    <w:rsid w:val="5BD3234F"/>
    <w:rsid w:val="5BF74BF4"/>
    <w:rsid w:val="5C217149"/>
    <w:rsid w:val="5C4838DB"/>
    <w:rsid w:val="5C4C5877"/>
    <w:rsid w:val="5CBD6828"/>
    <w:rsid w:val="5D0C030F"/>
    <w:rsid w:val="5D2E2AE3"/>
    <w:rsid w:val="5D4045FC"/>
    <w:rsid w:val="5DCC7AB7"/>
    <w:rsid w:val="5DD42605"/>
    <w:rsid w:val="5E0B4C3A"/>
    <w:rsid w:val="5E663BAE"/>
    <w:rsid w:val="5E7A2652"/>
    <w:rsid w:val="5EAC4E06"/>
    <w:rsid w:val="5EC604D0"/>
    <w:rsid w:val="5F097AFB"/>
    <w:rsid w:val="5F0C558F"/>
    <w:rsid w:val="5F450C82"/>
    <w:rsid w:val="5F497381"/>
    <w:rsid w:val="5F7021DD"/>
    <w:rsid w:val="5FB14DDE"/>
    <w:rsid w:val="5FE702E7"/>
    <w:rsid w:val="60421764"/>
    <w:rsid w:val="60925EFE"/>
    <w:rsid w:val="60A142F4"/>
    <w:rsid w:val="60E87913"/>
    <w:rsid w:val="60EB65B1"/>
    <w:rsid w:val="61543AA7"/>
    <w:rsid w:val="61573660"/>
    <w:rsid w:val="617C4E03"/>
    <w:rsid w:val="61A8595E"/>
    <w:rsid w:val="61B74C2F"/>
    <w:rsid w:val="61C34DD1"/>
    <w:rsid w:val="61CF0909"/>
    <w:rsid w:val="61D91120"/>
    <w:rsid w:val="62037D84"/>
    <w:rsid w:val="622D2FEC"/>
    <w:rsid w:val="62CF18FC"/>
    <w:rsid w:val="62E24DFC"/>
    <w:rsid w:val="63333B4D"/>
    <w:rsid w:val="635F2A4D"/>
    <w:rsid w:val="6364729A"/>
    <w:rsid w:val="63945D32"/>
    <w:rsid w:val="639521B2"/>
    <w:rsid w:val="63D6309B"/>
    <w:rsid w:val="6400234C"/>
    <w:rsid w:val="64654247"/>
    <w:rsid w:val="648879FF"/>
    <w:rsid w:val="64893266"/>
    <w:rsid w:val="649F237D"/>
    <w:rsid w:val="64A46DB6"/>
    <w:rsid w:val="64B17D6A"/>
    <w:rsid w:val="64CB1E1C"/>
    <w:rsid w:val="64D002C5"/>
    <w:rsid w:val="64E600C7"/>
    <w:rsid w:val="64F7303B"/>
    <w:rsid w:val="65212C55"/>
    <w:rsid w:val="653B0C4E"/>
    <w:rsid w:val="655002D9"/>
    <w:rsid w:val="656F6761"/>
    <w:rsid w:val="657B3492"/>
    <w:rsid w:val="65896FF7"/>
    <w:rsid w:val="65B13659"/>
    <w:rsid w:val="65BE45BD"/>
    <w:rsid w:val="666B7334"/>
    <w:rsid w:val="6699560A"/>
    <w:rsid w:val="66E84631"/>
    <w:rsid w:val="672C7EA4"/>
    <w:rsid w:val="676C03AF"/>
    <w:rsid w:val="67957478"/>
    <w:rsid w:val="679C54CA"/>
    <w:rsid w:val="67B36595"/>
    <w:rsid w:val="67D47E74"/>
    <w:rsid w:val="67D66A2E"/>
    <w:rsid w:val="6846311F"/>
    <w:rsid w:val="689B4FF5"/>
    <w:rsid w:val="68C30E8A"/>
    <w:rsid w:val="68DD7E50"/>
    <w:rsid w:val="6992215F"/>
    <w:rsid w:val="699B4E0C"/>
    <w:rsid w:val="69F97A58"/>
    <w:rsid w:val="6A0D6E7E"/>
    <w:rsid w:val="6A3616CF"/>
    <w:rsid w:val="6A506E57"/>
    <w:rsid w:val="6A54785D"/>
    <w:rsid w:val="6A680B78"/>
    <w:rsid w:val="6A7E481E"/>
    <w:rsid w:val="6A8B2DB9"/>
    <w:rsid w:val="6AE46FF6"/>
    <w:rsid w:val="6B063A53"/>
    <w:rsid w:val="6B241929"/>
    <w:rsid w:val="6B3E4208"/>
    <w:rsid w:val="6B40348A"/>
    <w:rsid w:val="6B477171"/>
    <w:rsid w:val="6B4E25C1"/>
    <w:rsid w:val="6B9341E5"/>
    <w:rsid w:val="6B9865B2"/>
    <w:rsid w:val="6BA8292E"/>
    <w:rsid w:val="6BAF4CA3"/>
    <w:rsid w:val="6BC40764"/>
    <w:rsid w:val="6C1046D2"/>
    <w:rsid w:val="6C3B066D"/>
    <w:rsid w:val="6D4626E6"/>
    <w:rsid w:val="6D856FB7"/>
    <w:rsid w:val="6DE041AD"/>
    <w:rsid w:val="6DFB59C9"/>
    <w:rsid w:val="6E3E697C"/>
    <w:rsid w:val="6E6762C7"/>
    <w:rsid w:val="6EF120EC"/>
    <w:rsid w:val="6F0C0393"/>
    <w:rsid w:val="6F2546E8"/>
    <w:rsid w:val="6F40396E"/>
    <w:rsid w:val="6F4D1486"/>
    <w:rsid w:val="6F4E64FB"/>
    <w:rsid w:val="6F7979D7"/>
    <w:rsid w:val="6F926F82"/>
    <w:rsid w:val="6FA05D8B"/>
    <w:rsid w:val="6FA45147"/>
    <w:rsid w:val="6FB67B0B"/>
    <w:rsid w:val="6FF81728"/>
    <w:rsid w:val="70D36FC1"/>
    <w:rsid w:val="70FE32E0"/>
    <w:rsid w:val="7198330B"/>
    <w:rsid w:val="71A006A4"/>
    <w:rsid w:val="71F71D70"/>
    <w:rsid w:val="722C78D6"/>
    <w:rsid w:val="72474A2E"/>
    <w:rsid w:val="72495BB5"/>
    <w:rsid w:val="72734D90"/>
    <w:rsid w:val="72BC49F5"/>
    <w:rsid w:val="73244B1F"/>
    <w:rsid w:val="7367138F"/>
    <w:rsid w:val="736F6FB9"/>
    <w:rsid w:val="73E816F4"/>
    <w:rsid w:val="73E85DBC"/>
    <w:rsid w:val="74073E58"/>
    <w:rsid w:val="744741E4"/>
    <w:rsid w:val="744956BC"/>
    <w:rsid w:val="745329B9"/>
    <w:rsid w:val="74956F79"/>
    <w:rsid w:val="749B07DD"/>
    <w:rsid w:val="74B31A0A"/>
    <w:rsid w:val="74B50F2F"/>
    <w:rsid w:val="74DD7FB3"/>
    <w:rsid w:val="74F47DEE"/>
    <w:rsid w:val="752244D9"/>
    <w:rsid w:val="752D2639"/>
    <w:rsid w:val="759732E3"/>
    <w:rsid w:val="75A51C42"/>
    <w:rsid w:val="75BD0449"/>
    <w:rsid w:val="75C75AFA"/>
    <w:rsid w:val="75CA461D"/>
    <w:rsid w:val="75D04886"/>
    <w:rsid w:val="75E0771B"/>
    <w:rsid w:val="76450D2B"/>
    <w:rsid w:val="766357CE"/>
    <w:rsid w:val="76CF20EB"/>
    <w:rsid w:val="76DF666D"/>
    <w:rsid w:val="76F72C9B"/>
    <w:rsid w:val="77204CC9"/>
    <w:rsid w:val="77315423"/>
    <w:rsid w:val="77335992"/>
    <w:rsid w:val="773D41B5"/>
    <w:rsid w:val="77C33A70"/>
    <w:rsid w:val="77F1442B"/>
    <w:rsid w:val="77F27443"/>
    <w:rsid w:val="780551EA"/>
    <w:rsid w:val="780E164E"/>
    <w:rsid w:val="780F6FD3"/>
    <w:rsid w:val="78264C62"/>
    <w:rsid w:val="78417015"/>
    <w:rsid w:val="787715BF"/>
    <w:rsid w:val="78C77EEF"/>
    <w:rsid w:val="78FD5513"/>
    <w:rsid w:val="790F42ED"/>
    <w:rsid w:val="791B0F60"/>
    <w:rsid w:val="7984141D"/>
    <w:rsid w:val="79BC2774"/>
    <w:rsid w:val="7A2F4144"/>
    <w:rsid w:val="7A535269"/>
    <w:rsid w:val="7A7C6A9C"/>
    <w:rsid w:val="7A913BD8"/>
    <w:rsid w:val="7A9D5435"/>
    <w:rsid w:val="7AF80EFA"/>
    <w:rsid w:val="7B4C6C72"/>
    <w:rsid w:val="7B540BBA"/>
    <w:rsid w:val="7B871643"/>
    <w:rsid w:val="7B9210A0"/>
    <w:rsid w:val="7B9470A9"/>
    <w:rsid w:val="7B9C1566"/>
    <w:rsid w:val="7BB03759"/>
    <w:rsid w:val="7BF975AC"/>
    <w:rsid w:val="7C0179FB"/>
    <w:rsid w:val="7C160C92"/>
    <w:rsid w:val="7C2D68FE"/>
    <w:rsid w:val="7C4A3C76"/>
    <w:rsid w:val="7C5A155F"/>
    <w:rsid w:val="7CB64778"/>
    <w:rsid w:val="7CC2531E"/>
    <w:rsid w:val="7CDA64D5"/>
    <w:rsid w:val="7CFB7054"/>
    <w:rsid w:val="7D1A64BC"/>
    <w:rsid w:val="7D580649"/>
    <w:rsid w:val="7D5A798E"/>
    <w:rsid w:val="7D9D269A"/>
    <w:rsid w:val="7DB54AB2"/>
    <w:rsid w:val="7DE1417C"/>
    <w:rsid w:val="7E016395"/>
    <w:rsid w:val="7E4A2D13"/>
    <w:rsid w:val="7E4F2C9B"/>
    <w:rsid w:val="7E50265C"/>
    <w:rsid w:val="7E512B64"/>
    <w:rsid w:val="7E5D169A"/>
    <w:rsid w:val="7E6C56B6"/>
    <w:rsid w:val="7E8D456E"/>
    <w:rsid w:val="7E9A6C1F"/>
    <w:rsid w:val="7EB863CE"/>
    <w:rsid w:val="7EC73732"/>
    <w:rsid w:val="7EE552C5"/>
    <w:rsid w:val="7EE764D4"/>
    <w:rsid w:val="7EEB7640"/>
    <w:rsid w:val="7F434E3B"/>
    <w:rsid w:val="7F8F6529"/>
    <w:rsid w:val="7FA73890"/>
    <w:rsid w:val="7FAB1406"/>
    <w:rsid w:val="7FB91700"/>
    <w:rsid w:val="7FF823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21872776433756"/>
          <c:y val="0.0278455284552846"/>
        </c:manualLayout>
      </c:layout>
      <c:overlay val="0"/>
      <c:spPr>
        <a:noFill/>
        <a:ln>
          <a:noFill/>
        </a:ln>
        <a:effectLst/>
      </c:spPr>
      <c:tx>
        <c:rich>
          <a:bodyPr/>
          <a:lstStyle/>
          <a:p>
            <a:pPr>
              <a:defRPr/>
            </a:pPr>
          </a:p>
        </c:rich>
      </c:tx>
    </c:title>
    <c:autoTitleDeleted val="0"/>
    <c:plotArea>
      <c:layout>
        <c:manualLayout>
          <c:layoutTarget val="inner"/>
          <c:xMode val="edge"/>
          <c:yMode val="edge"/>
          <c:x val="0.0601394620748541"/>
          <c:y val="0.033739837398374"/>
          <c:w val="0.917945069019496"/>
          <c:h val="0.654349593495935"/>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numRef>
              <c:f>Sheet1!$A$2:$A$3</c:f>
              <c:numCache>
                <c:formatCode>General</c:formatCode>
                <c:ptCount val="2"/>
                <c:pt idx="0">
                  <c:v>2018</c:v>
                </c:pt>
                <c:pt idx="1">
                  <c:v>2019</c:v>
                </c:pt>
              </c:numCache>
            </c:numRef>
          </c:cat>
          <c:val>
            <c:numRef>
              <c:f>Sheet1!$B$2:$B$3</c:f>
              <c:numCache>
                <c:formatCode>General</c:formatCode>
                <c:ptCount val="2"/>
                <c:pt idx="0">
                  <c:v>2717.6</c:v>
                </c:pt>
                <c:pt idx="1">
                  <c:v>2989.39</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2018</c:v>
                </c:pt>
                <c:pt idx="1">
                  <c:v>2019</c:v>
                </c:pt>
              </c:numCache>
            </c:numRef>
          </c:cat>
          <c:val>
            <c:numRef>
              <c:f>Sheet1!$C$2:$C$3</c:f>
              <c:numCache>
                <c:formatCode>General</c:formatCode>
                <c:ptCount val="2"/>
                <c:pt idx="0">
                  <c:v>2618.65</c:v>
                </c:pt>
                <c:pt idx="1">
                  <c:v>2756.31</c:v>
                </c:pt>
              </c:numCache>
            </c:numRef>
          </c:val>
        </c:ser>
        <c:dLbls>
          <c:showLegendKey val="0"/>
          <c:showVal val="0"/>
          <c:showCatName val="0"/>
          <c:showSerName val="0"/>
          <c:showPercent val="0"/>
          <c:showBubbleSize val="0"/>
        </c:dLbls>
        <c:gapWidth val="219"/>
        <c:overlap val="-27"/>
        <c:axId val="207306928"/>
        <c:axId val="365338569"/>
      </c:barChart>
      <c:catAx>
        <c:axId val="20730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5338569"/>
        <c:crosses val="autoZero"/>
        <c:auto val="1"/>
        <c:lblAlgn val="ctr"/>
        <c:lblOffset val="100"/>
        <c:noMultiLvlLbl val="0"/>
      </c:catAx>
      <c:valAx>
        <c:axId val="36533856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3069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6</a:t>
                    </a:r>
                    <a:r>
                      <a:rPr lang="en-US" altLang="zh-CN"/>
                      <a:t>3.56</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36</a:t>
                    </a:r>
                    <a:r>
                      <a:rPr lang="en-US" altLang="zh-CN"/>
                      <a:t>.43</a:t>
                    </a:r>
                    <a:r>
                      <a:t>%</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1900.18</c:v>
                </c:pt>
                <c:pt idx="1">
                  <c:v>1089.21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rPr lang="en-US" altLang="zh-CN"/>
                      <a:t>39.55</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60</a:t>
                    </a:r>
                    <a:r>
                      <a:rPr lang="en-US" altLang="zh-CN"/>
                      <a:t>.44</a:t>
                    </a:r>
                    <a:r>
                      <a:t>%</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1090.33</c:v>
                </c:pt>
                <c:pt idx="1">
                  <c:v>1665.98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75169175528242"/>
          <c:y val="0.386782890735861"/>
          <c:w val="0.208258527827648"/>
          <c:h val="0.174944252990067"/>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numRef>
              <c:f>Sheet1!$A$2:$A$3</c:f>
              <c:numCache>
                <c:formatCode>General</c:formatCode>
                <c:ptCount val="2"/>
                <c:pt idx="0">
                  <c:v>2018</c:v>
                </c:pt>
                <c:pt idx="1">
                  <c:v>2019</c:v>
                </c:pt>
              </c:numCache>
            </c:numRef>
          </c:cat>
          <c:val>
            <c:numRef>
              <c:f>Sheet1!$B$2:$B$3</c:f>
              <c:numCache>
                <c:formatCode>General</c:formatCode>
                <c:ptCount val="2"/>
                <c:pt idx="0">
                  <c:v>2717.6</c:v>
                </c:pt>
                <c:pt idx="1">
                  <c:v>2989.39</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numRef>
              <c:f>Sheet1!$A$2:$A$3</c:f>
              <c:numCache>
                <c:formatCode>General</c:formatCode>
                <c:ptCount val="2"/>
                <c:pt idx="0">
                  <c:v>2018</c:v>
                </c:pt>
                <c:pt idx="1">
                  <c:v>2019</c:v>
                </c:pt>
              </c:numCache>
            </c:numRef>
          </c:cat>
          <c:val>
            <c:numRef>
              <c:f>Sheet1!$C$2:$C$3</c:f>
              <c:numCache>
                <c:formatCode>General</c:formatCode>
                <c:ptCount val="2"/>
                <c:pt idx="0">
                  <c:v>2618.65</c:v>
                </c:pt>
                <c:pt idx="1">
                  <c:v>2756.31</c:v>
                </c:pt>
              </c:numCache>
            </c:numRef>
          </c:val>
        </c:ser>
        <c:dLbls>
          <c:showLegendKey val="0"/>
          <c:showVal val="0"/>
          <c:showCatName val="0"/>
          <c:showSerName val="0"/>
          <c:showPercent val="0"/>
          <c:showBubbleSize val="0"/>
        </c:dLbls>
        <c:gapWidth val="219"/>
        <c:overlap val="-27"/>
        <c:axId val="115616170"/>
        <c:axId val="990047247"/>
      </c:barChart>
      <c:catAx>
        <c:axId val="1156161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0047247"/>
        <c:crosses val="autoZero"/>
        <c:auto val="1"/>
        <c:lblAlgn val="ctr"/>
        <c:lblOffset val="100"/>
        <c:noMultiLvlLbl val="0"/>
      </c:catAx>
      <c:valAx>
        <c:axId val="99004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616170"/>
        <c:crosses val="autoZero"/>
        <c:crossBetween val="between"/>
      </c:valAx>
      <c:spPr>
        <a:noFill/>
        <a:ln>
          <a:noFill/>
        </a:ln>
        <a:effectLst/>
      </c:spPr>
    </c:plotArea>
    <c:legend>
      <c:legendPos val="b"/>
      <c:layout>
        <c:manualLayout>
          <c:xMode val="edge"/>
          <c:yMode val="edge"/>
          <c:x val="0.411656528504739"/>
          <c:y val="0.853794642857143"/>
          <c:w val="0.269203564860659"/>
          <c:h val="0.1194196428571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delete val="1"/>
          </c:dLbls>
          <c:cat>
            <c:strRef>
              <c:f>Sheet1!$A$2</c:f>
              <c:strCache>
                <c:ptCount val="1"/>
                <c:pt idx="0">
                  <c:v>一般公共预算财政拨款支出</c:v>
                </c:pt>
              </c:strCache>
            </c:strRef>
          </c:cat>
          <c:val>
            <c:numRef>
              <c:f>Sheet1!$B$2</c:f>
              <c:numCache>
                <c:formatCode>General</c:formatCode>
                <c:ptCount val="1"/>
                <c:pt idx="0">
                  <c:v>1755.45</c:v>
                </c:pt>
              </c:numCache>
            </c:numRef>
          </c:val>
        </c:ser>
        <c:ser>
          <c:idx val="1"/>
          <c:order val="1"/>
          <c:tx>
            <c:strRef>
              <c:f>Sheet1!$C$1</c:f>
              <c:strCache>
                <c:ptCount val="1"/>
                <c:pt idx="0">
                  <c:v>2019</c:v>
                </c:pt>
              </c:strCache>
            </c:strRef>
          </c:tx>
          <c:spPr>
            <a:solidFill>
              <a:schemeClr val="accent2"/>
            </a:solidFill>
            <a:ln>
              <a:noFill/>
            </a:ln>
            <a:effectLst/>
          </c:spPr>
          <c:invertIfNegative val="0"/>
          <c:dLbls>
            <c:delete val="1"/>
          </c:dLbls>
          <c:cat>
            <c:strRef>
              <c:f>Sheet1!$A$2</c:f>
              <c:strCache>
                <c:ptCount val="1"/>
                <c:pt idx="0">
                  <c:v>一般公共预算财政拨款支出</c:v>
                </c:pt>
              </c:strCache>
            </c:strRef>
          </c:cat>
          <c:val>
            <c:numRef>
              <c:f>Sheet1!$C$2</c:f>
              <c:numCache>
                <c:formatCode>General</c:formatCode>
                <c:ptCount val="1"/>
                <c:pt idx="0">
                  <c:v>1767.1</c:v>
                </c:pt>
              </c:numCache>
            </c:numRef>
          </c:val>
        </c:ser>
        <c:dLbls>
          <c:showLegendKey val="0"/>
          <c:showVal val="0"/>
          <c:showCatName val="0"/>
          <c:showSerName val="0"/>
          <c:showPercent val="0"/>
          <c:showBubbleSize val="0"/>
        </c:dLbls>
        <c:gapWidth val="219"/>
        <c:overlap val="-27"/>
        <c:axId val="997530007"/>
        <c:axId val="449633258"/>
      </c:barChart>
      <c:catAx>
        <c:axId val="99753000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633258"/>
        <c:crosses val="autoZero"/>
        <c:auto val="1"/>
        <c:lblAlgn val="ctr"/>
        <c:lblOffset val="100"/>
        <c:noMultiLvlLbl val="0"/>
      </c:catAx>
      <c:valAx>
        <c:axId val="4496332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53000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Sheet1!$A$2:$A$10</c:f>
              <c:strCache>
                <c:ptCount val="9"/>
                <c:pt idx="0">
                  <c:v>一般公共服务</c:v>
                </c:pt>
                <c:pt idx="1">
                  <c:v>文化旅游体育与传媒</c:v>
                </c:pt>
                <c:pt idx="2">
                  <c:v>社会保障和就业</c:v>
                </c:pt>
                <c:pt idx="3">
                  <c:v>卫生健康</c:v>
                </c:pt>
                <c:pt idx="4">
                  <c:v>节能环保</c:v>
                </c:pt>
                <c:pt idx="5">
                  <c:v>城乡社区</c:v>
                </c:pt>
                <c:pt idx="6">
                  <c:v>农林水</c:v>
                </c:pt>
                <c:pt idx="7">
                  <c:v>住房保障</c:v>
                </c:pt>
                <c:pt idx="8">
                  <c:v>灾害防治及应急管理</c:v>
                </c:pt>
              </c:strCache>
            </c:strRef>
          </c:cat>
          <c:val>
            <c:numRef>
              <c:f>Sheet1!$B$2:$B$10</c:f>
              <c:numCache>
                <c:formatCode>General</c:formatCode>
                <c:ptCount val="9"/>
                <c:pt idx="0">
                  <c:v>502.97</c:v>
                </c:pt>
                <c:pt idx="1">
                  <c:v>17.66</c:v>
                </c:pt>
                <c:pt idx="2">
                  <c:v>95.66</c:v>
                </c:pt>
                <c:pt idx="3">
                  <c:v>58.2</c:v>
                </c:pt>
                <c:pt idx="4">
                  <c:v>30</c:v>
                </c:pt>
                <c:pt idx="5">
                  <c:v>42.36</c:v>
                </c:pt>
                <c:pt idx="6">
                  <c:v>942.47</c:v>
                </c:pt>
                <c:pt idx="7">
                  <c:v>30.29</c:v>
                </c:pt>
                <c:pt idx="8">
                  <c:v>47.5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98375"/>
          <c:y val="0.823833333333333"/>
          <c:w val="0.83825"/>
          <c:h val="0.156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14</TotalTime>
  <ScaleCrop>false</ScaleCrop>
  <LinksUpToDate>false</LinksUpToDate>
  <CharactersWithSpaces>8536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2020-09-10T07:31:54Z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