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8441"/>
      <w:bookmarkStart w:id="3" w:name="_Toc15377193"/>
      <w:bookmarkStart w:id="4" w:name="_Toc15377425"/>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96476"/>
      <w:bookmarkStart w:id="8" w:name="_Toc15377426"/>
      <w:bookmarkStart w:id="9" w:name="_Toc15377194"/>
      <w:bookmarkStart w:id="10" w:name="_Toc15378442"/>
      <w:r>
        <w:rPr>
          <w:rFonts w:hint="eastAsia" w:ascii="方正小标宋简体" w:hAnsi="宋体" w:eastAsia="方正小标宋简体"/>
          <w:color w:val="000000"/>
          <w:sz w:val="72"/>
          <w:szCs w:val="72"/>
        </w:rPr>
        <w:t>广元市利州区</w:t>
      </w:r>
      <w:bookmarkEnd w:id="0"/>
      <w:bookmarkStart w:id="11" w:name="_Toc15306268"/>
      <w:r>
        <w:rPr>
          <w:rFonts w:hint="eastAsia" w:ascii="方正小标宋简体" w:hAnsi="宋体" w:eastAsia="方正小标宋简体"/>
          <w:color w:val="000000"/>
          <w:sz w:val="72"/>
          <w:szCs w:val="72"/>
        </w:rPr>
        <w:t>白朝乡卫生院决算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13"/>
          <w:szCs w:val="13"/>
        </w:rPr>
      </w:pPr>
    </w:p>
    <w:p>
      <w:pPr>
        <w:adjustRightInd w:val="0"/>
        <w:snapToGrid w:val="0"/>
        <w:spacing w:line="360" w:lineRule="auto"/>
        <w:jc w:val="center"/>
        <w:outlineLvl w:val="0"/>
        <w:rPr>
          <w:rFonts w:ascii="方正小标宋简体" w:hAnsi="宋体" w:eastAsia="方正小标宋简体"/>
          <w:color w:val="000000"/>
          <w:sz w:val="13"/>
          <w:szCs w:val="13"/>
        </w:rPr>
      </w:pPr>
    </w:p>
    <w:p>
      <w:pPr>
        <w:adjustRightInd w:val="0"/>
        <w:snapToGrid w:val="0"/>
        <w:spacing w:line="360" w:lineRule="auto"/>
        <w:jc w:val="center"/>
        <w:outlineLvl w:val="0"/>
        <w:rPr>
          <w:rFonts w:ascii="方正小标宋简体" w:hAnsi="宋体" w:eastAsia="方正小标宋简体"/>
          <w:color w:val="000000"/>
          <w:sz w:val="13"/>
          <w:szCs w:val="13"/>
        </w:rPr>
      </w:pPr>
    </w:p>
    <w:p>
      <w:pPr>
        <w:adjustRightInd w:val="0"/>
        <w:snapToGrid w:val="0"/>
        <w:spacing w:line="360" w:lineRule="auto"/>
        <w:jc w:val="center"/>
        <w:outlineLvl w:val="0"/>
        <w:rPr>
          <w:rFonts w:ascii="方正小标宋简体" w:hAnsi="宋体" w:eastAsia="方正小标宋简体"/>
          <w:color w:val="000000"/>
          <w:sz w:val="13"/>
          <w:szCs w:val="13"/>
        </w:rPr>
      </w:pPr>
    </w:p>
    <w:p>
      <w:pPr>
        <w:adjustRightInd w:val="0"/>
        <w:snapToGrid w:val="0"/>
        <w:spacing w:line="360" w:lineRule="auto"/>
        <w:jc w:val="center"/>
        <w:outlineLvl w:val="0"/>
        <w:rPr>
          <w:rFonts w:ascii="方正小标宋简体" w:hAnsi="宋体" w:eastAsia="方正小标宋简体"/>
          <w:color w:val="000000"/>
          <w:sz w:val="13"/>
          <w:szCs w:val="13"/>
        </w:rPr>
      </w:pPr>
    </w:p>
    <w:p>
      <w:pPr>
        <w:adjustRightInd w:val="0"/>
        <w:snapToGrid w:val="0"/>
        <w:spacing w:line="360" w:lineRule="auto"/>
        <w:jc w:val="center"/>
        <w:outlineLvl w:val="0"/>
        <w:rPr>
          <w:rFonts w:ascii="方正小标宋简体" w:hAnsi="宋体" w:eastAsia="方正小标宋简体"/>
          <w:color w:val="000000"/>
          <w:sz w:val="13"/>
          <w:szCs w:val="13"/>
        </w:rPr>
      </w:pPr>
    </w:p>
    <w:p>
      <w:pPr>
        <w:adjustRightInd w:val="0"/>
        <w:snapToGrid w:val="0"/>
        <w:spacing w:line="360" w:lineRule="auto"/>
        <w:jc w:val="center"/>
        <w:outlineLvl w:val="0"/>
        <w:rPr>
          <w:rFonts w:ascii="方正小标宋简体" w:hAnsi="宋体" w:eastAsia="方正小标宋简体"/>
          <w:color w:val="000000"/>
          <w:sz w:val="13"/>
          <w:szCs w:val="13"/>
        </w:rPr>
      </w:pPr>
    </w:p>
    <w:p>
      <w:pPr>
        <w:adjustRightInd w:val="0"/>
        <w:snapToGrid w:val="0"/>
        <w:spacing w:line="360" w:lineRule="auto"/>
        <w:jc w:val="center"/>
        <w:outlineLvl w:val="0"/>
        <w:rPr>
          <w:rFonts w:ascii="方正小标宋简体" w:hAnsi="宋体" w:eastAsia="方正小标宋简体"/>
          <w:color w:val="000000"/>
          <w:sz w:val="13"/>
          <w:szCs w:val="13"/>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1"/>
      </w:pPr>
      <w:r>
        <w:rPr>
          <w:rFonts w:hint="eastAsia"/>
        </w:rPr>
        <w:t>公开时间：2020年9月3日</w:t>
      </w:r>
    </w:p>
    <w:p/>
    <w:p>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 xml:space="preserve">部门概况  </w:t>
      </w:r>
      <w:r>
        <w:rPr>
          <w:sz w:val="24"/>
        </w:rPr>
        <w:t>……………………………………………………</w:t>
      </w:r>
      <w:r>
        <w:rPr>
          <w:rFonts w:hint="eastAsia"/>
          <w:sz w:val="24"/>
        </w:rPr>
        <w:t>4</w:t>
      </w:r>
    </w:p>
    <w:p>
      <w:pPr>
        <w:pStyle w:val="12"/>
        <w:adjustRightInd w:val="0"/>
        <w:snapToGrid w:val="0"/>
        <w:spacing w:line="440" w:lineRule="exact"/>
        <w:jc w:val="left"/>
        <w:rPr>
          <w:rFonts w:ascii="仿宋" w:hAnsi="仿宋" w:eastAsia="仿宋"/>
          <w:sz w:val="24"/>
        </w:rPr>
      </w:pPr>
      <w:r>
        <w:rPr>
          <w:rFonts w:hint="eastAsia"/>
          <w:sz w:val="24"/>
        </w:rPr>
        <w:t>一、基本职能及主要工作 …………………………………………4</w:t>
      </w:r>
    </w:p>
    <w:p>
      <w:pPr>
        <w:pStyle w:val="12"/>
        <w:adjustRightInd w:val="0"/>
        <w:snapToGrid w:val="0"/>
        <w:spacing w:line="440" w:lineRule="exact"/>
        <w:jc w:val="left"/>
        <w:rPr>
          <w:rFonts w:ascii="仿宋" w:hAnsi="仿宋" w:eastAsia="仿宋" w:cstheme="minorBidi"/>
          <w:sz w:val="24"/>
        </w:rPr>
      </w:pPr>
      <w:r>
        <w:rPr>
          <w:rFonts w:hint="eastAsia"/>
          <w:sz w:val="24"/>
        </w:rPr>
        <w:t>二、机构设置         ……………………………………………6</w:t>
      </w:r>
    </w:p>
    <w:p>
      <w:pPr>
        <w:pStyle w:val="11"/>
        <w:adjustRightInd w:val="0"/>
        <w:snapToGrid w:val="0"/>
        <w:spacing w:before="0" w:line="440" w:lineRule="exact"/>
        <w:jc w:val="left"/>
        <w:rPr>
          <w:sz w:val="24"/>
          <w:szCs w:val="24"/>
        </w:rPr>
      </w:pPr>
      <w:r>
        <w:rPr>
          <w:rFonts w:hint="eastAsia"/>
          <w:sz w:val="24"/>
        </w:rPr>
        <w:t xml:space="preserve">第二部分度部门决算情况说明   </w:t>
      </w:r>
      <w:r>
        <w:rPr>
          <w:sz w:val="24"/>
        </w:rPr>
        <w:t>………………………………………</w:t>
      </w:r>
      <w:r>
        <w:rPr>
          <w:rFonts w:hint="eastAsia"/>
          <w:sz w:val="24"/>
        </w:rPr>
        <w:t>7</w:t>
      </w:r>
    </w:p>
    <w:p>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 …………………………………7</w:t>
      </w:r>
    </w:p>
    <w:p>
      <w:pPr>
        <w:pStyle w:val="12"/>
        <w:adjustRightInd w:val="0"/>
        <w:snapToGrid w:val="0"/>
        <w:spacing w:line="440" w:lineRule="exact"/>
        <w:jc w:val="left"/>
        <w:rPr>
          <w:rFonts w:ascii="仿宋" w:hAnsi="仿宋" w:eastAsia="仿宋" w:cstheme="minorBidi"/>
          <w:sz w:val="24"/>
        </w:rPr>
      </w:pPr>
      <w:r>
        <w:rPr>
          <w:rFonts w:hint="eastAsia"/>
          <w:sz w:val="24"/>
        </w:rPr>
        <w:t>二、收入决算情况说明   …………………………………………7</w:t>
      </w:r>
    </w:p>
    <w:p>
      <w:pPr>
        <w:pStyle w:val="12"/>
        <w:adjustRightInd w:val="0"/>
        <w:snapToGrid w:val="0"/>
        <w:spacing w:line="440" w:lineRule="exact"/>
        <w:jc w:val="left"/>
        <w:rPr>
          <w:rFonts w:ascii="仿宋" w:hAnsi="仿宋" w:eastAsia="仿宋" w:cstheme="minorBidi"/>
          <w:sz w:val="24"/>
        </w:rPr>
      </w:pPr>
      <w:r>
        <w:rPr>
          <w:rFonts w:hint="eastAsia"/>
          <w:sz w:val="24"/>
        </w:rPr>
        <w:t>三、支出决算情况说明   …………………………………………8</w:t>
      </w:r>
    </w:p>
    <w:p>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四、财政拨款收入支出决算总体情况明 …………………………8</w:t>
      </w:r>
    </w:p>
    <w:p>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   ………………9</w:t>
      </w:r>
    </w:p>
    <w:p>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六、一般公共预算财政拨款基本支出决算情况说明……………10</w:t>
      </w:r>
    </w:p>
    <w:p>
      <w:pPr>
        <w:pStyle w:val="12"/>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    ………………10</w:t>
      </w:r>
    </w:p>
    <w:p>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 …………………………11</w:t>
      </w:r>
    </w:p>
    <w:p>
      <w:pPr>
        <w:pStyle w:val="12"/>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有资本经营预算支出决算情况明  ………………………11</w:t>
      </w:r>
    </w:p>
    <w:p>
      <w:pPr>
        <w:adjustRightInd w:val="0"/>
        <w:snapToGrid w:val="0"/>
        <w:spacing w:line="440" w:lineRule="exact"/>
        <w:ind w:firstLine="480" w:firstLineChars="200"/>
        <w:jc w:val="left"/>
        <w:rPr>
          <w:rFonts w:ascii="仿宋" w:hAnsi="仿宋" w:eastAsia="仿宋" w:cstheme="minorBidi"/>
          <w:sz w:val="24"/>
        </w:rPr>
      </w:pPr>
      <w:r>
        <w:rPr>
          <w:rStyle w:val="19"/>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r>
        <w:rPr>
          <w:rFonts w:hint="eastAsia" w:ascii="仿宋" w:hAnsi="仿宋" w:eastAsia="仿宋"/>
          <w:sz w:val="24"/>
        </w:rPr>
        <w:t xml:space="preserve"> </w:t>
      </w:r>
      <w:r>
        <w:rPr>
          <w:rFonts w:hint="eastAsia"/>
          <w:sz w:val="24"/>
        </w:rPr>
        <w:t>…………………………………11</w:t>
      </w:r>
    </w:p>
    <w:p>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 xml:space="preserve">名词解释 </w:t>
      </w:r>
      <w:r>
        <w:rPr>
          <w:sz w:val="24"/>
        </w:rPr>
        <w:t>…………………………………………………</w:t>
      </w:r>
      <w:r>
        <w:rPr>
          <w:rFonts w:hint="eastAsia"/>
          <w:sz w:val="24"/>
        </w:rPr>
        <w:t>..25</w:t>
      </w:r>
    </w:p>
    <w:p>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 xml:space="preserve">附件 </w:t>
      </w:r>
      <w:r>
        <w:rPr>
          <w:sz w:val="24"/>
        </w:rPr>
        <w:t>…………………………………………………………</w:t>
      </w:r>
      <w:r>
        <w:rPr>
          <w:rFonts w:hint="eastAsia"/>
          <w:sz w:val="24"/>
        </w:rPr>
        <w:t>29</w:t>
      </w:r>
    </w:p>
    <w:p>
      <w:pPr>
        <w:pStyle w:val="12"/>
        <w:adjustRightInd w:val="0"/>
        <w:snapToGrid w:val="0"/>
        <w:spacing w:line="440" w:lineRule="exact"/>
        <w:jc w:val="left"/>
        <w:rPr>
          <w:rFonts w:hint="eastAsia"/>
          <w:sz w:val="24"/>
        </w:rPr>
      </w:pPr>
      <w:r>
        <w:rPr>
          <w:rFonts w:hint="eastAsia"/>
          <w:sz w:val="24"/>
        </w:rPr>
        <w:t>附件</w:t>
      </w:r>
      <w:r>
        <w:rPr>
          <w:sz w:val="24"/>
        </w:rPr>
        <w:t>1</w:t>
      </w:r>
      <w:r>
        <w:rPr>
          <w:rFonts w:hint="eastAsia"/>
          <w:sz w:val="24"/>
        </w:rPr>
        <w:t xml:space="preserve">     …………………………………………………………29</w:t>
      </w:r>
    </w:p>
    <w:p>
      <w:pPr>
        <w:pStyle w:val="12"/>
        <w:adjustRightInd w:val="0"/>
        <w:snapToGrid w:val="0"/>
        <w:spacing w:line="440" w:lineRule="exact"/>
        <w:jc w:val="left"/>
        <w:rPr>
          <w:rFonts w:ascii="仿宋" w:hAnsi="仿宋" w:eastAsia="仿宋" w:cstheme="minorBidi"/>
          <w:sz w:val="24"/>
        </w:rPr>
      </w:pPr>
      <w:r>
        <w:rPr>
          <w:rFonts w:hint="eastAsia"/>
          <w:sz w:val="24"/>
        </w:rPr>
        <w:t>附件</w:t>
      </w:r>
      <w:r>
        <w:rPr>
          <w:sz w:val="24"/>
        </w:rPr>
        <w:t>2…</w:t>
      </w:r>
      <w:r>
        <w:rPr>
          <w:rFonts w:hint="eastAsia"/>
          <w:sz w:val="24"/>
        </w:rPr>
        <w:t>.   …………………………………………………………33</w:t>
      </w:r>
    </w:p>
    <w:p>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   ……………………………………………………</w:t>
      </w:r>
      <w:r>
        <w:rPr>
          <w:sz w:val="24"/>
        </w:rPr>
        <w:t>…</w:t>
      </w:r>
      <w:r>
        <w:rPr>
          <w:rFonts w:hint="eastAsia"/>
          <w:sz w:val="24"/>
        </w:rPr>
        <w:t>46</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收入支出决算总表……………………………………………46</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表……………………………………………………46</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表……………………………………………………46</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财政拨款收入支出决算表……………………………………46</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五、财政拨款支出决算明细表</w:t>
      </w:r>
      <w:r>
        <w:rPr>
          <w:rFonts w:hint="eastAsia"/>
          <w:sz w:val="24"/>
        </w:rPr>
        <w:t>……………………………………46</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一般公共预算财政拨款支出决算表…………………………46</w:t>
      </w:r>
    </w:p>
    <w:p>
      <w:pPr>
        <w:pStyle w:val="12"/>
        <w:adjustRightInd w:val="0"/>
        <w:snapToGrid w:val="0"/>
        <w:spacing w:line="440" w:lineRule="exact"/>
        <w:jc w:val="left"/>
        <w:rPr>
          <w:rFonts w:ascii="仿宋" w:hAnsi="仿宋" w:eastAsia="仿宋" w:cstheme="minorBidi"/>
          <w:sz w:val="24"/>
        </w:rPr>
      </w:pP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一般公共预算财政拨款支出决算明细表……………………46</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一般公共预算财政拨款基本支出决算表……………………46</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一般公共预算财政拨款项目支出决算表……………………46</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一般公共预算财政拨款“三公”经费支出决算表…………46</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政府性基金预算财政拨款收入支出决算表………………46</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政府性基金预算财政拨款“三公”经费支出决算表……46</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  …………………………46</w:t>
      </w:r>
    </w:p>
    <w:p>
      <w:pPr>
        <w:pStyle w:val="12"/>
        <w:adjustRightInd w:val="0"/>
        <w:snapToGrid w:val="0"/>
        <w:spacing w:line="440" w:lineRule="exact"/>
        <w:jc w:val="left"/>
        <w:rPr>
          <w:rFonts w:ascii="仿宋" w:hAnsi="仿宋" w:eastAsia="仿宋" w:cstheme="minorBidi"/>
          <w:sz w:val="24"/>
        </w:rPr>
      </w:pPr>
    </w:p>
    <w:p>
      <w:pPr>
        <w:widowControl/>
        <w:spacing w:line="440" w:lineRule="exact"/>
        <w:jc w:val="left"/>
        <w:rPr>
          <w:rFonts w:ascii="仿宋" w:hAnsi="仿宋" w:eastAsia="仿宋"/>
          <w:color w:val="FF0000"/>
          <w:sz w:val="24"/>
        </w:rPr>
      </w:pPr>
      <w:bookmarkStart w:id="12" w:name="_Toc15377196"/>
      <w:bookmarkStart w:id="13" w:name="_Toc15396599"/>
    </w:p>
    <w:p>
      <w:pPr>
        <w:widowControl/>
        <w:spacing w:line="440" w:lineRule="exact"/>
        <w:jc w:val="left"/>
        <w:rPr>
          <w:rFonts w:ascii="仿宋" w:hAnsi="仿宋" w:eastAsia="仿宋"/>
          <w:color w:val="FF0000"/>
          <w:sz w:val="24"/>
        </w:rPr>
      </w:pPr>
    </w:p>
    <w:p>
      <w:pPr>
        <w:widowControl/>
        <w:spacing w:line="440" w:lineRule="exact"/>
        <w:jc w:val="left"/>
        <w:rPr>
          <w:rFonts w:ascii="仿宋" w:hAnsi="仿宋" w:eastAsia="仿宋"/>
          <w:color w:val="FF0000"/>
          <w:sz w:val="24"/>
        </w:rPr>
      </w:pPr>
    </w:p>
    <w:p>
      <w:pPr>
        <w:widowControl/>
        <w:spacing w:line="440" w:lineRule="exact"/>
        <w:jc w:val="left"/>
        <w:rPr>
          <w:rFonts w:ascii="仿宋" w:hAnsi="仿宋" w:eastAsia="仿宋"/>
          <w:color w:val="FF0000"/>
          <w:sz w:val="24"/>
        </w:rPr>
      </w:pPr>
    </w:p>
    <w:p>
      <w:pPr>
        <w:widowControl/>
        <w:spacing w:line="440" w:lineRule="exact"/>
        <w:jc w:val="left"/>
        <w:rPr>
          <w:rFonts w:ascii="仿宋" w:hAnsi="仿宋" w:eastAsia="仿宋"/>
          <w:color w:val="FF0000"/>
          <w:sz w:val="24"/>
        </w:rPr>
      </w:pPr>
    </w:p>
    <w:p>
      <w:pPr>
        <w:widowControl/>
        <w:spacing w:line="440" w:lineRule="exact"/>
        <w:jc w:val="left"/>
        <w:rPr>
          <w:rFonts w:ascii="仿宋" w:hAnsi="仿宋" w:eastAsia="仿宋"/>
          <w:color w:val="FF0000"/>
          <w:sz w:val="24"/>
        </w:rPr>
      </w:pPr>
    </w:p>
    <w:p>
      <w:pPr>
        <w:widowControl/>
        <w:spacing w:line="440" w:lineRule="exact"/>
        <w:jc w:val="left"/>
        <w:rPr>
          <w:rFonts w:ascii="仿宋" w:hAnsi="仿宋" w:eastAsia="仿宋"/>
          <w:color w:val="FF0000"/>
          <w:sz w:val="24"/>
        </w:rPr>
      </w:pPr>
    </w:p>
    <w:p>
      <w:pPr>
        <w:widowControl/>
        <w:spacing w:line="440" w:lineRule="exact"/>
        <w:jc w:val="left"/>
        <w:rPr>
          <w:rFonts w:ascii="仿宋" w:hAnsi="仿宋" w:eastAsia="仿宋"/>
          <w:color w:val="FF0000"/>
          <w:sz w:val="24"/>
        </w:rPr>
      </w:pPr>
    </w:p>
    <w:p>
      <w:pPr>
        <w:widowControl/>
        <w:spacing w:line="440" w:lineRule="exact"/>
        <w:jc w:val="left"/>
        <w:rPr>
          <w:rFonts w:ascii="仿宋" w:hAnsi="仿宋" w:eastAsia="仿宋"/>
          <w:color w:val="FF0000"/>
          <w:sz w:val="24"/>
        </w:rPr>
      </w:pPr>
    </w:p>
    <w:p>
      <w:pPr>
        <w:widowControl/>
        <w:spacing w:line="440" w:lineRule="exact"/>
        <w:jc w:val="left"/>
        <w:rPr>
          <w:rFonts w:ascii="仿宋" w:hAnsi="仿宋" w:eastAsia="仿宋"/>
          <w:color w:val="FF0000"/>
          <w:sz w:val="24"/>
        </w:rPr>
      </w:pPr>
    </w:p>
    <w:p>
      <w:pPr>
        <w:widowControl/>
        <w:spacing w:line="440" w:lineRule="exact"/>
        <w:jc w:val="left"/>
        <w:rPr>
          <w:rFonts w:ascii="仿宋" w:hAnsi="仿宋" w:eastAsia="仿宋"/>
          <w:color w:val="FF0000"/>
          <w:sz w:val="24"/>
        </w:rPr>
      </w:pPr>
    </w:p>
    <w:p>
      <w:pPr>
        <w:widowControl/>
        <w:spacing w:line="440" w:lineRule="exact"/>
        <w:jc w:val="left"/>
        <w:rPr>
          <w:rFonts w:ascii="仿宋" w:hAnsi="仿宋" w:eastAsia="仿宋"/>
          <w:color w:val="FF0000"/>
          <w:sz w:val="24"/>
        </w:rPr>
      </w:pPr>
    </w:p>
    <w:p>
      <w:pPr>
        <w:widowControl/>
        <w:spacing w:line="440" w:lineRule="exact"/>
        <w:jc w:val="left"/>
        <w:rPr>
          <w:rFonts w:ascii="仿宋" w:hAnsi="仿宋" w:eastAsia="仿宋"/>
          <w:color w:val="FF0000"/>
          <w:sz w:val="24"/>
        </w:rPr>
      </w:pPr>
    </w:p>
    <w:p>
      <w:pPr>
        <w:widowControl/>
        <w:spacing w:line="440" w:lineRule="exact"/>
        <w:jc w:val="left"/>
        <w:rPr>
          <w:rFonts w:ascii="仿宋" w:hAnsi="仿宋" w:eastAsia="仿宋"/>
          <w:color w:val="FF0000"/>
          <w:sz w:val="24"/>
        </w:rPr>
      </w:pPr>
    </w:p>
    <w:p>
      <w:pPr>
        <w:widowControl/>
        <w:spacing w:line="440" w:lineRule="exact"/>
        <w:jc w:val="left"/>
        <w:rPr>
          <w:rFonts w:ascii="仿宋" w:hAnsi="仿宋" w:eastAsia="仿宋"/>
          <w:color w:val="FF0000"/>
          <w:sz w:val="24"/>
        </w:rPr>
      </w:pPr>
    </w:p>
    <w:p>
      <w:pPr>
        <w:widowControl/>
        <w:spacing w:line="440" w:lineRule="exact"/>
        <w:jc w:val="left"/>
        <w:rPr>
          <w:rFonts w:ascii="仿宋" w:hAnsi="仿宋" w:eastAsia="仿宋"/>
          <w:color w:val="FF0000"/>
          <w:sz w:val="24"/>
        </w:rPr>
      </w:pPr>
    </w:p>
    <w:p>
      <w:pPr>
        <w:widowControl/>
        <w:spacing w:line="440" w:lineRule="exact"/>
        <w:jc w:val="left"/>
        <w:rPr>
          <w:rFonts w:ascii="仿宋" w:hAnsi="仿宋" w:eastAsia="仿宋"/>
          <w:color w:val="FF0000"/>
          <w:sz w:val="24"/>
        </w:rPr>
      </w:pPr>
    </w:p>
    <w:p>
      <w:pPr>
        <w:widowControl/>
        <w:spacing w:line="440" w:lineRule="exact"/>
        <w:jc w:val="left"/>
        <w:rPr>
          <w:rFonts w:ascii="仿宋" w:hAnsi="仿宋" w:eastAsia="仿宋"/>
          <w:color w:val="FF0000"/>
          <w:sz w:val="24"/>
        </w:rPr>
      </w:pPr>
    </w:p>
    <w:p>
      <w:pPr>
        <w:widowControl/>
        <w:spacing w:line="440" w:lineRule="exact"/>
        <w:jc w:val="left"/>
        <w:rPr>
          <w:rFonts w:ascii="仿宋" w:hAnsi="仿宋" w:eastAsia="仿宋"/>
          <w:color w:val="FF0000"/>
          <w:sz w:val="24"/>
        </w:rPr>
      </w:pPr>
    </w:p>
    <w:p>
      <w:pPr>
        <w:widowControl/>
        <w:spacing w:line="440" w:lineRule="exact"/>
        <w:jc w:val="left"/>
        <w:rPr>
          <w:rFonts w:ascii="仿宋" w:hAnsi="仿宋" w:eastAsia="仿宋"/>
          <w:color w:val="FF0000"/>
          <w:sz w:val="24"/>
        </w:rPr>
      </w:pPr>
    </w:p>
    <w:p>
      <w:pPr>
        <w:widowControl/>
        <w:spacing w:line="440" w:lineRule="exact"/>
        <w:jc w:val="left"/>
        <w:rPr>
          <w:rFonts w:ascii="仿宋" w:hAnsi="仿宋" w:eastAsia="仿宋"/>
          <w:color w:val="FF0000"/>
          <w:sz w:val="24"/>
        </w:rPr>
      </w:pPr>
    </w:p>
    <w:p>
      <w:pPr>
        <w:widowControl/>
        <w:spacing w:line="440" w:lineRule="exact"/>
        <w:jc w:val="left"/>
        <w:rPr>
          <w:rFonts w:ascii="仿宋" w:hAnsi="仿宋" w:eastAsia="仿宋"/>
          <w:color w:val="FF0000"/>
          <w:sz w:val="24"/>
        </w:rPr>
      </w:pPr>
    </w:p>
    <w:p>
      <w:pPr>
        <w:widowControl/>
        <w:spacing w:line="440" w:lineRule="exact"/>
        <w:jc w:val="left"/>
        <w:rPr>
          <w:rFonts w:ascii="仿宋" w:hAnsi="仿宋" w:eastAsia="仿宋"/>
          <w:color w:val="FF0000"/>
          <w:sz w:val="24"/>
        </w:rPr>
      </w:pPr>
    </w:p>
    <w:p>
      <w:pPr>
        <w:widowControl/>
        <w:spacing w:line="440" w:lineRule="exact"/>
        <w:jc w:val="left"/>
        <w:rPr>
          <w:rFonts w:ascii="仿宋" w:hAnsi="仿宋" w:eastAsia="仿宋"/>
          <w:color w:val="FF0000"/>
          <w:sz w:val="24"/>
        </w:rPr>
      </w:pPr>
    </w:p>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2"/>
        <w:jc w:val="center"/>
        <w:rPr>
          <w:rFonts w:ascii="黑体" w:hAnsi="黑体" w:eastAsia="黑体"/>
          <w:bCs w:val="0"/>
        </w:rPr>
      </w:pPr>
      <w:r>
        <w:rPr>
          <w:rFonts w:hint="eastAsia" w:ascii="黑体" w:hAnsi="黑体" w:eastAsia="黑体"/>
          <w:b w:val="0"/>
        </w:rPr>
        <w:t xml:space="preserve">第一部分 </w:t>
      </w:r>
      <w:r>
        <w:rPr>
          <w:rStyle w:val="28"/>
          <w:rFonts w:hint="eastAsia" w:ascii="黑体" w:hAnsi="黑体" w:eastAsia="黑体"/>
          <w:b w:val="0"/>
          <w:bCs w:val="0"/>
        </w:rPr>
        <w:t>部门概况</w:t>
      </w:r>
      <w:bookmarkEnd w:id="12"/>
      <w:bookmarkEnd w:id="13"/>
    </w:p>
    <w:p>
      <w:pPr>
        <w:pStyle w:val="3"/>
        <w:rPr>
          <w:rStyle w:val="29"/>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9"/>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r>
        <w:rPr>
          <w:rFonts w:hint="eastAsia" w:ascii="仿宋" w:hAnsi="仿宋" w:eastAsia="仿宋"/>
          <w:bCs/>
          <w:color w:val="000000"/>
          <w:sz w:val="32"/>
          <w:szCs w:val="32"/>
        </w:rPr>
        <w:t>：为白朝乡辖区及周边居民身体健康提供医疗与预防保健工作。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adjustRightInd w:val="0"/>
        <w:snapToGrid w:val="0"/>
        <w:spacing w:line="540" w:lineRule="atLeast"/>
        <w:ind w:firstLine="480" w:firstLineChars="150"/>
        <w:jc w:val="left"/>
        <w:rPr>
          <w:rFonts w:ascii="仿宋_GB2312" w:hAnsi="黑体" w:eastAsia="仿宋_GB2312" w:cs="黑体"/>
          <w:bCs/>
          <w:color w:val="000000"/>
          <w:sz w:val="32"/>
          <w:szCs w:val="32"/>
        </w:rPr>
      </w:pPr>
      <w:r>
        <w:rPr>
          <w:rFonts w:hint="eastAsia" w:ascii="仿宋_GB2312" w:hAnsi="黑体" w:eastAsia="仿宋_GB2312" w:cs="黑体"/>
          <w:bCs/>
          <w:color w:val="000000"/>
          <w:sz w:val="32"/>
          <w:szCs w:val="32"/>
        </w:rPr>
        <w:t>1、业务收入稳步增长。</w:t>
      </w:r>
      <w:r>
        <w:rPr>
          <w:rFonts w:hint="eastAsia" w:ascii="仿宋_GB2312" w:hAnsi="黑体" w:eastAsia="仿宋_GB2312" w:cs="黑体"/>
          <w:bCs/>
          <w:color w:val="000000"/>
          <w:sz w:val="32"/>
          <w:szCs w:val="32"/>
          <w:lang w:val="en-US" w:eastAsia="zh-CN"/>
        </w:rPr>
        <w:t>2019年</w:t>
      </w:r>
      <w:r>
        <w:rPr>
          <w:rFonts w:hint="eastAsia" w:ascii="仿宋_GB2312" w:hAnsi="黑体" w:eastAsia="仿宋_GB2312" w:cs="黑体"/>
          <w:bCs/>
          <w:color w:val="000000"/>
          <w:sz w:val="32"/>
          <w:szCs w:val="32"/>
        </w:rPr>
        <w:t>，医疗收入40.04万元（其中药品收入20.24万元），出院133人次，与去年同期增长了6%。</w:t>
      </w:r>
    </w:p>
    <w:p>
      <w:pPr>
        <w:adjustRightInd w:val="0"/>
        <w:snapToGrid w:val="0"/>
        <w:spacing w:line="540" w:lineRule="atLeast"/>
        <w:ind w:firstLine="480" w:firstLineChars="150"/>
        <w:jc w:val="left"/>
        <w:rPr>
          <w:rFonts w:ascii="方正仿宋简体" w:hAnsi="方正仿宋简体" w:eastAsia="方正仿宋简体" w:cs="方正仿宋简体"/>
          <w:sz w:val="32"/>
          <w:szCs w:val="32"/>
        </w:rPr>
      </w:pPr>
      <w:r>
        <w:rPr>
          <w:rFonts w:hint="eastAsia" w:ascii="仿宋_GB2312" w:hAnsi="黑体" w:eastAsia="仿宋_GB2312" w:cs="黑体"/>
          <w:bCs/>
          <w:color w:val="000000"/>
          <w:sz w:val="32"/>
          <w:szCs w:val="32"/>
        </w:rPr>
        <w:t>2、党建工作扎实开展。一是完成了卫生院支部委员会换届选举，产生了新一届支部领导班子，提高了党组织战斗</w:t>
      </w:r>
      <w:r>
        <w:rPr>
          <w:rFonts w:hint="eastAsia" w:ascii="仿宋_GB2312" w:hAnsi="黑体" w:eastAsia="仿宋_GB2312" w:cs="黑体"/>
          <w:bCs/>
          <w:sz w:val="32"/>
          <w:szCs w:val="32"/>
        </w:rPr>
        <w:t>堡垒作用；二是通过“不忘初心、牢记使命”主题教育，使全院党员干部职工</w:t>
      </w:r>
      <w:r>
        <w:rPr>
          <w:rFonts w:hint="eastAsia" w:ascii="仿宋_GB2312" w:hAnsi="方正仿宋简体" w:eastAsia="仿宋_GB2312" w:cs="方正仿宋简体"/>
          <w:sz w:val="32"/>
          <w:szCs w:val="32"/>
        </w:rPr>
        <w:t>自觉把思想和行动统一到习近平总书记重要指示批示精神和主题教育的部署要求上来，增强了他们的“四个意识”、坚定了“四个自信”、做到了“两个维护”。三是</w:t>
      </w:r>
      <w:r>
        <w:rPr>
          <w:rFonts w:hint="eastAsia" w:ascii="仿宋_GB2312" w:hAnsi="方正黑体简体" w:eastAsia="仿宋_GB2312" w:cs="方正黑体简体"/>
          <w:bCs/>
          <w:color w:val="000000"/>
          <w:sz w:val="32"/>
          <w:szCs w:val="32"/>
        </w:rPr>
        <w:t>后进党支部转化升级一举验收通过。今年，</w:t>
      </w:r>
      <w:r>
        <w:rPr>
          <w:rFonts w:hint="eastAsia" w:ascii="方正仿宋简体" w:hAnsi="方正仿宋简体" w:eastAsia="方正仿宋简体" w:cs="方正仿宋简体"/>
          <w:sz w:val="32"/>
          <w:szCs w:val="32"/>
        </w:rPr>
        <w:t>卫生院党支部根据后进原因，对标补短，认真整改 ，一年来，我院的基层党组织阵地建设更加完善，医疗服务能力和服务水平得到了进一步提升，7月份完成了换届选举，培养了2名后备干部，着实加强了卫生院领导班子的力量； 通过加强对党员干部的学习与教育，增强了党组织的服务意识、服务能力、服务态度。同时通过健全民主管理制度，大大提高了全院职工参与院务的民主管理积极性，党组织的战斗堡垒作用和先锋模范作用明显改善。</w:t>
      </w:r>
    </w:p>
    <w:p>
      <w:pPr>
        <w:pStyle w:val="13"/>
        <w:widowControl/>
        <w:adjustRightInd w:val="0"/>
        <w:snapToGrid w:val="0"/>
        <w:spacing w:before="0" w:beforeAutospacing="0" w:after="0" w:afterAutospacing="0" w:line="540" w:lineRule="atLeast"/>
        <w:ind w:firstLine="480" w:firstLineChars="150"/>
        <w:rPr>
          <w:rFonts w:ascii="仿宋_GB2312" w:eastAsia="仿宋_GB2312"/>
          <w:sz w:val="32"/>
          <w:szCs w:val="32"/>
        </w:rPr>
      </w:pPr>
      <w:r>
        <w:rPr>
          <w:rFonts w:hint="eastAsia" w:ascii="仿宋_GB2312" w:hAnsi="方正仿宋简体" w:eastAsia="仿宋_GB2312" w:cs="方正仿宋简体"/>
          <w:sz w:val="32"/>
          <w:szCs w:val="32"/>
        </w:rPr>
        <w:t>3、医疗卫生扶贫工作稳步推进。</w:t>
      </w:r>
      <w:r>
        <w:rPr>
          <w:rFonts w:hint="eastAsia" w:ascii="仿宋_GB2312" w:eastAsia="仿宋_GB2312"/>
          <w:sz w:val="32"/>
          <w:szCs w:val="32"/>
        </w:rPr>
        <w:t>今年1至11月，辖区内县域内住院553人次，住院总费用277.5万元，其中医保报销235.72万元，大病医保0.4387万元，医疗救助19.1746万元，卫生扶贫基金0.8214万元，其他减免费用0.4779万元，个人自付20.55万元，个人自付费占比7.4%;县域外住院33人次，申请卫生扶贫救助基金48930.00元；辖区内建卡贫困人员住院个人自付费占比都符合政策规定。</w:t>
      </w:r>
    </w:p>
    <w:p>
      <w:pPr>
        <w:adjustRightInd w:val="0"/>
        <w:snapToGrid w:val="0"/>
        <w:spacing w:line="540" w:lineRule="atLeast"/>
        <w:ind w:firstLine="480" w:firstLineChars="150"/>
        <w:jc w:val="left"/>
        <w:rPr>
          <w:rFonts w:ascii="仿宋_GB2312" w:hAnsi="仿宋" w:eastAsia="仿宋_GB2312" w:cs="仿宋"/>
          <w:sz w:val="32"/>
          <w:szCs w:val="32"/>
        </w:rPr>
      </w:pPr>
      <w:r>
        <w:rPr>
          <w:rFonts w:hint="eastAsia" w:ascii="仿宋_GB2312" w:eastAsia="仿宋_GB2312"/>
          <w:sz w:val="32"/>
          <w:szCs w:val="32"/>
        </w:rPr>
        <w:t>4、</w:t>
      </w:r>
      <w:r>
        <w:rPr>
          <w:rFonts w:hint="eastAsia" w:ascii="仿宋_GB2312" w:hAnsi="仿宋" w:eastAsia="仿宋_GB2312" w:cs="仿宋_GB2312"/>
          <w:bCs/>
          <w:sz w:val="32"/>
          <w:szCs w:val="32"/>
        </w:rPr>
        <w:t>国家基本公共卫生项目服务工作能力显著提升</w:t>
      </w:r>
      <w:r>
        <w:rPr>
          <w:rFonts w:hint="eastAsia" w:ascii="仿宋_GB2312" w:hAnsi="仿宋" w:eastAsia="仿宋_GB2312" w:cs="方正仿宋简体"/>
          <w:bCs/>
          <w:sz w:val="32"/>
          <w:szCs w:val="32"/>
          <w:shd w:val="clear" w:color="auto" w:fill="FFFFFF"/>
        </w:rPr>
        <w:t>，综合防控能力进一步加强。</w:t>
      </w:r>
      <w:r>
        <w:rPr>
          <w:rFonts w:hint="eastAsia" w:ascii="仿宋_GB2312" w:hAnsi="仿宋" w:eastAsia="仿宋_GB2312" w:cs="仿宋"/>
          <w:sz w:val="32"/>
          <w:szCs w:val="32"/>
        </w:rPr>
        <w:t>截止目前,共为12个行政村及1个社区建立居民健康档案5998份，居民电子建档率96.7%；开展公众健康咨询活动84次，举办健康知识讲座55次；为105名0-6岁儿童接种172针次，接种率为98%；孕产妇、0-6岁儿童、65岁以上老人、慢病患者等的管理人数，规范管理率全部达到了年初目标要求。</w:t>
      </w:r>
      <w:r>
        <w:rPr>
          <w:rFonts w:ascii="仿宋_GB2312" w:hAnsi="仿宋" w:eastAsia="仿宋_GB2312" w:cs="仿宋"/>
          <w:sz w:val="32"/>
          <w:szCs w:val="32"/>
        </w:rPr>
        <w:t xml:space="preserve"> </w:t>
      </w:r>
    </w:p>
    <w:p>
      <w:pPr>
        <w:adjustRightInd w:val="0"/>
        <w:snapToGrid w:val="0"/>
        <w:spacing w:line="540" w:lineRule="atLeast"/>
        <w:ind w:firstLine="480" w:firstLineChars="150"/>
        <w:jc w:val="left"/>
        <w:rPr>
          <w:rFonts w:ascii="仿宋_GB2312" w:hAnsi="方正黑体简体" w:eastAsia="仿宋_GB2312" w:cs="方正黑体简体"/>
          <w:bCs/>
          <w:color w:val="000000"/>
          <w:sz w:val="32"/>
          <w:szCs w:val="32"/>
        </w:rPr>
      </w:pPr>
      <w:r>
        <w:rPr>
          <w:rFonts w:hint="eastAsia" w:ascii="仿宋_GB2312" w:hAnsi="方正黑体简体" w:eastAsia="仿宋_GB2312" w:cs="方正黑体简体"/>
          <w:bCs/>
          <w:color w:val="000000"/>
          <w:sz w:val="32"/>
          <w:szCs w:val="32"/>
        </w:rPr>
        <w:t>5、内涵建设进一步加强，服务流程进一步优化。今年，我院成了志愿者服务团队，设置了导医台，优化了就医流程；同时全面提升了卫生院环境卫生，为患者提供了温馨、舒适、安全的就医环境，获得了患者的好评。</w:t>
      </w:r>
    </w:p>
    <w:p>
      <w:pPr>
        <w:adjustRightInd w:val="0"/>
        <w:snapToGrid w:val="0"/>
        <w:spacing w:line="540" w:lineRule="atLeast"/>
        <w:ind w:firstLine="480" w:firstLineChars="150"/>
        <w:jc w:val="left"/>
        <w:rPr>
          <w:rFonts w:ascii="仿宋_GB2312" w:hAnsi="方正黑体简体" w:eastAsia="仿宋_GB2312" w:cs="方正黑体简体"/>
          <w:bCs/>
          <w:color w:val="000000"/>
          <w:sz w:val="32"/>
          <w:szCs w:val="32"/>
        </w:rPr>
      </w:pPr>
      <w:r>
        <w:rPr>
          <w:rFonts w:hint="eastAsia" w:ascii="仿宋_GB2312" w:hAnsi="方正黑体简体" w:eastAsia="仿宋_GB2312" w:cs="方正黑体简体"/>
          <w:bCs/>
          <w:color w:val="000000"/>
          <w:sz w:val="32"/>
          <w:szCs w:val="32"/>
        </w:rPr>
        <w:t>6、安全生产工作成效显著。今年，我院以习近平新时代中国特色社会主义思想为指导，深入贯彻落实党的十九大精神及国家、省、市、区关于安全生产的决策部署，全院开展消防知识培训两次、应急逃生演练1次、消防应急演练1次，全面完成了安全生产双重预防机制建设，使我院隐患排查治理工作得到了进一步加强，实现了把安全风险管控挺在隐患前面，把隐患排查治理挺在事故前面，扎实构建了事故应急救援最后一道防线。</w:t>
      </w:r>
    </w:p>
    <w:p>
      <w:pPr>
        <w:pStyle w:val="3"/>
        <w:rPr>
          <w:rStyle w:val="29"/>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9"/>
          <w:rFonts w:hint="eastAsia" w:ascii="黑体" w:hAnsi="黑体" w:eastAsia="黑体"/>
          <w:b w:val="0"/>
          <w:bCs w:val="0"/>
        </w:rPr>
        <w:t>构设置</w:t>
      </w:r>
      <w:bookmarkEnd w:id="20"/>
      <w:bookmarkEnd w:id="21"/>
    </w:p>
    <w:p>
      <w:pPr>
        <w:pStyle w:val="5"/>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白朝乡卫生院是纳入2019年度部门决算编制范围的全额拨款事业单位。</w:t>
      </w:r>
    </w:p>
    <w:p>
      <w:pPr>
        <w:pStyle w:val="5"/>
        <w:adjustRightInd w:val="0"/>
        <w:snapToGrid w:val="0"/>
        <w:spacing w:before="93" w:line="600" w:lineRule="exact"/>
        <w:ind w:firstLine="672" w:firstLineChars="210"/>
        <w:rPr>
          <w:rFonts w:hint="eastAsia" w:ascii="仿宋" w:hAnsi="仿宋" w:eastAsia="仿宋"/>
          <w:sz w:val="32"/>
          <w:szCs w:val="32"/>
        </w:rPr>
      </w:pPr>
    </w:p>
    <w:p>
      <w:pPr>
        <w:pStyle w:val="5"/>
        <w:adjustRightInd w:val="0"/>
        <w:snapToGrid w:val="0"/>
        <w:spacing w:before="93" w:line="600" w:lineRule="exact"/>
        <w:ind w:firstLine="672" w:firstLineChars="210"/>
        <w:rPr>
          <w:rFonts w:hint="eastAsia" w:ascii="仿宋" w:hAnsi="仿宋" w:eastAsia="仿宋"/>
          <w:sz w:val="32"/>
          <w:szCs w:val="32"/>
        </w:rPr>
      </w:pPr>
    </w:p>
    <w:p>
      <w:pPr>
        <w:pStyle w:val="5"/>
        <w:adjustRightInd w:val="0"/>
        <w:snapToGrid w:val="0"/>
        <w:spacing w:before="93" w:line="600" w:lineRule="exact"/>
        <w:ind w:firstLine="672" w:firstLineChars="210"/>
        <w:rPr>
          <w:rFonts w:hint="eastAsia" w:ascii="仿宋" w:hAnsi="仿宋" w:eastAsia="仿宋"/>
          <w:sz w:val="32"/>
          <w:szCs w:val="32"/>
        </w:rPr>
      </w:pPr>
    </w:p>
    <w:p>
      <w:pPr>
        <w:pStyle w:val="5"/>
        <w:adjustRightInd w:val="0"/>
        <w:snapToGrid w:val="0"/>
        <w:spacing w:before="93" w:line="600" w:lineRule="exact"/>
        <w:ind w:firstLine="672" w:firstLineChars="210"/>
        <w:rPr>
          <w:rFonts w:hint="eastAsia" w:ascii="仿宋" w:hAnsi="仿宋" w:eastAsia="仿宋"/>
          <w:sz w:val="32"/>
          <w:szCs w:val="32"/>
        </w:rPr>
      </w:pPr>
    </w:p>
    <w:p>
      <w:pPr>
        <w:pStyle w:val="5"/>
        <w:adjustRightInd w:val="0"/>
        <w:snapToGrid w:val="0"/>
        <w:spacing w:before="93" w:line="600" w:lineRule="exact"/>
        <w:ind w:firstLine="672" w:firstLineChars="210"/>
        <w:rPr>
          <w:rFonts w:hint="eastAsia" w:ascii="仿宋" w:hAnsi="仿宋" w:eastAsia="仿宋"/>
          <w:sz w:val="32"/>
          <w:szCs w:val="32"/>
        </w:rPr>
      </w:pPr>
    </w:p>
    <w:p>
      <w:pPr>
        <w:pStyle w:val="5"/>
        <w:adjustRightInd w:val="0"/>
        <w:snapToGrid w:val="0"/>
        <w:spacing w:before="93" w:line="600" w:lineRule="exact"/>
        <w:ind w:firstLine="672" w:firstLineChars="210"/>
        <w:rPr>
          <w:rFonts w:hint="eastAsia" w:ascii="仿宋" w:hAnsi="仿宋" w:eastAsia="仿宋"/>
          <w:sz w:val="32"/>
          <w:szCs w:val="32"/>
        </w:rPr>
      </w:pPr>
    </w:p>
    <w:p>
      <w:pPr>
        <w:pStyle w:val="5"/>
        <w:adjustRightInd w:val="0"/>
        <w:snapToGrid w:val="0"/>
        <w:spacing w:before="93" w:line="600" w:lineRule="exact"/>
        <w:ind w:firstLine="672" w:firstLineChars="210"/>
        <w:rPr>
          <w:rFonts w:hint="eastAsia" w:ascii="仿宋" w:hAnsi="仿宋" w:eastAsia="仿宋"/>
          <w:sz w:val="32"/>
          <w:szCs w:val="32"/>
        </w:rPr>
      </w:pPr>
    </w:p>
    <w:p>
      <w:pPr>
        <w:pStyle w:val="5"/>
        <w:adjustRightInd w:val="0"/>
        <w:snapToGrid w:val="0"/>
        <w:spacing w:before="93" w:line="600" w:lineRule="exact"/>
        <w:ind w:firstLine="672" w:firstLineChars="210"/>
        <w:rPr>
          <w:rFonts w:hint="eastAsia" w:ascii="仿宋" w:hAnsi="仿宋" w:eastAsia="仿宋"/>
          <w:sz w:val="32"/>
          <w:szCs w:val="32"/>
        </w:rPr>
      </w:pPr>
    </w:p>
    <w:p>
      <w:pPr>
        <w:pStyle w:val="5"/>
        <w:adjustRightInd w:val="0"/>
        <w:snapToGrid w:val="0"/>
        <w:spacing w:before="93" w:line="600" w:lineRule="exact"/>
        <w:ind w:firstLine="672" w:firstLineChars="210"/>
        <w:rPr>
          <w:rFonts w:hint="eastAsia" w:ascii="仿宋" w:hAnsi="仿宋" w:eastAsia="仿宋"/>
          <w:sz w:val="32"/>
          <w:szCs w:val="32"/>
        </w:rPr>
      </w:pPr>
    </w:p>
    <w:p>
      <w:pPr>
        <w:pStyle w:val="5"/>
        <w:adjustRightInd w:val="0"/>
        <w:snapToGrid w:val="0"/>
        <w:spacing w:before="93" w:line="600" w:lineRule="exact"/>
        <w:ind w:firstLine="672" w:firstLineChars="210"/>
        <w:rPr>
          <w:rFonts w:hint="eastAsia" w:ascii="仿宋" w:hAnsi="仿宋" w:eastAsia="仿宋"/>
          <w:sz w:val="32"/>
          <w:szCs w:val="32"/>
        </w:rPr>
      </w:pPr>
    </w:p>
    <w:p>
      <w:pPr>
        <w:pStyle w:val="5"/>
        <w:adjustRightInd w:val="0"/>
        <w:snapToGrid w:val="0"/>
        <w:spacing w:before="93" w:line="600" w:lineRule="exact"/>
        <w:ind w:firstLine="672" w:firstLineChars="210"/>
        <w:rPr>
          <w:rFonts w:hint="eastAsia" w:ascii="仿宋" w:hAnsi="仿宋" w:eastAsia="仿宋"/>
          <w:sz w:val="32"/>
          <w:szCs w:val="32"/>
        </w:rPr>
      </w:pPr>
    </w:p>
    <w:p>
      <w:pPr>
        <w:pStyle w:val="5"/>
        <w:adjustRightInd w:val="0"/>
        <w:snapToGrid w:val="0"/>
        <w:spacing w:before="93" w:line="600" w:lineRule="exact"/>
        <w:ind w:firstLine="672" w:firstLineChars="210"/>
        <w:rPr>
          <w:rFonts w:hint="eastAsia" w:ascii="仿宋" w:hAnsi="仿宋" w:eastAsia="仿宋"/>
          <w:sz w:val="32"/>
          <w:szCs w:val="32"/>
        </w:rPr>
      </w:pPr>
    </w:p>
    <w:p>
      <w:pPr>
        <w:pStyle w:val="5"/>
        <w:adjustRightInd w:val="0"/>
        <w:snapToGrid w:val="0"/>
        <w:spacing w:before="93" w:line="600" w:lineRule="exact"/>
        <w:ind w:firstLine="672" w:firstLineChars="210"/>
        <w:rPr>
          <w:rFonts w:hint="eastAsia" w:ascii="仿宋" w:hAnsi="仿宋" w:eastAsia="仿宋"/>
          <w:sz w:val="32"/>
          <w:szCs w:val="32"/>
        </w:rPr>
      </w:pPr>
    </w:p>
    <w:p>
      <w:pPr>
        <w:pStyle w:val="5"/>
        <w:adjustRightInd w:val="0"/>
        <w:snapToGrid w:val="0"/>
        <w:spacing w:before="93" w:line="600" w:lineRule="exact"/>
        <w:ind w:firstLine="672" w:firstLineChars="210"/>
        <w:rPr>
          <w:rFonts w:ascii="仿宋" w:hAnsi="仿宋" w:eastAsia="仿宋"/>
          <w:sz w:val="32"/>
          <w:szCs w:val="32"/>
        </w:rPr>
      </w:pPr>
    </w:p>
    <w:p>
      <w:pPr>
        <w:pStyle w:val="2"/>
        <w:ind w:right="440"/>
        <w:jc w:val="right"/>
        <w:rPr>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8"/>
          <w:rFonts w:hint="eastAsia" w:ascii="黑体" w:hAnsi="黑体" w:eastAsia="黑体"/>
          <w:b w:val="0"/>
          <w:bCs w:val="0"/>
        </w:rPr>
        <w:t>2019年度部门决算情况说明</w:t>
      </w:r>
      <w:bookmarkEnd w:id="22"/>
      <w:bookmarkEnd w:id="23"/>
    </w:p>
    <w:p>
      <w:pPr>
        <w:pStyle w:val="27"/>
        <w:numPr>
          <w:ilvl w:val="0"/>
          <w:numId w:val="1"/>
        </w:numPr>
        <w:spacing w:line="600" w:lineRule="exact"/>
        <w:ind w:firstLineChars="0"/>
        <w:outlineLvl w:val="1"/>
        <w:rPr>
          <w:rStyle w:val="29"/>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9"/>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2019年度收、支总计481.13万元。与2018年相比，收入减少5.56万元、支出减少21.08万元，收入、支出分别下降2.3%、7.8%。主要变动原因是收入中2019年财政拨款减少，支出中2018年购买了DR一台使2018年支出增加</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spacing w:line="600" w:lineRule="exact"/>
        <w:ind w:firstLine="640" w:firstLineChars="200"/>
        <w:rPr>
          <w:rFonts w:ascii="仿宋" w:hAnsi="仿宋" w:eastAsia="仿宋"/>
          <w:color w:val="000000" w:themeColor="text1"/>
          <w:sz w:val="32"/>
          <w:szCs w:val="32"/>
        </w:rPr>
      </w:pPr>
    </w:p>
    <w:p>
      <w:pPr>
        <w:widowControl/>
        <w:jc w:val="center"/>
        <w:rPr>
          <w:rFonts w:ascii="宋体" w:hAnsi="宋体" w:cs="宋体"/>
          <w:kern w:val="0"/>
          <w:sz w:val="24"/>
        </w:rPr>
      </w:pPr>
      <w:r>
        <w:rPr>
          <w:rFonts w:ascii="宋体" w:hAnsi="宋体" w:cs="宋体"/>
          <w:kern w:val="0"/>
          <w:sz w:val="24"/>
        </w:rPr>
        <w:drawing>
          <wp:inline distT="0" distB="0" distL="0" distR="0">
            <wp:extent cx="3810000" cy="2066925"/>
            <wp:effectExtent l="19050" t="0" r="0" b="0"/>
            <wp:docPr id="8" name="图片 3" descr="C:\Users\win\AppData\Roaming\Tencent\Users\514373907\QQ\WinTemp\RichOle\8U{5HQ_`9){}[B(K2O}GUZ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C:\Users\win\AppData\Roaming\Tencent\Users\514373907\QQ\WinTemp\RichOle\8U{5HQ_`9){}[B(K2O}GUZ1.png"/>
                    <pic:cNvPicPr>
                      <a:picLocks noChangeAspect="1" noChangeArrowheads="1"/>
                    </pic:cNvPicPr>
                  </pic:nvPicPr>
                  <pic:blipFill>
                    <a:blip r:embed="rId6"/>
                    <a:srcRect/>
                    <a:stretch>
                      <a:fillRect/>
                    </a:stretch>
                  </pic:blipFill>
                  <pic:spPr>
                    <a:xfrm>
                      <a:off x="0" y="0"/>
                      <a:ext cx="3810000" cy="2066925"/>
                    </a:xfrm>
                    <a:prstGeom prst="rect">
                      <a:avLst/>
                    </a:prstGeom>
                    <a:noFill/>
                    <a:ln w="9525">
                      <a:noFill/>
                      <a:miter lim="800000"/>
                      <a:headEnd/>
                      <a:tailEnd/>
                    </a:ln>
                  </pic:spPr>
                </pic:pic>
              </a:graphicData>
            </a:graphic>
          </wp:inline>
        </w:drawing>
      </w:r>
    </w:p>
    <w:p>
      <w:pPr>
        <w:pStyle w:val="27"/>
        <w:numPr>
          <w:ilvl w:val="0"/>
          <w:numId w:val="1"/>
        </w:numPr>
        <w:spacing w:line="600" w:lineRule="exact"/>
        <w:ind w:firstLineChars="0"/>
        <w:outlineLvl w:val="1"/>
        <w:rPr>
          <w:rStyle w:val="29"/>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9"/>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9年本年收入合计237.61万元，其中：一般公共预算财政拨款收入175.86万元，占74.01</w:t>
      </w:r>
      <w:r>
        <w:rPr>
          <w:rFonts w:ascii="仿宋" w:hAnsi="仿宋" w:eastAsia="仿宋"/>
          <w:color w:val="000000"/>
          <w:sz w:val="32"/>
          <w:szCs w:val="32"/>
        </w:rPr>
        <w:t>%</w:t>
      </w:r>
      <w:r>
        <w:rPr>
          <w:rFonts w:hint="eastAsia" w:ascii="仿宋" w:hAnsi="仿宋" w:eastAsia="仿宋"/>
          <w:color w:val="000000"/>
          <w:sz w:val="32"/>
          <w:szCs w:val="32"/>
        </w:rPr>
        <w:t>；事业收入61.75万元，占25.99</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widowControl/>
        <w:jc w:val="center"/>
        <w:rPr>
          <w:rFonts w:ascii="宋体" w:hAnsi="宋体" w:cs="宋体"/>
          <w:kern w:val="0"/>
          <w:sz w:val="24"/>
        </w:rPr>
      </w:pPr>
      <w:r>
        <w:rPr>
          <w:rFonts w:ascii="宋体" w:hAnsi="宋体" w:cs="宋体"/>
          <w:kern w:val="0"/>
          <w:sz w:val="24"/>
        </w:rPr>
        <w:drawing>
          <wp:inline distT="0" distB="0" distL="0" distR="0">
            <wp:extent cx="3619500" cy="2143125"/>
            <wp:effectExtent l="19050" t="0" r="0" b="0"/>
            <wp:docPr id="16" name="图片 16" descr="C:\Users\win\AppData\Roaming\Tencent\Users\514373907\QQ\WinTemp\RichOle\0X)7~7%1]1%Z$NB()VI0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win\AppData\Roaming\Tencent\Users\514373907\QQ\WinTemp\RichOle\0X)7~7%1]1%Z$NB()VI0IES.png"/>
                    <pic:cNvPicPr>
                      <a:picLocks noChangeAspect="1" noChangeArrowheads="1"/>
                    </pic:cNvPicPr>
                  </pic:nvPicPr>
                  <pic:blipFill>
                    <a:blip r:embed="rId7"/>
                    <a:srcRect/>
                    <a:stretch>
                      <a:fillRect/>
                    </a:stretch>
                  </pic:blipFill>
                  <pic:spPr>
                    <a:xfrm>
                      <a:off x="0" y="0"/>
                      <a:ext cx="3619500" cy="2143125"/>
                    </a:xfrm>
                    <a:prstGeom prst="rect">
                      <a:avLst/>
                    </a:prstGeom>
                    <a:noFill/>
                    <a:ln w="9525">
                      <a:noFill/>
                      <a:miter lim="800000"/>
                      <a:headEnd/>
                      <a:tailEnd/>
                    </a:ln>
                  </pic:spPr>
                </pic:pic>
              </a:graphicData>
            </a:graphic>
          </wp:inline>
        </w:drawing>
      </w:r>
    </w:p>
    <w:p>
      <w:pPr>
        <w:spacing w:line="600" w:lineRule="exact"/>
        <w:rPr>
          <w:rFonts w:ascii="仿宋_GB2312" w:eastAsia="仿宋_GB2312"/>
          <w:color w:val="FF0000"/>
          <w:sz w:val="32"/>
          <w:szCs w:val="32"/>
        </w:rPr>
      </w:pPr>
    </w:p>
    <w:p>
      <w:pPr>
        <w:pStyle w:val="27"/>
        <w:numPr>
          <w:ilvl w:val="0"/>
          <w:numId w:val="1"/>
        </w:numPr>
        <w:spacing w:line="600" w:lineRule="exact"/>
        <w:ind w:firstLineChars="0"/>
        <w:outlineLvl w:val="1"/>
        <w:rPr>
          <w:rStyle w:val="29"/>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9"/>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9年本年支出合计243.52万元，其中：基本支出148.26万元，占60.88</w:t>
      </w:r>
      <w:r>
        <w:rPr>
          <w:rFonts w:ascii="仿宋" w:hAnsi="仿宋" w:eastAsia="仿宋"/>
          <w:color w:val="000000"/>
          <w:sz w:val="32"/>
          <w:szCs w:val="32"/>
        </w:rPr>
        <w:t>%</w:t>
      </w:r>
      <w:r>
        <w:rPr>
          <w:rFonts w:hint="eastAsia" w:ascii="仿宋" w:hAnsi="仿宋" w:eastAsia="仿宋"/>
          <w:color w:val="000000"/>
          <w:sz w:val="32"/>
          <w:szCs w:val="32"/>
        </w:rPr>
        <w:t>；项目支出95.26万元，占39.12</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jc w:val="center"/>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widowControl/>
        <w:jc w:val="center"/>
        <w:rPr>
          <w:rFonts w:ascii="宋体" w:hAnsi="宋体" w:cs="宋体"/>
          <w:kern w:val="0"/>
          <w:sz w:val="24"/>
        </w:rPr>
      </w:pPr>
      <w:r>
        <w:rPr>
          <w:rFonts w:ascii="宋体" w:hAnsi="宋体" w:cs="宋体"/>
          <w:kern w:val="0"/>
          <w:sz w:val="24"/>
        </w:rPr>
        <w:drawing>
          <wp:inline distT="0" distB="0" distL="0" distR="0">
            <wp:extent cx="3248025" cy="1809750"/>
            <wp:effectExtent l="19050" t="0" r="9525" b="0"/>
            <wp:docPr id="18" name="图片 18" descr="C:\Users\win\AppData\Roaming\Tencent\Users\514373907\QQ\WinTemp\RichOle\FJRQIK~M70{8}F4AB(3CAL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win\AppData\Roaming\Tencent\Users\514373907\QQ\WinTemp\RichOle\FJRQIK~M70{8}F4AB(3CALF.png"/>
                    <pic:cNvPicPr>
                      <a:picLocks noChangeAspect="1" noChangeArrowheads="1"/>
                    </pic:cNvPicPr>
                  </pic:nvPicPr>
                  <pic:blipFill>
                    <a:blip r:embed="rId8"/>
                    <a:srcRect/>
                    <a:stretch>
                      <a:fillRect/>
                    </a:stretch>
                  </pic:blipFill>
                  <pic:spPr>
                    <a:xfrm>
                      <a:off x="0" y="0"/>
                      <a:ext cx="3248025" cy="1809750"/>
                    </a:xfrm>
                    <a:prstGeom prst="rect">
                      <a:avLst/>
                    </a:prstGeom>
                    <a:noFill/>
                    <a:ln w="9525">
                      <a:noFill/>
                      <a:miter lim="800000"/>
                      <a:headEnd/>
                      <a:tailEnd/>
                    </a:ln>
                  </pic:spPr>
                </pic:pic>
              </a:graphicData>
            </a:graphic>
          </wp:inline>
        </w:drawing>
      </w:r>
    </w:p>
    <w:p>
      <w:pPr>
        <w:spacing w:line="600" w:lineRule="exact"/>
        <w:ind w:firstLine="640" w:firstLineChars="200"/>
        <w:outlineLvl w:val="1"/>
        <w:rPr>
          <w:rStyle w:val="29"/>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9"/>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9年财政拨款收、支总计357.63万元。与</w:t>
      </w:r>
      <w:r>
        <w:rPr>
          <w:rFonts w:ascii="仿宋" w:hAnsi="仿宋" w:eastAsia="仿宋"/>
          <w:color w:val="000000"/>
          <w:sz w:val="32"/>
          <w:szCs w:val="32"/>
        </w:rPr>
        <w:t>201</w:t>
      </w:r>
      <w:r>
        <w:rPr>
          <w:rFonts w:hint="eastAsia" w:ascii="仿宋" w:hAnsi="仿宋" w:eastAsia="仿宋"/>
          <w:color w:val="000000"/>
          <w:sz w:val="32"/>
          <w:szCs w:val="32"/>
        </w:rPr>
        <w:t>8年相比，财政拨款收入减少0.56万元、支出增加16.01万元，增长10%</w:t>
      </w:r>
      <w:r>
        <w:rPr>
          <w:rFonts w:ascii="仿宋" w:hAnsi="仿宋" w:eastAsia="仿宋"/>
          <w:color w:val="000000"/>
          <w:sz w:val="32"/>
          <w:szCs w:val="32"/>
        </w:rPr>
        <w:t>%</w:t>
      </w:r>
      <w:r>
        <w:rPr>
          <w:rFonts w:hint="eastAsia" w:ascii="仿宋" w:hAnsi="仿宋" w:eastAsia="仿宋"/>
          <w:color w:val="000000"/>
          <w:sz w:val="32"/>
          <w:szCs w:val="32"/>
        </w:rPr>
        <w:t>。主要变动原因是2019年支出使用了2018年财政应返还额度10.67万元。</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widowControl/>
        <w:jc w:val="center"/>
        <w:rPr>
          <w:rFonts w:ascii="宋体" w:hAnsi="宋体" w:cs="宋体"/>
          <w:kern w:val="0"/>
          <w:sz w:val="24"/>
        </w:rPr>
      </w:pPr>
      <w:r>
        <w:rPr>
          <w:rFonts w:ascii="宋体" w:hAnsi="宋体" w:cs="宋体"/>
          <w:kern w:val="0"/>
          <w:sz w:val="24"/>
        </w:rPr>
        <w:drawing>
          <wp:inline distT="0" distB="0" distL="0" distR="0">
            <wp:extent cx="3876675" cy="2419350"/>
            <wp:effectExtent l="19050" t="0" r="9525" b="0"/>
            <wp:docPr id="20" name="图片 20" descr="C:\Users\win\AppData\Roaming\Tencent\Users\514373907\QQ\WinTemp\RichOle\[D)UP(OZ_}[$R]{LC}$P][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win\AppData\Roaming\Tencent\Users\514373907\QQ\WinTemp\RichOle\[D)UP(OZ_}[$R]{LC}$P][V.png"/>
                    <pic:cNvPicPr>
                      <a:picLocks noChangeAspect="1" noChangeArrowheads="1"/>
                    </pic:cNvPicPr>
                  </pic:nvPicPr>
                  <pic:blipFill>
                    <a:blip r:embed="rId9"/>
                    <a:srcRect/>
                    <a:stretch>
                      <a:fillRect/>
                    </a:stretch>
                  </pic:blipFill>
                  <pic:spPr>
                    <a:xfrm>
                      <a:off x="0" y="0"/>
                      <a:ext cx="3876675" cy="2419350"/>
                    </a:xfrm>
                    <a:prstGeom prst="rect">
                      <a:avLst/>
                    </a:prstGeom>
                    <a:noFill/>
                    <a:ln w="9525">
                      <a:noFill/>
                      <a:miter lim="800000"/>
                      <a:headEnd/>
                      <a:tailEnd/>
                    </a:ln>
                  </pic:spPr>
                </pic:pic>
              </a:graphicData>
            </a:graphic>
          </wp:inline>
        </w:drawing>
      </w:r>
    </w:p>
    <w:p>
      <w:pPr>
        <w:spacing w:line="600" w:lineRule="exact"/>
        <w:ind w:firstLine="640" w:firstLineChars="200"/>
        <w:outlineLvl w:val="1"/>
        <w:rPr>
          <w:rStyle w:val="29"/>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9"/>
          <w:rFonts w:hint="eastAsia" w:ascii="黑体" w:hAnsi="黑体" w:eastAsia="黑体"/>
          <w:b w:val="0"/>
        </w:rPr>
        <w:t>般公共预算财政拨款支出决算情况说明</w:t>
      </w:r>
      <w:bookmarkEnd w:id="32"/>
      <w:bookmarkEnd w:id="33"/>
    </w:p>
    <w:p>
      <w:pPr>
        <w:spacing w:line="600" w:lineRule="exact"/>
        <w:ind w:firstLine="640"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9年一般公共预算财政拨款支出181.77万元，占本年支出合计的74.64</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8年相比，一般公共预算财政拨款支出增加16.01万元，增加了10</w:t>
      </w:r>
      <w:r>
        <w:rPr>
          <w:rFonts w:ascii="仿宋" w:hAnsi="仿宋" w:eastAsia="仿宋"/>
          <w:color w:val="000000"/>
          <w:sz w:val="32"/>
          <w:szCs w:val="32"/>
        </w:rPr>
        <w:t>%</w:t>
      </w:r>
      <w:r>
        <w:rPr>
          <w:rFonts w:hint="eastAsia" w:ascii="仿宋" w:hAnsi="仿宋" w:eastAsia="仿宋"/>
          <w:color w:val="000000"/>
          <w:sz w:val="32"/>
          <w:szCs w:val="32"/>
        </w:rPr>
        <w:t>。主要变动原因是2019年财政拨款支出中使用了2018年度的财政应返还额度10.668万元。</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widowControl/>
        <w:jc w:val="center"/>
        <w:rPr>
          <w:rFonts w:ascii="宋体" w:hAnsi="宋体" w:cs="宋体"/>
          <w:kern w:val="0"/>
          <w:sz w:val="24"/>
        </w:rPr>
      </w:pPr>
      <w:r>
        <w:rPr>
          <w:rFonts w:ascii="宋体" w:hAnsi="宋体" w:cs="宋体"/>
          <w:kern w:val="0"/>
          <w:sz w:val="24"/>
        </w:rPr>
        <w:drawing>
          <wp:inline distT="0" distB="0" distL="0" distR="0">
            <wp:extent cx="3705225" cy="1743075"/>
            <wp:effectExtent l="19050" t="0" r="9525" b="0"/>
            <wp:docPr id="22" name="图片 22" descr="C:\Users\win\AppData\Roaming\Tencent\Users\514373907\QQ\WinTemp\RichOle\KD_1JAX[SR{F$XFF6YBV_G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win\AppData\Roaming\Tencent\Users\514373907\QQ\WinTemp\RichOle\KD_1JAX[SR{F$XFF6YBV_GL.png"/>
                    <pic:cNvPicPr>
                      <a:picLocks noChangeAspect="1" noChangeArrowheads="1"/>
                    </pic:cNvPicPr>
                  </pic:nvPicPr>
                  <pic:blipFill>
                    <a:blip r:embed="rId10"/>
                    <a:srcRect/>
                    <a:stretch>
                      <a:fillRect/>
                    </a:stretch>
                  </pic:blipFill>
                  <pic:spPr>
                    <a:xfrm>
                      <a:off x="0" y="0"/>
                      <a:ext cx="3705225" cy="1743075"/>
                    </a:xfrm>
                    <a:prstGeom prst="rect">
                      <a:avLst/>
                    </a:prstGeom>
                    <a:noFill/>
                    <a:ln w="9525">
                      <a:noFill/>
                      <a:miter lim="800000"/>
                      <a:headEnd/>
                      <a:tailEnd/>
                    </a:ln>
                  </pic:spPr>
                </pic:pic>
              </a:graphicData>
            </a:graphic>
          </wp:inline>
        </w:drawing>
      </w:r>
    </w:p>
    <w:p>
      <w:pPr>
        <w:spacing w:line="600" w:lineRule="exact"/>
        <w:ind w:firstLine="640"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default" w:ascii="仿宋" w:hAnsi="仿宋" w:eastAsia="仿宋"/>
          <w:b/>
          <w:color w:val="000000" w:themeColor="text1"/>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政拨款支出181.77万元，主要用于</w:t>
      </w:r>
      <w:r>
        <w:rPr>
          <w:rFonts w:hint="eastAsia" w:ascii="仿宋" w:hAnsi="仿宋" w:eastAsia="仿宋"/>
          <w:color w:val="000000" w:themeColor="text1"/>
          <w:sz w:val="32"/>
          <w:szCs w:val="32"/>
          <w:lang w:eastAsia="zh-CN"/>
        </w:rPr>
        <w:t>社会保障和就业支出</w:t>
      </w:r>
      <w:r>
        <w:rPr>
          <w:rFonts w:hint="eastAsia" w:ascii="仿宋" w:hAnsi="仿宋" w:eastAsia="仿宋"/>
          <w:color w:val="000000" w:themeColor="text1"/>
          <w:sz w:val="32"/>
          <w:szCs w:val="32"/>
          <w:lang w:val="en-US" w:eastAsia="zh-CN"/>
        </w:rPr>
        <w:t>10.47万元，</w:t>
      </w:r>
      <w:r>
        <w:rPr>
          <w:rFonts w:hint="eastAsia" w:ascii="仿宋" w:hAnsi="仿宋" w:eastAsia="仿宋"/>
          <w:color w:val="000000" w:themeColor="text1"/>
          <w:sz w:val="32"/>
          <w:szCs w:val="32"/>
        </w:rPr>
        <w:t>占</w:t>
      </w:r>
      <w:r>
        <w:rPr>
          <w:rFonts w:hint="eastAsia" w:ascii="仿宋" w:hAnsi="仿宋" w:eastAsia="仿宋"/>
          <w:color w:val="000000" w:themeColor="text1"/>
          <w:sz w:val="32"/>
          <w:szCs w:val="32"/>
          <w:lang w:val="en-US" w:eastAsia="zh-CN"/>
        </w:rPr>
        <w:t>5.76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color w:val="000000" w:themeColor="text1"/>
          <w:sz w:val="32"/>
          <w:szCs w:val="32"/>
          <w:lang w:val="en-US" w:eastAsia="zh-CN"/>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lang w:val="en-US" w:eastAsia="zh-CN"/>
        </w:rPr>
        <w:t>164.66</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90.59</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ascii="仿宋" w:hAnsi="仿宋" w:eastAsia="仿宋"/>
          <w:b/>
          <w:color w:val="000000" w:themeColor="text1"/>
          <w:sz w:val="32"/>
          <w:szCs w:val="32"/>
        </w:rPr>
        <w:t xml:space="preserve"> </w:t>
      </w:r>
      <w:r>
        <w:rPr>
          <w:rFonts w:hint="eastAsia" w:ascii="仿宋" w:hAnsi="仿宋" w:eastAsia="仿宋"/>
          <w:b/>
          <w:color w:val="000000" w:themeColor="text1"/>
          <w:sz w:val="32"/>
          <w:szCs w:val="32"/>
          <w:lang w:eastAsia="zh-CN"/>
        </w:rPr>
        <w:t>住房保障支出</w:t>
      </w:r>
      <w:r>
        <w:rPr>
          <w:rFonts w:hint="eastAsia" w:ascii="仿宋" w:hAnsi="仿宋" w:eastAsia="仿宋"/>
          <w:b/>
          <w:color w:val="000000" w:themeColor="text1"/>
          <w:sz w:val="32"/>
          <w:szCs w:val="32"/>
          <w:lang w:val="en-US" w:eastAsia="zh-CN"/>
        </w:rPr>
        <w:t>6.64万元，</w:t>
      </w:r>
      <w:r>
        <w:rPr>
          <w:rFonts w:hint="eastAsia" w:ascii="仿宋" w:hAnsi="仿宋" w:eastAsia="仿宋"/>
          <w:color w:val="000000" w:themeColor="text1"/>
          <w:sz w:val="32"/>
          <w:szCs w:val="32"/>
        </w:rPr>
        <w:t>占</w:t>
      </w:r>
      <w:r>
        <w:rPr>
          <w:rFonts w:hint="eastAsia" w:ascii="仿宋" w:hAnsi="仿宋" w:eastAsia="仿宋"/>
          <w:color w:val="000000" w:themeColor="text1"/>
          <w:sz w:val="32"/>
          <w:szCs w:val="32"/>
          <w:lang w:val="en-US" w:eastAsia="zh-CN"/>
        </w:rPr>
        <w:t>3.65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widowControl/>
        <w:jc w:val="center"/>
        <w:rPr>
          <w:rFonts w:ascii="宋体" w:hAnsi="宋体" w:cs="宋体"/>
          <w:kern w:val="0"/>
          <w:sz w:val="24"/>
        </w:rPr>
      </w:pPr>
    </w:p>
    <w:p>
      <w:pPr>
        <w:widowControl/>
        <w:jc w:val="center"/>
        <w:rPr>
          <w:rFonts w:ascii="宋体" w:hAnsi="宋体" w:cs="宋体"/>
          <w:kern w:val="0"/>
          <w:sz w:val="24"/>
        </w:rPr>
      </w:pPr>
      <w:r>
        <w:drawing>
          <wp:inline distT="0" distB="0" distL="114300" distR="114300">
            <wp:extent cx="4499610" cy="2105025"/>
            <wp:effectExtent l="5080" t="4445" r="10160" b="50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jc w:val="center"/>
        <w:rPr>
          <w:rFonts w:ascii="宋体" w:hAnsi="宋体" w:cs="宋体"/>
          <w:kern w:val="0"/>
          <w:sz w:val="24"/>
        </w:rPr>
      </w:pPr>
    </w:p>
    <w:p>
      <w:pPr>
        <w:spacing w:line="600" w:lineRule="exact"/>
        <w:outlineLvl w:val="2"/>
        <w:rPr>
          <w:rFonts w:ascii="仿宋" w:hAnsi="仿宋" w:eastAsia="仿宋"/>
          <w:b/>
          <w:color w:val="000000"/>
          <w:sz w:val="32"/>
          <w:szCs w:val="32"/>
        </w:rPr>
      </w:pPr>
      <w:bookmarkStart w:id="72" w:name="_GoBack"/>
      <w:bookmarkEnd w:id="72"/>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0" w:firstLineChars="200"/>
        <w:outlineLvl w:val="2"/>
        <w:rPr>
          <w:rFonts w:ascii="仿宋" w:hAnsi="仿宋" w:eastAsia="仿宋"/>
          <w:color w:val="FF0000"/>
          <w:sz w:val="32"/>
          <w:szCs w:val="32"/>
        </w:rPr>
      </w:pPr>
      <w:bookmarkStart w:id="37" w:name="_Toc15377444"/>
      <w:bookmarkStart w:id="38" w:name="_Toc15378460"/>
      <w:bookmarkStart w:id="39" w:name="_Toc15377213"/>
      <w:r>
        <w:rPr>
          <w:rFonts w:hint="eastAsia" w:ascii="仿宋" w:hAnsi="仿宋" w:eastAsia="仿宋"/>
          <w:b/>
          <w:color w:val="000000" w:themeColor="text1"/>
          <w:sz w:val="32"/>
          <w:szCs w:val="32"/>
        </w:rPr>
        <w:t>2019年般公共预算支出决算数为175.86</w:t>
      </w:r>
      <w:r>
        <w:rPr>
          <w:rFonts w:hint="eastAsia" w:ascii="仿宋" w:hAnsi="仿宋" w:eastAsia="仿宋"/>
          <w:color w:val="000000" w:themeColor="text1"/>
          <w:sz w:val="32"/>
          <w:szCs w:val="32"/>
        </w:rPr>
        <w:t>，</w:t>
      </w:r>
      <w:r>
        <w:rPr>
          <w:rStyle w:val="17"/>
          <w:rFonts w:hint="eastAsia" w:ascii="仿宋" w:hAnsi="仿宋" w:eastAsia="仿宋"/>
          <w:bCs/>
          <w:color w:val="000000" w:themeColor="text1"/>
          <w:sz w:val="32"/>
          <w:szCs w:val="32"/>
        </w:rPr>
        <w:t>完成</w:t>
      </w:r>
      <w:r>
        <w:rPr>
          <w:rStyle w:val="17"/>
          <w:rFonts w:hint="eastAsia" w:ascii="仿宋" w:hAnsi="仿宋" w:eastAsia="仿宋"/>
          <w:bCs/>
          <w:color w:val="000000"/>
          <w:sz w:val="32"/>
          <w:szCs w:val="32"/>
        </w:rPr>
        <w:t>预算</w:t>
      </w:r>
      <w:r>
        <w:rPr>
          <w:rStyle w:val="17"/>
          <w:rFonts w:hint="eastAsia" w:ascii="仿宋" w:hAnsi="仿宋" w:eastAsia="仿宋"/>
          <w:bCs/>
          <w:color w:val="000000"/>
          <w:sz w:val="32"/>
          <w:szCs w:val="32"/>
          <w:lang w:val="en-US" w:eastAsia="zh-CN"/>
        </w:rPr>
        <w:t>100</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。其中：</w:t>
      </w:r>
      <w:bookmarkEnd w:id="37"/>
      <w:bookmarkEnd w:id="38"/>
      <w:bookmarkEnd w:id="39"/>
    </w:p>
    <w:p>
      <w:pPr>
        <w:spacing w:line="600" w:lineRule="exact"/>
        <w:ind w:firstLine="320" w:firstLineChars="100"/>
        <w:rPr>
          <w:rStyle w:val="17"/>
          <w:rFonts w:ascii="仿宋" w:hAnsi="仿宋" w:eastAsia="仿宋"/>
          <w:bCs/>
          <w:color w:val="000000"/>
          <w:sz w:val="32"/>
          <w:szCs w:val="32"/>
        </w:rPr>
      </w:pPr>
      <w:r>
        <w:rPr>
          <w:rStyle w:val="17"/>
          <w:rFonts w:hint="eastAsia" w:ascii="仿宋" w:hAnsi="仿宋" w:eastAsia="仿宋"/>
          <w:bCs/>
          <w:color w:val="000000"/>
          <w:sz w:val="32"/>
          <w:szCs w:val="32"/>
        </w:rPr>
        <w:t xml:space="preserve">  1. 社会保障和就业（208类）</w:t>
      </w:r>
    </w:p>
    <w:p>
      <w:pPr>
        <w:spacing w:line="600" w:lineRule="exact"/>
        <w:ind w:firstLine="640"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rPr>
        <w:t>行政事业单位离退休（20805款）机关事业单位基本养老保险缴费支出（2080505项）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9.59</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；其他社会保障和就业支出（20899款）其他社会保障和就业支出（2089901项）支出决算为</w:t>
      </w:r>
      <w:r>
        <w:rPr>
          <w:rStyle w:val="17"/>
          <w:rFonts w:hint="eastAsia" w:ascii="仿宋" w:hAnsi="仿宋" w:eastAsia="仿宋"/>
          <w:b w:val="0"/>
          <w:bCs/>
          <w:color w:val="000000"/>
          <w:sz w:val="32"/>
          <w:szCs w:val="32"/>
          <w:lang w:val="en-US" w:eastAsia="zh-CN"/>
        </w:rPr>
        <w:t>0.88</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numPr>
          <w:ilvl w:val="0"/>
          <w:numId w:val="2"/>
        </w:numPr>
        <w:spacing w:line="600" w:lineRule="exact"/>
        <w:ind w:firstLine="640" w:firstLineChars="200"/>
        <w:rPr>
          <w:rStyle w:val="17"/>
          <w:rFonts w:ascii="仿宋" w:hAnsi="仿宋" w:eastAsia="仿宋"/>
          <w:bCs/>
          <w:color w:val="000000"/>
          <w:sz w:val="32"/>
          <w:szCs w:val="32"/>
        </w:rPr>
      </w:pPr>
      <w:r>
        <w:rPr>
          <w:rFonts w:hint="eastAsia" w:ascii="仿宋" w:hAnsi="仿宋" w:eastAsia="仿宋"/>
          <w:b/>
          <w:bCs/>
          <w:color w:val="000000" w:themeColor="text1"/>
          <w:sz w:val="32"/>
          <w:szCs w:val="32"/>
        </w:rPr>
        <w:t>卫生健康</w:t>
      </w:r>
      <w:r>
        <w:rPr>
          <w:rStyle w:val="17"/>
          <w:rFonts w:hint="eastAsia" w:ascii="仿宋" w:hAnsi="仿宋" w:eastAsia="仿宋"/>
          <w:bCs/>
          <w:color w:val="000000"/>
          <w:sz w:val="32"/>
          <w:szCs w:val="32"/>
        </w:rPr>
        <w:t>（210类）</w:t>
      </w:r>
    </w:p>
    <w:p>
      <w:pPr>
        <w:spacing w:line="600" w:lineRule="exact"/>
        <w:ind w:firstLine="640"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卫生健康管理事务（21001款）</w:t>
      </w:r>
      <w:r>
        <w:rPr>
          <w:rStyle w:val="17"/>
          <w:rFonts w:hint="eastAsia" w:ascii="仿宋" w:hAnsi="仿宋" w:eastAsia="仿宋"/>
          <w:b w:val="0"/>
          <w:bCs/>
          <w:color w:val="000000"/>
          <w:sz w:val="32"/>
          <w:szCs w:val="32"/>
        </w:rPr>
        <w:t>一般行政管理事务（2100102项）支出决算为</w:t>
      </w:r>
      <w:r>
        <w:rPr>
          <w:rStyle w:val="17"/>
          <w:rFonts w:hint="eastAsia" w:ascii="仿宋" w:hAnsi="仿宋" w:eastAsia="仿宋"/>
          <w:b w:val="0"/>
          <w:bCs/>
          <w:color w:val="000000"/>
          <w:sz w:val="32"/>
          <w:szCs w:val="32"/>
          <w:lang w:val="en-US" w:eastAsia="zh-CN"/>
        </w:rPr>
        <w:t>0.3</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0" w:firstLineChars="200"/>
        <w:rPr>
          <w:rStyle w:val="17"/>
          <w:rFonts w:ascii="仿宋" w:hAnsi="仿宋" w:eastAsia="仿宋"/>
          <w:b w:val="0"/>
          <w:bCs/>
          <w:color w:val="000000"/>
          <w:sz w:val="32"/>
          <w:szCs w:val="32"/>
        </w:rPr>
      </w:pPr>
      <w:r>
        <w:rPr>
          <w:rStyle w:val="17"/>
          <w:rFonts w:hint="eastAsia" w:ascii="仿宋" w:hAnsi="仿宋" w:eastAsia="仿宋"/>
          <w:color w:val="000000"/>
          <w:sz w:val="32"/>
          <w:szCs w:val="32"/>
        </w:rPr>
        <w:t>基层医疗卫生机构（21003款）</w:t>
      </w:r>
      <w:r>
        <w:rPr>
          <w:rStyle w:val="17"/>
          <w:rFonts w:hint="eastAsia" w:ascii="仿宋" w:hAnsi="仿宋" w:eastAsia="仿宋"/>
          <w:b w:val="0"/>
          <w:bCs/>
          <w:color w:val="000000"/>
          <w:sz w:val="32"/>
          <w:szCs w:val="32"/>
          <w:lang w:eastAsia="zh-CN"/>
        </w:rPr>
        <w:t>乡镇卫生院</w:t>
      </w:r>
      <w:r>
        <w:rPr>
          <w:rStyle w:val="17"/>
          <w:rFonts w:hint="eastAsia" w:ascii="仿宋" w:hAnsi="仿宋" w:eastAsia="仿宋"/>
          <w:b w:val="0"/>
          <w:bCs/>
          <w:color w:val="000000"/>
          <w:sz w:val="32"/>
          <w:szCs w:val="32"/>
        </w:rPr>
        <w:t>（21003</w:t>
      </w:r>
      <w:r>
        <w:rPr>
          <w:rStyle w:val="17"/>
          <w:rFonts w:hint="eastAsia" w:ascii="仿宋" w:hAnsi="仿宋" w:eastAsia="仿宋"/>
          <w:b w:val="0"/>
          <w:bCs/>
          <w:color w:val="000000"/>
          <w:sz w:val="32"/>
          <w:szCs w:val="32"/>
          <w:lang w:val="en-US" w:eastAsia="zh-CN"/>
        </w:rPr>
        <w:t>02</w:t>
      </w:r>
      <w:r>
        <w:rPr>
          <w:rStyle w:val="17"/>
          <w:rFonts w:hint="eastAsia" w:ascii="仿宋" w:hAnsi="仿宋" w:eastAsia="仿宋"/>
          <w:b w:val="0"/>
          <w:bCs/>
          <w:color w:val="000000"/>
          <w:sz w:val="32"/>
          <w:szCs w:val="32"/>
        </w:rPr>
        <w:t>项）支出决算为</w:t>
      </w:r>
      <w:r>
        <w:rPr>
          <w:rStyle w:val="17"/>
          <w:rFonts w:hint="eastAsia" w:ascii="仿宋" w:hAnsi="仿宋" w:eastAsia="仿宋"/>
          <w:b w:val="0"/>
          <w:bCs/>
          <w:color w:val="000000"/>
          <w:sz w:val="32"/>
          <w:szCs w:val="32"/>
          <w:lang w:val="en-US" w:eastAsia="zh-CN"/>
        </w:rPr>
        <w:t>59.14</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。其他基层医疗卫生机构（2100399项）支出决算为</w:t>
      </w:r>
      <w:r>
        <w:rPr>
          <w:rStyle w:val="17"/>
          <w:rFonts w:hint="eastAsia" w:ascii="仿宋" w:hAnsi="仿宋" w:eastAsia="仿宋"/>
          <w:b w:val="0"/>
          <w:bCs/>
          <w:color w:val="000000"/>
          <w:sz w:val="32"/>
          <w:szCs w:val="32"/>
          <w:lang w:val="en-US" w:eastAsia="zh-CN"/>
        </w:rPr>
        <w:t>37.96</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0" w:firstLineChars="200"/>
        <w:rPr>
          <w:rStyle w:val="17"/>
          <w:rFonts w:ascii="仿宋" w:hAnsi="仿宋" w:eastAsia="仿宋"/>
          <w:b w:val="0"/>
          <w:bCs/>
          <w:color w:val="000000"/>
          <w:sz w:val="32"/>
          <w:szCs w:val="32"/>
        </w:rPr>
      </w:pPr>
      <w:r>
        <w:rPr>
          <w:rStyle w:val="17"/>
          <w:rFonts w:hint="eastAsia" w:ascii="仿宋" w:hAnsi="仿宋" w:eastAsia="仿宋"/>
          <w:color w:val="000000"/>
          <w:sz w:val="32"/>
          <w:szCs w:val="32"/>
        </w:rPr>
        <w:t>公共卫生（21004款）</w:t>
      </w:r>
      <w:r>
        <w:rPr>
          <w:rStyle w:val="17"/>
          <w:rFonts w:hint="eastAsia" w:ascii="仿宋" w:hAnsi="仿宋" w:eastAsia="仿宋"/>
          <w:b w:val="0"/>
          <w:bCs/>
          <w:color w:val="000000"/>
          <w:sz w:val="32"/>
          <w:szCs w:val="32"/>
        </w:rPr>
        <w:t>基本公共卫生服务（2100408项）支出决算为</w:t>
      </w:r>
      <w:r>
        <w:rPr>
          <w:rStyle w:val="17"/>
          <w:rFonts w:hint="eastAsia" w:ascii="仿宋" w:hAnsi="仿宋" w:eastAsia="仿宋"/>
          <w:b w:val="0"/>
          <w:bCs/>
          <w:color w:val="000000"/>
          <w:sz w:val="32"/>
          <w:szCs w:val="32"/>
          <w:lang w:val="en-US" w:eastAsia="zh-CN"/>
        </w:rPr>
        <w:t>48.9</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，重大公共卫生专项（2100409项）支出决算为</w:t>
      </w:r>
      <w:r>
        <w:rPr>
          <w:rStyle w:val="17"/>
          <w:rFonts w:hint="eastAsia" w:ascii="仿宋" w:hAnsi="仿宋" w:eastAsia="仿宋"/>
          <w:b w:val="0"/>
          <w:bCs/>
          <w:color w:val="000000"/>
          <w:sz w:val="32"/>
          <w:szCs w:val="32"/>
          <w:lang w:val="en-US" w:eastAsia="zh-CN"/>
        </w:rPr>
        <w:t>5.7</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0" w:firstLineChars="200"/>
        <w:rPr>
          <w:rStyle w:val="17"/>
          <w:rFonts w:ascii="仿宋" w:hAnsi="仿宋" w:eastAsia="仿宋"/>
          <w:b w:val="0"/>
          <w:bCs/>
          <w:color w:val="000000"/>
          <w:sz w:val="32"/>
          <w:szCs w:val="32"/>
        </w:rPr>
      </w:pPr>
      <w:r>
        <w:rPr>
          <w:rStyle w:val="17"/>
          <w:rFonts w:hint="eastAsia" w:ascii="仿宋" w:hAnsi="仿宋" w:eastAsia="仿宋"/>
          <w:color w:val="000000"/>
          <w:sz w:val="32"/>
          <w:szCs w:val="32"/>
        </w:rPr>
        <w:t>计划生育服务（21007款）</w:t>
      </w:r>
      <w:r>
        <w:rPr>
          <w:rStyle w:val="17"/>
          <w:rFonts w:hint="eastAsia" w:ascii="仿宋" w:hAnsi="仿宋" w:eastAsia="仿宋"/>
          <w:b w:val="0"/>
          <w:bCs/>
          <w:color w:val="000000"/>
          <w:sz w:val="32"/>
          <w:szCs w:val="32"/>
        </w:rPr>
        <w:t>其他计划生育事务支出（2100799项）支出决算为</w:t>
      </w:r>
      <w:r>
        <w:rPr>
          <w:rStyle w:val="17"/>
          <w:rFonts w:hint="eastAsia" w:ascii="仿宋" w:hAnsi="仿宋" w:eastAsia="仿宋"/>
          <w:b w:val="0"/>
          <w:bCs/>
          <w:color w:val="000000"/>
          <w:sz w:val="32"/>
          <w:szCs w:val="32"/>
          <w:lang w:val="en-US" w:eastAsia="zh-CN"/>
        </w:rPr>
        <w:t>1.4</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0" w:firstLineChars="200"/>
        <w:rPr>
          <w:rStyle w:val="17"/>
          <w:rFonts w:ascii="仿宋" w:hAnsi="仿宋" w:eastAsia="仿宋"/>
          <w:b w:val="0"/>
          <w:bCs/>
          <w:color w:val="000000"/>
          <w:sz w:val="32"/>
          <w:szCs w:val="32"/>
        </w:rPr>
      </w:pPr>
      <w:r>
        <w:rPr>
          <w:rStyle w:val="17"/>
          <w:rFonts w:hint="eastAsia" w:ascii="仿宋" w:hAnsi="仿宋" w:eastAsia="仿宋"/>
          <w:color w:val="000000"/>
          <w:sz w:val="32"/>
          <w:szCs w:val="32"/>
        </w:rPr>
        <w:t>行政事业单位医疗（21011款）</w:t>
      </w:r>
      <w:r>
        <w:rPr>
          <w:rStyle w:val="17"/>
          <w:rFonts w:hint="eastAsia" w:ascii="仿宋" w:hAnsi="仿宋" w:eastAsia="仿宋"/>
          <w:b w:val="0"/>
          <w:bCs/>
          <w:color w:val="000000"/>
          <w:sz w:val="32"/>
          <w:szCs w:val="32"/>
          <w:lang w:eastAsia="zh-CN"/>
        </w:rPr>
        <w:t>事业</w:t>
      </w:r>
      <w:r>
        <w:rPr>
          <w:rStyle w:val="17"/>
          <w:rFonts w:hint="eastAsia" w:ascii="仿宋" w:hAnsi="仿宋" w:eastAsia="仿宋"/>
          <w:b w:val="0"/>
          <w:bCs/>
          <w:color w:val="000000"/>
          <w:sz w:val="32"/>
          <w:szCs w:val="32"/>
        </w:rPr>
        <w:t>单位医疗（210110</w:t>
      </w:r>
      <w:r>
        <w:rPr>
          <w:rStyle w:val="17"/>
          <w:rFonts w:hint="eastAsia" w:ascii="仿宋" w:hAnsi="仿宋" w:eastAsia="仿宋"/>
          <w:b w:val="0"/>
          <w:bCs/>
          <w:color w:val="000000"/>
          <w:sz w:val="32"/>
          <w:szCs w:val="32"/>
          <w:lang w:val="en-US" w:eastAsia="zh-CN"/>
        </w:rPr>
        <w:t>2</w:t>
      </w:r>
      <w:r>
        <w:rPr>
          <w:rStyle w:val="17"/>
          <w:rFonts w:hint="eastAsia" w:ascii="仿宋" w:hAnsi="仿宋" w:eastAsia="仿宋"/>
          <w:b w:val="0"/>
          <w:bCs/>
          <w:color w:val="000000"/>
          <w:sz w:val="32"/>
          <w:szCs w:val="32"/>
        </w:rPr>
        <w:t>项）支出决算为</w:t>
      </w:r>
      <w:r>
        <w:rPr>
          <w:rStyle w:val="17"/>
          <w:rFonts w:hint="eastAsia" w:ascii="仿宋" w:hAnsi="仿宋" w:eastAsia="仿宋"/>
          <w:b w:val="0"/>
          <w:bCs/>
          <w:color w:val="000000"/>
          <w:sz w:val="32"/>
          <w:szCs w:val="32"/>
          <w:lang w:val="en-US" w:eastAsia="zh-CN"/>
        </w:rPr>
        <w:t>4.35</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0" w:firstLineChars="200"/>
        <w:rPr>
          <w:rStyle w:val="17"/>
          <w:rFonts w:ascii="仿宋" w:hAnsi="仿宋" w:eastAsia="仿宋"/>
          <w:b w:val="0"/>
          <w:bCs/>
          <w:color w:val="000000"/>
          <w:sz w:val="32"/>
          <w:szCs w:val="32"/>
        </w:rPr>
      </w:pPr>
      <w:r>
        <w:rPr>
          <w:rStyle w:val="17"/>
          <w:rFonts w:hint="eastAsia" w:ascii="仿宋" w:hAnsi="仿宋" w:eastAsia="仿宋"/>
          <w:color w:val="000000"/>
          <w:sz w:val="32"/>
          <w:szCs w:val="32"/>
        </w:rPr>
        <w:t>其他卫生健康支出（21099款）</w:t>
      </w:r>
      <w:r>
        <w:rPr>
          <w:rStyle w:val="17"/>
          <w:rFonts w:hint="eastAsia" w:ascii="仿宋" w:hAnsi="仿宋" w:eastAsia="仿宋"/>
          <w:b w:val="0"/>
          <w:bCs/>
          <w:color w:val="000000"/>
          <w:sz w:val="32"/>
          <w:szCs w:val="32"/>
        </w:rPr>
        <w:t>其他卫生健康支出（2109901项）支出决算为</w:t>
      </w:r>
      <w:r>
        <w:rPr>
          <w:rStyle w:val="17"/>
          <w:rFonts w:hint="eastAsia" w:ascii="仿宋" w:hAnsi="仿宋" w:eastAsia="仿宋"/>
          <w:b w:val="0"/>
          <w:bCs/>
          <w:color w:val="000000"/>
          <w:sz w:val="32"/>
          <w:szCs w:val="32"/>
          <w:lang w:val="en-US" w:eastAsia="zh-CN"/>
        </w:rPr>
        <w:t>1</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numPr>
          <w:ilvl w:val="0"/>
          <w:numId w:val="2"/>
        </w:numPr>
        <w:spacing w:line="600" w:lineRule="exact"/>
        <w:ind w:firstLine="640" w:firstLineChars="200"/>
        <w:rPr>
          <w:rStyle w:val="17"/>
          <w:rFonts w:ascii="仿宋" w:hAnsi="仿宋" w:eastAsia="仿宋"/>
          <w:color w:val="000000"/>
          <w:sz w:val="32"/>
          <w:szCs w:val="32"/>
        </w:rPr>
      </w:pPr>
      <w:r>
        <w:rPr>
          <w:rStyle w:val="17"/>
          <w:rFonts w:hint="eastAsia" w:ascii="仿宋" w:hAnsi="仿宋" w:eastAsia="仿宋"/>
          <w:color w:val="000000"/>
          <w:sz w:val="32"/>
          <w:szCs w:val="32"/>
        </w:rPr>
        <w:t>住房保障支出（221类）</w:t>
      </w:r>
    </w:p>
    <w:p>
      <w:pPr>
        <w:spacing w:line="600" w:lineRule="exact"/>
        <w:ind w:firstLine="640" w:firstLineChars="200"/>
        <w:rPr>
          <w:rStyle w:val="17"/>
          <w:rFonts w:ascii="仿宋" w:hAnsi="仿宋" w:eastAsia="仿宋"/>
          <w:b w:val="0"/>
          <w:bCs/>
          <w:color w:val="000000"/>
          <w:sz w:val="32"/>
          <w:szCs w:val="32"/>
        </w:rPr>
      </w:pPr>
      <w:r>
        <w:rPr>
          <w:rStyle w:val="17"/>
          <w:rFonts w:hint="eastAsia" w:ascii="仿宋" w:hAnsi="仿宋" w:eastAsia="仿宋"/>
          <w:color w:val="000000"/>
          <w:sz w:val="32"/>
          <w:szCs w:val="32"/>
        </w:rPr>
        <w:t>住房改革支出（22102款）</w:t>
      </w:r>
      <w:r>
        <w:rPr>
          <w:rStyle w:val="17"/>
          <w:rFonts w:hint="eastAsia" w:ascii="仿宋" w:hAnsi="仿宋" w:eastAsia="仿宋"/>
          <w:b w:val="0"/>
          <w:bCs/>
          <w:color w:val="000000"/>
          <w:sz w:val="32"/>
          <w:szCs w:val="32"/>
        </w:rPr>
        <w:t>住房公积金（2210201项）支出决算为</w:t>
      </w:r>
      <w:r>
        <w:rPr>
          <w:rStyle w:val="17"/>
          <w:rFonts w:hint="eastAsia" w:ascii="仿宋" w:hAnsi="仿宋" w:eastAsia="仿宋"/>
          <w:b w:val="0"/>
          <w:bCs/>
          <w:color w:val="000000"/>
          <w:sz w:val="32"/>
          <w:szCs w:val="32"/>
          <w:lang w:val="en-US" w:eastAsia="zh-CN"/>
        </w:rPr>
        <w:t>6.64</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tabs>
          <w:tab w:val="right" w:pos="8306"/>
        </w:tabs>
        <w:spacing w:line="600" w:lineRule="exact"/>
        <w:ind w:firstLine="640" w:firstLineChars="200"/>
        <w:outlineLvl w:val="1"/>
        <w:rPr>
          <w:rStyle w:val="29"/>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9"/>
          <w:rFonts w:hint="eastAsia" w:ascii="黑体" w:hAnsi="黑体" w:eastAsia="黑体"/>
          <w:b w:val="0"/>
        </w:rPr>
        <w:t>般公共预算财政拨款基本支出决算情况说明</w:t>
      </w:r>
      <w:bookmarkEnd w:id="40"/>
      <w:bookmarkEnd w:id="41"/>
      <w:r>
        <w:rPr>
          <w:rStyle w:val="29"/>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9年一般公共预算财政拨款基本支出86.51万元，其中：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83.98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日常公用经费2.53万元，主要包括：工会经费、福利费等。</w:t>
      </w:r>
    </w:p>
    <w:p>
      <w:pPr>
        <w:spacing w:line="600" w:lineRule="exact"/>
        <w:ind w:firstLine="640"/>
        <w:outlineLvl w:val="1"/>
        <w:rPr>
          <w:rStyle w:val="29"/>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9"/>
          <w:rFonts w:hint="eastAsia" w:ascii="黑体" w:hAnsi="黑体" w:eastAsia="黑体"/>
        </w:rPr>
        <w:t>“</w:t>
      </w:r>
      <w:r>
        <w:rPr>
          <w:rStyle w:val="29"/>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b/>
          <w:sz w:val="32"/>
          <w:szCs w:val="32"/>
        </w:rPr>
      </w:pPr>
      <w:r>
        <w:rPr>
          <w:rFonts w:hint="eastAsia" w:ascii="仿宋" w:hAnsi="仿宋" w:eastAsia="仿宋"/>
          <w:b/>
          <w:sz w:val="32"/>
          <w:szCs w:val="32"/>
        </w:rPr>
        <w:t>无</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outlineLvl w:val="2"/>
        <w:rPr>
          <w:rFonts w:ascii="仿宋" w:hAnsi="仿宋" w:eastAsia="仿宋"/>
          <w:b/>
          <w:color w:val="000000"/>
          <w:sz w:val="32"/>
          <w:szCs w:val="32"/>
        </w:rPr>
      </w:pPr>
      <w:r>
        <w:rPr>
          <w:rFonts w:hint="eastAsia" w:ascii="仿宋" w:hAnsi="仿宋" w:eastAsia="仿宋"/>
          <w:b/>
          <w:color w:val="000000"/>
          <w:sz w:val="32"/>
          <w:szCs w:val="32"/>
        </w:rPr>
        <w:t>无</w:t>
      </w:r>
    </w:p>
    <w:p>
      <w:pPr>
        <w:spacing w:line="600" w:lineRule="exact"/>
        <w:ind w:firstLine="640"/>
        <w:outlineLvl w:val="1"/>
        <w:rPr>
          <w:rStyle w:val="29"/>
          <w:rFonts w:ascii="黑体" w:hAnsi="黑体" w:eastAsia="黑体"/>
        </w:rPr>
      </w:pPr>
      <w:bookmarkStart w:id="46" w:name="_Toc15396610"/>
      <w:bookmarkStart w:id="47" w:name="_Toc15377218"/>
      <w:r>
        <w:rPr>
          <w:rFonts w:hint="eastAsia" w:ascii="黑体" w:eastAsia="黑体"/>
          <w:color w:val="000000"/>
          <w:sz w:val="32"/>
          <w:szCs w:val="32"/>
        </w:rPr>
        <w:t>八、</w:t>
      </w:r>
      <w:r>
        <w:rPr>
          <w:rStyle w:val="29"/>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9年政府性基金预算拨款支出0万元。</w:t>
      </w:r>
    </w:p>
    <w:p>
      <w:pPr>
        <w:numPr>
          <w:ilvl w:val="0"/>
          <w:numId w:val="3"/>
        </w:numPr>
        <w:spacing w:line="600" w:lineRule="exact"/>
        <w:ind w:firstLine="640"/>
        <w:outlineLvl w:val="1"/>
        <w:rPr>
          <w:rStyle w:val="29"/>
          <w:rFonts w:ascii="黑体" w:hAnsi="黑体" w:eastAsia="黑体"/>
          <w:b w:val="0"/>
        </w:rPr>
      </w:pPr>
      <w:bookmarkStart w:id="48" w:name="_Toc15396611"/>
      <w:bookmarkStart w:id="49" w:name="_Toc15377219"/>
      <w:r>
        <w:rPr>
          <w:rStyle w:val="29"/>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spacing w:line="600" w:lineRule="exact"/>
        <w:ind w:firstLine="800" w:firstLineChars="250"/>
        <w:outlineLvl w:val="1"/>
        <w:rPr>
          <w:rStyle w:val="29"/>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9"/>
          <w:rFonts w:hint="eastAsia" w:ascii="黑体" w:hAnsi="黑体" w:eastAsia="黑体"/>
        </w:rPr>
        <w:t>、</w:t>
      </w:r>
      <w:r>
        <w:rPr>
          <w:rStyle w:val="29"/>
          <w:rFonts w:hint="eastAsia" w:ascii="黑体" w:hAnsi="黑体" w:eastAsia="黑体"/>
          <w:b w:val="0"/>
        </w:rPr>
        <w:t>其他重要事项的情况说明</w:t>
      </w:r>
      <w:bookmarkEnd w:id="50"/>
      <w:bookmarkEnd w:id="51"/>
    </w:p>
    <w:p>
      <w:pPr>
        <w:spacing w:line="600" w:lineRule="exact"/>
        <w:ind w:firstLine="640" w:firstLineChars="200"/>
        <w:outlineLvl w:val="2"/>
        <w:rPr>
          <w:rFonts w:ascii="仿宋" w:hAnsi="仿宋" w:eastAsia="仿宋"/>
          <w:b/>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outlineLvl w:val="2"/>
        <w:rPr>
          <w:rFonts w:ascii="仿宋" w:hAnsi="仿宋" w:eastAsia="仿宋"/>
          <w:color w:val="000000"/>
          <w:sz w:val="32"/>
          <w:szCs w:val="32"/>
        </w:rPr>
      </w:pPr>
      <w:r>
        <w:rPr>
          <w:rFonts w:hint="eastAsia" w:ascii="仿宋" w:hAnsi="仿宋" w:eastAsia="仿宋"/>
          <w:b/>
          <w:color w:val="000000"/>
          <w:sz w:val="32"/>
          <w:szCs w:val="32"/>
        </w:rPr>
        <w:t>无</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无</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日，白朝乡卫生院共有车辆2辆，其中：其他用车2辆，</w:t>
      </w:r>
      <w:r>
        <w:rPr>
          <w:rFonts w:hint="eastAsia" w:ascii="仿宋_GB2312" w:eastAsia="仿宋_GB2312"/>
          <w:color w:val="000000" w:themeColor="text1"/>
          <w:sz w:val="32"/>
          <w:szCs w:val="32"/>
        </w:rPr>
        <w:t>其他用车主要是用于开展医疗活动应急救护用车。单价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国家公共卫生服服务项目、一般行政管理事务项目、其他基层医疗机构支出管理项目、其他计划生育事务支出项目和其他卫生健康支出项目等开展了预算事前绩效评估，对5个项目编制了绩效目标，预算执行过程中，选取1个项目开展绩效监控，年终执行完毕后，对5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2019年部门整体支出开展绩效自评，从评价情况来看，所有支出项目管理资金专款专用、使用规范，流程合理，无挤占挪用等现象发生，同时通过项目资金的支出使用，群众对卫生院各项工作满意度显著提高。</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单位在2019年度部门决算中反映“国家公共卫生服服务项目”、“一般行政管理事务项目”、“其他基层医疗机构支出管理项目”、“其他计划生育事务支出项目”和“其他卫生健康支出项目”等5个项目绩效目标实际完成情况，现对5个项目全部进行公开，情况如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国家公共卫生服务项目绩效目标完成情况综述。项目全年预算数54.6万元，执行数为54.6万元，完成预算的100%。通过项目实施，提高了辖区6200余人的疾病预防、传染病防控、预防保健能力，使他们的健康素养水平显著提升，做到了让政府放心，使人民满意。发现的主要问题：一是从事公共卫生服务项目的人员业务能力还需提高；本单位人手紧张，工作量大，导致工作质量和效果欠佳。下一步改进措施：一是健全机制，强化工作职责；二是加强医务人员业务培训，提高公共服务项目服务能力和水平。</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一般行政管理事务项目绩效目标完成情况综述。项目全年预算数0.3万元，执行数为0.3万元，完成预算的100%。通过项目实施，保障了辖区40余人从业人员的身体健康，为辖区社会经济发展提供了坚强的传染病防控和疾病预防工作。发现的主要问题：无。下一步改进措施：无</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（3）其他基层医疗机构支出管理项目绩效目标完成情况综述。项目全年预算数37.96万元，执行数为37.96万元，完成预算的100%。通过基本药物项目实施</w:t>
      </w:r>
      <w:r>
        <w:rPr>
          <w:rFonts w:hint="eastAsia" w:ascii="仿宋_GB2312" w:hAnsi="Arial" w:eastAsia="仿宋_GB2312" w:cs="Arial"/>
          <w:color w:val="333333"/>
          <w:sz w:val="32"/>
          <w:szCs w:val="32"/>
        </w:rPr>
        <w:t>，降低了药品成本，在一定程度上减轻了病人负担，使群众得到了实惠，得到辖区广大患者的好评</w:t>
      </w:r>
      <w:r>
        <w:rPr>
          <w:rFonts w:hint="eastAsia" w:ascii="仿宋_GB2312" w:hAnsi="仿宋_GB2312" w:eastAsia="仿宋_GB2312" w:cs="仿宋_GB2312"/>
          <w:sz w:val="32"/>
          <w:szCs w:val="32"/>
        </w:rPr>
        <w:t>，发现的主要问题：一是</w:t>
      </w:r>
      <w:r>
        <w:rPr>
          <w:rFonts w:hint="eastAsia" w:ascii="仿宋_GB2312" w:hAnsi="Arial" w:eastAsia="仿宋_GB2312" w:cs="Arial"/>
          <w:color w:val="333333"/>
          <w:sz w:val="32"/>
          <w:szCs w:val="32"/>
        </w:rPr>
        <w:t>部分群众对国家基本药物项目不了解；二是由于本单位自身条件及医疗设备器材等因素发展空间不足，限制了就诊人数的进一步提升和就诊环境的进一步优化。</w:t>
      </w:r>
      <w:r>
        <w:rPr>
          <w:rFonts w:hint="eastAsia" w:ascii="仿宋_GB2312" w:hAnsi="仿宋_GB2312" w:eastAsia="仿宋_GB2312" w:cs="仿宋_GB2312"/>
          <w:sz w:val="32"/>
          <w:szCs w:val="32"/>
        </w:rPr>
        <w:t>下一步改进措施：加强本单位医务人员服务能力提升，提高医务人员的医疗服务水平，为患者提供优质高效的医疗服务。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（4）其他计划生育事务支出管理项目绩效目标完成情况综述。项目全年预算数1.4万元，执行数为1.4万元，完成预算的100%。通过项目实施，</w:t>
      </w:r>
      <w:r>
        <w:rPr>
          <w:rFonts w:hint="eastAsia" w:ascii="仿宋" w:hAnsi="仿宋" w:eastAsia="仿宋"/>
          <w:color w:val="000000"/>
          <w:sz w:val="32"/>
          <w:szCs w:val="32"/>
          <w:shd w:val="clear" w:color="auto" w:fill="FFFFFF"/>
        </w:rPr>
        <w:t>提高了辖区人口质量，改善了人口结构、促进了辖区人口的全面发展，同时通过</w:t>
      </w:r>
      <w:r>
        <w:rPr>
          <w:rFonts w:hint="eastAsia" w:ascii="仿宋" w:hAnsi="仿宋" w:eastAsia="仿宋"/>
          <w:color w:val="000000"/>
          <w:spacing w:val="15"/>
          <w:sz w:val="32"/>
          <w:szCs w:val="32"/>
          <w:shd w:val="clear" w:color="auto" w:fill="FFFFFF"/>
        </w:rPr>
        <w:t>广泛开展“婚育新风进万家”、计生法规、奖励和优惠政策的集中宣传服务活动，促进了群众婚育观念的转变。</w:t>
      </w:r>
      <w:r>
        <w:rPr>
          <w:rFonts w:hint="eastAsia" w:ascii="仿宋_GB2312" w:hAnsi="仿宋_GB2312" w:eastAsia="仿宋_GB2312" w:cs="仿宋_GB2312"/>
          <w:sz w:val="32"/>
          <w:szCs w:val="32"/>
        </w:rPr>
        <w:t>发现的主要问题：经费不足，导致计生工作人员积极性不高。下一步改进措施：</w:t>
      </w:r>
      <w:r>
        <w:rPr>
          <w:rFonts w:hint="eastAsia" w:ascii="仿宋_GB2312" w:eastAsia="仿宋_GB2312"/>
          <w:color w:val="000000"/>
          <w:sz w:val="32"/>
          <w:szCs w:val="32"/>
          <w:shd w:val="clear" w:color="auto" w:fill="FFFFFF"/>
        </w:rPr>
        <w:t>增加经费预算，保证计生工作职能全面发挥。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卫生健康支出管理项目绩效目标完成情况综述。项目全年预算数1万元，执行数为1万元，完成预算的100%。通过项目实施，提高了本单位医务人员整体服务能力，响应了四川省“人才振兴工程项目”。发现的主要问题：无。下一步改进措施：无。</w:t>
      </w: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本单位按要求对2019年部门整体支出绩效评价情况开展自评，《白朝乡卫生院2019年部门整体支出绩效评价报告》见附件（附件1）。</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国家公共卫生服务项目、一般行政管理事务项目-从业人员体检、“其他基层医疗机构支出管理项目-基本药物制度、其他计划生育事务支出项目-计划生育免费服务和其他卫生健康支出-贫困地区定向专科生项开展了绩效评价，《国家公共卫生服务项目2019年绩效评价报告》、《从业人员体检项目2019年绩效评价报告》、《基本药物制度管理项目2019年绩效评价报告》、《计划生育免费服务项目2019年绩效评价报告》、《贫困地区定向专科生引进项目2019年绩效评价报告》见附件（附件2）。</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185"/>
        <w:gridCol w:w="1134"/>
        <w:gridCol w:w="73"/>
        <w:gridCol w:w="3045"/>
        <w:gridCol w:w="1741"/>
        <w:gridCol w:w="2392"/>
      </w:tblGrid>
      <w:tr>
        <w:tblPrEx>
          <w:tblCellMar>
            <w:top w:w="0" w:type="dxa"/>
            <w:left w:w="0" w:type="dxa"/>
            <w:bottom w:w="0" w:type="dxa"/>
            <w:right w:w="0" w:type="dxa"/>
          </w:tblCellMar>
        </w:tblPrEx>
        <w:trPr>
          <w:trHeight w:val="1034" w:hRule="atLeast"/>
        </w:trPr>
        <w:tc>
          <w:tcPr>
            <w:tcW w:w="9960" w:type="dxa"/>
            <w:gridSpan w:val="7"/>
            <w:tcMar>
              <w:top w:w="15" w:type="dxa"/>
              <w:left w:w="15" w:type="dxa"/>
              <w:bottom w:w="0" w:type="dxa"/>
              <w:right w:w="15" w:type="dxa"/>
            </w:tcMar>
            <w:vAlign w:val="center"/>
          </w:tcPr>
          <w:p>
            <w:pPr>
              <w:pStyle w:val="36"/>
              <w:widowControl/>
              <w:ind w:left="4173" w:leftChars="1310" w:hanging="1422" w:hangingChars="395"/>
              <w:textAlignment w:val="center"/>
              <w:rPr>
                <w:rFonts w:ascii="宋体" w:hAnsi="宋体" w:cs="宋体"/>
                <w:color w:val="000000" w:themeColor="text1"/>
                <w:sz w:val="36"/>
                <w:szCs w:val="36"/>
              </w:rPr>
            </w:pPr>
            <w:r>
              <w:rPr>
                <w:rFonts w:hint="eastAsia" w:ascii="黑体" w:hAnsi="黑体" w:eastAsia="黑体" w:cs="宋体"/>
                <w:bCs/>
                <w:color w:val="000000" w:themeColor="text1"/>
                <w:kern w:val="0"/>
                <w:sz w:val="36"/>
                <w:szCs w:val="36"/>
              </w:rPr>
              <w:t>项目支出绩效目标完成情况表</w:t>
            </w:r>
            <w:r>
              <w:rPr>
                <w:rFonts w:hint="eastAsia" w:ascii="宋体" w:hAnsi="宋体" w:cs="宋体"/>
                <w:b/>
                <w:bCs/>
                <w:color w:val="000000" w:themeColor="text1"/>
                <w:kern w:val="0"/>
                <w:sz w:val="36"/>
                <w:szCs w:val="36"/>
              </w:rPr>
              <w:br w:type="textWrapping"/>
            </w:r>
            <w:r>
              <w:rPr>
                <w:rFonts w:hint="eastAsia" w:ascii="宋体" w:hAnsi="宋体" w:cs="宋体"/>
                <w:color w:val="000000" w:themeColor="text1"/>
                <w:kern w:val="0"/>
                <w:sz w:val="36"/>
                <w:szCs w:val="36"/>
              </w:rPr>
              <w:t>(2019年度)</w:t>
            </w:r>
          </w:p>
        </w:tc>
      </w:tr>
      <w:tr>
        <w:tblPrEx>
          <w:tblCellMar>
            <w:top w:w="0" w:type="dxa"/>
            <w:left w:w="0" w:type="dxa"/>
            <w:bottom w:w="0" w:type="dxa"/>
            <w:right w:w="0" w:type="dxa"/>
          </w:tblCellMar>
        </w:tblPrEx>
        <w:trPr>
          <w:trHeight w:val="302" w:hRule="atLeast"/>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国家公共卫生服务项目</w:t>
            </w:r>
          </w:p>
        </w:tc>
      </w:tr>
      <w:tr>
        <w:tblPrEx>
          <w:tblCellMar>
            <w:top w:w="0" w:type="dxa"/>
            <w:left w:w="0" w:type="dxa"/>
            <w:bottom w:w="0" w:type="dxa"/>
            <w:right w:w="0" w:type="dxa"/>
          </w:tblCellMar>
        </w:tblPrEx>
        <w:trPr>
          <w:trHeight w:val="276" w:hRule="atLeast"/>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广元市利州区白朝乡卫生院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预算执行情况(万元)</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预算数:</w:t>
            </w:r>
          </w:p>
        </w:tc>
        <w:tc>
          <w:tcPr>
            <w:tcW w:w="30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54.6（万元）</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54.6（万元）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其中-财政拨款:</w:t>
            </w:r>
          </w:p>
        </w:tc>
        <w:tc>
          <w:tcPr>
            <w:tcW w:w="30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54.6（万元）</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54.6万元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其它资金:</w:t>
            </w:r>
          </w:p>
        </w:tc>
        <w:tc>
          <w:tcPr>
            <w:tcW w:w="30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0</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themeColor="text1"/>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年度目标完成情况</w:t>
            </w:r>
          </w:p>
        </w:tc>
        <w:tc>
          <w:tcPr>
            <w:tcW w:w="543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预期目标</w:t>
            </w:r>
          </w:p>
        </w:tc>
        <w:tc>
          <w:tcPr>
            <w:tcW w:w="413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543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themeColor="text1"/>
                <w:sz w:val="24"/>
              </w:rPr>
            </w:pPr>
            <w:r>
              <w:rPr>
                <w:rFonts w:hint="eastAsia" w:ascii="宋体" w:hAnsi="宋体" w:cs="宋体"/>
                <w:color w:val="000000" w:themeColor="text1"/>
                <w:sz w:val="24"/>
              </w:rPr>
              <w:t>提高基本公共卫生服务项目均等化水平，规范公共卫生服务行为，推进基本公共卫生服务项目开展，加强孕产妇健康管理和儿童健康管理，全面完成2019年度家庭医生签约服务、城乡居民健康档案、0-6岁儿童健康管理、孕产妇健康管理、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p>
        </w:tc>
        <w:tc>
          <w:tcPr>
            <w:tcW w:w="413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themeColor="text1"/>
                <w:sz w:val="24"/>
              </w:rPr>
            </w:pPr>
            <w:r>
              <w:rPr>
                <w:rFonts w:hint="eastAsia" w:ascii="宋体" w:hAnsi="宋体" w:cs="宋体"/>
                <w:color w:val="000000" w:themeColor="text1"/>
                <w:sz w:val="24"/>
              </w:rPr>
              <w:t>提高基本公共卫生服务项目均等化水平，规范公共卫生服务行为，推进基本公共卫生服务项目开展，加强孕产妇健康管理和儿童健康管理，全面完成2019年度家庭医生签约服务、城乡居民健康档案、0-6岁儿童健康管理、孕产妇健康管理、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绩效指标完成情况</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一级指标</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二级指标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三级指标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实际完成指标值(包含数字及文字描述)</w:t>
            </w:r>
          </w:p>
        </w:tc>
      </w:tr>
      <w:tr>
        <w:tblPrEx>
          <w:tblCellMar>
            <w:top w:w="0" w:type="dxa"/>
            <w:left w:w="0" w:type="dxa"/>
            <w:bottom w:w="0" w:type="dxa"/>
            <w:right w:w="0" w:type="dxa"/>
          </w:tblCellMar>
        </w:tblPrEx>
        <w:trPr>
          <w:trHeight w:val="61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数量指标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适龄人群国家免疫规划疫苗接种率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97%</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97%</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themeColor="text1"/>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数量指标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基层管理的结核病患者（包括耐多药结核病患者）管理率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≥90%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themeColor="text1"/>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数量指标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65岁以上老年人健康管理率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≥67%</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≥67%</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themeColor="text1"/>
                <w:kern w:val="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数量指标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健康教育措施覆盖率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≥70%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≥70%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数量指标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中医药健康管理服务目标人群覆盖率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≥45%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≥45%</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数量指标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预防接种管理率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数量指标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高血压患者健康管理率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≥40%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≥40%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数量指标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糖尿病患者健康管理率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≥35%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≥35%</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数量指标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严重精神障碍患者管理率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数量指标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居民健康档案建档管理率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≥75%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≥75%</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数量指标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儿童健康管理率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95.64%</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95.64%</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数量指标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孕产妇健康管理率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96.97%</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96.97%</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数量指标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传染病及突发公共卫生事件报告和处理率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数量指标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结核病患者健康管理率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数量指标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卫生监督协管信息报告率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color w:val="000000" w:themeColor="text1"/>
              </w:rPr>
              <w:t>质量指标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预防接种管理率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≥98%</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color w:val="000000" w:themeColor="text1"/>
              </w:rPr>
              <w:t>质量指标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老年人健康管理率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≥67%</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≥67%</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color w:val="000000" w:themeColor="text1"/>
              </w:rPr>
              <w:t>质量指标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高血压患者健康管理率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≥40%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≥40%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color w:val="000000" w:themeColor="text1"/>
              </w:rPr>
              <w:t>质量指标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糖尿病患者健康管理率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≥35%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≥35%</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color w:val="000000" w:themeColor="text1"/>
              </w:rPr>
              <w:t>质量指标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严重精神障碍患者管理率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color w:val="000000" w:themeColor="text1"/>
              </w:rPr>
              <w:t>质量指标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传染病及突发公共卫生事件报告和处理率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color w:val="000000" w:themeColor="text1"/>
              </w:rPr>
              <w:t>质量指标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结核病患者健康管理率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color w:val="000000" w:themeColor="text1"/>
              </w:rPr>
              <w:t>质量指标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居民健康档案建档管理率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≥75%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≥75%</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color w:val="000000" w:themeColor="text1"/>
              </w:rPr>
              <w:t>质量指标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儿童健康管理率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≥95.64%</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≥95.64%</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color w:val="000000" w:themeColor="text1"/>
              </w:rPr>
              <w:t>质量指标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孕产妇健康管理率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96.97%</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96.97%</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color w:val="000000" w:themeColor="text1"/>
              </w:rPr>
              <w:t>质量指标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住院分娩率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color w:val="000000" w:themeColor="text1"/>
              </w:rPr>
              <w:t>质量指标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开展卫生监督协管工作年度内报告的有关事件或线索的次数</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时效指标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甲类传染病、乙类传染病中的肺炭疽、非典型肺炎疫情报告时限</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2小时内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2小时内</w:t>
            </w:r>
          </w:p>
        </w:tc>
      </w:tr>
      <w:tr>
        <w:tblPrEx>
          <w:tblCellMar>
            <w:top w:w="0" w:type="dxa"/>
            <w:left w:w="0" w:type="dxa"/>
            <w:bottom w:w="0" w:type="dxa"/>
            <w:right w:w="0" w:type="dxa"/>
          </w:tblCellMar>
        </w:tblPrEx>
        <w:trPr>
          <w:trHeight w:val="60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时效指标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乙类传染病和丙类传染病疫情报告时限</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24小时内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24小时内</w:t>
            </w:r>
          </w:p>
        </w:tc>
      </w:tr>
      <w:tr>
        <w:tblPrEx>
          <w:tblCellMar>
            <w:top w:w="0" w:type="dxa"/>
            <w:left w:w="0" w:type="dxa"/>
            <w:bottom w:w="0" w:type="dxa"/>
            <w:right w:w="0" w:type="dxa"/>
          </w:tblCellMar>
        </w:tblPrEx>
        <w:trPr>
          <w:trHeight w:val="79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时效指标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卫生监督信息上报时效</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5个工作日内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5个工作日内</w:t>
            </w:r>
          </w:p>
        </w:tc>
      </w:tr>
      <w:tr>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themeColor="text1"/>
                <w:sz w:val="24"/>
              </w:rPr>
            </w:pPr>
            <w:r>
              <w:rPr>
                <w:rFonts w:hint="eastAsia" w:ascii="宋体" w:hAnsi="宋体" w:cs="宋体"/>
                <w:color w:val="000000" w:themeColor="text1"/>
                <w:kern w:val="0"/>
                <w:sz w:val="24"/>
              </w:rPr>
              <w:t>效益指标</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社会效益指标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病原学阳性肺结核患者治愈率和病原学阴性肺结核治疗成功率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94.70%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94.70%</w:t>
            </w:r>
          </w:p>
        </w:tc>
      </w:tr>
      <w:tr>
        <w:tblPrEx>
          <w:tblCellMar>
            <w:top w:w="0" w:type="dxa"/>
            <w:left w:w="0" w:type="dxa"/>
            <w:bottom w:w="0" w:type="dxa"/>
            <w:right w:w="0" w:type="dxa"/>
          </w:tblCellMar>
        </w:tblPrEx>
        <w:trPr>
          <w:trHeight w:val="73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themeColor="text1"/>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社会效益指标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居民健康保健意识和健康知识知晓率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81%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81%</w:t>
            </w:r>
          </w:p>
        </w:tc>
      </w:tr>
      <w:tr>
        <w:tblPrEx>
          <w:tblCellMar>
            <w:top w:w="0" w:type="dxa"/>
            <w:left w:w="0" w:type="dxa"/>
            <w:bottom w:w="0" w:type="dxa"/>
            <w:right w:w="0" w:type="dxa"/>
          </w:tblCellMar>
        </w:tblPrEx>
        <w:trPr>
          <w:trHeight w:val="81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themeColor="text1"/>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社会效益指标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建档立卡贫困人口健康保健意识和健康知识知晓率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大幅度提高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大幅度提高</w:t>
            </w:r>
          </w:p>
        </w:tc>
      </w:tr>
      <w:tr>
        <w:tblPrEx>
          <w:tblCellMar>
            <w:top w:w="0" w:type="dxa"/>
            <w:left w:w="0" w:type="dxa"/>
            <w:bottom w:w="0" w:type="dxa"/>
            <w:right w:w="0" w:type="dxa"/>
          </w:tblCellMar>
        </w:tblPrEx>
        <w:trPr>
          <w:trHeight w:val="82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社会效益指标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建立全区各乡镇卫生监督协管站</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18个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18个</w:t>
            </w:r>
          </w:p>
        </w:tc>
      </w:tr>
      <w:tr>
        <w:tblPrEx>
          <w:tblCellMar>
            <w:top w:w="0" w:type="dxa"/>
            <w:left w:w="0" w:type="dxa"/>
            <w:bottom w:w="0" w:type="dxa"/>
            <w:right w:w="0" w:type="dxa"/>
          </w:tblCellMar>
        </w:tblPrEx>
        <w:trPr>
          <w:trHeight w:val="82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themeColor="text1"/>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可持续影响指标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居民健康水平提高</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中长期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中长期</w:t>
            </w:r>
          </w:p>
        </w:tc>
      </w:tr>
      <w:tr>
        <w:tblPrEx>
          <w:tblCellMar>
            <w:top w:w="0" w:type="dxa"/>
            <w:left w:w="0" w:type="dxa"/>
            <w:bottom w:w="0" w:type="dxa"/>
            <w:right w:w="0" w:type="dxa"/>
          </w:tblCellMar>
        </w:tblPrEx>
        <w:trPr>
          <w:trHeight w:val="67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themeColor="text1"/>
                <w:kern w:val="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可持续影响指标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公共卫生均等化水平提高</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中长期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中长期</w:t>
            </w:r>
          </w:p>
        </w:tc>
      </w:tr>
      <w:tr>
        <w:tblPrEx>
          <w:tblCellMar>
            <w:top w:w="0" w:type="dxa"/>
            <w:left w:w="0" w:type="dxa"/>
            <w:bottom w:w="0" w:type="dxa"/>
            <w:right w:w="0" w:type="dxa"/>
          </w:tblCellMar>
        </w:tblPrEx>
        <w:trPr>
          <w:trHeight w:val="140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可持续影响指标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建立健全“责权明晰、任务明确、工作规范、上下联动、运转高效”的卫生监督体系，为广大群众提供公共卫生安全保障</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长期</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满意度指标</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服务对象满意度指标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居民满意度、建档立卡贫困户满意度。</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≥95%</w:t>
            </w:r>
          </w:p>
        </w:tc>
      </w:tr>
    </w:tbl>
    <w:p>
      <w:pPr>
        <w:rPr>
          <w:rFonts w:ascii="Calibri" w:hAnsi="Calibri"/>
          <w:color w:val="000000" w:themeColor="text1"/>
        </w:rPr>
      </w:pPr>
    </w:p>
    <w:p>
      <w:pPr>
        <w:pStyle w:val="14"/>
        <w:rPr>
          <w:rFonts w:ascii="Calibri" w:hAnsi="Calibri"/>
          <w:color w:val="000000" w:themeColor="text1"/>
        </w:rPr>
      </w:pP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一般行政管理事务项目-从业人员体检</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广元市利州区白朝乡卫生院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0.3万元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0.3万元</w:t>
            </w:r>
          </w:p>
        </w:tc>
      </w:tr>
      <w:tr>
        <w:tblPrEx>
          <w:tblCellMar>
            <w:top w:w="0" w:type="dxa"/>
            <w:left w:w="0" w:type="dxa"/>
            <w:bottom w:w="0" w:type="dxa"/>
            <w:right w:w="0" w:type="dxa"/>
          </w:tblCellMar>
        </w:tblPrEx>
        <w:trPr>
          <w:trHeight w:val="90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90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全面完成辖区从业人员健康体检</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全面完成了辖区从业人员  人的健康体检</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从业人员免费体检</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从业人员免费体检刷数量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themeColor="text1"/>
                <w:kern w:val="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开展免费健康体检</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中长期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中长期</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themeColor="text1"/>
                <w:kern w:val="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免费健康体检的持续性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长期</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从业人员满意度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w:t>
            </w: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w:t>
            </w:r>
            <w:r>
              <w:rPr>
                <w:rFonts w:hint="eastAsia" w:ascii="宋体" w:hAnsi="宋体" w:cs="宋体"/>
                <w:color w:val="000000"/>
                <w:sz w:val="24"/>
              </w:rPr>
              <w:t>100%</w:t>
            </w:r>
          </w:p>
        </w:tc>
      </w:tr>
    </w:tbl>
    <w:p>
      <w:pPr>
        <w:spacing w:line="580" w:lineRule="exact"/>
        <w:ind w:left="630"/>
        <w:rPr>
          <w:rFonts w:ascii="仿宋_GB2312" w:hAnsi="仿宋_GB2312" w:eastAsia="仿宋_GB2312" w:cs="仿宋_GB2312"/>
          <w:sz w:val="32"/>
          <w:szCs w:val="32"/>
        </w:rPr>
      </w:pPr>
    </w:p>
    <w:p>
      <w:pPr>
        <w:pStyle w:val="14"/>
        <w:rPr>
          <w:rFonts w:ascii="Calibri" w:hAnsi="Calibri"/>
          <w:color w:val="000000" w:themeColor="text1"/>
        </w:rPr>
      </w:pPr>
    </w:p>
    <w:p>
      <w:pPr>
        <w:pStyle w:val="14"/>
        <w:rPr>
          <w:rFonts w:ascii="Calibri" w:hAnsi="Calibri"/>
          <w:color w:val="000000" w:themeColor="text1"/>
        </w:rPr>
      </w:pPr>
    </w:p>
    <w:p>
      <w:pPr>
        <w:pStyle w:val="14"/>
        <w:rPr>
          <w:rFonts w:ascii="Calibri" w:hAnsi="Calibri"/>
          <w:color w:val="000000" w:themeColor="text1"/>
        </w:rPr>
      </w:pPr>
    </w:p>
    <w:p>
      <w:pPr>
        <w:pStyle w:val="14"/>
        <w:rPr>
          <w:rFonts w:ascii="Calibri" w:hAnsi="Calibri"/>
          <w:color w:val="000000" w:themeColor="text1"/>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36"/>
              <w:widowControl/>
              <w:ind w:left="4173" w:leftChars="1310" w:hanging="1422" w:hangingChars="395"/>
              <w:textAlignment w:val="center"/>
              <w:rPr>
                <w:rFonts w:ascii="黑体" w:hAnsi="黑体" w:eastAsia="黑体" w:cs="宋体"/>
                <w:bCs/>
                <w:color w:val="000000" w:themeColor="text1"/>
                <w:kern w:val="0"/>
                <w:sz w:val="36"/>
                <w:szCs w:val="36"/>
              </w:rPr>
            </w:pPr>
          </w:p>
          <w:p>
            <w:pPr>
              <w:pStyle w:val="36"/>
              <w:widowControl/>
              <w:ind w:left="4173" w:leftChars="1310" w:hanging="1422" w:hangingChars="395"/>
              <w:textAlignment w:val="center"/>
              <w:rPr>
                <w:rFonts w:ascii="宋体" w:hAnsi="宋体" w:cs="宋体"/>
                <w:color w:val="000000" w:themeColor="text1"/>
                <w:sz w:val="36"/>
                <w:szCs w:val="36"/>
              </w:rPr>
            </w:pPr>
            <w:r>
              <w:rPr>
                <w:rFonts w:hint="eastAsia" w:ascii="黑体" w:hAnsi="黑体" w:eastAsia="黑体" w:cs="宋体"/>
                <w:bCs/>
                <w:color w:val="000000" w:themeColor="text1"/>
                <w:kern w:val="0"/>
                <w:sz w:val="36"/>
                <w:szCs w:val="36"/>
              </w:rPr>
              <w:t>项目支出绩效目标完成情况表</w:t>
            </w:r>
            <w:r>
              <w:rPr>
                <w:rFonts w:hint="eastAsia" w:ascii="宋体" w:hAnsi="宋体" w:cs="宋体"/>
                <w:b/>
                <w:bCs/>
                <w:color w:val="000000" w:themeColor="text1"/>
                <w:kern w:val="0"/>
                <w:sz w:val="36"/>
                <w:szCs w:val="36"/>
              </w:rPr>
              <w:br w:type="textWrapping"/>
            </w:r>
            <w:r>
              <w:rPr>
                <w:rFonts w:hint="eastAsia" w:ascii="宋体" w:hAnsi="宋体" w:cs="宋体"/>
                <w:color w:val="000000" w:themeColor="text1"/>
                <w:kern w:val="0"/>
                <w:sz w:val="36"/>
                <w:szCs w:val="36"/>
              </w:rPr>
              <w:t>(2019年度)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其他基层医疗卫生卫生机构支出-实施基本药物制度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广元市利州区白朝乡卫生院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18"/>
                <w:szCs w:val="18"/>
              </w:rPr>
            </w:pPr>
            <w:r>
              <w:rPr>
                <w:rFonts w:hint="eastAsia" w:ascii="宋体" w:hAnsi="宋体" w:cs="宋体"/>
                <w:color w:val="000000" w:themeColor="text1"/>
                <w:sz w:val="18"/>
                <w:szCs w:val="18"/>
              </w:rPr>
              <w:t>37.96万元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37.96万元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18"/>
                <w:szCs w:val="18"/>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18"/>
                <w:szCs w:val="18"/>
              </w:rPr>
            </w:pPr>
            <w:r>
              <w:rPr>
                <w:rFonts w:hint="eastAsia" w:ascii="宋体" w:hAnsi="宋体" w:cs="宋体"/>
                <w:color w:val="000000" w:themeColor="text1"/>
                <w:sz w:val="18"/>
                <w:szCs w:val="18"/>
              </w:rPr>
              <w:t>37.96万元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37.96万元</w:t>
            </w:r>
          </w:p>
        </w:tc>
      </w:tr>
      <w:tr>
        <w:tblPrEx>
          <w:tblCellMar>
            <w:top w:w="0" w:type="dxa"/>
            <w:left w:w="0" w:type="dxa"/>
            <w:bottom w:w="0" w:type="dxa"/>
            <w:right w:w="0" w:type="dxa"/>
          </w:tblCellMar>
        </w:tblPrEx>
        <w:trPr>
          <w:trHeight w:val="90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18"/>
                <w:szCs w:val="18"/>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themeColor="text1"/>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实际完成目标</w:t>
            </w:r>
          </w:p>
        </w:tc>
      </w:tr>
      <w:tr>
        <w:tblPrEx>
          <w:tblCellMar>
            <w:top w:w="0" w:type="dxa"/>
            <w:left w:w="0" w:type="dxa"/>
            <w:bottom w:w="0" w:type="dxa"/>
            <w:right w:w="0" w:type="dxa"/>
          </w:tblCellMar>
        </w:tblPrEx>
        <w:trPr>
          <w:trHeight w:val="127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sz w:val="24"/>
              </w:rPr>
              <w:t>1、严格执行国家基本药物制度</w:t>
            </w:r>
          </w:p>
          <w:p>
            <w:pPr>
              <w:widowControl/>
              <w:jc w:val="left"/>
              <w:textAlignment w:val="center"/>
              <w:rPr>
                <w:rFonts w:ascii="宋体" w:hAnsi="宋体" w:cs="宋体"/>
                <w:color w:val="000000" w:themeColor="text1"/>
                <w:sz w:val="24"/>
              </w:rPr>
            </w:pPr>
            <w:r>
              <w:rPr>
                <w:rFonts w:hint="eastAsia" w:ascii="宋体" w:hAnsi="宋体" w:cs="宋体"/>
                <w:color w:val="000000" w:themeColor="text1"/>
                <w:sz w:val="24"/>
              </w:rPr>
              <w:t>2、</w:t>
            </w:r>
            <w:r>
              <w:rPr>
                <w:rFonts w:hint="eastAsia" w:ascii="宋体" w:hAnsi="宋体" w:cs="宋体"/>
                <w:color w:val="000000" w:themeColor="text1"/>
                <w:kern w:val="0"/>
                <w:sz w:val="24"/>
              </w:rPr>
              <w:t>巩固基本药物制度，推进综合改革顺利进行。</w:t>
            </w:r>
          </w:p>
          <w:p>
            <w:pPr>
              <w:widowControl/>
              <w:jc w:val="center"/>
              <w:textAlignment w:val="center"/>
              <w:rPr>
                <w:rFonts w:ascii="宋体" w:hAnsi="宋体" w:cs="宋体"/>
                <w:color w:val="000000" w:themeColor="text1"/>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sz w:val="24"/>
              </w:rPr>
              <w:t>1、对实施国家基本药物制度的村卫生室给予补助，支持国家基本药物制度在村卫生室顺利实施；2、完善财政对基层医疗卫生机构运行的补助政策；3、巩固基本药物制度，推进综合改革顺利进行；4、加强本单位卫生服务体系建设，不断提升服务能力和水平，筑牢服务网底，实现医改“保基本、强基层、建机制”的目标。</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实施基本药物制度的村卫生室比例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100%</w:t>
            </w:r>
          </w:p>
        </w:tc>
      </w:tr>
      <w:tr>
        <w:tblPrEx>
          <w:tblCellMar>
            <w:top w:w="0" w:type="dxa"/>
            <w:left w:w="0" w:type="dxa"/>
            <w:bottom w:w="0" w:type="dxa"/>
            <w:right w:w="0" w:type="dxa"/>
          </w:tblCellMar>
        </w:tblPrEx>
        <w:trPr>
          <w:trHeight w:val="74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村卫生室基本药物制度覆盖率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100%</w:t>
            </w:r>
          </w:p>
        </w:tc>
      </w:tr>
      <w:tr>
        <w:tblPrEx>
          <w:tblCellMar>
            <w:top w:w="0" w:type="dxa"/>
            <w:left w:w="0" w:type="dxa"/>
            <w:bottom w:w="0" w:type="dxa"/>
            <w:right w:w="0" w:type="dxa"/>
          </w:tblCellMar>
        </w:tblPrEx>
        <w:trPr>
          <w:trHeight w:val="54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基本药物网采率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100%</w:t>
            </w:r>
          </w:p>
        </w:tc>
      </w:tr>
      <w:tr>
        <w:tblPrEx>
          <w:tblCellMar>
            <w:top w:w="0" w:type="dxa"/>
            <w:left w:w="0" w:type="dxa"/>
            <w:bottom w:w="0" w:type="dxa"/>
            <w:right w:w="0" w:type="dxa"/>
          </w:tblCellMar>
        </w:tblPrEx>
        <w:trPr>
          <w:trHeight w:val="53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目录药品质量合格率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100%</w:t>
            </w:r>
          </w:p>
        </w:tc>
      </w:tr>
      <w:tr>
        <w:tblPrEx>
          <w:tblCellMar>
            <w:top w:w="0" w:type="dxa"/>
            <w:left w:w="0" w:type="dxa"/>
            <w:bottom w:w="0" w:type="dxa"/>
            <w:right w:w="0" w:type="dxa"/>
          </w:tblCellMar>
        </w:tblPrEx>
        <w:trPr>
          <w:trHeight w:val="54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基本药物零差率销售率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100%</w:t>
            </w:r>
          </w:p>
        </w:tc>
      </w:tr>
      <w:tr>
        <w:tblPrEx>
          <w:tblCellMar>
            <w:top w:w="0" w:type="dxa"/>
            <w:left w:w="0" w:type="dxa"/>
            <w:bottom w:w="0" w:type="dxa"/>
            <w:right w:w="0" w:type="dxa"/>
          </w:tblCellMar>
        </w:tblPrEx>
        <w:trPr>
          <w:trHeight w:val="59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可持续影响</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降低患者的医疗费用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有效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有效</w:t>
            </w:r>
          </w:p>
        </w:tc>
      </w:tr>
      <w:tr>
        <w:tblPrEx>
          <w:tblCellMar>
            <w:top w:w="0" w:type="dxa"/>
            <w:left w:w="0" w:type="dxa"/>
            <w:bottom w:w="0" w:type="dxa"/>
            <w:right w:w="0" w:type="dxa"/>
          </w:tblCellMar>
        </w:tblPrEx>
        <w:trPr>
          <w:trHeight w:val="68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可持续影响</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保证药品安全、有效、经济</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长期</w:t>
            </w:r>
          </w:p>
        </w:tc>
      </w:tr>
      <w:tr>
        <w:tblPrEx>
          <w:tblCellMar>
            <w:top w:w="0" w:type="dxa"/>
            <w:left w:w="0" w:type="dxa"/>
            <w:bottom w:w="0" w:type="dxa"/>
            <w:right w:w="0" w:type="dxa"/>
          </w:tblCellMar>
        </w:tblPrEx>
        <w:trPr>
          <w:trHeight w:val="71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受益群众满意度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≥95%</w:t>
            </w:r>
          </w:p>
        </w:tc>
      </w:tr>
      <w:tr>
        <w:tblPrEx>
          <w:tblCellMar>
            <w:top w:w="0" w:type="dxa"/>
            <w:left w:w="0" w:type="dxa"/>
            <w:bottom w:w="0" w:type="dxa"/>
            <w:right w:w="0" w:type="dxa"/>
          </w:tblCellMar>
        </w:tblPrEx>
        <w:trPr>
          <w:trHeight w:val="7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受益建档立卡贫困人口满意度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≥95%</w:t>
            </w:r>
          </w:p>
        </w:tc>
      </w:tr>
    </w:tbl>
    <w:p>
      <w:pPr>
        <w:rPr>
          <w:color w:val="000000" w:themeColor="text1"/>
        </w:rPr>
      </w:pP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p>
          <w:p>
            <w:pPr>
              <w:widowControl/>
              <w:ind w:left="4314" w:leftChars="1710" w:hanging="723" w:hangingChars="200"/>
              <w:jc w:val="both"/>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其他计划生育事务支出-计划生育免费服务补助</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广元市利州区白朝乡卫生院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1.4万元</w:t>
            </w:r>
          </w:p>
        </w:tc>
      </w:tr>
      <w:tr>
        <w:tblPrEx>
          <w:tblCellMar>
            <w:top w:w="0" w:type="dxa"/>
            <w:left w:w="0" w:type="dxa"/>
            <w:bottom w:w="0" w:type="dxa"/>
            <w:right w:w="0" w:type="dxa"/>
          </w:tblCellMar>
        </w:tblPrEx>
        <w:trPr>
          <w:trHeight w:val="9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全面完成辖区育龄妇女“三查”工作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全面完成了计划生育“三查”人次6058人。</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免费提供计生药具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免费提供计生药具</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为辖区居民免费提供计生药具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为辖区居民免费提供计生药具20000余具。</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免费计生政策咨询</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免费计生政策咨询</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为辖区居民免费开展计生政策咨询</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为辖区居民免费开展计生政策咨询2场次。</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发放宣传品、宣传资料</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发放宣传品、宣传资料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为辖区居民发放计生宣传品、宣传资料</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为辖区居民发放计生宣传品、宣传资料2000余份。</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对育龄妇女开展“三查”工作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对育龄妇女开展“三查”工作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为辖区所有育龄妇女开展“三查”工作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为辖区所有育龄妇女开展“三查”工作，共计完成6058人次。</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社会效益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有效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有效</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可持续影响</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可持续影响</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有效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有效</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可持续影响</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可持续影响</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长期</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themeColor="text1"/>
                <w:kern w:val="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育龄妇女满意度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w:t>
            </w:r>
            <w:r>
              <w:rPr>
                <w:rFonts w:hint="eastAsia" w:ascii="宋体" w:hAnsi="宋体" w:cs="宋体"/>
                <w:color w:val="000000"/>
                <w:sz w:val="24"/>
              </w:rPr>
              <w:t>98.9%</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w:t>
            </w:r>
            <w:r>
              <w:rPr>
                <w:rFonts w:hint="eastAsia" w:ascii="宋体" w:hAnsi="宋体" w:cs="宋体"/>
                <w:color w:val="000000"/>
                <w:sz w:val="24"/>
              </w:rPr>
              <w:t>98.9%</w:t>
            </w:r>
          </w:p>
        </w:tc>
      </w:tr>
    </w:tbl>
    <w:p>
      <w:pPr>
        <w:spacing w:line="580" w:lineRule="exact"/>
        <w:ind w:left="630"/>
        <w:rPr>
          <w:rFonts w:ascii="仿宋_GB2312" w:hAnsi="仿宋_GB2312" w:eastAsia="仿宋_GB2312" w:cs="仿宋_GB2312"/>
          <w:sz w:val="32"/>
          <w:szCs w:val="32"/>
        </w:rPr>
      </w:pPr>
    </w:p>
    <w:p>
      <w:pPr>
        <w:spacing w:line="580" w:lineRule="exact"/>
        <w:rPr>
          <w:rFonts w:ascii="仿宋_GB2312" w:hAnsi="仿宋_GB2312" w:eastAsia="仿宋_GB2312" w:cs="仿宋_GB2312"/>
          <w:color w:val="000000" w:themeColor="text1"/>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ind w:left="4675" w:leftChars="1710" w:hanging="1084" w:hangingChars="300"/>
              <w:jc w:val="both"/>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其他卫生健康支出-贫困地区定向专科生引进</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广元市利州区白朝乡卫生院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1万元</w:t>
            </w:r>
          </w:p>
        </w:tc>
      </w:tr>
      <w:tr>
        <w:tblPrEx>
          <w:tblCellMar>
            <w:top w:w="0" w:type="dxa"/>
            <w:left w:w="0" w:type="dxa"/>
            <w:bottom w:w="0" w:type="dxa"/>
            <w:right w:w="0" w:type="dxa"/>
          </w:tblCellMar>
        </w:tblPrEx>
        <w:trPr>
          <w:trHeight w:val="62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引进定向医学专科生1人</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引进了定向医学专科生1人</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经费保障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资金拨付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人员引进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人员引进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1人</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资金拨付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资金拨付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themeColor="text1"/>
                <w:kern w:val="0"/>
                <w:sz w:val="24"/>
              </w:rPr>
              <w:t>可持续影响</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themeColor="text1"/>
                <w:kern w:val="0"/>
                <w:sz w:val="24"/>
              </w:rPr>
              <w:t>可持续影响</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长期</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themeColor="text1"/>
                <w:kern w:val="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themeColor="text1"/>
                <w:kern w:val="0"/>
                <w:sz w:val="24"/>
              </w:rPr>
              <w:t>社会效益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有效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有效</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引进人员满意度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引进定向专科生满意度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w:t>
            </w: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w:t>
            </w:r>
            <w:r>
              <w:rPr>
                <w:rFonts w:hint="eastAsia" w:ascii="宋体" w:hAnsi="宋体" w:cs="宋体"/>
                <w:color w:val="000000"/>
                <w:sz w:val="24"/>
              </w:rPr>
              <w:t>100%</w:t>
            </w:r>
          </w:p>
        </w:tc>
      </w:tr>
    </w:tbl>
    <w:p>
      <w:pPr>
        <w:spacing w:line="580" w:lineRule="exact"/>
        <w:rPr>
          <w:rFonts w:ascii="仿宋_GB2312" w:eastAsia="仿宋_GB2312"/>
          <w:b/>
          <w:color w:val="000000"/>
          <w:sz w:val="32"/>
          <w:szCs w:val="32"/>
        </w:rPr>
      </w:pPr>
    </w:p>
    <w:p>
      <w:pPr>
        <w:spacing w:line="600" w:lineRule="exact"/>
        <w:jc w:val="center"/>
        <w:outlineLvl w:val="0"/>
        <w:rPr>
          <w:rStyle w:val="28"/>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8"/>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6"/>
        <w:spacing w:line="560" w:lineRule="exact"/>
        <w:ind w:firstLine="640" w:firstLineChars="200"/>
        <w:jc w:val="both"/>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spacing w:line="560" w:lineRule="exact"/>
        <w:ind w:firstLine="640" w:firstLineChars="200"/>
        <w:jc w:val="both"/>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事业收入：指事业单位开展专业业务活动及辅助活动取得的收入。如医疗收入（二级预算单位事业收入情况）等。</w:t>
      </w:r>
    </w:p>
    <w:p>
      <w:pPr>
        <w:pStyle w:val="26"/>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其他收入：指单位取得的除上述收入以外的各项收入。主要是银行存款利息收入、捐赠收入等。</w:t>
      </w:r>
    </w:p>
    <w:p>
      <w:pPr>
        <w:pStyle w:val="26"/>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用事业基金弥补收支差额：指事业单位在当年的财政拨款收入、事业收入、其他收入不足以安排当年支出的情况下，使用以前年度积累的事业基金（事业单位当年收支相抵后按国家规定提取、用于弥补以后年度收支差额的基金）弥补本年度收支缺口的资金。</w:t>
      </w:r>
    </w:p>
    <w:p>
      <w:pPr>
        <w:pStyle w:val="26"/>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pPr>
        <w:pStyle w:val="26"/>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w:t>
      </w:r>
      <w:r>
        <w:rPr>
          <w:rFonts w:hint="eastAsia" w:ascii="仿宋_GB2312" w:eastAsia="仿宋_GB2312"/>
          <w:color w:val="auto"/>
          <w:sz w:val="32"/>
          <w:szCs w:val="32"/>
        </w:rPr>
        <w:t>结余分配：指事业单位按照事业单位会计制度的规定从非财政补助结余中分配的事业基金和职工福利基金等。</w:t>
      </w:r>
    </w:p>
    <w:p>
      <w:pPr>
        <w:pStyle w:val="26"/>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7.年末结转和结余：指单位按有关规定结转到下年或以后年度继续使用的资金。</w:t>
      </w:r>
    </w:p>
    <w:p>
      <w:pPr>
        <w:ind w:firstLine="640" w:firstLineChars="200"/>
        <w:rPr>
          <w:rFonts w:ascii="仿宋_GB2312" w:eastAsia="仿宋_GB2312"/>
          <w:sz w:val="32"/>
          <w:szCs w:val="32"/>
        </w:rPr>
      </w:pPr>
      <w:r>
        <w:rPr>
          <w:rFonts w:hint="eastAsia" w:ascii="仿宋_GB2312" w:eastAsia="仿宋_GB2312"/>
          <w:sz w:val="32"/>
          <w:szCs w:val="32"/>
        </w:rPr>
        <w:t>8.</w:t>
      </w:r>
      <w:r>
        <w:rPr>
          <w:rFonts w:hint="eastAsia" w:ascii="仿宋_GB2312" w:hAnsi="仿宋_GB2312" w:eastAsia="仿宋_GB2312" w:cs="仿宋_GB2312"/>
          <w:sz w:val="32"/>
          <w:szCs w:val="32"/>
        </w:rPr>
        <w:t>社会保障和就业（208类）</w:t>
      </w:r>
      <w:r>
        <w:rPr>
          <w:rStyle w:val="17"/>
          <w:rFonts w:hint="eastAsia" w:ascii="仿宋_GB2312" w:hAnsi="仿宋_GB2312" w:eastAsia="仿宋_GB2312" w:cs="仿宋_GB2312"/>
          <w:b w:val="0"/>
          <w:sz w:val="32"/>
          <w:szCs w:val="32"/>
        </w:rPr>
        <w:t>行政事业单位离退休（20805款）机关事业单位基本养老保险缴费支出（2080505项）</w:t>
      </w:r>
      <w:r>
        <w:rPr>
          <w:rFonts w:hint="eastAsia" w:ascii="仿宋_GB2312" w:eastAsia="仿宋_GB2312"/>
          <w:sz w:val="32"/>
          <w:szCs w:val="32"/>
        </w:rPr>
        <w:t>：指</w:t>
      </w:r>
      <w:r>
        <w:rPr>
          <w:rStyle w:val="17"/>
          <w:rFonts w:hint="eastAsia" w:ascii="仿宋_GB2312" w:hAnsi="仿宋_GB2312" w:eastAsia="仿宋_GB2312" w:cs="仿宋_GB2312"/>
          <w:b w:val="0"/>
          <w:sz w:val="32"/>
          <w:szCs w:val="32"/>
        </w:rPr>
        <w:t>养老保险制度改革后由</w:t>
      </w:r>
      <w:r>
        <w:rPr>
          <w:rFonts w:hint="eastAsia" w:ascii="仿宋_GB2312" w:eastAsia="仿宋_GB2312"/>
          <w:sz w:val="32"/>
          <w:szCs w:val="32"/>
        </w:rPr>
        <w:t>单位缴纳的基本养老保险费支出。</w:t>
      </w:r>
    </w:p>
    <w:p>
      <w:pPr>
        <w:spacing w:line="600" w:lineRule="exact"/>
        <w:ind w:firstLine="640" w:firstLineChars="200"/>
        <w:rPr>
          <w:rStyle w:val="17"/>
          <w:rFonts w:hint="eastAsia" w:ascii="仿宋_GB2312" w:hAnsi="仿宋_GB2312" w:eastAsia="仿宋_GB2312" w:cs="仿宋_GB2312"/>
          <w:b w:val="0"/>
          <w:sz w:val="32"/>
          <w:szCs w:val="32"/>
          <w:lang w:eastAsia="zh-CN"/>
        </w:rPr>
      </w:pPr>
      <w:r>
        <w:rPr>
          <w:rFonts w:hint="eastAsia" w:ascii="仿宋_GB2312" w:eastAsia="仿宋_GB2312"/>
          <w:sz w:val="32"/>
          <w:szCs w:val="32"/>
        </w:rPr>
        <w:t>9.</w:t>
      </w:r>
      <w:r>
        <w:rPr>
          <w:rFonts w:hint="eastAsia" w:ascii="仿宋_GB2312" w:eastAsia="仿宋_GB2312"/>
          <w:sz w:val="32"/>
          <w:szCs w:val="32"/>
          <w:lang w:eastAsia="zh-CN"/>
        </w:rPr>
        <w:t>卫生健康支出（</w:t>
      </w:r>
      <w:r>
        <w:rPr>
          <w:rFonts w:hint="eastAsia" w:ascii="仿宋_GB2312" w:eastAsia="仿宋_GB2312"/>
          <w:sz w:val="32"/>
          <w:szCs w:val="32"/>
        </w:rPr>
        <w:t>210类）</w:t>
      </w:r>
      <w:r>
        <w:rPr>
          <w:rStyle w:val="17"/>
          <w:rFonts w:hint="eastAsia" w:ascii="仿宋_GB2312" w:hAnsi="仿宋_GB2312" w:eastAsia="仿宋_GB2312" w:cs="仿宋_GB2312"/>
          <w:b w:val="0"/>
          <w:sz w:val="32"/>
          <w:szCs w:val="32"/>
        </w:rPr>
        <w:t>卫生</w:t>
      </w:r>
      <w:r>
        <w:rPr>
          <w:rStyle w:val="17"/>
          <w:rFonts w:hint="eastAsia" w:ascii="仿宋_GB2312" w:hAnsi="仿宋_GB2312" w:eastAsia="仿宋_GB2312" w:cs="仿宋_GB2312"/>
          <w:b w:val="0"/>
          <w:sz w:val="32"/>
          <w:szCs w:val="32"/>
          <w:lang w:eastAsia="zh-CN"/>
        </w:rPr>
        <w:t>健康</w:t>
      </w:r>
      <w:r>
        <w:rPr>
          <w:rStyle w:val="17"/>
          <w:rFonts w:hint="eastAsia" w:ascii="仿宋_GB2312" w:hAnsi="仿宋_GB2312" w:eastAsia="仿宋_GB2312" w:cs="仿宋_GB2312"/>
          <w:b w:val="0"/>
          <w:sz w:val="32"/>
          <w:szCs w:val="32"/>
        </w:rPr>
        <w:t>管理事务（21001款）一般行政管理事务（2100102项）指未单独设置项级科目的项目支出</w:t>
      </w:r>
      <w:r>
        <w:rPr>
          <w:rStyle w:val="17"/>
          <w:rFonts w:hint="eastAsia" w:ascii="仿宋_GB2312" w:hAnsi="仿宋_GB2312" w:eastAsia="仿宋_GB2312" w:cs="仿宋_GB2312"/>
          <w:b w:val="0"/>
          <w:sz w:val="32"/>
          <w:szCs w:val="32"/>
          <w:lang w:eastAsia="zh-CN"/>
        </w:rPr>
        <w:t>。</w:t>
      </w:r>
    </w:p>
    <w:p>
      <w:pPr>
        <w:spacing w:line="600" w:lineRule="exact"/>
        <w:ind w:firstLine="640" w:firstLineChars="200"/>
        <w:rPr>
          <w:rStyle w:val="17"/>
          <w:rFonts w:ascii="仿宋_GB2312" w:hAnsi="仿宋_GB2312" w:eastAsia="仿宋_GB2312" w:cs="仿宋_GB2312"/>
          <w:b w:val="0"/>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w:t>
      </w:r>
      <w:r>
        <w:rPr>
          <w:rFonts w:hint="eastAsia" w:ascii="仿宋_GB2312" w:eastAsia="仿宋_GB2312"/>
          <w:sz w:val="32"/>
          <w:szCs w:val="32"/>
          <w:lang w:eastAsia="zh-CN"/>
        </w:rPr>
        <w:t>卫生健康支出（</w:t>
      </w:r>
      <w:r>
        <w:rPr>
          <w:rFonts w:hint="eastAsia" w:ascii="仿宋_GB2312" w:eastAsia="仿宋_GB2312"/>
          <w:sz w:val="32"/>
          <w:szCs w:val="32"/>
        </w:rPr>
        <w:t>210类）</w:t>
      </w:r>
      <w:r>
        <w:rPr>
          <w:rStyle w:val="17"/>
          <w:rFonts w:hint="eastAsia" w:ascii="仿宋_GB2312" w:hAnsi="仿宋_GB2312" w:eastAsia="仿宋_GB2312" w:cs="仿宋_GB2312"/>
          <w:b w:val="0"/>
          <w:sz w:val="32"/>
          <w:szCs w:val="32"/>
        </w:rPr>
        <w:t>基层医疗卫生机构（21003款）乡镇卫生院（2100302项）指乡镇卫生院的支出，其他基层医疗卫生机构支出（2100399项）指其他用于基层医疗卫生机构的项目支出。</w:t>
      </w:r>
    </w:p>
    <w:p>
      <w:pPr>
        <w:spacing w:line="600" w:lineRule="exact"/>
        <w:ind w:firstLine="640" w:firstLineChars="200"/>
        <w:rPr>
          <w:rStyle w:val="17"/>
          <w:rFonts w:hint="eastAsia" w:ascii="仿宋_GB2312" w:hAnsi="仿宋_GB2312" w:eastAsia="仿宋_GB2312" w:cs="仿宋_GB2312"/>
          <w:b w:val="0"/>
          <w:sz w:val="32"/>
          <w:szCs w:val="32"/>
          <w:lang w:eastAsia="zh-CN"/>
        </w:rPr>
      </w:pPr>
      <w:r>
        <w:rPr>
          <w:rFonts w:hint="eastAsia" w:ascii="仿宋_GB2312" w:eastAsia="仿宋_GB2312"/>
          <w:sz w:val="32"/>
          <w:szCs w:val="32"/>
          <w:lang w:val="en-US" w:eastAsia="zh-CN"/>
        </w:rPr>
        <w:t>11</w:t>
      </w:r>
      <w:r>
        <w:rPr>
          <w:rFonts w:hint="eastAsia" w:ascii="仿宋_GB2312" w:eastAsia="仿宋_GB2312"/>
          <w:sz w:val="32"/>
          <w:szCs w:val="32"/>
        </w:rPr>
        <w:t>.</w:t>
      </w:r>
      <w:r>
        <w:rPr>
          <w:rFonts w:hint="eastAsia" w:ascii="仿宋_GB2312" w:eastAsia="仿宋_GB2312"/>
          <w:sz w:val="32"/>
          <w:szCs w:val="32"/>
          <w:lang w:eastAsia="zh-CN"/>
        </w:rPr>
        <w:t>卫生健康支出（</w:t>
      </w:r>
      <w:r>
        <w:rPr>
          <w:rFonts w:hint="eastAsia" w:ascii="仿宋_GB2312" w:eastAsia="仿宋_GB2312"/>
          <w:sz w:val="32"/>
          <w:szCs w:val="32"/>
        </w:rPr>
        <w:t>210类）</w:t>
      </w:r>
      <w:r>
        <w:rPr>
          <w:rStyle w:val="17"/>
          <w:rFonts w:hint="eastAsia" w:ascii="仿宋_GB2312" w:hAnsi="仿宋_GB2312" w:eastAsia="仿宋_GB2312" w:cs="仿宋_GB2312"/>
          <w:b w:val="0"/>
          <w:sz w:val="32"/>
          <w:szCs w:val="32"/>
        </w:rPr>
        <w:t>公共卫生（21004款）基本公共卫生服务（2100408项）指基本公共卫生服务的支出，</w:t>
      </w:r>
      <w:r>
        <w:rPr>
          <w:rStyle w:val="17"/>
          <w:rFonts w:hint="eastAsia" w:ascii="仿宋_GB2312" w:hAnsi="仿宋_GB2312" w:eastAsia="仿宋_GB2312" w:cs="仿宋_GB2312"/>
          <w:b w:val="0"/>
          <w:sz w:val="32"/>
          <w:szCs w:val="32"/>
          <w:lang w:eastAsia="zh-CN"/>
        </w:rPr>
        <w:t>重大公共卫生（</w:t>
      </w:r>
      <w:r>
        <w:rPr>
          <w:rStyle w:val="17"/>
          <w:rFonts w:hint="eastAsia" w:ascii="仿宋_GB2312" w:hAnsi="仿宋_GB2312" w:eastAsia="仿宋_GB2312" w:cs="仿宋_GB2312"/>
          <w:b w:val="0"/>
          <w:sz w:val="32"/>
          <w:szCs w:val="32"/>
          <w:lang w:val="en-US" w:eastAsia="zh-CN"/>
        </w:rPr>
        <w:t>2100409</w:t>
      </w:r>
      <w:r>
        <w:rPr>
          <w:rStyle w:val="17"/>
          <w:rFonts w:hint="eastAsia" w:ascii="仿宋_GB2312" w:hAnsi="仿宋_GB2312" w:eastAsia="仿宋_GB2312" w:cs="仿宋_GB2312"/>
          <w:b w:val="0"/>
          <w:sz w:val="32"/>
          <w:szCs w:val="32"/>
          <w:lang w:eastAsia="zh-CN"/>
        </w:rPr>
        <w:t>项）指重大疾病预防控制支出。</w:t>
      </w:r>
    </w:p>
    <w:p>
      <w:pPr>
        <w:spacing w:line="600" w:lineRule="exact"/>
        <w:ind w:firstLine="640" w:firstLineChars="200"/>
        <w:rPr>
          <w:rStyle w:val="17"/>
          <w:rFonts w:ascii="仿宋_GB2312" w:hAnsi="仿宋_GB2312" w:eastAsia="仿宋_GB2312" w:cs="仿宋_GB2312"/>
          <w:b w:val="0"/>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w:t>
      </w:r>
      <w:r>
        <w:rPr>
          <w:rFonts w:hint="eastAsia" w:ascii="仿宋_GB2312" w:eastAsia="仿宋_GB2312"/>
          <w:sz w:val="32"/>
          <w:szCs w:val="32"/>
          <w:lang w:eastAsia="zh-CN"/>
        </w:rPr>
        <w:t>卫生健康支出（</w:t>
      </w:r>
      <w:r>
        <w:rPr>
          <w:rFonts w:hint="eastAsia" w:ascii="仿宋_GB2312" w:eastAsia="仿宋_GB2312"/>
          <w:sz w:val="32"/>
          <w:szCs w:val="32"/>
        </w:rPr>
        <w:t>210类）</w:t>
      </w:r>
      <w:r>
        <w:rPr>
          <w:rStyle w:val="17"/>
          <w:rFonts w:hint="eastAsia" w:ascii="仿宋_GB2312" w:hAnsi="仿宋_GB2312" w:eastAsia="仿宋_GB2312" w:cs="仿宋_GB2312"/>
          <w:b w:val="0"/>
          <w:sz w:val="32"/>
          <w:szCs w:val="32"/>
        </w:rPr>
        <w:t>计划生育事务（21007款）其他计划生育事务支出（2100799项）指其他计划生育管理事务方面的支出。</w:t>
      </w:r>
    </w:p>
    <w:p>
      <w:pPr>
        <w:spacing w:line="600" w:lineRule="exact"/>
        <w:ind w:firstLine="640" w:firstLineChars="200"/>
        <w:rPr>
          <w:rStyle w:val="17"/>
          <w:rFonts w:ascii="仿宋_GB2312" w:hAnsi="仿宋_GB2312" w:eastAsia="仿宋_GB2312" w:cs="仿宋_GB2312"/>
          <w:b w:val="0"/>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w:t>
      </w:r>
      <w:r>
        <w:rPr>
          <w:rFonts w:hint="eastAsia" w:ascii="仿宋_GB2312" w:eastAsia="仿宋_GB2312"/>
          <w:sz w:val="32"/>
          <w:szCs w:val="32"/>
          <w:lang w:eastAsia="zh-CN"/>
        </w:rPr>
        <w:t>卫生健康支出（</w:t>
      </w:r>
      <w:r>
        <w:rPr>
          <w:rFonts w:hint="eastAsia" w:ascii="仿宋_GB2312" w:eastAsia="仿宋_GB2312"/>
          <w:sz w:val="32"/>
          <w:szCs w:val="32"/>
        </w:rPr>
        <w:t>210类）</w:t>
      </w:r>
      <w:r>
        <w:rPr>
          <w:rStyle w:val="17"/>
          <w:rFonts w:hint="eastAsia" w:ascii="仿宋_GB2312" w:hAnsi="仿宋_GB2312" w:eastAsia="仿宋_GB2312" w:cs="仿宋_GB2312"/>
          <w:b w:val="0"/>
          <w:sz w:val="32"/>
          <w:szCs w:val="32"/>
        </w:rPr>
        <w:t>行政事业单位医疗（21011款）事业单位医疗（2101102项）指财政安排的事业单位基本医疗保险缴费支出。</w:t>
      </w:r>
    </w:p>
    <w:p>
      <w:pPr>
        <w:spacing w:line="600" w:lineRule="exact"/>
        <w:ind w:left="420" w:leftChars="200" w:firstLine="320" w:firstLineChars="100"/>
        <w:rPr>
          <w:rStyle w:val="17"/>
          <w:rFonts w:ascii="仿宋_GB2312" w:hAnsi="仿宋_GB2312" w:eastAsia="仿宋_GB2312" w:cs="仿宋_GB2312"/>
          <w:b w:val="0"/>
          <w:sz w:val="32"/>
          <w:szCs w:val="32"/>
        </w:rPr>
      </w:pPr>
      <w:r>
        <w:rPr>
          <w:rStyle w:val="17"/>
          <w:rFonts w:hint="eastAsia" w:ascii="仿宋_GB2312" w:hAnsi="仿宋_GB2312" w:eastAsia="仿宋_GB2312" w:cs="仿宋_GB2312"/>
          <w:b w:val="0"/>
          <w:sz w:val="32"/>
          <w:szCs w:val="32"/>
        </w:rPr>
        <w:t>1</w:t>
      </w:r>
      <w:r>
        <w:rPr>
          <w:rStyle w:val="17"/>
          <w:rFonts w:hint="eastAsia" w:ascii="仿宋_GB2312" w:hAnsi="仿宋_GB2312" w:eastAsia="仿宋_GB2312" w:cs="仿宋_GB2312"/>
          <w:b w:val="0"/>
          <w:sz w:val="32"/>
          <w:szCs w:val="32"/>
          <w:lang w:val="en-US" w:eastAsia="zh-CN"/>
        </w:rPr>
        <w:t>4</w:t>
      </w:r>
      <w:r>
        <w:rPr>
          <w:rStyle w:val="17"/>
          <w:rFonts w:hint="eastAsia" w:ascii="仿宋_GB2312" w:hAnsi="仿宋_GB2312" w:eastAsia="仿宋_GB2312" w:cs="仿宋_GB2312"/>
          <w:b w:val="0"/>
          <w:sz w:val="32"/>
          <w:szCs w:val="32"/>
        </w:rPr>
        <w:t>.住房保障支出（221类）住房改革支出（22102款）住房公积金（2210201项）指财政按规定比例为职工缴纳的住房公积金支出。</w:t>
      </w:r>
    </w:p>
    <w:p>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6</w:t>
      </w:r>
      <w:r>
        <w:rPr>
          <w:rFonts w:hint="eastAsia" w:ascii="仿宋_GB2312" w:eastAsia="仿宋_GB2312"/>
          <w:sz w:val="32"/>
          <w:szCs w:val="32"/>
        </w:rPr>
        <w:t>.项目支出：指在基本支出之外为完成特定行政任务和事业发展目标所发生的支出。</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Fonts w:ascii="宋体"/>
          <w:b/>
          <w:color w:val="000000"/>
          <w:sz w:val="44"/>
          <w:szCs w:val="44"/>
        </w:rPr>
      </w:pPr>
      <w:bookmarkStart w:id="57" w:name="_Toc15396614"/>
      <w:bookmarkStart w:id="58" w:name="_Toc15377226"/>
    </w:p>
    <w:p>
      <w:pPr>
        <w:spacing w:line="600" w:lineRule="exact"/>
        <w:jc w:val="center"/>
        <w:outlineLvl w:val="0"/>
        <w:rPr>
          <w:rFonts w:ascii="宋体"/>
          <w:b/>
          <w:color w:val="000000"/>
          <w:sz w:val="44"/>
          <w:szCs w:val="44"/>
        </w:rPr>
      </w:pPr>
    </w:p>
    <w:p>
      <w:pPr>
        <w:spacing w:line="600" w:lineRule="exact"/>
        <w:jc w:val="center"/>
        <w:outlineLvl w:val="0"/>
        <w:rPr>
          <w:rFonts w:ascii="宋体"/>
          <w:b/>
          <w:color w:val="000000"/>
          <w:sz w:val="44"/>
          <w:szCs w:val="44"/>
        </w:rPr>
      </w:pPr>
    </w:p>
    <w:p>
      <w:pPr>
        <w:spacing w:line="600" w:lineRule="exact"/>
        <w:jc w:val="center"/>
        <w:outlineLvl w:val="0"/>
        <w:rPr>
          <w:rFonts w:ascii="宋体"/>
          <w:b/>
          <w:color w:val="000000"/>
          <w:sz w:val="44"/>
          <w:szCs w:val="44"/>
        </w:rPr>
      </w:pPr>
    </w:p>
    <w:p>
      <w:pPr>
        <w:spacing w:line="600" w:lineRule="exact"/>
        <w:jc w:val="center"/>
        <w:outlineLvl w:val="0"/>
        <w:rPr>
          <w:rFonts w:ascii="宋体"/>
          <w:b/>
          <w:color w:val="000000"/>
          <w:sz w:val="44"/>
          <w:szCs w:val="44"/>
        </w:rPr>
      </w:pPr>
    </w:p>
    <w:p>
      <w:pPr>
        <w:spacing w:line="600" w:lineRule="exact"/>
        <w:jc w:val="center"/>
        <w:outlineLvl w:val="0"/>
        <w:rPr>
          <w:rFonts w:ascii="宋体"/>
          <w:b/>
          <w:color w:val="000000"/>
          <w:sz w:val="44"/>
          <w:szCs w:val="44"/>
        </w:rPr>
      </w:pPr>
    </w:p>
    <w:p>
      <w:pPr>
        <w:spacing w:line="600" w:lineRule="exact"/>
        <w:jc w:val="center"/>
        <w:outlineLvl w:val="0"/>
        <w:rPr>
          <w:rFonts w:ascii="宋体"/>
          <w:b/>
          <w:color w:val="000000"/>
          <w:sz w:val="44"/>
          <w:szCs w:val="44"/>
        </w:rPr>
      </w:pPr>
    </w:p>
    <w:p>
      <w:pPr>
        <w:spacing w:line="600" w:lineRule="exact"/>
        <w:jc w:val="center"/>
        <w:outlineLvl w:val="0"/>
        <w:rPr>
          <w:rFonts w:ascii="宋体"/>
          <w:b/>
          <w:color w:val="000000"/>
          <w:sz w:val="44"/>
          <w:szCs w:val="44"/>
        </w:rPr>
      </w:pPr>
    </w:p>
    <w:p>
      <w:pPr>
        <w:spacing w:line="600" w:lineRule="exact"/>
        <w:jc w:val="center"/>
        <w:outlineLvl w:val="0"/>
        <w:rPr>
          <w:rFonts w:ascii="宋体"/>
          <w:b/>
          <w:color w:val="000000"/>
          <w:sz w:val="44"/>
          <w:szCs w:val="44"/>
        </w:rPr>
      </w:pPr>
    </w:p>
    <w:p>
      <w:pPr>
        <w:spacing w:line="600" w:lineRule="exact"/>
        <w:jc w:val="center"/>
        <w:outlineLvl w:val="0"/>
        <w:rPr>
          <w:rFonts w:ascii="宋体"/>
          <w:b/>
          <w:color w:val="000000"/>
          <w:sz w:val="44"/>
          <w:szCs w:val="44"/>
        </w:rPr>
      </w:pPr>
    </w:p>
    <w:p>
      <w:pPr>
        <w:spacing w:line="600" w:lineRule="exact"/>
        <w:jc w:val="center"/>
        <w:outlineLvl w:val="0"/>
        <w:rPr>
          <w:rFonts w:ascii="宋体"/>
          <w:b/>
          <w:color w:val="000000"/>
          <w:sz w:val="44"/>
          <w:szCs w:val="44"/>
        </w:rPr>
      </w:pPr>
    </w:p>
    <w:p>
      <w:pPr>
        <w:spacing w:line="600" w:lineRule="exact"/>
        <w:jc w:val="center"/>
        <w:outlineLvl w:val="0"/>
        <w:rPr>
          <w:rFonts w:ascii="宋体"/>
          <w:b/>
          <w:color w:val="000000"/>
          <w:sz w:val="44"/>
          <w:szCs w:val="44"/>
        </w:rPr>
      </w:pPr>
    </w:p>
    <w:p>
      <w:pPr>
        <w:spacing w:line="600" w:lineRule="exact"/>
        <w:jc w:val="center"/>
        <w:outlineLvl w:val="0"/>
        <w:rPr>
          <w:rFonts w:ascii="宋体"/>
          <w:b/>
          <w:color w:val="000000"/>
          <w:sz w:val="44"/>
          <w:szCs w:val="44"/>
        </w:rPr>
      </w:pPr>
    </w:p>
    <w:p>
      <w:pPr>
        <w:spacing w:line="600" w:lineRule="exact"/>
        <w:jc w:val="center"/>
        <w:outlineLvl w:val="0"/>
        <w:rPr>
          <w:rFonts w:ascii="宋体"/>
          <w:b/>
          <w:color w:val="000000"/>
          <w:sz w:val="44"/>
          <w:szCs w:val="44"/>
        </w:rPr>
      </w:pPr>
    </w:p>
    <w:p>
      <w:pPr>
        <w:spacing w:line="600" w:lineRule="exact"/>
        <w:jc w:val="center"/>
        <w:outlineLvl w:val="0"/>
        <w:rPr>
          <w:rStyle w:val="28"/>
          <w:rFonts w:ascii="黑体" w:hAnsi="黑体" w:eastAsia="黑体"/>
          <w:b w:val="0"/>
        </w:rPr>
      </w:pPr>
      <w:r>
        <w:rPr>
          <w:rFonts w:hint="eastAsia" w:ascii="黑体" w:hAnsi="黑体" w:eastAsia="黑体"/>
          <w:color w:val="000000"/>
          <w:sz w:val="44"/>
          <w:szCs w:val="44"/>
        </w:rPr>
        <w:t>第</w:t>
      </w:r>
      <w:r>
        <w:rPr>
          <w:rStyle w:val="28"/>
          <w:rFonts w:hint="eastAsia" w:ascii="黑体" w:hAnsi="黑体" w:eastAsia="黑体"/>
          <w:b w:val="0"/>
        </w:rPr>
        <w:t>四部分 附件</w:t>
      </w:r>
      <w:bookmarkEnd w:id="57"/>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白朝乡卫生院</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（一）本单位是政府举办的国家一级甲等乡镇卫生院，属于财政全额拨款二级预算单位。</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（二）本单位主要是为辖区及周边居民身体健康提供基本医疗及预防保健工作。</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（三）本单位现有编制10人，其中在编人员10人，临聘人员6人，退休人员2人，遗属补助人员1人。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（一）部门财政资金收入情况。2019年，本单位财政拨款资金收入共计175.86万元，其中基本收入80.06万元，项目资金收入95.26万元</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（二）本部门财政资金支出情况。本部门财政资金共支出181.77万元，其中项目资金支出95.26万元，基本资金支出86.51，其中使用2018年的财政应返还额度资金10.67万元，2019年财政应返还额度资金4.76万元。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广元市利州区白朝乡卫生院积极建立健全财务管理制度和约束机制，依法有效地分配、使用财政资金，提高资金使用效率，保证卫生健康工作有效有序地运行，对部门整体支出进行了有效控制和节约，合理安排部门整体经费支出，严格执行中央厉行节约禁止铺张浪费的要求，无“三公经费”超标情况。</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基本支出：为贯彻落实节约、降低行政运行经费的要求，根据各级财政部门的相关政策文件规定，我局制定了财务管理制度、局属单位财务管理制度、固定资产管理实施办法、机关工会财务管理办法、物资采购管理办法、精简会议规定、局属单位货币资金及发票的管理办法、公务卡管理暂行办法等相关制度；加强了部门资金的使用管理，坚持勤俭节约，反对奢侈浪费，按制度办事，确保每一分钱都落到实处，每一环节按程序进行，部门财务管理工作做到了细、严、实。基本支出用于发放人员工资、办公行政支出，2019年共支出148.26万元。其中：工资福利支出101.08万元；商品和服务支出为43.61万元；对个人和家庭的补助3.57万元。</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项目支出：为把财政拨付的专项资金管理好，本单位制定了专项资金管理办法，确保各项目资金专款专用。2019年项目资金共支出95.26万元。其中：商品和服务支出95.26万元。</w:t>
      </w:r>
    </w:p>
    <w:p>
      <w:pPr>
        <w:spacing w:line="58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（二）专项预算管理。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本单位成立了项目绩效考核领导小组，完善了相关管理督查制度。</w:t>
      </w:r>
      <w:r>
        <w:rPr>
          <w:rFonts w:hint="eastAsia" w:ascii="仿宋_GB2312" w:hAnsi="仿宋_GB2312" w:eastAsia="仿宋_GB2312" w:cs="仿宋_GB2312"/>
          <w:color w:val="000000" w:themeColor="text1"/>
          <w:sz w:val="32"/>
          <w:szCs w:val="32"/>
        </w:rPr>
        <w:t>严格按各项目实施方案，合理安排资金，及时分配、及时拨付资金，并在项目执行过程中加强督导指导，无挪用、占用、套取专项资金的现象发生。从而提高资金使用效益，致使各项目都达到了预期的目标。</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（三）结果应用情况。</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根据自评结果，2019年度本单位整体预算绩效质量好，既保障了本单位正常办公和生活秩序，又顺利完成各项工作任务，严格履行法定职责，圆满完成了上级业务主管部门及乡党委、政府安排部署的工作任务，准确评价了各项指标的完成情况，群众满意度很高。</w:t>
      </w:r>
    </w:p>
    <w:p>
      <w:pPr>
        <w:spacing w:line="58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四、评价结论及建议</w:t>
      </w:r>
    </w:p>
    <w:p>
      <w:pPr>
        <w:spacing w:line="58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（一）评价结论。</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及时、准确、优质地完成了预算编制；预算执行情况良好，支出管理规范，资金管理制度较为完善，会计核算和账务处理规范，会计资料完整。</w:t>
      </w:r>
    </w:p>
    <w:p>
      <w:pPr>
        <w:spacing w:line="58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（二）存在问题。</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1、预算不够明确和细化，预算编制的合理性不够。预算执行力度还要进一步加强。</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2、预算编制的前瞻度不够,对当年度新情况、新问题加强前瞻性、针对性研究不多，预算和实际支出调整较大。</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3、财务管理水平有待提高。财务工作按部就班，缺乏创新，在精度和深度上欠缺，还需要进一步完善，尤其在项目建设方面还需要进一步严格。</w:t>
      </w:r>
    </w:p>
    <w:p>
      <w:pPr>
        <w:spacing w:line="58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（三）改进建议。</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细化预算编制工作，将进一步重视预算的编制工作，加强单位内部机构的预算管理意识，科学规划预算编制的精确度，提高财政资金使用效率，加强内部预算编制的审核和预算控制指标的下达，尽量减少预算资金的调整、结转和结余的情形。</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2、建议财政部门加强对各单位财务人员队伍建设的重视，加强对财务人员做好各项财务工作的指导和培训。</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3、进一步完善和落实相关管理制度，全局上下应加强学习内部控制管理制度，严格遵照相关制度贯彻落实到位，做到精细化管理。</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r>
        <w:rPr>
          <w:rFonts w:hint="eastAsia" w:ascii="黑体" w:hAnsi="黑体" w:eastAsia="黑体" w:cs="黑体"/>
          <w:sz w:val="32"/>
          <w:szCs w:val="32"/>
        </w:rPr>
        <w:t>附件2</w:t>
      </w:r>
    </w:p>
    <w:p>
      <w:pPr>
        <w:spacing w:line="600" w:lineRule="exact"/>
        <w:jc w:val="center"/>
        <w:rPr>
          <w:rFonts w:ascii="方正小标宋简体" w:hAnsi="宋体" w:eastAsia="方正小标宋简体"/>
          <w:color w:val="000000"/>
          <w:spacing w:val="-20"/>
          <w:kern w:val="0"/>
          <w:sz w:val="44"/>
          <w:szCs w:val="44"/>
          <w:lang w:val="zh-CN"/>
        </w:rPr>
      </w:pPr>
      <w:r>
        <w:rPr>
          <w:rFonts w:hint="eastAsia" w:ascii="方正小标宋简体" w:hAnsi="宋体" w:eastAsia="方正小标宋简体"/>
          <w:color w:val="000000"/>
          <w:spacing w:val="-20"/>
          <w:kern w:val="0"/>
          <w:sz w:val="44"/>
          <w:szCs w:val="44"/>
        </w:rPr>
        <w:t>国家公共卫生服务</w:t>
      </w:r>
      <w:r>
        <w:rPr>
          <w:rFonts w:hint="eastAsia" w:ascii="方正小标宋简体" w:hAnsi="宋体" w:eastAsia="方正小标宋简体"/>
          <w:color w:val="000000"/>
          <w:spacing w:val="-20"/>
          <w:kern w:val="0"/>
          <w:sz w:val="44"/>
          <w:szCs w:val="44"/>
          <w:lang w:val="zh-CN"/>
        </w:rPr>
        <w:t>项目</w:t>
      </w:r>
      <w:r>
        <w:rPr>
          <w:rFonts w:hint="eastAsia" w:ascii="方正小标宋简体" w:hAnsi="宋体" w:eastAsia="方正小标宋简体"/>
          <w:color w:val="000000"/>
          <w:spacing w:val="-20"/>
          <w:kern w:val="0"/>
          <w:sz w:val="44"/>
          <w:szCs w:val="44"/>
        </w:rPr>
        <w:t>2019年</w:t>
      </w:r>
      <w:r>
        <w:rPr>
          <w:rFonts w:hint="eastAsia" w:ascii="方正小标宋简体" w:hAnsi="宋体" w:eastAsia="方正小标宋简体"/>
          <w:color w:val="000000"/>
          <w:spacing w:val="-20"/>
          <w:kern w:val="0"/>
          <w:sz w:val="44"/>
          <w:szCs w:val="44"/>
          <w:lang w:val="zh-CN"/>
        </w:rPr>
        <w:t>绩效评价报告</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color w:val="000000" w:themeColor="text1"/>
          <w:sz w:val="32"/>
          <w:szCs w:val="32"/>
        </w:rPr>
      </w:pPr>
    </w:p>
    <w:p>
      <w:pPr>
        <w:spacing w:line="58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一、评价工作开展及项目情况</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项目评价通过数量指标、质量指标、时效指标、成本指标、经济效益指标、社会效益指标、群众满意度指标进行评价。通过采取数量和文字相结合的方法对项目进行评价，确保能实际反映项目实际完成情况。</w:t>
      </w:r>
    </w:p>
    <w:p>
      <w:pPr>
        <w:pStyle w:val="14"/>
        <w:ind w:left="0" w:leftChars="0"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该项目资金总投入54.6万元。其中：中央补助资金43.16万元，省级配套资金3.06万元，市级配套资金7.03万元，区级配套资金1.35万元。</w:t>
      </w:r>
    </w:p>
    <w:p>
      <w:pPr>
        <w:spacing w:line="58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二、评价结论及绩效分析</w:t>
      </w:r>
    </w:p>
    <w:p>
      <w:pPr>
        <w:spacing w:line="58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（一）评价结论</w:t>
      </w:r>
    </w:p>
    <w:p>
      <w:pPr>
        <w:widowControl/>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该项目在全院职工及辖区村卫生室的积极配合下，认真分解任务，落实责任，开展了一系列的项目活动、对村卫生室积极开展项目的指导、督导、培训等工作，以“政府主导、部门配合、专业机构技术支撑、全社会参与”的运行模式，使辖区重点人群发现、分类干预、患者自我管理和健康教育与健康教育促进等各项工作得到了有效推进。</w:t>
      </w:r>
    </w:p>
    <w:p>
      <w:pPr>
        <w:spacing w:line="58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（二）绩效分析</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1、项目决策</w:t>
      </w:r>
    </w:p>
    <w:p>
      <w:pPr>
        <w:pStyle w:val="14"/>
        <w:ind w:left="0" w:leftChars="0"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依据国家基本公共卫生服务规范（2018年第三版），对城乡居民实施健康档案管理、健康教育服务、预防接种、儿童保健管理、孕产妇健康管理、慢性病患者健康管理、重性精神疾病健康管理、结核病患者健康管理、传染病及突发公共卫生事件报告和处理、卫生监督协管、中医药健康管理、提供避孕药具、健康素养促进行动等14项免费服务。</w:t>
      </w:r>
    </w:p>
    <w:p>
      <w:pPr>
        <w:pStyle w:val="14"/>
        <w:ind w:left="0" w:leftChars="0"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通过实施以上14项服务，对影响居民健康的主要卫生问题实施干预，减少主要健康危险因素，有效和控制主要传染病及慢性病，使城乡居民逐步享有均等化的公共卫生服务。</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2、项目管理</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该项目资金按各项目具体工作量及成本等进行测算，严格按照完成的数量、质量及考核结果拨付到各项目实施单位。项目资金实行专账管理，专款专用。</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3、项目绩效</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2019年基本公共卫生服务总体指标完成较好，均能完成评价指标，达到了预期值。制定《基本公共卫生专项资金管理办法》，加强资金使用监管，同时开展项目资金绩效评价。通过开展绩效评价工作，及时发现项目申报审批、项目实施管理、项目资金管理等环节中的薄弱环节，总结和推广好的经验和做法，进一步规范了项目管理、改进了财政支出管理。同时，通过对专项资金的使用情况进行绩效评价，衡量项目的投入、产出与绩效，分析、检验项目是否达到预期目标，资金使用是否有效，为以后年度项目安排及资金管理提供重要依据。</w:t>
      </w:r>
    </w:p>
    <w:p>
      <w:pPr>
        <w:spacing w:line="580" w:lineRule="exact"/>
        <w:ind w:left="64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三、存在主要问题</w:t>
      </w:r>
    </w:p>
    <w:p>
      <w:pPr>
        <w:widowControl/>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项目进展速度缓慢。个别项目资料不够完整，致使公共卫生服务项目开展不平衡。</w:t>
      </w:r>
    </w:p>
    <w:p>
      <w:pPr>
        <w:widowControl/>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重性精神病患者管理难度大。主要是家属不配合，本单位没有精神病专科，也没有专业精神卫生人员。</w:t>
      </w:r>
    </w:p>
    <w:p>
      <w:pPr>
        <w:widowControl/>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公共卫生力量薄弱。由于农村卫生技术人员缺乏，相当一部分项目实施单位公卫人员都是兼职，特别是多数村卫生室公卫工作只有一个人，集预防、医疗等多项职能于一身，面对公共卫生服务、突发公共卫生事件预防等方面的工作处置力量薄弱。</w:t>
      </w:r>
    </w:p>
    <w:p>
      <w:pPr>
        <w:widowControl/>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群众认知度不高。居民对国家基本公共卫生服务认识不够，上门建档和随访主动配合存在一定困难。</w:t>
      </w:r>
    </w:p>
    <w:p>
      <w:pPr>
        <w:spacing w:line="580" w:lineRule="exact"/>
        <w:ind w:left="64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四、相关措施建议</w:t>
      </w:r>
    </w:p>
    <w:p>
      <w:pPr>
        <w:widowControl/>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提高思想认识，加强组织管理。进一步统一思想，提高提高思想认识，加强组织管理。进一步统一思想，提高认识，健全各项规章制度，明确分工，责任到人，严格工作制度，抓住本次健康档案与资金管理集中清查，从过程把关，集中人力、物力全面完成清理完善工作，全力抓好基本公共卫生服务项目工作全面开展。</w:t>
      </w:r>
    </w:p>
    <w:p>
      <w:pPr>
        <w:widowControl/>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强化工作措施，加强指导培训。一是进一步加强管理，严格绩效考核办法和经费管理办法；二是进一步加大各项目实施单位的培训和指导工作，加强分级督导，一级抓一级、层层负责、层层把关，对发现的问题及时整改；三是及时充实本单位管理人员，配置必要的设备和场所，建立可持续的良性内部分配机制，增强公共卫生人员工作积极性和责任心，使其全身心地投入到工作中；四是加大对重点人群的筛查力度，认真开展好健康管理服务，提高管理率；五是依据绩效考核办法，逗硬考核，扎实开展工作。</w:t>
      </w:r>
    </w:p>
    <w:p>
      <w:pPr>
        <w:widowControl/>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加强监督管理，合理使用经费。严格资金使用与管理，加大监管力度，坚决杜绝经费的不合理使用和套取资金，做到有效使用，全力推进本单位国家基本公共卫生服务项目工作深入开展。</w:t>
      </w:r>
    </w:p>
    <w:p>
      <w:pPr>
        <w:widowControl/>
        <w:spacing w:line="560" w:lineRule="exact"/>
        <w:ind w:left="640"/>
        <w:rPr>
          <w:rFonts w:ascii="仿宋_GB2312" w:hAnsi="仿宋_GB2312" w:eastAsia="仿宋_GB2312" w:cs="仿宋_GB2312"/>
          <w:color w:val="000000" w:themeColor="text1"/>
          <w:kern w:val="0"/>
          <w:sz w:val="32"/>
          <w:szCs w:val="32"/>
        </w:rPr>
      </w:pPr>
    </w:p>
    <w:p>
      <w:pPr>
        <w:spacing w:line="580" w:lineRule="exact"/>
        <w:ind w:firstLine="640" w:firstLineChars="200"/>
        <w:rPr>
          <w:rStyle w:val="28"/>
          <w:rFonts w:ascii="仿宋_GB2312" w:hAnsi="仿宋_GB2312" w:eastAsia="仿宋_GB2312" w:cs="仿宋_GB2312"/>
          <w:b w:val="0"/>
          <w:bCs w:val="0"/>
          <w:color w:val="000000" w:themeColor="text1"/>
          <w:sz w:val="32"/>
          <w:szCs w:val="32"/>
        </w:rPr>
      </w:pPr>
    </w:p>
    <w:p>
      <w:pPr>
        <w:pStyle w:val="14"/>
        <w:ind w:firstLine="640"/>
        <w:rPr>
          <w:rStyle w:val="28"/>
          <w:rFonts w:ascii="仿宋_GB2312" w:hAnsi="仿宋_GB2312" w:eastAsia="仿宋_GB2312" w:cs="仿宋_GB2312"/>
          <w:b w:val="0"/>
          <w:bCs w:val="0"/>
          <w:color w:val="000000" w:themeColor="text1"/>
          <w:sz w:val="32"/>
          <w:szCs w:val="32"/>
        </w:rPr>
      </w:pPr>
    </w:p>
    <w:p>
      <w:pPr>
        <w:pStyle w:val="14"/>
        <w:ind w:firstLine="640"/>
        <w:rPr>
          <w:rStyle w:val="28"/>
          <w:rFonts w:ascii="仿宋_GB2312" w:hAnsi="仿宋_GB2312" w:eastAsia="仿宋_GB2312" w:cs="仿宋_GB2312"/>
          <w:b w:val="0"/>
          <w:bCs w:val="0"/>
          <w:color w:val="000000" w:themeColor="text1"/>
          <w:sz w:val="32"/>
          <w:szCs w:val="32"/>
        </w:rPr>
      </w:pPr>
    </w:p>
    <w:p>
      <w:pPr>
        <w:pStyle w:val="14"/>
        <w:ind w:firstLine="640"/>
        <w:rPr>
          <w:rStyle w:val="28"/>
          <w:rFonts w:ascii="仿宋_GB2312" w:hAnsi="仿宋_GB2312" w:eastAsia="仿宋_GB2312" w:cs="仿宋_GB2312"/>
          <w:b w:val="0"/>
          <w:bCs w:val="0"/>
          <w:color w:val="000000" w:themeColor="text1"/>
          <w:sz w:val="32"/>
          <w:szCs w:val="32"/>
        </w:rPr>
      </w:pPr>
    </w:p>
    <w:p>
      <w:pPr>
        <w:pStyle w:val="14"/>
        <w:ind w:firstLine="640"/>
        <w:rPr>
          <w:rStyle w:val="28"/>
          <w:rFonts w:ascii="仿宋_GB2312" w:hAnsi="仿宋_GB2312" w:eastAsia="仿宋_GB2312" w:cs="仿宋_GB2312"/>
          <w:b w:val="0"/>
          <w:bCs w:val="0"/>
          <w:color w:val="000000" w:themeColor="text1"/>
          <w:sz w:val="32"/>
          <w:szCs w:val="32"/>
        </w:rPr>
      </w:pPr>
    </w:p>
    <w:p>
      <w:pPr>
        <w:pStyle w:val="14"/>
        <w:ind w:firstLine="640"/>
        <w:rPr>
          <w:rStyle w:val="28"/>
          <w:rFonts w:ascii="仿宋_GB2312" w:hAnsi="仿宋_GB2312" w:eastAsia="仿宋_GB2312" w:cs="仿宋_GB2312"/>
          <w:b w:val="0"/>
          <w:bCs w:val="0"/>
          <w:color w:val="000000" w:themeColor="text1"/>
          <w:sz w:val="32"/>
          <w:szCs w:val="32"/>
        </w:rPr>
      </w:pPr>
    </w:p>
    <w:p>
      <w:pPr>
        <w:pStyle w:val="14"/>
        <w:ind w:firstLine="640"/>
        <w:rPr>
          <w:rStyle w:val="28"/>
          <w:rFonts w:ascii="仿宋_GB2312" w:hAnsi="仿宋_GB2312" w:eastAsia="仿宋_GB2312" w:cs="仿宋_GB2312"/>
          <w:b w:val="0"/>
          <w:bCs w:val="0"/>
          <w:color w:val="000000" w:themeColor="text1"/>
          <w:sz w:val="32"/>
          <w:szCs w:val="32"/>
        </w:rPr>
      </w:pPr>
    </w:p>
    <w:p>
      <w:pPr>
        <w:pStyle w:val="14"/>
        <w:ind w:firstLine="640"/>
        <w:rPr>
          <w:rStyle w:val="28"/>
          <w:rFonts w:ascii="仿宋_GB2312" w:hAnsi="仿宋_GB2312" w:eastAsia="仿宋_GB2312" w:cs="仿宋_GB2312"/>
          <w:b w:val="0"/>
          <w:bCs w:val="0"/>
          <w:color w:val="000000" w:themeColor="text1"/>
          <w:sz w:val="32"/>
          <w:szCs w:val="32"/>
        </w:rPr>
      </w:pPr>
    </w:p>
    <w:p>
      <w:pPr>
        <w:pStyle w:val="14"/>
        <w:ind w:firstLine="640"/>
        <w:rPr>
          <w:rStyle w:val="28"/>
          <w:rFonts w:ascii="仿宋_GB2312" w:hAnsi="仿宋_GB2312" w:eastAsia="仿宋_GB2312" w:cs="仿宋_GB2312"/>
          <w:b w:val="0"/>
          <w:bCs w:val="0"/>
          <w:color w:val="000000" w:themeColor="text1"/>
          <w:sz w:val="32"/>
          <w:szCs w:val="32"/>
        </w:rPr>
      </w:pPr>
    </w:p>
    <w:p>
      <w:pPr>
        <w:pStyle w:val="14"/>
        <w:ind w:firstLine="640"/>
        <w:rPr>
          <w:rStyle w:val="28"/>
          <w:rFonts w:ascii="仿宋_GB2312" w:hAnsi="仿宋_GB2312" w:eastAsia="仿宋_GB2312" w:cs="仿宋_GB2312"/>
          <w:b w:val="0"/>
          <w:bCs w:val="0"/>
          <w:color w:val="000000" w:themeColor="text1"/>
          <w:sz w:val="32"/>
          <w:szCs w:val="32"/>
        </w:rPr>
      </w:pPr>
    </w:p>
    <w:p>
      <w:pPr>
        <w:pStyle w:val="14"/>
        <w:ind w:firstLine="640"/>
        <w:rPr>
          <w:rStyle w:val="28"/>
          <w:rFonts w:ascii="仿宋_GB2312" w:hAnsi="仿宋_GB2312" w:eastAsia="仿宋_GB2312" w:cs="仿宋_GB2312"/>
          <w:b w:val="0"/>
          <w:bCs w:val="0"/>
          <w:color w:val="000000" w:themeColor="text1"/>
          <w:sz w:val="32"/>
          <w:szCs w:val="32"/>
        </w:rPr>
      </w:pPr>
    </w:p>
    <w:p>
      <w:pPr>
        <w:pStyle w:val="14"/>
        <w:ind w:firstLine="640"/>
        <w:rPr>
          <w:rStyle w:val="28"/>
          <w:rFonts w:ascii="仿宋_GB2312" w:hAnsi="仿宋_GB2312" w:eastAsia="仿宋_GB2312" w:cs="仿宋_GB2312"/>
          <w:b w:val="0"/>
          <w:bCs w:val="0"/>
          <w:color w:val="000000" w:themeColor="text1"/>
          <w:sz w:val="32"/>
          <w:szCs w:val="32"/>
        </w:rPr>
      </w:pPr>
    </w:p>
    <w:p>
      <w:pPr>
        <w:spacing w:line="600" w:lineRule="exact"/>
        <w:jc w:val="center"/>
        <w:rPr>
          <w:rFonts w:ascii="方正小标宋简体" w:hAnsi="宋体" w:eastAsia="方正小标宋简体"/>
          <w:color w:val="000000"/>
          <w:spacing w:val="-20"/>
          <w:kern w:val="0"/>
          <w:sz w:val="44"/>
          <w:szCs w:val="44"/>
          <w:lang w:val="zh-CN"/>
        </w:rPr>
      </w:pPr>
      <w:r>
        <w:rPr>
          <w:rFonts w:hint="eastAsia" w:ascii="方正小标宋简体" w:hAnsi="宋体" w:eastAsia="方正小标宋简体"/>
          <w:color w:val="000000"/>
          <w:spacing w:val="-20"/>
          <w:kern w:val="0"/>
          <w:sz w:val="44"/>
          <w:szCs w:val="44"/>
        </w:rPr>
        <w:t>实施基本药物制度</w:t>
      </w:r>
      <w:r>
        <w:rPr>
          <w:rFonts w:hint="eastAsia" w:ascii="方正小标宋简体" w:hAnsi="宋体" w:eastAsia="方正小标宋简体"/>
          <w:color w:val="000000"/>
          <w:spacing w:val="-20"/>
          <w:kern w:val="0"/>
          <w:sz w:val="44"/>
          <w:szCs w:val="44"/>
          <w:lang w:val="zh-CN"/>
        </w:rPr>
        <w:t>项目</w:t>
      </w:r>
      <w:r>
        <w:rPr>
          <w:rFonts w:hint="eastAsia" w:ascii="方正小标宋简体" w:hAnsi="宋体" w:eastAsia="方正小标宋简体"/>
          <w:color w:val="000000"/>
          <w:spacing w:val="-20"/>
          <w:kern w:val="0"/>
          <w:sz w:val="44"/>
          <w:szCs w:val="44"/>
        </w:rPr>
        <w:t>2019年</w:t>
      </w:r>
      <w:r>
        <w:rPr>
          <w:rFonts w:hint="eastAsia" w:ascii="方正小标宋简体" w:hAnsi="宋体" w:eastAsia="方正小标宋简体"/>
          <w:color w:val="000000"/>
          <w:spacing w:val="-20"/>
          <w:kern w:val="0"/>
          <w:sz w:val="44"/>
          <w:szCs w:val="44"/>
          <w:lang w:val="zh-CN"/>
        </w:rPr>
        <w:t>绩效评价报告</w:t>
      </w:r>
    </w:p>
    <w:p>
      <w:pPr>
        <w:spacing w:line="580" w:lineRule="exact"/>
        <w:rPr>
          <w:rFonts w:ascii="仿宋_GB2312" w:hAnsi="仿宋_GB2312" w:eastAsia="仿宋_GB2312" w:cs="仿宋_GB2312"/>
          <w:color w:val="000000" w:themeColor="text1"/>
          <w:sz w:val="32"/>
          <w:szCs w:val="32"/>
        </w:rPr>
      </w:pPr>
    </w:p>
    <w:p>
      <w:pPr>
        <w:spacing w:line="58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一、评价工作开展及项目情况</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项目评价通过数量指标、质量指标、时效指标、成本指标、经济效益指标、社会效益指标、群众满意度指标进行评价。通过采取数量和文字相结合的方法对项目进行评价，确保能实际反映项目实际完成情况。</w:t>
      </w:r>
    </w:p>
    <w:p>
      <w:pPr>
        <w:pStyle w:val="14"/>
        <w:ind w:left="0" w:leftChars="0"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该项目资金总投入37.96万元，其中:中央补助资金13.87万元、省级补助资金8.56万元、市级补助资金3.5万元、区级补助资金12.03万元。</w:t>
      </w:r>
    </w:p>
    <w:p>
      <w:pPr>
        <w:spacing w:line="58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二、评价结论及绩效分析</w:t>
      </w:r>
    </w:p>
    <w:p>
      <w:pPr>
        <w:spacing w:line="58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（一）评价结论</w:t>
      </w:r>
    </w:p>
    <w:p>
      <w:pPr>
        <w:widowControl/>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实施国家基本药物制度涉及面广、工作难度大，为使基层卫生技术人员更全面、更准确地掌握实施国家基本药物制度规范要求，让广大群众主动参与到工作中来。成立项目绩效考核领导小组，完善了相关管理督查制度，最大限度的将利州区实施国家基本药物制度项目运行好，让广大城乡居民得到实惠，在降低城乡居民就医药品费用和减少就医支出上收到了较好的效果。</w:t>
      </w:r>
    </w:p>
    <w:p>
      <w:pPr>
        <w:spacing w:line="58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（二）绩效分析</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1、项目决策</w:t>
      </w:r>
    </w:p>
    <w:p>
      <w:pPr>
        <w:spacing w:line="5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在区卫生健康局的统一领导下，本单位积极配合，认真分解任务，落实责任，开展了一系列的项目活动，深入社区积极开展项目的指导、督导、培训等工作，以“政府主导、部门配合、专业机构技术支撑、全社会参与”的运行模式，国家基本药物制度在我院得以有效推进。</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2、项目管理</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2019年，本单位收到各级专项补助资金37.96万元，均通过采购使用基本药物的数量、服务人口的数量、阳光采购积分情况和完成目标任务情况综合评定、经院管会会议研究通过后下拨到全乡10个村卫生室和本单位基本药物资金，充分发挥了项目资金的使用效益。</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3、项目绩效</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2019年我院基层医疗机构均按照医院属性在网上集中采购药品，并首先选用国家基本药物，其次采购省补充目录药物和较少比例的挂网目录内的非基本药物，网上集中采购占比100.00%，从根本上降低了患者的药品费用支出，群众满意度及建档立卡贫困户人口满意度均在95%以上。</w:t>
      </w:r>
    </w:p>
    <w:p>
      <w:pPr>
        <w:spacing w:line="580" w:lineRule="exact"/>
        <w:ind w:left="64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三、存在主要问题</w:t>
      </w:r>
    </w:p>
    <w:p>
      <w:pPr>
        <w:widowControl/>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1.本单位医务人员的用药习惯与国家基本药物目录内部份药品不相适应。</w:t>
      </w:r>
    </w:p>
    <w:p>
      <w:pPr>
        <w:widowControl/>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2.本单位基本医疗业务开展少，国家基本药物使用量低。</w:t>
      </w:r>
    </w:p>
    <w:p>
      <w:pPr>
        <w:widowControl/>
        <w:spacing w:line="56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四、相关措施建议</w:t>
      </w:r>
    </w:p>
    <w:p>
      <w:pPr>
        <w:widowControl/>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1.加强医务工作人员的业务学习培训，改变用药习惯，适应国家基本药物目录</w:t>
      </w:r>
    </w:p>
    <w:p>
      <w:pPr>
        <w:widowControl/>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2.严格资金使用与管理，加大监管力度，杜绝经费的不合理使用和套取资金，充分发挥资金的使用效益。</w:t>
      </w:r>
    </w:p>
    <w:p>
      <w:pPr>
        <w:spacing w:line="600" w:lineRule="exact"/>
        <w:jc w:val="center"/>
        <w:rPr>
          <w:rFonts w:ascii="方正小标宋简体" w:hAnsi="宋体" w:eastAsia="方正小标宋简体"/>
          <w:color w:val="000000"/>
          <w:spacing w:val="-20"/>
          <w:kern w:val="0"/>
          <w:sz w:val="44"/>
          <w:szCs w:val="44"/>
          <w:lang w:val="zh-CN"/>
        </w:rPr>
      </w:pPr>
      <w:r>
        <w:rPr>
          <w:rFonts w:hint="eastAsia" w:ascii="方正小标宋简体" w:hAnsi="宋体" w:eastAsia="方正小标宋简体"/>
          <w:color w:val="000000"/>
          <w:spacing w:val="-20"/>
          <w:kern w:val="0"/>
          <w:sz w:val="44"/>
          <w:szCs w:val="44"/>
        </w:rPr>
        <w:t>从业人员健康体检</w:t>
      </w:r>
      <w:r>
        <w:rPr>
          <w:rFonts w:hint="eastAsia" w:ascii="方正小标宋简体" w:hAnsi="宋体" w:eastAsia="方正小标宋简体"/>
          <w:color w:val="000000"/>
          <w:spacing w:val="-20"/>
          <w:kern w:val="0"/>
          <w:sz w:val="44"/>
          <w:szCs w:val="44"/>
          <w:lang w:val="zh-CN"/>
        </w:rPr>
        <w:t>项目</w:t>
      </w:r>
      <w:r>
        <w:rPr>
          <w:rFonts w:hint="eastAsia" w:ascii="方正小标宋简体" w:hAnsi="宋体" w:eastAsia="方正小标宋简体"/>
          <w:color w:val="000000"/>
          <w:spacing w:val="-20"/>
          <w:kern w:val="0"/>
          <w:sz w:val="44"/>
          <w:szCs w:val="44"/>
        </w:rPr>
        <w:t>2019年</w:t>
      </w:r>
      <w:r>
        <w:rPr>
          <w:rFonts w:hint="eastAsia" w:ascii="方正小标宋简体" w:hAnsi="宋体" w:eastAsia="方正小标宋简体"/>
          <w:color w:val="000000"/>
          <w:spacing w:val="-20"/>
          <w:kern w:val="0"/>
          <w:sz w:val="44"/>
          <w:szCs w:val="44"/>
          <w:lang w:val="zh-CN"/>
        </w:rPr>
        <w:t>绩效评价报告</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1．对辖区从业人员开展免费健康体检，为从业人员免费办理健康证明。</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2．对本项目资金制定了资金管理办法，按照健康体检人数进行资金拨付。</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1．对辖区从业人员开展免费健康体检，为从业人员免费办理健康证明。</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2．对本项目资金制定了资金管理办法，按照健康体检人数进行资金拨付</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本单位成立了绩效考核小组，对各项目先进行自评，按照自评结果进行资金拨付。</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本单位项目资金申报、使用等严格按照规范流程进行。</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本单位收到财政补助资金0.3万元，已全部按照正规流程使用完毕。</w:t>
      </w:r>
      <w:r>
        <w:rPr>
          <w:rFonts w:ascii="仿宋_GB2312" w:hAnsi="宋体" w:eastAsia="仿宋_GB2312"/>
          <w:sz w:val="32"/>
          <w:szCs w:val="32"/>
          <w:lang w:val="zh-CN"/>
        </w:rPr>
        <w:t xml:space="preserve"> </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本单位财务管理制度健全，严格执行财务管理制度，账务处理及时，会计核算规范。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（一）本单位按照对从业人员进行了健康体检的人数向上级主管部门上报，上级主管部门按照上报人数进行资金拨付。</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（二）项目监管情况。</w:t>
      </w:r>
      <w:r>
        <w:rPr>
          <w:rFonts w:hint="eastAsia" w:ascii="仿宋_GB2312" w:hAnsi="宋体" w:eastAsia="仿宋_GB2312"/>
          <w:sz w:val="32"/>
          <w:szCs w:val="32"/>
          <w:lang w:val="zh-CN"/>
        </w:rPr>
        <w:t>本项目全程接受上级主管部门的监督。</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2019年，本单位共完成辖区内从业人员  人的健康体检。</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本项项目从经济效益、社会效益、可持续效益以及服务对象满意度等方面等都取得了显著成效，群众满意度高，可持续向发展具有长期性。</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实施从业人员健康体检项目，进一步提升了群众的满意度，解决了从业人员就近体检，做到了以人为本的人文理念。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spacing w:line="600" w:lineRule="exact"/>
        <w:jc w:val="center"/>
        <w:rPr>
          <w:rFonts w:ascii="方正小标宋简体" w:hAnsi="宋体" w:eastAsia="方正小标宋简体"/>
          <w:color w:val="000000"/>
          <w:spacing w:val="-20"/>
          <w:kern w:val="0"/>
          <w:sz w:val="44"/>
          <w:szCs w:val="44"/>
          <w:lang w:val="zh-CN"/>
        </w:rPr>
      </w:pPr>
      <w:r>
        <w:rPr>
          <w:rFonts w:hint="eastAsia" w:ascii="方正小标宋简体" w:hAnsi="宋体" w:eastAsia="方正小标宋简体"/>
          <w:color w:val="000000"/>
          <w:spacing w:val="-20"/>
          <w:kern w:val="0"/>
          <w:sz w:val="44"/>
          <w:szCs w:val="44"/>
        </w:rPr>
        <w:t>计划生育免费服务</w:t>
      </w:r>
      <w:r>
        <w:rPr>
          <w:rFonts w:hint="eastAsia" w:ascii="方正小标宋简体" w:hAnsi="宋体" w:eastAsia="方正小标宋简体"/>
          <w:color w:val="000000"/>
          <w:spacing w:val="-20"/>
          <w:kern w:val="0"/>
          <w:sz w:val="44"/>
          <w:szCs w:val="44"/>
          <w:lang w:val="zh-CN"/>
        </w:rPr>
        <w:t>项目</w:t>
      </w:r>
      <w:r>
        <w:rPr>
          <w:rFonts w:hint="eastAsia" w:ascii="方正小标宋简体" w:hAnsi="宋体" w:eastAsia="方正小标宋简体"/>
          <w:color w:val="000000"/>
          <w:spacing w:val="-20"/>
          <w:kern w:val="0"/>
          <w:sz w:val="44"/>
          <w:szCs w:val="44"/>
        </w:rPr>
        <w:t>2019年</w:t>
      </w:r>
      <w:r>
        <w:rPr>
          <w:rFonts w:hint="eastAsia" w:ascii="方正小标宋简体" w:hAnsi="宋体" w:eastAsia="方正小标宋简体"/>
          <w:color w:val="000000"/>
          <w:spacing w:val="-2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对辖区育龄妇女提供“三查”服务、免费提供避孕药具、开展计生政策宣传等。</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对辖区所有育龄妇女开展“三查”、计生政策宣传深入社区、村组及居民家中。</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本项目资金到位1.4万元，使用1.4万元。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本项目资金再做使用过程中，财务管理制度健全，严格执行财务管理制度，账务处理及时，会计核算规范。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rPr>
        <w:t>2019年，本单位计划生育科工作人员对辖区育龄妇女开展“三查”服务</w:t>
      </w:r>
      <w:r>
        <w:rPr>
          <w:rFonts w:hint="eastAsia" w:ascii="仿宋_GB2312" w:hAnsi="宋体" w:eastAsia="仿宋_GB2312" w:cs="宋体"/>
          <w:sz w:val="32"/>
          <w:szCs w:val="32"/>
        </w:rPr>
        <w:t>，为辖区居民发放计生宣传品、宣传资料，开展计生政策和免费提供计生药具。</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rPr>
        <w:t>2019年，本单位共完成辖区育龄妇女6058人次的“三查”服务</w:t>
      </w:r>
      <w:r>
        <w:rPr>
          <w:rFonts w:hint="eastAsia" w:ascii="仿宋_GB2312" w:hAnsi="宋体" w:eastAsia="仿宋_GB2312" w:cs="宋体"/>
          <w:sz w:val="32"/>
          <w:szCs w:val="32"/>
        </w:rPr>
        <w:t>，为辖区居民发放计生宣传品、宣传资料2000余份、开展计生政策咨询2场次、免费提供计生药具20000余具。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从经济效益、社会效益、可持续效益以及服务对象满意度等方面来看，实施计划生育免费服务项目，使辖区居民的获得感、幸福感显著提高，群众满意度达到了98.9%。</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通过计划生育免费服务项目的实施，</w:t>
      </w:r>
      <w:r>
        <w:rPr>
          <w:rFonts w:hint="eastAsia" w:ascii="仿宋_GB2312" w:hAnsi="微软雅黑" w:eastAsia="仿宋_GB2312"/>
          <w:sz w:val="32"/>
          <w:szCs w:val="32"/>
        </w:rPr>
        <w:t>一是推行避孕方法知情选择，普及避孕节育知识，指导育龄群众选择安全、有效、适宜的以长效措施为主的避孕方法。二是定期开展查环、查孕、查病，认真做好避孕节育全程服务，降低非意愿妊娠，提高群众生殖健康水平，在一定程度上为广大育龄群众提供了安全、有效、适宜的避孕节育手术，有效降低了我乡非意愿妊娠、流引产和出生缺陷发生风险，保障了育龄群众的生命安全，提高了计划生育家庭对国家计生政策的满意度，融洽了干群关系，有力地促进了贯彻国家计划生育政策的执行。经绩效评价认为，2019年度我单位计划生育技术服务项目工作专项资金使用合理、效果显著，绩效自我评价为“优”。</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贫困地区定向医学专科生引进</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微软雅黑" w:eastAsia="仿宋_GB2312"/>
          <w:sz w:val="32"/>
          <w:szCs w:val="32"/>
          <w:shd w:val="clear" w:color="auto" w:fill="FFFFFF"/>
        </w:rPr>
      </w:pPr>
      <w:r>
        <w:rPr>
          <w:rFonts w:hint="eastAsia" w:ascii="仿宋_GB2312" w:hAnsi="微软雅黑" w:eastAsia="仿宋_GB2312"/>
          <w:sz w:val="32"/>
          <w:szCs w:val="32"/>
          <w:shd w:val="clear" w:color="auto" w:fill="FFFFFF"/>
        </w:rPr>
        <w:t>此项目是根据《四川省健康扶贫专项2018年实施方案》的部署及要求，结合省卫生计生委 省委编办 人力资源社会保障厅 财政厅《关于印发四川省贫困地区定向医学专科生引进项目实施方案的通知》（川卫办发〔2016〕159号）文件精神，通过定向医学专科生引进，提高基层医疗机构医疗服务能力，促进基层医疗机构持续发展。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微软雅黑" w:eastAsia="仿宋_GB2312"/>
          <w:sz w:val="32"/>
          <w:szCs w:val="32"/>
          <w:shd w:val="clear" w:color="auto" w:fill="FFFFFF"/>
        </w:rPr>
        <w:t>2019年财政拨款贫困地区定向医学专科生项目资金1.0万元。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引进定向医学专科生1名，2019年已完成目标任务。</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对引进的定向医学专科生，本单位制定了工作绩效考核细则，年终按照考核结果进行资金拨付。</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2019年度，本单位贫困地区定向医学专科生引进项目资金到位1.0万元，使用1.0万元；在实施此项目的过程中，本单位财务管理制度健全，严格执行财务管理制度，账务处理及时，会计核算规范，无挪用挤占现象发生。</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rPr>
        <w:t>贫困地区定向医学专科生引进项目由上级主管部门实施，资金拨付到位，本单位对引进人才进行工作绩效考核。</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目前我院定向医学专科生引进1人，资金已按照要求拨付到位。通过定向医学专科生引进项目的实施，进一步提高了本单位的医疗服务能力，为我院可持续发展提供了人才保障。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通过贫困地区定向医学专科生引进项目的实施，为我乡卫生事业的发展提供了坚强的人才保障</w:t>
      </w:r>
      <w:r>
        <w:rPr>
          <w:rFonts w:hint="eastAsia" w:ascii="仿宋_GB2312" w:hAnsi="Arial" w:eastAsia="仿宋_GB2312" w:cs="Arial"/>
          <w:sz w:val="32"/>
          <w:szCs w:val="32"/>
          <w:shd w:val="clear" w:color="auto" w:fill="FFFFFF"/>
        </w:rPr>
        <w:t>，是为健康中国建设提供人才支撑的一项重要举措</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600" w:lineRule="exact"/>
        <w:jc w:val="center"/>
        <w:outlineLvl w:val="0"/>
        <w:rPr>
          <w:rStyle w:val="28"/>
          <w:rFonts w:ascii="黑体" w:hAnsi="黑体" w:eastAsia="黑体"/>
          <w:b w:val="0"/>
        </w:rPr>
      </w:pPr>
    </w:p>
    <w:p>
      <w:pPr>
        <w:spacing w:line="600" w:lineRule="exact"/>
        <w:jc w:val="center"/>
        <w:outlineLvl w:val="0"/>
        <w:rPr>
          <w:rFonts w:ascii="黑体" w:hAnsi="黑体" w:eastAsia="黑体"/>
          <w:bCs/>
          <w:kern w:val="44"/>
          <w:sz w:val="44"/>
          <w:szCs w:val="44"/>
        </w:rPr>
      </w:pPr>
      <w:bookmarkStart w:id="59" w:name="_Toc15396618"/>
      <w:r>
        <w:rPr>
          <w:rFonts w:hint="eastAsia" w:ascii="黑体" w:hAnsi="黑体" w:eastAsia="黑体"/>
          <w:color w:val="000000"/>
          <w:sz w:val="44"/>
          <w:szCs w:val="44"/>
        </w:rPr>
        <w:t>第</w:t>
      </w:r>
      <w:r>
        <w:rPr>
          <w:rStyle w:val="28"/>
          <w:rFonts w:hint="eastAsia" w:ascii="黑体" w:hAnsi="黑体" w:eastAsia="黑体"/>
          <w:b w:val="0"/>
        </w:rPr>
        <w:t>五部分 附表</w:t>
      </w:r>
      <w:bookmarkEnd w:id="58"/>
      <w:bookmarkEnd w:id="59"/>
    </w:p>
    <w:p>
      <w:pPr>
        <w:pStyle w:val="3"/>
        <w:rPr>
          <w:rStyle w:val="29"/>
          <w:rFonts w:ascii="仿宋" w:hAnsi="仿宋" w:eastAsia="仿宋"/>
          <w:b w:val="0"/>
          <w:bCs w:val="0"/>
        </w:rPr>
      </w:pPr>
      <w:bookmarkStart w:id="60" w:name="_Toc15396619"/>
      <w:r>
        <w:rPr>
          <w:rFonts w:hint="eastAsia" w:ascii="仿宋" w:hAnsi="仿宋" w:eastAsia="仿宋"/>
          <w:b w:val="0"/>
          <w:color w:val="000000"/>
        </w:rPr>
        <w:t>一、收</w:t>
      </w:r>
      <w:r>
        <w:rPr>
          <w:rStyle w:val="29"/>
          <w:rFonts w:hint="eastAsia" w:ascii="仿宋" w:hAnsi="仿宋" w:eastAsia="仿宋"/>
          <w:b w:val="0"/>
          <w:bCs w:val="0"/>
        </w:rPr>
        <w:t>入支出决算总表</w:t>
      </w:r>
      <w:bookmarkEnd w:id="60"/>
    </w:p>
    <w:p>
      <w:pPr>
        <w:pStyle w:val="3"/>
        <w:rPr>
          <w:rFonts w:ascii="仿宋" w:hAnsi="仿宋" w:eastAsia="仿宋"/>
          <w:b w:val="0"/>
          <w:bCs w:val="0"/>
        </w:rPr>
      </w:pPr>
      <w:bookmarkStart w:id="61" w:name="_Toc15396620"/>
      <w:r>
        <w:rPr>
          <w:rFonts w:hint="eastAsia" w:ascii="仿宋" w:hAnsi="仿宋" w:eastAsia="仿宋"/>
          <w:b w:val="0"/>
          <w:color w:val="000000"/>
        </w:rPr>
        <w:t>二、收</w:t>
      </w:r>
      <w:r>
        <w:rPr>
          <w:rStyle w:val="29"/>
          <w:rFonts w:hint="eastAsia" w:ascii="仿宋" w:hAnsi="仿宋" w:eastAsia="仿宋"/>
          <w:b w:val="0"/>
          <w:bCs w:val="0"/>
        </w:rPr>
        <w:t>入决算表</w:t>
      </w:r>
      <w:bookmarkEnd w:id="61"/>
    </w:p>
    <w:p>
      <w:pPr>
        <w:pStyle w:val="3"/>
        <w:rPr>
          <w:rFonts w:ascii="仿宋" w:hAnsi="仿宋" w:eastAsia="仿宋"/>
          <w:b w:val="0"/>
          <w:bCs w:val="0"/>
        </w:rPr>
      </w:pPr>
      <w:bookmarkStart w:id="62" w:name="_Toc15396621"/>
      <w:r>
        <w:rPr>
          <w:rStyle w:val="29"/>
          <w:rFonts w:hint="eastAsia" w:ascii="仿宋" w:hAnsi="仿宋" w:eastAsia="仿宋"/>
          <w:b w:val="0"/>
          <w:bCs w:val="0"/>
        </w:rPr>
        <w:t>三、</w:t>
      </w:r>
      <w:r>
        <w:rPr>
          <w:rFonts w:hint="eastAsia" w:ascii="仿宋" w:hAnsi="仿宋" w:eastAsia="仿宋"/>
          <w:b w:val="0"/>
          <w:color w:val="000000"/>
        </w:rPr>
        <w:t>支</w:t>
      </w:r>
      <w:r>
        <w:rPr>
          <w:rStyle w:val="29"/>
          <w:rFonts w:hint="eastAsia" w:ascii="仿宋" w:hAnsi="仿宋" w:eastAsia="仿宋"/>
          <w:b w:val="0"/>
          <w:bCs w:val="0"/>
        </w:rPr>
        <w:t>出决算表</w:t>
      </w:r>
      <w:bookmarkEnd w:id="62"/>
    </w:p>
    <w:p>
      <w:pPr>
        <w:pStyle w:val="3"/>
        <w:rPr>
          <w:rFonts w:ascii="仿宋" w:hAnsi="仿宋" w:eastAsia="仿宋"/>
          <w:b w:val="0"/>
          <w:bCs w:val="0"/>
        </w:rPr>
      </w:pPr>
      <w:bookmarkStart w:id="63" w:name="_Toc15396622"/>
      <w:r>
        <w:rPr>
          <w:rStyle w:val="29"/>
          <w:rFonts w:hint="eastAsia" w:ascii="仿宋" w:hAnsi="仿宋" w:eastAsia="仿宋"/>
          <w:b w:val="0"/>
          <w:bCs w:val="0"/>
        </w:rPr>
        <w:t>四、</w:t>
      </w:r>
      <w:r>
        <w:rPr>
          <w:rFonts w:hint="eastAsia" w:ascii="仿宋" w:hAnsi="仿宋" w:eastAsia="仿宋"/>
          <w:b w:val="0"/>
          <w:color w:val="000000"/>
        </w:rPr>
        <w:t>财</w:t>
      </w:r>
      <w:r>
        <w:rPr>
          <w:rStyle w:val="29"/>
          <w:rFonts w:hint="eastAsia" w:ascii="仿宋" w:hAnsi="仿宋" w:eastAsia="仿宋"/>
          <w:b w:val="0"/>
          <w:bCs w:val="0"/>
        </w:rPr>
        <w:t>政拨款收入支出决算总表</w:t>
      </w:r>
      <w:bookmarkEnd w:id="63"/>
    </w:p>
    <w:p>
      <w:pPr>
        <w:pStyle w:val="3"/>
        <w:rPr>
          <w:rFonts w:ascii="仿宋" w:hAnsi="仿宋" w:eastAsia="仿宋"/>
          <w:b w:val="0"/>
          <w:bCs w:val="0"/>
        </w:rPr>
      </w:pPr>
      <w:r>
        <w:rPr>
          <w:rStyle w:val="29"/>
          <w:rFonts w:hint="eastAsia" w:ascii="仿宋" w:hAnsi="仿宋" w:eastAsia="仿宋"/>
          <w:b w:val="0"/>
          <w:bCs w:val="0"/>
        </w:rPr>
        <w:t>五、</w:t>
      </w:r>
      <w:r>
        <w:rPr>
          <w:rFonts w:hint="eastAsia" w:ascii="仿宋" w:hAnsi="仿宋" w:eastAsia="仿宋"/>
          <w:b w:val="0"/>
          <w:color w:val="000000"/>
        </w:rPr>
        <w:t>财</w:t>
      </w:r>
      <w:r>
        <w:rPr>
          <w:rStyle w:val="29"/>
          <w:rFonts w:hint="eastAsia" w:ascii="仿宋" w:hAnsi="仿宋" w:eastAsia="仿宋"/>
          <w:b w:val="0"/>
          <w:bCs w:val="0"/>
        </w:rPr>
        <w:t>政拨款支出决算明细表</w:t>
      </w:r>
      <w:bookmarkStart w:id="64" w:name="_Toc15396624"/>
    </w:p>
    <w:p>
      <w:pPr>
        <w:pStyle w:val="3"/>
        <w:rPr>
          <w:rFonts w:ascii="仿宋" w:hAnsi="仿宋" w:eastAsia="仿宋"/>
          <w:b w:val="0"/>
          <w:bCs w:val="0"/>
        </w:rPr>
      </w:pPr>
      <w:r>
        <w:rPr>
          <w:rStyle w:val="29"/>
          <w:rFonts w:hint="eastAsia" w:ascii="仿宋" w:hAnsi="仿宋" w:eastAsia="仿宋"/>
          <w:b w:val="0"/>
          <w:bCs w:val="0"/>
        </w:rPr>
        <w:t>六、</w:t>
      </w:r>
      <w:r>
        <w:rPr>
          <w:rFonts w:hint="eastAsia" w:ascii="仿宋" w:hAnsi="仿宋" w:eastAsia="仿宋"/>
          <w:b w:val="0"/>
          <w:color w:val="000000"/>
        </w:rPr>
        <w:t>一</w:t>
      </w:r>
      <w:r>
        <w:rPr>
          <w:rStyle w:val="29"/>
          <w:rFonts w:hint="eastAsia" w:ascii="仿宋" w:hAnsi="仿宋" w:eastAsia="仿宋"/>
          <w:b w:val="0"/>
          <w:bCs w:val="0"/>
        </w:rPr>
        <w:t>般公共预算财政拨款支出决算表</w:t>
      </w:r>
      <w:bookmarkEnd w:id="64"/>
    </w:p>
    <w:p>
      <w:pPr>
        <w:pStyle w:val="3"/>
        <w:rPr>
          <w:rFonts w:ascii="仿宋" w:hAnsi="仿宋" w:eastAsia="仿宋"/>
          <w:b w:val="0"/>
          <w:bCs w:val="0"/>
        </w:rPr>
      </w:pPr>
      <w:bookmarkStart w:id="65" w:name="_Toc15396625"/>
      <w:r>
        <w:rPr>
          <w:rStyle w:val="29"/>
          <w:rFonts w:hint="eastAsia" w:ascii="仿宋" w:hAnsi="仿宋" w:eastAsia="仿宋"/>
          <w:b w:val="0"/>
          <w:bCs w:val="0"/>
        </w:rPr>
        <w:t>七、</w:t>
      </w:r>
      <w:r>
        <w:rPr>
          <w:rFonts w:hint="eastAsia" w:ascii="仿宋" w:hAnsi="仿宋" w:eastAsia="仿宋"/>
          <w:b w:val="0"/>
          <w:color w:val="000000"/>
        </w:rPr>
        <w:t>一</w:t>
      </w:r>
      <w:r>
        <w:rPr>
          <w:rStyle w:val="29"/>
          <w:rFonts w:hint="eastAsia" w:ascii="仿宋" w:hAnsi="仿宋" w:eastAsia="仿宋"/>
          <w:b w:val="0"/>
          <w:bCs w:val="0"/>
        </w:rPr>
        <w:t>般公共预算财政拨款支出决算明细表</w:t>
      </w:r>
      <w:bookmarkEnd w:id="65"/>
    </w:p>
    <w:p>
      <w:pPr>
        <w:pStyle w:val="3"/>
        <w:rPr>
          <w:rFonts w:ascii="仿宋" w:hAnsi="仿宋" w:eastAsia="仿宋"/>
          <w:color w:val="000000"/>
        </w:rPr>
      </w:pPr>
      <w:bookmarkStart w:id="66" w:name="_Toc15396626"/>
      <w:r>
        <w:rPr>
          <w:rStyle w:val="29"/>
          <w:rFonts w:hint="eastAsia" w:ascii="仿宋" w:hAnsi="仿宋" w:eastAsia="仿宋"/>
          <w:b w:val="0"/>
          <w:bCs w:val="0"/>
        </w:rPr>
        <w:t>八、</w:t>
      </w:r>
      <w:r>
        <w:rPr>
          <w:rFonts w:hint="eastAsia" w:ascii="仿宋" w:hAnsi="仿宋" w:eastAsia="仿宋"/>
          <w:b w:val="0"/>
          <w:color w:val="000000"/>
        </w:rPr>
        <w:t>一</w:t>
      </w:r>
      <w:r>
        <w:rPr>
          <w:rStyle w:val="29"/>
          <w:rFonts w:hint="eastAsia" w:ascii="仿宋" w:hAnsi="仿宋" w:eastAsia="仿宋"/>
          <w:b w:val="0"/>
          <w:bCs w:val="0"/>
        </w:rPr>
        <w:t>般公共预算财政拨款基本支出决算表</w:t>
      </w:r>
      <w:bookmarkEnd w:id="66"/>
    </w:p>
    <w:p>
      <w:pPr>
        <w:pStyle w:val="3"/>
        <w:rPr>
          <w:rFonts w:ascii="仿宋" w:hAnsi="仿宋" w:eastAsia="仿宋"/>
          <w:color w:val="000000"/>
        </w:rPr>
      </w:pPr>
      <w:bookmarkStart w:id="67" w:name="_Toc15396627"/>
      <w:r>
        <w:rPr>
          <w:rStyle w:val="29"/>
          <w:rFonts w:hint="eastAsia" w:ascii="仿宋" w:hAnsi="仿宋" w:eastAsia="仿宋"/>
          <w:b w:val="0"/>
          <w:bCs w:val="0"/>
        </w:rPr>
        <w:t>九、</w:t>
      </w:r>
      <w:r>
        <w:rPr>
          <w:rFonts w:hint="eastAsia" w:ascii="仿宋" w:hAnsi="仿宋" w:eastAsia="仿宋"/>
          <w:b w:val="0"/>
          <w:color w:val="000000"/>
        </w:rPr>
        <w:t>一</w:t>
      </w:r>
      <w:r>
        <w:rPr>
          <w:rStyle w:val="29"/>
          <w:rFonts w:hint="eastAsia" w:ascii="仿宋" w:hAnsi="仿宋" w:eastAsia="仿宋"/>
          <w:b w:val="0"/>
          <w:bCs w:val="0"/>
        </w:rPr>
        <w:t>般公共预算财政拨款项目支出决算表</w:t>
      </w:r>
      <w:bookmarkEnd w:id="67"/>
    </w:p>
    <w:p>
      <w:pPr>
        <w:pStyle w:val="3"/>
        <w:rPr>
          <w:rFonts w:ascii="仿宋" w:hAnsi="仿宋" w:eastAsia="仿宋"/>
          <w:color w:val="000000"/>
        </w:rPr>
      </w:pPr>
      <w:bookmarkStart w:id="68" w:name="_Toc15396628"/>
      <w:r>
        <w:rPr>
          <w:rStyle w:val="29"/>
          <w:rFonts w:hint="eastAsia" w:ascii="仿宋" w:hAnsi="仿宋" w:eastAsia="仿宋"/>
          <w:b w:val="0"/>
          <w:bCs w:val="0"/>
        </w:rPr>
        <w:t>十、</w:t>
      </w:r>
      <w:r>
        <w:rPr>
          <w:rFonts w:hint="eastAsia" w:ascii="仿宋" w:hAnsi="仿宋" w:eastAsia="仿宋"/>
          <w:b w:val="0"/>
          <w:color w:val="000000"/>
        </w:rPr>
        <w:t>一</w:t>
      </w:r>
      <w:r>
        <w:rPr>
          <w:rStyle w:val="29"/>
          <w:rFonts w:hint="eastAsia" w:ascii="仿宋" w:hAnsi="仿宋" w:eastAsia="仿宋"/>
          <w:b w:val="0"/>
          <w:bCs w:val="0"/>
        </w:rPr>
        <w:t>般公共预算财政拨款“三公”经费支出决算表</w:t>
      </w:r>
      <w:bookmarkEnd w:id="68"/>
    </w:p>
    <w:p>
      <w:pPr>
        <w:pStyle w:val="3"/>
        <w:rPr>
          <w:rFonts w:ascii="仿宋" w:hAnsi="仿宋" w:eastAsia="仿宋"/>
          <w:color w:val="000000"/>
        </w:rPr>
      </w:pPr>
      <w:bookmarkStart w:id="69" w:name="_Toc15396629"/>
      <w:r>
        <w:rPr>
          <w:rStyle w:val="29"/>
          <w:rFonts w:hint="eastAsia" w:ascii="仿宋" w:hAnsi="仿宋" w:eastAsia="仿宋"/>
          <w:b w:val="0"/>
          <w:bCs w:val="0"/>
        </w:rPr>
        <w:t>十一、</w:t>
      </w:r>
      <w:r>
        <w:rPr>
          <w:rFonts w:hint="eastAsia" w:ascii="仿宋" w:hAnsi="仿宋" w:eastAsia="仿宋"/>
          <w:b w:val="0"/>
          <w:color w:val="000000"/>
        </w:rPr>
        <w:t>政</w:t>
      </w:r>
      <w:r>
        <w:rPr>
          <w:rStyle w:val="29"/>
          <w:rFonts w:hint="eastAsia" w:ascii="仿宋" w:hAnsi="仿宋" w:eastAsia="仿宋"/>
          <w:b w:val="0"/>
          <w:bCs w:val="0"/>
        </w:rPr>
        <w:t>府性基金预算财政拨款收入支出决算表</w:t>
      </w:r>
      <w:bookmarkEnd w:id="69"/>
    </w:p>
    <w:p>
      <w:pPr>
        <w:pStyle w:val="3"/>
        <w:rPr>
          <w:rFonts w:ascii="仿宋" w:hAnsi="仿宋" w:eastAsia="仿宋"/>
          <w:color w:val="000000"/>
        </w:rPr>
      </w:pPr>
      <w:bookmarkStart w:id="70" w:name="_Toc15396630"/>
      <w:r>
        <w:rPr>
          <w:rStyle w:val="29"/>
          <w:rFonts w:hint="eastAsia" w:ascii="仿宋" w:hAnsi="仿宋" w:eastAsia="仿宋"/>
          <w:b w:val="0"/>
          <w:bCs w:val="0"/>
        </w:rPr>
        <w:t>十二、</w:t>
      </w:r>
      <w:r>
        <w:rPr>
          <w:rFonts w:hint="eastAsia" w:ascii="仿宋" w:hAnsi="仿宋" w:eastAsia="仿宋"/>
          <w:b w:val="0"/>
          <w:color w:val="000000"/>
        </w:rPr>
        <w:t>政</w:t>
      </w:r>
      <w:r>
        <w:rPr>
          <w:rStyle w:val="29"/>
          <w:rFonts w:hint="eastAsia" w:ascii="仿宋" w:hAnsi="仿宋" w:eastAsia="仿宋"/>
          <w:b w:val="0"/>
          <w:bCs w:val="0"/>
        </w:rPr>
        <w:t>府性基金预算财政拨款“三公”经费支出决算表</w:t>
      </w:r>
      <w:bookmarkEnd w:id="70"/>
    </w:p>
    <w:p>
      <w:pPr>
        <w:pStyle w:val="3"/>
        <w:rPr>
          <w:rFonts w:ascii="仿宋" w:hAnsi="仿宋" w:eastAsia="仿宋"/>
          <w:color w:val="000000" w:themeColor="text1"/>
        </w:rPr>
      </w:pPr>
      <w:bookmarkStart w:id="71" w:name="_Toc15396631"/>
      <w:r>
        <w:rPr>
          <w:rStyle w:val="29"/>
          <w:rFonts w:hint="eastAsia" w:ascii="仿宋" w:hAnsi="仿宋" w:eastAsia="仿宋"/>
          <w:b w:val="0"/>
          <w:bCs w:val="0"/>
        </w:rPr>
        <w:t>十三、</w:t>
      </w:r>
      <w:r>
        <w:rPr>
          <w:rFonts w:hint="eastAsia" w:ascii="仿宋" w:hAnsi="仿宋" w:eastAsia="仿宋"/>
          <w:b w:val="0"/>
          <w:color w:val="000000"/>
        </w:rPr>
        <w:t>国</w:t>
      </w:r>
      <w:r>
        <w:rPr>
          <w:rStyle w:val="29"/>
          <w:rFonts w:hint="eastAsia" w:ascii="仿宋" w:hAnsi="仿宋" w:eastAsia="仿宋"/>
          <w:b w:val="0"/>
          <w:bCs w:val="0"/>
        </w:rPr>
        <w:t>有资本经营预算支出决算表</w:t>
      </w:r>
      <w:bookmarkEnd w:id="7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altName w:val="Arial Unicode MS"/>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幼圆">
    <w:panose1 w:val="02010509060101010101"/>
    <w:charset w:val="86"/>
    <w:family w:val="roman"/>
    <w:pitch w:val=""/>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BA89271"/>
    <w:multiLevelType w:val="singleLevel"/>
    <w:tmpl w:val="EBA89271"/>
    <w:lvl w:ilvl="0" w:tentative="0">
      <w:start w:val="2"/>
      <w:numFmt w:val="decimal"/>
      <w:lvlText w:val="%1."/>
      <w:lvlJc w:val="left"/>
      <w:pPr>
        <w:tabs>
          <w:tab w:val="left" w:pos="312"/>
        </w:tabs>
      </w:p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6D7E"/>
    <w:rsid w:val="00014E76"/>
    <w:rsid w:val="000222C6"/>
    <w:rsid w:val="0002549F"/>
    <w:rsid w:val="000468DB"/>
    <w:rsid w:val="0006487A"/>
    <w:rsid w:val="00065F8F"/>
    <w:rsid w:val="00070A43"/>
    <w:rsid w:val="000768F2"/>
    <w:rsid w:val="0008141F"/>
    <w:rsid w:val="000867D3"/>
    <w:rsid w:val="0009184B"/>
    <w:rsid w:val="00094236"/>
    <w:rsid w:val="000949DE"/>
    <w:rsid w:val="0009593C"/>
    <w:rsid w:val="00097322"/>
    <w:rsid w:val="000A6A92"/>
    <w:rsid w:val="000B047F"/>
    <w:rsid w:val="000B476F"/>
    <w:rsid w:val="000B5923"/>
    <w:rsid w:val="000B5A48"/>
    <w:rsid w:val="000B6FF3"/>
    <w:rsid w:val="000C3467"/>
    <w:rsid w:val="000C3CA6"/>
    <w:rsid w:val="000C6D00"/>
    <w:rsid w:val="000D1267"/>
    <w:rsid w:val="000D1D50"/>
    <w:rsid w:val="000D5782"/>
    <w:rsid w:val="000E6613"/>
    <w:rsid w:val="000E7119"/>
    <w:rsid w:val="00112BF6"/>
    <w:rsid w:val="00114E9B"/>
    <w:rsid w:val="0013137D"/>
    <w:rsid w:val="00142216"/>
    <w:rsid w:val="00144D6A"/>
    <w:rsid w:val="0014729F"/>
    <w:rsid w:val="00157BAB"/>
    <w:rsid w:val="0016241D"/>
    <w:rsid w:val="001654D1"/>
    <w:rsid w:val="00167748"/>
    <w:rsid w:val="00174518"/>
    <w:rsid w:val="00174D5D"/>
    <w:rsid w:val="00180CAB"/>
    <w:rsid w:val="0018106D"/>
    <w:rsid w:val="001877A7"/>
    <w:rsid w:val="00187F35"/>
    <w:rsid w:val="0019079D"/>
    <w:rsid w:val="00191536"/>
    <w:rsid w:val="00196687"/>
    <w:rsid w:val="001C0962"/>
    <w:rsid w:val="001D7531"/>
    <w:rsid w:val="001E737D"/>
    <w:rsid w:val="001F0592"/>
    <w:rsid w:val="001F7506"/>
    <w:rsid w:val="002006CD"/>
    <w:rsid w:val="00202B36"/>
    <w:rsid w:val="00204B7A"/>
    <w:rsid w:val="00204CDE"/>
    <w:rsid w:val="0021101A"/>
    <w:rsid w:val="00220063"/>
    <w:rsid w:val="00220536"/>
    <w:rsid w:val="00235629"/>
    <w:rsid w:val="00260C38"/>
    <w:rsid w:val="002616C0"/>
    <w:rsid w:val="00265372"/>
    <w:rsid w:val="002662AA"/>
    <w:rsid w:val="00280496"/>
    <w:rsid w:val="00287B8C"/>
    <w:rsid w:val="00294DC9"/>
    <w:rsid w:val="00295495"/>
    <w:rsid w:val="002A31DE"/>
    <w:rsid w:val="002B0D09"/>
    <w:rsid w:val="002B2613"/>
    <w:rsid w:val="002C5F03"/>
    <w:rsid w:val="002D19B0"/>
    <w:rsid w:val="002D6D05"/>
    <w:rsid w:val="002E4796"/>
    <w:rsid w:val="002F1818"/>
    <w:rsid w:val="002F567B"/>
    <w:rsid w:val="00305F9D"/>
    <w:rsid w:val="003216A9"/>
    <w:rsid w:val="003233CB"/>
    <w:rsid w:val="00335A74"/>
    <w:rsid w:val="00361C89"/>
    <w:rsid w:val="0036561B"/>
    <w:rsid w:val="0037013F"/>
    <w:rsid w:val="00380C92"/>
    <w:rsid w:val="003A3942"/>
    <w:rsid w:val="003A484F"/>
    <w:rsid w:val="003A4883"/>
    <w:rsid w:val="003B0BE0"/>
    <w:rsid w:val="003B0C1B"/>
    <w:rsid w:val="003B688C"/>
    <w:rsid w:val="003C0291"/>
    <w:rsid w:val="003C3307"/>
    <w:rsid w:val="003C39AE"/>
    <w:rsid w:val="003C7B60"/>
    <w:rsid w:val="003D0C0F"/>
    <w:rsid w:val="003D1FB2"/>
    <w:rsid w:val="003D66DA"/>
    <w:rsid w:val="003E1310"/>
    <w:rsid w:val="003E6F55"/>
    <w:rsid w:val="003F02EF"/>
    <w:rsid w:val="003F5CCC"/>
    <w:rsid w:val="00406254"/>
    <w:rsid w:val="0041371F"/>
    <w:rsid w:val="00416CD4"/>
    <w:rsid w:val="00416FEC"/>
    <w:rsid w:val="004223DE"/>
    <w:rsid w:val="00434489"/>
    <w:rsid w:val="00437085"/>
    <w:rsid w:val="00443880"/>
    <w:rsid w:val="004464F4"/>
    <w:rsid w:val="00471401"/>
    <w:rsid w:val="00473F31"/>
    <w:rsid w:val="0048025B"/>
    <w:rsid w:val="00480C66"/>
    <w:rsid w:val="0048263A"/>
    <w:rsid w:val="00487E5D"/>
    <w:rsid w:val="004A0C08"/>
    <w:rsid w:val="004A711F"/>
    <w:rsid w:val="004B199D"/>
    <w:rsid w:val="004B4690"/>
    <w:rsid w:val="004D5767"/>
    <w:rsid w:val="004E0A2D"/>
    <w:rsid w:val="004E206B"/>
    <w:rsid w:val="004E6DF7"/>
    <w:rsid w:val="004F0FBD"/>
    <w:rsid w:val="004F403E"/>
    <w:rsid w:val="00505A47"/>
    <w:rsid w:val="00512FDA"/>
    <w:rsid w:val="005167F6"/>
    <w:rsid w:val="00520DA0"/>
    <w:rsid w:val="00520DB5"/>
    <w:rsid w:val="00531E14"/>
    <w:rsid w:val="00556157"/>
    <w:rsid w:val="00561801"/>
    <w:rsid w:val="005664BB"/>
    <w:rsid w:val="00566FFA"/>
    <w:rsid w:val="0057481D"/>
    <w:rsid w:val="00575F0B"/>
    <w:rsid w:val="00581248"/>
    <w:rsid w:val="0058486E"/>
    <w:rsid w:val="00585B33"/>
    <w:rsid w:val="0059014D"/>
    <w:rsid w:val="005B2C4D"/>
    <w:rsid w:val="005B5C64"/>
    <w:rsid w:val="005C6BD0"/>
    <w:rsid w:val="005C6C4C"/>
    <w:rsid w:val="005D1C8B"/>
    <w:rsid w:val="005D468D"/>
    <w:rsid w:val="005D5CED"/>
    <w:rsid w:val="005F1A4C"/>
    <w:rsid w:val="005F7DC4"/>
    <w:rsid w:val="00602919"/>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B7530"/>
    <w:rsid w:val="006C1937"/>
    <w:rsid w:val="006D0E38"/>
    <w:rsid w:val="006D2B5E"/>
    <w:rsid w:val="006E03DC"/>
    <w:rsid w:val="006F020C"/>
    <w:rsid w:val="007127B7"/>
    <w:rsid w:val="0071798E"/>
    <w:rsid w:val="00727533"/>
    <w:rsid w:val="007416B6"/>
    <w:rsid w:val="007447D6"/>
    <w:rsid w:val="00746F48"/>
    <w:rsid w:val="0075404D"/>
    <w:rsid w:val="0076182A"/>
    <w:rsid w:val="00767B7E"/>
    <w:rsid w:val="007752B1"/>
    <w:rsid w:val="00776742"/>
    <w:rsid w:val="007770C3"/>
    <w:rsid w:val="00784D24"/>
    <w:rsid w:val="00785FBA"/>
    <w:rsid w:val="00786E4A"/>
    <w:rsid w:val="007875EB"/>
    <w:rsid w:val="00787C1E"/>
    <w:rsid w:val="0079426B"/>
    <w:rsid w:val="007B3FBF"/>
    <w:rsid w:val="007B7F79"/>
    <w:rsid w:val="007C081D"/>
    <w:rsid w:val="007D1682"/>
    <w:rsid w:val="007D312A"/>
    <w:rsid w:val="007D3F19"/>
    <w:rsid w:val="007E23B0"/>
    <w:rsid w:val="007F1991"/>
    <w:rsid w:val="007F2C2F"/>
    <w:rsid w:val="007F55FC"/>
    <w:rsid w:val="007F5665"/>
    <w:rsid w:val="00800112"/>
    <w:rsid w:val="00813348"/>
    <w:rsid w:val="008253BB"/>
    <w:rsid w:val="0083212B"/>
    <w:rsid w:val="00833962"/>
    <w:rsid w:val="0083428D"/>
    <w:rsid w:val="0083706E"/>
    <w:rsid w:val="008408F6"/>
    <w:rsid w:val="008423A5"/>
    <w:rsid w:val="00850625"/>
    <w:rsid w:val="0085228E"/>
    <w:rsid w:val="00853718"/>
    <w:rsid w:val="00854972"/>
    <w:rsid w:val="00855221"/>
    <w:rsid w:val="00856208"/>
    <w:rsid w:val="00860645"/>
    <w:rsid w:val="00871F71"/>
    <w:rsid w:val="00872FD8"/>
    <w:rsid w:val="0088074B"/>
    <w:rsid w:val="00880C00"/>
    <w:rsid w:val="00885AF4"/>
    <w:rsid w:val="008939CD"/>
    <w:rsid w:val="008A0C30"/>
    <w:rsid w:val="008B768C"/>
    <w:rsid w:val="008C4DB1"/>
    <w:rsid w:val="008C4EAF"/>
    <w:rsid w:val="008C5176"/>
    <w:rsid w:val="008C7FD0"/>
    <w:rsid w:val="008E1DE7"/>
    <w:rsid w:val="008E707C"/>
    <w:rsid w:val="00900B08"/>
    <w:rsid w:val="00902155"/>
    <w:rsid w:val="00902FA3"/>
    <w:rsid w:val="00923564"/>
    <w:rsid w:val="0092392E"/>
    <w:rsid w:val="009315F9"/>
    <w:rsid w:val="00931F15"/>
    <w:rsid w:val="00933499"/>
    <w:rsid w:val="00935A25"/>
    <w:rsid w:val="00935C98"/>
    <w:rsid w:val="00946945"/>
    <w:rsid w:val="00947469"/>
    <w:rsid w:val="00951248"/>
    <w:rsid w:val="0095152F"/>
    <w:rsid w:val="00954C49"/>
    <w:rsid w:val="00955E37"/>
    <w:rsid w:val="00964669"/>
    <w:rsid w:val="0097099F"/>
    <w:rsid w:val="00971997"/>
    <w:rsid w:val="00971FFC"/>
    <w:rsid w:val="0098538E"/>
    <w:rsid w:val="0098660A"/>
    <w:rsid w:val="00990F54"/>
    <w:rsid w:val="009931C3"/>
    <w:rsid w:val="009B2C43"/>
    <w:rsid w:val="009B4EAE"/>
    <w:rsid w:val="009B7573"/>
    <w:rsid w:val="009C22F4"/>
    <w:rsid w:val="009C2E98"/>
    <w:rsid w:val="009C37FB"/>
    <w:rsid w:val="009C6848"/>
    <w:rsid w:val="009D3447"/>
    <w:rsid w:val="009D4711"/>
    <w:rsid w:val="009F1185"/>
    <w:rsid w:val="009F18CD"/>
    <w:rsid w:val="009F2A13"/>
    <w:rsid w:val="009F7527"/>
    <w:rsid w:val="009F7644"/>
    <w:rsid w:val="00A039ED"/>
    <w:rsid w:val="00A04EB0"/>
    <w:rsid w:val="00A13CC1"/>
    <w:rsid w:val="00A16847"/>
    <w:rsid w:val="00A212B4"/>
    <w:rsid w:val="00A237D8"/>
    <w:rsid w:val="00A268C4"/>
    <w:rsid w:val="00A307CD"/>
    <w:rsid w:val="00A331C8"/>
    <w:rsid w:val="00A350D0"/>
    <w:rsid w:val="00A35117"/>
    <w:rsid w:val="00A40A00"/>
    <w:rsid w:val="00A4142F"/>
    <w:rsid w:val="00A422EB"/>
    <w:rsid w:val="00A45BB7"/>
    <w:rsid w:val="00A56DF2"/>
    <w:rsid w:val="00A56E6E"/>
    <w:rsid w:val="00A641EA"/>
    <w:rsid w:val="00A67AB5"/>
    <w:rsid w:val="00A67FC0"/>
    <w:rsid w:val="00A733B2"/>
    <w:rsid w:val="00A741C2"/>
    <w:rsid w:val="00A74CEF"/>
    <w:rsid w:val="00A91760"/>
    <w:rsid w:val="00A93B00"/>
    <w:rsid w:val="00A93C21"/>
    <w:rsid w:val="00A96C71"/>
    <w:rsid w:val="00AA06DC"/>
    <w:rsid w:val="00AB64C9"/>
    <w:rsid w:val="00AC3C6A"/>
    <w:rsid w:val="00AD0F83"/>
    <w:rsid w:val="00AD4725"/>
    <w:rsid w:val="00AD5620"/>
    <w:rsid w:val="00AD656B"/>
    <w:rsid w:val="00AD7C1B"/>
    <w:rsid w:val="00AE16BA"/>
    <w:rsid w:val="00AE1EBE"/>
    <w:rsid w:val="00B03C9D"/>
    <w:rsid w:val="00B060AE"/>
    <w:rsid w:val="00B10517"/>
    <w:rsid w:val="00B14E76"/>
    <w:rsid w:val="00B161B8"/>
    <w:rsid w:val="00B178B5"/>
    <w:rsid w:val="00B2048C"/>
    <w:rsid w:val="00B310B9"/>
    <w:rsid w:val="00B35F3F"/>
    <w:rsid w:val="00B36CBB"/>
    <w:rsid w:val="00B425E0"/>
    <w:rsid w:val="00B440AA"/>
    <w:rsid w:val="00B44B70"/>
    <w:rsid w:val="00B50E36"/>
    <w:rsid w:val="00B53C56"/>
    <w:rsid w:val="00B54610"/>
    <w:rsid w:val="00B57DAF"/>
    <w:rsid w:val="00B77EA6"/>
    <w:rsid w:val="00B81598"/>
    <w:rsid w:val="00B841F1"/>
    <w:rsid w:val="00B944D6"/>
    <w:rsid w:val="00BA3F18"/>
    <w:rsid w:val="00BA7F1E"/>
    <w:rsid w:val="00BB4DF0"/>
    <w:rsid w:val="00BC289F"/>
    <w:rsid w:val="00BC2D50"/>
    <w:rsid w:val="00BC5361"/>
    <w:rsid w:val="00BC5460"/>
    <w:rsid w:val="00BC6B50"/>
    <w:rsid w:val="00BD0E25"/>
    <w:rsid w:val="00BF5BD6"/>
    <w:rsid w:val="00C03E31"/>
    <w:rsid w:val="00C2130B"/>
    <w:rsid w:val="00C30E69"/>
    <w:rsid w:val="00C33E72"/>
    <w:rsid w:val="00C354B2"/>
    <w:rsid w:val="00C35554"/>
    <w:rsid w:val="00C42709"/>
    <w:rsid w:val="00C523FF"/>
    <w:rsid w:val="00C533CC"/>
    <w:rsid w:val="00C5751C"/>
    <w:rsid w:val="00C61BFC"/>
    <w:rsid w:val="00C62B85"/>
    <w:rsid w:val="00C65438"/>
    <w:rsid w:val="00C67208"/>
    <w:rsid w:val="00C727DE"/>
    <w:rsid w:val="00C77961"/>
    <w:rsid w:val="00C840E1"/>
    <w:rsid w:val="00C854EB"/>
    <w:rsid w:val="00C91CBB"/>
    <w:rsid w:val="00CB3CD4"/>
    <w:rsid w:val="00CB4E70"/>
    <w:rsid w:val="00CC09B6"/>
    <w:rsid w:val="00CC666F"/>
    <w:rsid w:val="00CD1E3F"/>
    <w:rsid w:val="00CE44F6"/>
    <w:rsid w:val="00CE49DA"/>
    <w:rsid w:val="00CE7B61"/>
    <w:rsid w:val="00D00095"/>
    <w:rsid w:val="00D114F0"/>
    <w:rsid w:val="00D20620"/>
    <w:rsid w:val="00D248B1"/>
    <w:rsid w:val="00D254F7"/>
    <w:rsid w:val="00D26091"/>
    <w:rsid w:val="00D2685C"/>
    <w:rsid w:val="00D34E7C"/>
    <w:rsid w:val="00D35489"/>
    <w:rsid w:val="00D36AFE"/>
    <w:rsid w:val="00D40A5A"/>
    <w:rsid w:val="00D51276"/>
    <w:rsid w:val="00D541DD"/>
    <w:rsid w:val="00D7035F"/>
    <w:rsid w:val="00D86755"/>
    <w:rsid w:val="00DA634F"/>
    <w:rsid w:val="00DA65AC"/>
    <w:rsid w:val="00DB1913"/>
    <w:rsid w:val="00DB2446"/>
    <w:rsid w:val="00DC410D"/>
    <w:rsid w:val="00DC5A81"/>
    <w:rsid w:val="00DC68CA"/>
    <w:rsid w:val="00DC7CBA"/>
    <w:rsid w:val="00DD73B7"/>
    <w:rsid w:val="00DE1F2E"/>
    <w:rsid w:val="00DF28BC"/>
    <w:rsid w:val="00DF34B9"/>
    <w:rsid w:val="00DF3604"/>
    <w:rsid w:val="00E01053"/>
    <w:rsid w:val="00E07ACF"/>
    <w:rsid w:val="00E331A1"/>
    <w:rsid w:val="00E33202"/>
    <w:rsid w:val="00E336A9"/>
    <w:rsid w:val="00E46F70"/>
    <w:rsid w:val="00E472B1"/>
    <w:rsid w:val="00E50624"/>
    <w:rsid w:val="00E568DF"/>
    <w:rsid w:val="00E615DA"/>
    <w:rsid w:val="00E64269"/>
    <w:rsid w:val="00E66797"/>
    <w:rsid w:val="00E82267"/>
    <w:rsid w:val="00E853CE"/>
    <w:rsid w:val="00E867B6"/>
    <w:rsid w:val="00E87F08"/>
    <w:rsid w:val="00E96B31"/>
    <w:rsid w:val="00EA010F"/>
    <w:rsid w:val="00EA534B"/>
    <w:rsid w:val="00ED1B63"/>
    <w:rsid w:val="00ED3C1F"/>
    <w:rsid w:val="00ED4085"/>
    <w:rsid w:val="00ED420E"/>
    <w:rsid w:val="00ED6FBE"/>
    <w:rsid w:val="00EE2F57"/>
    <w:rsid w:val="00EF4C34"/>
    <w:rsid w:val="00EF77C6"/>
    <w:rsid w:val="00F00358"/>
    <w:rsid w:val="00F05438"/>
    <w:rsid w:val="00F116DD"/>
    <w:rsid w:val="00F1361C"/>
    <w:rsid w:val="00F156F0"/>
    <w:rsid w:val="00F160C7"/>
    <w:rsid w:val="00F2408F"/>
    <w:rsid w:val="00F240E9"/>
    <w:rsid w:val="00F36D8F"/>
    <w:rsid w:val="00F417B1"/>
    <w:rsid w:val="00F43424"/>
    <w:rsid w:val="00F45853"/>
    <w:rsid w:val="00F602DF"/>
    <w:rsid w:val="00F754A1"/>
    <w:rsid w:val="00F81FD9"/>
    <w:rsid w:val="00F841AA"/>
    <w:rsid w:val="00F84A94"/>
    <w:rsid w:val="00F87E96"/>
    <w:rsid w:val="00FA23E8"/>
    <w:rsid w:val="00FA6420"/>
    <w:rsid w:val="00FB266B"/>
    <w:rsid w:val="00FD3CC1"/>
    <w:rsid w:val="00FE1922"/>
    <w:rsid w:val="00FF1E02"/>
    <w:rsid w:val="00FF225A"/>
    <w:rsid w:val="00FF30B4"/>
    <w:rsid w:val="0B61760C"/>
    <w:rsid w:val="0EAD088F"/>
    <w:rsid w:val="10C055FF"/>
    <w:rsid w:val="16BB723D"/>
    <w:rsid w:val="189F2E3E"/>
    <w:rsid w:val="2377096C"/>
    <w:rsid w:val="240371BF"/>
    <w:rsid w:val="29FD04D3"/>
    <w:rsid w:val="319F7F4E"/>
    <w:rsid w:val="353E67AD"/>
    <w:rsid w:val="4BE90FEE"/>
    <w:rsid w:val="4ECE2238"/>
    <w:rsid w:val="4FC95DD5"/>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uiPriority w:val="99"/>
    <w:pPr>
      <w:spacing w:beforeLines="30"/>
    </w:pPr>
    <w:rPr>
      <w:rFonts w:ascii="仿宋_GB2312" w:eastAsia="仿宋_GB2312"/>
      <w:kern w:val="0"/>
      <w:sz w:val="30"/>
    </w:rPr>
  </w:style>
  <w:style w:type="paragraph" w:styleId="6">
    <w:name w:val="Body Text Indent"/>
    <w:basedOn w:val="1"/>
    <w:link w:val="34"/>
    <w:semiHidden/>
    <w:unhideWhenUsed/>
    <w:uiPriority w:val="99"/>
    <w:pPr>
      <w:spacing w:after="120"/>
      <w:ind w:left="420" w:leftChars="200"/>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iPriority w:val="0"/>
    <w:pPr>
      <w:spacing w:before="100" w:beforeAutospacing="1" w:after="100" w:afterAutospacing="1"/>
      <w:jc w:val="left"/>
    </w:pPr>
    <w:rPr>
      <w:rFonts w:ascii="Calibri" w:hAnsi="Calibri"/>
      <w:kern w:val="0"/>
      <w:sz w:val="24"/>
    </w:rPr>
  </w:style>
  <w:style w:type="paragraph" w:styleId="14">
    <w:name w:val="Body Text First Indent 2"/>
    <w:basedOn w:val="6"/>
    <w:link w:val="35"/>
    <w:semiHidden/>
    <w:unhideWhenUsed/>
    <w:uiPriority w:val="99"/>
    <w:pPr>
      <w:ind w:firstLine="420" w:firstLineChars="200"/>
    </w:pPr>
  </w:style>
  <w:style w:type="character" w:styleId="17">
    <w:name w:val="Strong"/>
    <w:basedOn w:val="16"/>
    <w:qFormat/>
    <w:uiPriority w:val="99"/>
    <w:rPr>
      <w:b/>
    </w:rPr>
  </w:style>
  <w:style w:type="character" w:styleId="18">
    <w:name w:val="FollowedHyperlink"/>
    <w:basedOn w:val="16"/>
    <w:semiHidden/>
    <w:unhideWhenUsed/>
    <w:uiPriority w:val="99"/>
    <w:rPr>
      <w:color w:val="800080"/>
      <w:u w:val="single"/>
    </w:rPr>
  </w:style>
  <w:style w:type="character" w:styleId="19">
    <w:name w:val="Hyperlink"/>
    <w:basedOn w:val="16"/>
    <w:unhideWhenUsed/>
    <w:qFormat/>
    <w:uiPriority w:val="99"/>
    <w:rPr>
      <w:color w:val="0000FF" w:themeColor="hyperlink"/>
      <w:u w:val="single"/>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2"/>
    <w:qFormat/>
    <w:uiPriority w:val="9"/>
    <w:rPr>
      <w:rFonts w:ascii="Times New Roman" w:hAnsi="Times New Roman"/>
      <w:b/>
      <w:bCs/>
      <w:kern w:val="44"/>
      <w:sz w:val="44"/>
      <w:szCs w:val="44"/>
    </w:rPr>
  </w:style>
  <w:style w:type="character" w:customStyle="1" w:styleId="29">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6"/>
    <w:link w:val="8"/>
    <w:semiHidden/>
    <w:qFormat/>
    <w:uiPriority w:val="99"/>
    <w:rPr>
      <w:rFonts w:ascii="Times New Roman" w:hAnsi="Times New Roman"/>
      <w:kern w:val="2"/>
      <w:sz w:val="18"/>
      <w:szCs w:val="18"/>
    </w:rPr>
  </w:style>
  <w:style w:type="character" w:customStyle="1" w:styleId="32">
    <w:name w:val="标题 3 Char"/>
    <w:basedOn w:val="16"/>
    <w:link w:val="4"/>
    <w:qFormat/>
    <w:uiPriority w:val="9"/>
    <w:rPr>
      <w:rFonts w:ascii="Times New Roman" w:hAnsi="Times New Roman"/>
      <w:b/>
      <w:bCs/>
      <w:kern w:val="2"/>
      <w:sz w:val="32"/>
      <w:szCs w:val="32"/>
    </w:rPr>
  </w:style>
  <w:style w:type="paragraph" w:customStyle="1" w:styleId="33">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正文文本缩进 Char"/>
    <w:basedOn w:val="16"/>
    <w:link w:val="6"/>
    <w:semiHidden/>
    <w:uiPriority w:val="99"/>
    <w:rPr>
      <w:rFonts w:ascii="Times New Roman" w:hAnsi="Times New Roman"/>
      <w:kern w:val="2"/>
      <w:sz w:val="21"/>
      <w:szCs w:val="24"/>
    </w:rPr>
  </w:style>
  <w:style w:type="character" w:customStyle="1" w:styleId="35">
    <w:name w:val="正文首行缩进 2 Char"/>
    <w:basedOn w:val="34"/>
    <w:link w:val="14"/>
    <w:semiHidden/>
    <w:uiPriority w:val="99"/>
  </w:style>
  <w:style w:type="paragraph" w:customStyle="1" w:styleId="36">
    <w:name w:val="列出段落1"/>
    <w:basedOn w:val="1"/>
    <w:qFormat/>
    <w:uiPriority w:val="34"/>
    <w:pPr>
      <w:ind w:firstLine="420" w:firstLineChars="200"/>
    </w:pPr>
  </w:style>
  <w:style w:type="paragraph" w:customStyle="1" w:styleId="37">
    <w:name w:val="xl65"/>
    <w:basedOn w:val="1"/>
    <w:uiPriority w:val="0"/>
    <w:pPr>
      <w:widowControl/>
      <w:pBdr>
        <w:top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18"/>
      <w:szCs w:val="18"/>
    </w:rPr>
  </w:style>
  <w:style w:type="paragraph" w:customStyle="1" w:styleId="38">
    <w:name w:val="xl66"/>
    <w:basedOn w:val="1"/>
    <w:uiPriority w:val="0"/>
    <w:pPr>
      <w:widowControl/>
      <w:pBdr>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18"/>
      <w:szCs w:val="18"/>
    </w:rPr>
  </w:style>
  <w:style w:type="paragraph" w:customStyle="1" w:styleId="39">
    <w:name w:val="xl67"/>
    <w:basedOn w:val="1"/>
    <w:uiPriority w:val="0"/>
    <w:pPr>
      <w:widowControl/>
      <w:pBdr>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18"/>
      <w:szCs w:val="18"/>
    </w:rPr>
  </w:style>
  <w:style w:type="paragraph" w:customStyle="1" w:styleId="40">
    <w:name w:val="xl68"/>
    <w:basedOn w:val="1"/>
    <w:uiPriority w:val="0"/>
    <w:pPr>
      <w:widowControl/>
      <w:pBdr>
        <w:bottom w:val="single" w:color="000000" w:sz="4" w:space="0"/>
        <w:right w:val="single" w:color="000000" w:sz="4" w:space="0"/>
      </w:pBdr>
      <w:shd w:val="clear" w:color="FFFFFF" w:fill="C0C0C0"/>
      <w:spacing w:before="100" w:beforeAutospacing="1" w:after="100" w:afterAutospacing="1"/>
      <w:jc w:val="left"/>
      <w:textAlignment w:val="center"/>
    </w:pPr>
    <w:rPr>
      <w:rFonts w:ascii="宋体" w:hAnsi="宋体" w:cs="宋体"/>
      <w:kern w:val="0"/>
      <w:sz w:val="18"/>
      <w:szCs w:val="18"/>
    </w:rPr>
  </w:style>
  <w:style w:type="paragraph" w:customStyle="1" w:styleId="41">
    <w:name w:val="xl69"/>
    <w:basedOn w:val="1"/>
    <w:uiPriority w:val="0"/>
    <w:pPr>
      <w:widowControl/>
      <w:pBdr>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18"/>
      <w:szCs w:val="18"/>
    </w:rPr>
  </w:style>
  <w:style w:type="paragraph" w:customStyle="1" w:styleId="42">
    <w:name w:val="xl70"/>
    <w:basedOn w:val="1"/>
    <w:uiPriority w:val="0"/>
    <w:pPr>
      <w:widowControl/>
      <w:pBdr>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b/>
      <w:bCs/>
      <w:kern w:val="0"/>
      <w:sz w:val="18"/>
      <w:szCs w:val="18"/>
    </w:rPr>
  </w:style>
  <w:style w:type="paragraph" w:customStyle="1" w:styleId="43">
    <w:name w:val="xl71"/>
    <w:basedOn w:val="1"/>
    <w:uiPriority w:val="0"/>
    <w:pPr>
      <w:widowControl/>
      <w:spacing w:before="100" w:beforeAutospacing="1" w:after="100" w:afterAutospacing="1"/>
      <w:jc w:val="right"/>
    </w:pPr>
    <w:rPr>
      <w:rFonts w:ascii="宋体" w:hAnsi="宋体" w:cs="宋体"/>
      <w:kern w:val="0"/>
      <w:sz w:val="24"/>
    </w:rPr>
  </w:style>
  <w:style w:type="paragraph" w:customStyle="1" w:styleId="44">
    <w:name w:val="xl72"/>
    <w:basedOn w:val="1"/>
    <w:uiPriority w:val="0"/>
    <w:pPr>
      <w:widowControl/>
      <w:pBdr>
        <w:top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18"/>
      <w:szCs w:val="18"/>
    </w:rPr>
  </w:style>
  <w:style w:type="paragraph" w:customStyle="1" w:styleId="45">
    <w:name w:val="xl73"/>
    <w:basedOn w:val="1"/>
    <w:uiPriority w:val="0"/>
    <w:pPr>
      <w:widowControl/>
      <w:pBdr>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18"/>
      <w:szCs w:val="18"/>
    </w:rPr>
  </w:style>
  <w:style w:type="paragraph" w:customStyle="1" w:styleId="46">
    <w:name w:val="xl74"/>
    <w:basedOn w:val="1"/>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47">
    <w:name w:val="xl75"/>
    <w:basedOn w:val="1"/>
    <w:uiPriority w:val="0"/>
    <w:pPr>
      <w:widowControl/>
      <w:pBdr>
        <w:bottom w:val="single" w:color="000000" w:sz="4" w:space="0"/>
      </w:pBdr>
      <w:spacing w:before="100" w:beforeAutospacing="1" w:after="100" w:afterAutospacing="1"/>
      <w:jc w:val="right"/>
    </w:pPr>
    <w:rPr>
      <w:rFonts w:ascii="宋体" w:hAnsi="宋体" w:cs="宋体"/>
      <w:kern w:val="0"/>
      <w:sz w:val="24"/>
    </w:rPr>
  </w:style>
  <w:style w:type="paragraph" w:customStyle="1" w:styleId="48">
    <w:name w:val="xl76"/>
    <w:basedOn w:val="1"/>
    <w:uiPriority w:val="0"/>
    <w:pPr>
      <w:widowControl/>
      <w:pBdr>
        <w:bottom w:val="single" w:color="000000" w:sz="4" w:space="0"/>
      </w:pBdr>
      <w:spacing w:before="100" w:beforeAutospacing="1" w:after="100" w:afterAutospacing="1"/>
      <w:jc w:val="left"/>
    </w:pPr>
    <w:rPr>
      <w:rFonts w:ascii="宋体" w:hAnsi="宋体" w:cs="宋体"/>
      <w:kern w:val="0"/>
      <w:sz w:val="24"/>
    </w:rPr>
  </w:style>
  <w:style w:type="paragraph" w:customStyle="1" w:styleId="49">
    <w:name w:val="xl77"/>
    <w:basedOn w:val="1"/>
    <w:uiPriority w:val="0"/>
    <w:pPr>
      <w:widowControl/>
      <w:pBdr>
        <w:top w:val="single" w:color="000000" w:sz="4" w:space="0"/>
        <w:left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18"/>
      <w:szCs w:val="18"/>
    </w:rPr>
  </w:style>
  <w:style w:type="paragraph" w:customStyle="1" w:styleId="50">
    <w:name w:val="xl78"/>
    <w:basedOn w:val="1"/>
    <w:uiPriority w:val="0"/>
    <w:pPr>
      <w:widowControl/>
      <w:pBdr>
        <w:left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18"/>
      <w:szCs w:val="18"/>
    </w:rPr>
  </w:style>
  <w:style w:type="paragraph" w:customStyle="1" w:styleId="51">
    <w:name w:val="xl79"/>
    <w:basedOn w:val="1"/>
    <w:uiPriority w:val="0"/>
    <w:pPr>
      <w:widowControl/>
      <w:pBdr>
        <w:bottom w:val="single" w:color="000000" w:sz="4" w:space="0"/>
        <w:right w:val="single" w:color="000000" w:sz="4" w:space="0"/>
      </w:pBdr>
      <w:spacing w:before="100" w:beforeAutospacing="1" w:after="100" w:afterAutospacing="1"/>
      <w:jc w:val="right"/>
      <w:textAlignment w:val="center"/>
    </w:pPr>
    <w:rPr>
      <w:rFonts w:ascii="宋体" w:hAnsi="宋体" w:cs="宋体"/>
      <w:kern w:val="0"/>
      <w:sz w:val="18"/>
      <w:szCs w:val="18"/>
    </w:rPr>
  </w:style>
  <w:style w:type="paragraph" w:customStyle="1" w:styleId="52">
    <w:name w:val="xl80"/>
    <w:basedOn w:val="1"/>
    <w:uiPriority w:val="0"/>
    <w:pPr>
      <w:widowControl/>
      <w:pBdr>
        <w:left w:val="single" w:color="000000" w:sz="4" w:space="0"/>
        <w:bottom w:val="single" w:color="000000" w:sz="4" w:space="0"/>
        <w:right w:val="single" w:color="000000" w:sz="4" w:space="0"/>
      </w:pBdr>
      <w:shd w:val="clear" w:color="FFFFFF" w:fill="C0C0C0"/>
      <w:spacing w:before="100" w:beforeAutospacing="1" w:after="100" w:afterAutospacing="1"/>
      <w:jc w:val="left"/>
      <w:textAlignment w:val="center"/>
    </w:pPr>
    <w:rPr>
      <w:rFonts w:ascii="宋体" w:hAnsi="宋体" w:cs="宋体"/>
      <w:b/>
      <w:bCs/>
      <w:kern w:val="0"/>
      <w:sz w:val="18"/>
      <w:szCs w:val="18"/>
    </w:rPr>
  </w:style>
  <w:style w:type="paragraph" w:customStyle="1" w:styleId="53">
    <w:name w:val="xl81"/>
    <w:basedOn w:val="1"/>
    <w:uiPriority w:val="0"/>
    <w:pPr>
      <w:widowControl/>
      <w:pBdr>
        <w:bottom w:val="single" w:color="000000" w:sz="4" w:space="0"/>
        <w:right w:val="single" w:color="000000" w:sz="4" w:space="0"/>
      </w:pBdr>
      <w:shd w:val="clear" w:color="FFFFFF" w:fill="C0C0C0"/>
      <w:spacing w:before="100" w:beforeAutospacing="1" w:after="100" w:afterAutospacing="1"/>
      <w:jc w:val="left"/>
      <w:textAlignment w:val="center"/>
    </w:pPr>
    <w:rPr>
      <w:rFonts w:ascii="宋体" w:hAnsi="宋体" w:cs="宋体"/>
      <w:b/>
      <w:bCs/>
      <w:kern w:val="0"/>
      <w:sz w:val="18"/>
      <w:szCs w:val="18"/>
    </w:rPr>
  </w:style>
  <w:style w:type="paragraph" w:customStyle="1" w:styleId="54">
    <w:name w:val="xl82"/>
    <w:basedOn w:val="1"/>
    <w:uiPriority w:val="0"/>
    <w:pPr>
      <w:widowControl/>
      <w:pBdr>
        <w:left w:val="single" w:color="000000" w:sz="4" w:space="0"/>
        <w:bottom w:val="single" w:color="000000" w:sz="4" w:space="0"/>
        <w:right w:val="single" w:color="000000" w:sz="4" w:space="0"/>
      </w:pBdr>
      <w:shd w:val="clear" w:color="FFFFFF" w:fill="C0C0C0"/>
      <w:spacing w:before="100" w:beforeAutospacing="1" w:after="100" w:afterAutospacing="1"/>
      <w:jc w:val="left"/>
      <w:textAlignment w:val="center"/>
    </w:pPr>
    <w:rPr>
      <w:rFonts w:ascii="宋体" w:hAnsi="宋体" w:cs="宋体"/>
      <w:kern w:val="0"/>
      <w:sz w:val="18"/>
      <w:szCs w:val="18"/>
    </w:rPr>
  </w:style>
  <w:style w:type="paragraph" w:customStyle="1" w:styleId="55">
    <w:name w:val="xl83"/>
    <w:basedOn w:val="1"/>
    <w:uiPriority w:val="0"/>
    <w:pPr>
      <w:widowControl/>
      <w:spacing w:before="100" w:beforeAutospacing="1" w:after="100" w:afterAutospacing="1"/>
      <w:jc w:val="right"/>
      <w:textAlignment w:val="center"/>
    </w:pPr>
    <w:rPr>
      <w:rFonts w:ascii="宋体" w:hAnsi="宋体" w:cs="宋体"/>
      <w:kern w:val="0"/>
      <w:sz w:val="18"/>
      <w:szCs w:val="18"/>
    </w:rPr>
  </w:style>
  <w:style w:type="paragraph" w:customStyle="1" w:styleId="56">
    <w:name w:val="xl84"/>
    <w:basedOn w:val="1"/>
    <w:uiPriority w:val="0"/>
    <w:pPr>
      <w:widowControl/>
      <w:spacing w:before="100" w:beforeAutospacing="1" w:after="100" w:afterAutospacing="1"/>
      <w:jc w:val="right"/>
      <w:textAlignment w:val="center"/>
    </w:pPr>
    <w:rPr>
      <w:rFonts w:ascii="宋体" w:hAnsi="宋体" w:cs="宋体"/>
      <w:kern w:val="0"/>
      <w:sz w:val="18"/>
      <w:szCs w:val="18"/>
    </w:rPr>
  </w:style>
  <w:style w:type="paragraph" w:customStyle="1" w:styleId="57">
    <w:name w:val="xl85"/>
    <w:basedOn w:val="1"/>
    <w:uiPriority w:val="0"/>
    <w:pPr>
      <w:widowControl/>
      <w:pBdr>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1.xml"/><Relationship Id="rId10" Type="http://schemas.openxmlformats.org/officeDocument/2006/relationships/image" Target="media/image5.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DOCUME~1\ADMINI~1\LOCALS~1\Temp\wps.aw5544\Chart%20in%20Wp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一般公共预算财政拨款支出决算结构图</a:t>
            </a:r>
          </a:p>
        </c:rich>
      </c:tx>
      <c:layout>
        <c:manualLayout>
          <c:xMode val="edge"/>
          <c:yMode val="edge"/>
          <c:x val="0.205673768717039"/>
          <c:y val="0.0273972602739726"/>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'[Chart in Wps.xlsx]Sheet1'!$A$2:$A$4</c:f>
              <c:strCache>
                <c:ptCount val="3"/>
                <c:pt idx="0">
                  <c:v>卫生健康支出</c:v>
                </c:pt>
                <c:pt idx="1">
                  <c:v>社会保障和就业支出</c:v>
                </c:pt>
                <c:pt idx="2">
                  <c:v>住房保障支出</c:v>
                </c:pt>
              </c:strCache>
            </c:strRef>
          </c:cat>
          <c:val>
            <c:numRef>
              <c:f>'[Chart in Wps.xlsx]Sheet1'!$B$2:$B$4</c:f>
              <c:numCache>
                <c:formatCode>General</c:formatCode>
                <c:ptCount val="3"/>
                <c:pt idx="0">
                  <c:v>90.59</c:v>
                </c:pt>
                <c:pt idx="1">
                  <c:v>5.76</c:v>
                </c:pt>
                <c:pt idx="2">
                  <c:v>3.65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529911-4E2A-440B-8769-7045F94F49D5}">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46</Pages>
  <Words>2742</Words>
  <Characters>15633</Characters>
  <Lines>130</Lines>
  <Paragraphs>36</Paragraphs>
  <TotalTime>1</TotalTime>
  <ScaleCrop>false</ScaleCrop>
  <LinksUpToDate>false</LinksUpToDate>
  <CharactersWithSpaces>18339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伍哥</cp:lastModifiedBy>
  <cp:lastPrinted>2020-07-23T02:58:00Z</cp:lastPrinted>
  <dcterms:modified xsi:type="dcterms:W3CDTF">2020-09-16T05:21:10Z</dcterms:modified>
  <dc:title>四川省***</dc:title>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