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司法</w:t>
      </w:r>
      <w:r>
        <w:rPr>
          <w:rFonts w:hint="eastAsia" w:asciiTheme="minorEastAsia" w:hAnsiTheme="minorEastAsia" w:eastAsiaTheme="minorEastAsia" w:cstheme="minorEastAsia"/>
          <w:bCs/>
          <w:sz w:val="32"/>
          <w:szCs w:val="32"/>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numId w:val="0"/>
        </w:numPr>
        <w:ind w:firstLine="640" w:firstLineChars="200"/>
        <w:rPr>
          <w:rFonts w:hint="eastAsia" w:asciiTheme="minorEastAsia" w:hAnsiTheme="minorEastAsia" w:eastAsiaTheme="minorEastAsia" w:cstheme="minorEastAsia"/>
          <w:sz w:val="32"/>
          <w:szCs w:val="32"/>
        </w:rPr>
      </w:pPr>
      <w:r>
        <w:rPr>
          <w:rFonts w:hint="eastAsia" w:ascii="仿宋_GB2312" w:eastAsia="仿宋_GB2312"/>
          <w:b w:val="0"/>
          <w:bCs/>
          <w:color w:val="000000"/>
          <w:sz w:val="32"/>
          <w:szCs w:val="32"/>
        </w:rPr>
        <w:t>局机关内设政治部、办公室、普法与依法治理股、</w:t>
      </w:r>
      <w:r>
        <w:rPr>
          <w:rFonts w:ascii="宋体" w:hAnsi="宋体" w:eastAsia="宋体" w:cs="宋体"/>
          <w:sz w:val="24"/>
          <w:szCs w:val="24"/>
        </w:rPr>
        <w:t>公共法</w:t>
      </w:r>
      <w:r>
        <w:rPr>
          <w:rFonts w:hint="eastAsia" w:ascii="仿宋_GB2312" w:eastAsia="仿宋_GB2312"/>
          <w:b w:val="0"/>
          <w:bCs/>
          <w:color w:val="000000"/>
          <w:sz w:val="32"/>
          <w:szCs w:val="32"/>
        </w:rPr>
        <w:t>律服务管理股、人民参与和促进法治股和社区矫正管理股等</w:t>
      </w:r>
      <w:r>
        <w:rPr>
          <w:rFonts w:hint="eastAsia" w:ascii="仿宋_GB2312" w:eastAsia="仿宋_GB2312"/>
          <w:b w:val="0"/>
          <w:bCs/>
          <w:color w:val="000000"/>
          <w:sz w:val="32"/>
          <w:szCs w:val="32"/>
          <w:lang w:val="en-US" w:eastAsia="zh-CN"/>
        </w:rPr>
        <w:t>10</w:t>
      </w:r>
      <w:r>
        <w:rPr>
          <w:rFonts w:hint="eastAsia" w:ascii="仿宋_GB2312" w:eastAsia="仿宋_GB2312"/>
          <w:b w:val="0"/>
          <w:bCs/>
          <w:color w:val="000000"/>
          <w:sz w:val="32"/>
          <w:szCs w:val="32"/>
        </w:rPr>
        <w:t>个股室</w:t>
      </w:r>
      <w:r>
        <w:rPr>
          <w:rFonts w:hint="eastAsia" w:ascii="仿宋_GB2312" w:eastAsia="仿宋_GB2312"/>
          <w:b w:val="0"/>
          <w:bCs/>
          <w:color w:val="000000"/>
          <w:sz w:val="32"/>
          <w:szCs w:val="32"/>
          <w:lang w:eastAsia="zh-CN"/>
        </w:rPr>
        <w:t>（含区委依法治区办秘书室）</w:t>
      </w:r>
      <w:r>
        <w:rPr>
          <w:rFonts w:hint="eastAsia" w:ascii="仿宋_GB2312" w:eastAsia="仿宋_GB2312"/>
          <w:b w:val="0"/>
          <w:bCs/>
          <w:color w:val="000000"/>
          <w:sz w:val="32"/>
          <w:szCs w:val="32"/>
        </w:rPr>
        <w:t>；下设</w:t>
      </w:r>
      <w:r>
        <w:rPr>
          <w:rFonts w:hint="eastAsia" w:ascii="仿宋_GB2312" w:eastAsia="仿宋_GB2312"/>
          <w:b w:val="0"/>
          <w:bCs/>
          <w:color w:val="000000"/>
          <w:sz w:val="32"/>
          <w:szCs w:val="32"/>
          <w:lang w:eastAsia="zh-CN"/>
        </w:rPr>
        <w:t>参公事业单位</w:t>
      </w:r>
      <w:r>
        <w:rPr>
          <w:rFonts w:hint="eastAsia" w:ascii="仿宋_GB2312" w:eastAsia="仿宋_GB2312"/>
          <w:b w:val="0"/>
          <w:bCs/>
          <w:color w:val="000000"/>
          <w:sz w:val="32"/>
          <w:szCs w:val="32"/>
        </w:rPr>
        <w:t>广元市利州区法律援助中心</w:t>
      </w:r>
      <w:r>
        <w:rPr>
          <w:rFonts w:hint="eastAsia" w:ascii="仿宋_GB2312" w:eastAsia="仿宋_GB2312"/>
          <w:b w:val="0"/>
          <w:bCs/>
          <w:color w:val="000000"/>
          <w:sz w:val="32"/>
          <w:szCs w:val="32"/>
          <w:lang w:eastAsia="zh-CN"/>
        </w:rPr>
        <w:t>，事业单位</w:t>
      </w:r>
      <w:r>
        <w:rPr>
          <w:rFonts w:hint="eastAsia" w:ascii="仿宋_GB2312" w:eastAsia="仿宋_GB2312"/>
          <w:b w:val="0"/>
          <w:bCs/>
          <w:color w:val="000000"/>
          <w:sz w:val="32"/>
          <w:szCs w:val="32"/>
        </w:rPr>
        <w:t>广元市利信公证处两个事业单位；下辖</w:t>
      </w:r>
      <w:r>
        <w:rPr>
          <w:rFonts w:hint="eastAsia" w:ascii="仿宋_GB2312" w:eastAsia="仿宋_GB2312"/>
          <w:b w:val="0"/>
          <w:bCs/>
          <w:color w:val="000000"/>
          <w:sz w:val="32"/>
          <w:szCs w:val="32"/>
          <w:lang w:val="en-US" w:eastAsia="zh-CN"/>
        </w:rPr>
        <w:t>14</w:t>
      </w:r>
      <w:r>
        <w:rPr>
          <w:rFonts w:hint="eastAsia" w:ascii="仿宋_GB2312" w:eastAsia="仿宋_GB2312"/>
          <w:b w:val="0"/>
          <w:bCs/>
          <w:color w:val="000000"/>
          <w:sz w:val="32"/>
          <w:szCs w:val="32"/>
        </w:rPr>
        <w:t>个乡镇街道司法所，机构规格为副科级</w:t>
      </w:r>
      <w:r>
        <w:rPr>
          <w:rFonts w:hint="eastAsia" w:ascii="仿宋_GB2312" w:eastAsia="仿宋_GB2312"/>
          <w:b w:val="0"/>
          <w:bCs/>
          <w:color w:val="000000"/>
          <w:sz w:val="32"/>
          <w:szCs w:val="32"/>
          <w:lang w:eastAsia="zh-CN"/>
        </w:rPr>
        <w:t>，各所设所长一名</w:t>
      </w:r>
    </w:p>
    <w:p>
      <w:pPr>
        <w:numPr>
          <w:numId w:val="0"/>
        </w:numPr>
        <w:ind w:firstLine="640" w:firstLineChars="200"/>
        <w:rPr>
          <w:rFonts w:hint="eastAsia" w:asciiTheme="minorEastAsia" w:hAnsiTheme="minorEastAsia" w:eastAsiaTheme="minorEastAsia" w:cstheme="minorEastAsia"/>
          <w:sz w:val="32"/>
          <w:szCs w:val="32"/>
        </w:rPr>
      </w:pPr>
      <w:r>
        <w:rPr>
          <w:rFonts w:hint="eastAsia" w:ascii="仿宋" w:hAnsi="仿宋" w:eastAsia="仿宋" w:cs="仿宋_GB2312"/>
          <w:sz w:val="32"/>
          <w:szCs w:val="32"/>
          <w:lang w:eastAsia="zh-CN"/>
        </w:rPr>
        <w:t>本单位编制人数</w:t>
      </w:r>
      <w:r>
        <w:rPr>
          <w:rFonts w:hint="eastAsia" w:ascii="仿宋" w:hAnsi="仿宋" w:eastAsia="仿宋" w:cs="仿宋_GB2312"/>
          <w:sz w:val="32"/>
          <w:szCs w:val="32"/>
          <w:lang w:val="en-US" w:eastAsia="zh-CN"/>
        </w:rPr>
        <w:t>47人，行政编制人数42人，事业编制人数4人；非参公事业人员1人，离退休1人，其他人员17人，遗属人员3人。</w:t>
      </w:r>
      <w:r>
        <w:rPr>
          <w:rFonts w:hint="eastAsia" w:asciiTheme="minorEastAsia" w:hAnsiTheme="minorEastAsia" w:eastAsiaTheme="minorEastAsia" w:cstheme="minorEastAsia"/>
          <w:sz w:val="32"/>
          <w:szCs w:val="32"/>
        </w:rPr>
        <w:t>主要职能职责</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司法</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957.77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仿宋_GB2312" w:eastAsia="仿宋_GB2312"/>
          <w:sz w:val="32"/>
          <w:szCs w:val="32"/>
          <w:lang w:val="en-US" w:eastAsia="zh-CN"/>
        </w:rPr>
        <w:t>706.06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35.65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957.77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仿宋_GB2312" w:eastAsia="仿宋_GB2312"/>
          <w:sz w:val="32"/>
          <w:szCs w:val="32"/>
          <w:lang w:val="en-US" w:eastAsia="zh-CN"/>
        </w:rPr>
        <w:t>706.06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35.65</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司法</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792.51</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698.16</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94.36</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司法</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)165.25</w:t>
      </w:r>
      <w:r>
        <w:rPr>
          <w:rFonts w:hint="eastAsia" w:asciiTheme="minorEastAsia" w:hAnsiTheme="minorEastAsia" w:eastAsiaTheme="minorEastAsia" w:cstheme="minorEastAsia"/>
          <w:sz w:val="32"/>
          <w:szCs w:val="32"/>
        </w:rPr>
        <w:t>万元（明细项目见附表）。</w:t>
      </w:r>
    </w:p>
    <w:tbl>
      <w:tblPr>
        <w:tblW w:w="8288" w:type="dxa"/>
        <w:tblInd w:w="0" w:type="dxa"/>
        <w:shd w:val="clear"/>
        <w:tblLayout w:type="fixed"/>
        <w:tblCellMar>
          <w:top w:w="0" w:type="dxa"/>
          <w:left w:w="0" w:type="dxa"/>
          <w:bottom w:w="0" w:type="dxa"/>
          <w:right w:w="0" w:type="dxa"/>
        </w:tblCellMar>
      </w:tblPr>
      <w:tblGrid>
        <w:gridCol w:w="437"/>
        <w:gridCol w:w="499"/>
        <w:gridCol w:w="465"/>
        <w:gridCol w:w="5325"/>
        <w:gridCol w:w="1562"/>
      </w:tblGrid>
      <w:tr>
        <w:tblPrEx>
          <w:shd w:val="clear"/>
          <w:tblCellMar>
            <w:top w:w="0" w:type="dxa"/>
            <w:left w:w="0" w:type="dxa"/>
            <w:bottom w:w="0" w:type="dxa"/>
            <w:right w:w="0" w:type="dxa"/>
          </w:tblCellMar>
        </w:tblPrEx>
        <w:trPr>
          <w:trHeight w:val="360" w:hRule="atLeast"/>
        </w:trPr>
        <w:tc>
          <w:tcPr>
            <w:tcW w:w="437" w:type="dxa"/>
            <w:tcBorders>
              <w:top w:val="nil"/>
              <w:left w:val="nil"/>
              <w:bottom w:val="nil"/>
              <w:right w:val="nil"/>
            </w:tcBorders>
            <w:shd w:val="clear"/>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851" w:type="dxa"/>
            <w:gridSpan w:val="4"/>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专项支出预算表</w:t>
            </w:r>
          </w:p>
        </w:tc>
      </w:tr>
      <w:tr>
        <w:tblPrEx>
          <w:tblCellMar>
            <w:top w:w="0" w:type="dxa"/>
            <w:left w:w="0" w:type="dxa"/>
            <w:bottom w:w="0" w:type="dxa"/>
            <w:right w:w="0" w:type="dxa"/>
          </w:tblCellMar>
        </w:tblPrEx>
        <w:trPr>
          <w:trHeight w:val="360" w:hRule="atLeast"/>
        </w:trPr>
        <w:tc>
          <w:tcPr>
            <w:tcW w:w="437" w:type="dxa"/>
            <w:tcBorders>
              <w:top w:val="nil"/>
              <w:left w:val="nil"/>
              <w:bottom w:val="nil"/>
              <w:right w:val="nil"/>
            </w:tcBorders>
            <w:shd w:val="clear"/>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99" w:type="dxa"/>
            <w:tcBorders>
              <w:top w:val="nil"/>
              <w:left w:val="nil"/>
              <w:bottom w:val="nil"/>
              <w:right w:val="nil"/>
            </w:tcBorders>
            <w:shd w:val="clear"/>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65" w:type="dxa"/>
            <w:tcBorders>
              <w:top w:val="nil"/>
              <w:left w:val="nil"/>
              <w:bottom w:val="nil"/>
              <w:right w:val="nil"/>
            </w:tcBorders>
            <w:shd w:val="clear"/>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32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2"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单位:元</w:t>
            </w:r>
          </w:p>
        </w:tc>
      </w:tr>
      <w:tr>
        <w:tblPrEx>
          <w:tblCellMar>
            <w:top w:w="0" w:type="dxa"/>
            <w:left w:w="0" w:type="dxa"/>
            <w:bottom w:w="0" w:type="dxa"/>
            <w:right w:w="0" w:type="dxa"/>
          </w:tblCellMar>
        </w:tblPrEx>
        <w:trPr>
          <w:trHeight w:val="480" w:hRule="atLeast"/>
        </w:trPr>
        <w:tc>
          <w:tcPr>
            <w:tcW w:w="6726" w:type="dxa"/>
            <w:gridSpan w:val="4"/>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项目</w:t>
            </w:r>
          </w:p>
        </w:tc>
        <w:tc>
          <w:tcPr>
            <w:tcW w:w="1562"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w:t>
            </w:r>
          </w:p>
        </w:tc>
      </w:tr>
      <w:tr>
        <w:tblPrEx>
          <w:tblCellMar>
            <w:top w:w="0" w:type="dxa"/>
            <w:left w:w="0" w:type="dxa"/>
            <w:bottom w:w="0" w:type="dxa"/>
            <w:right w:w="0" w:type="dxa"/>
          </w:tblCellMar>
        </w:tblPrEx>
        <w:trPr>
          <w:trHeight w:val="360" w:hRule="atLeast"/>
        </w:trPr>
        <w:tc>
          <w:tcPr>
            <w:tcW w:w="1401" w:type="dxa"/>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5325"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单位名称(项目名称)</w:t>
            </w:r>
          </w:p>
        </w:tc>
        <w:tc>
          <w:tcPr>
            <w:tcW w:w="1562"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437"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类</w:t>
            </w:r>
          </w:p>
        </w:tc>
        <w:tc>
          <w:tcPr>
            <w:tcW w:w="499"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款</w:t>
            </w:r>
          </w:p>
        </w:tc>
        <w:tc>
          <w:tcPr>
            <w:tcW w:w="465"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w:t>
            </w:r>
          </w:p>
        </w:tc>
        <w:tc>
          <w:tcPr>
            <w:tcW w:w="532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2"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合计</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1,652,500</w:t>
            </w: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司法局机关</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1,652,500</w:t>
            </w: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w:t>
            </w: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依法治区专项</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150,000</w:t>
            </w: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w:t>
            </w: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社区矫正刑释解教人员安置帮教</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623,000</w:t>
            </w: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w:t>
            </w: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04</w:t>
            </w: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人民调解</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24,500</w:t>
            </w: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w:t>
            </w: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公共法律服务平台建设</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300,000</w:t>
            </w: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w:t>
            </w: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复议、监督、调解经费</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50,000</w:t>
            </w: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w:t>
            </w: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法治政府建设专项</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50,000</w:t>
            </w: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w:t>
            </w: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w:t>
            </w: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法制宣传、扫黑除恶经费5万</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150,000</w:t>
            </w: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w:t>
            </w: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07</w:t>
            </w: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法律援助</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155,000</w:t>
            </w: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w:t>
            </w: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法律顾问团</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100,000</w:t>
            </w:r>
          </w:p>
        </w:tc>
      </w:tr>
      <w:tr>
        <w:tblPrEx>
          <w:tblCellMar>
            <w:top w:w="0" w:type="dxa"/>
            <w:left w:w="0" w:type="dxa"/>
            <w:bottom w:w="0" w:type="dxa"/>
            <w:right w:w="0" w:type="dxa"/>
          </w:tblCellMar>
        </w:tblPrEx>
        <w:trPr>
          <w:trHeight w:val="360" w:hRule="atLeast"/>
        </w:trPr>
        <w:tc>
          <w:tcPr>
            <w:tcW w:w="4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49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w:t>
            </w:r>
          </w:p>
        </w:tc>
        <w:tc>
          <w:tcPr>
            <w:tcW w:w="46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532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重大涉诉案件</w:t>
            </w:r>
          </w:p>
        </w:tc>
        <w:tc>
          <w:tcPr>
            <w:tcW w:w="15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50,000</w:t>
            </w:r>
          </w:p>
        </w:tc>
      </w:tr>
    </w:tbl>
    <w:p>
      <w:pPr>
        <w:adjustRightInd w:val="0"/>
        <w:ind w:firstLine="640" w:firstLineChars="200"/>
        <w:rPr>
          <w:rFonts w:hint="eastAsia" w:asciiTheme="minorEastAsia" w:hAnsiTheme="minorEastAsia" w:eastAsiaTheme="minorEastAsia" w:cstheme="minorEastAsia"/>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司法</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957.77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仿宋_GB2312" w:eastAsia="仿宋_GB2312"/>
          <w:sz w:val="32"/>
          <w:szCs w:val="32"/>
          <w:lang w:val="en-US" w:eastAsia="zh-CN"/>
        </w:rPr>
        <w:t>706.06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35.65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957.77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仿宋_GB2312" w:eastAsia="仿宋_GB2312"/>
          <w:sz w:val="32"/>
          <w:szCs w:val="32"/>
          <w:lang w:val="en-US" w:eastAsia="zh-CN"/>
        </w:rPr>
        <w:t>706.06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35.65</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957.77</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306.49</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本年度法制办合并增加业务范围，购置办公业务用房</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 xml:space="preserve">832.14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86.88</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63.77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6.66</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25.03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2.61</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36.32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。。。。。。（列所有项）如：</w:t>
      </w:r>
      <w:r>
        <w:rPr>
          <w:rFonts w:hint="eastAsia" w:asciiTheme="minorEastAsia" w:hAnsiTheme="minorEastAsia" w:eastAsiaTheme="minorEastAsia" w:cstheme="minorEastAsia"/>
          <w:sz w:val="32"/>
          <w:szCs w:val="32"/>
        </w:rPr>
        <w:br w:type="textWrapping"/>
      </w:r>
    </w:p>
    <w:p>
      <w:pPr>
        <w:keepNext w:val="0"/>
        <w:keepLines w:val="0"/>
        <w:widowControl/>
        <w:numPr>
          <w:ilvl w:val="0"/>
          <w:numId w:val="2"/>
        </w:numPr>
        <w:suppressLineNumbers w:val="0"/>
        <w:spacing w:before="270" w:beforeAutospacing="0" w:after="0" w:afterAutospacing="0" w:line="450" w:lineRule="atLeast"/>
        <w:ind w:right="0" w:firstLine="643" w:firstLineChars="200"/>
        <w:jc w:val="both"/>
        <w:rPr>
          <w:rFonts w:hint="eastAsia" w:asciiTheme="minorEastAsia" w:hAnsiTheme="minorEastAsia" w:eastAsiaTheme="minorEastAsia" w:cstheme="minorEastAsia"/>
          <w:sz w:val="32"/>
          <w:szCs w:val="32"/>
        </w:rPr>
      </w:pPr>
      <w:r>
        <w:rPr>
          <w:rStyle w:val="7"/>
          <w:rFonts w:hint="eastAsia" w:ascii="仿宋" w:hAnsi="仿宋" w:eastAsia="仿宋"/>
          <w:bCs/>
          <w:color w:val="auto"/>
          <w:sz w:val="32"/>
          <w:szCs w:val="32"/>
        </w:rPr>
        <w:t>一般公共服务（类）</w:t>
      </w:r>
      <w:r>
        <w:rPr>
          <w:rStyle w:val="7"/>
          <w:rFonts w:hint="eastAsia" w:ascii="仿宋" w:hAnsi="仿宋" w:eastAsia="仿宋"/>
          <w:bCs/>
          <w:color w:val="auto"/>
          <w:sz w:val="32"/>
          <w:szCs w:val="32"/>
          <w:lang w:eastAsia="zh-CN"/>
        </w:rPr>
        <w:t>司法</w:t>
      </w:r>
      <w:r>
        <w:rPr>
          <w:rStyle w:val="7"/>
          <w:rFonts w:hint="eastAsia" w:ascii="仿宋" w:hAnsi="仿宋" w:eastAsia="仿宋"/>
          <w:bCs/>
          <w:color w:val="auto"/>
          <w:sz w:val="32"/>
          <w:szCs w:val="32"/>
        </w:rPr>
        <w:t>（款）</w:t>
      </w:r>
      <w:r>
        <w:rPr>
          <w:rStyle w:val="7"/>
          <w:rFonts w:hint="eastAsia" w:ascii="仿宋" w:hAnsi="仿宋" w:eastAsia="仿宋"/>
          <w:bCs/>
          <w:color w:val="auto"/>
          <w:sz w:val="32"/>
          <w:szCs w:val="32"/>
          <w:lang w:eastAsia="zh-CN"/>
        </w:rPr>
        <w:t>行政运行</w:t>
      </w:r>
      <w:r>
        <w:rPr>
          <w:rStyle w:val="7"/>
          <w:rFonts w:hint="eastAsia" w:ascii="仿宋" w:hAnsi="仿宋" w:eastAsia="仿宋"/>
          <w:bCs/>
          <w:color w:val="auto"/>
          <w:sz w:val="32"/>
          <w:szCs w:val="32"/>
        </w:rPr>
        <w:t>（项）</w:t>
      </w:r>
      <w:r>
        <w:rPr>
          <w:rStyle w:val="7"/>
          <w:rFonts w:hint="eastAsia" w:ascii="仿宋" w:hAnsi="仿宋" w:eastAsia="仿宋"/>
          <w:bCs/>
          <w:color w:val="auto"/>
          <w:sz w:val="32"/>
          <w:szCs w:val="32"/>
          <w:lang w:eastAsia="zh-CN"/>
        </w:rPr>
        <w:t>：</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540.14</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11.34</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25.03</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36.32</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792.52</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698.16</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94.36</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13.13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13.13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1.93</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11.2</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11.2</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辆公务用车燃油、过路（桥）、维修、保险等方面支出，主要保障机关及下属单位改革工作调研、脱贫攻坚、监督检查及</w:t>
      </w:r>
      <w:r>
        <w:rPr>
          <w:rFonts w:hint="eastAsia" w:asciiTheme="minorEastAsia" w:hAnsiTheme="minorEastAsia" w:eastAsiaTheme="minorEastAsia" w:cstheme="minorEastAsia"/>
          <w:sz w:val="32"/>
          <w:szCs w:val="32"/>
          <w:lang w:val="en-US" w:eastAsia="zh-CN"/>
        </w:rPr>
        <w:t>普法宣传</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94.36</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仿宋_GB2312" w:eastAsia="仿宋_GB2312"/>
          <w:sz w:val="32"/>
          <w:szCs w:val="32"/>
        </w:rPr>
        <w:t>40.85</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43.29</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eastAsia="zh-CN"/>
        </w:rPr>
        <w:t>本年度</w:t>
      </w:r>
      <w:r>
        <w:rPr>
          <w:rFonts w:hint="eastAsia" w:asciiTheme="minorEastAsia" w:hAnsiTheme="minorEastAsia" w:eastAsiaTheme="minorEastAsia" w:cstheme="minorEastAsia"/>
          <w:sz w:val="32"/>
          <w:szCs w:val="32"/>
        </w:rPr>
        <w:t>人员增加</w:t>
      </w:r>
      <w:r>
        <w:rPr>
          <w:rFonts w:hint="eastAsia" w:asciiTheme="minorEastAsia" w:hAnsiTheme="minorEastAsia" w:eastAsiaTheme="minorEastAsia" w:cstheme="minorEastAsia"/>
          <w:sz w:val="32"/>
          <w:szCs w:val="32"/>
          <w:lang w:val="en-US" w:eastAsia="zh-CN"/>
        </w:rPr>
        <w:t xml:space="preserve"> 。</w:t>
      </w:r>
    </w:p>
    <w:p>
      <w:pPr>
        <w:adjustRightInd w:val="0"/>
        <w:ind w:firstLine="643" w:firstLineChars="200"/>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司法</w:t>
      </w:r>
      <w:bookmarkStart w:id="0" w:name="_GoBack"/>
      <w:bookmarkEnd w:id="0"/>
      <w:r>
        <w:rPr>
          <w:rFonts w:hint="eastAsia" w:asciiTheme="minorEastAsia" w:hAnsiTheme="minorEastAsia" w:eastAsiaTheme="minorEastAsia" w:cstheme="minorEastAsia"/>
          <w:sz w:val="32"/>
          <w:szCs w:val="32"/>
          <w:lang w:val="en-US" w:eastAsia="zh-CN"/>
        </w:rPr>
        <w:t>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7A5A4EBF"/>
    <w:multiLevelType w:val="singleLevel"/>
    <w:tmpl w:val="7A5A4EB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D54B8C"/>
    <w:rsid w:val="160776AB"/>
    <w:rsid w:val="1A4B3E10"/>
    <w:rsid w:val="1ED53AE3"/>
    <w:rsid w:val="237F1682"/>
    <w:rsid w:val="23DB1E8F"/>
    <w:rsid w:val="24C90A2A"/>
    <w:rsid w:val="25C96B17"/>
    <w:rsid w:val="260A4F3C"/>
    <w:rsid w:val="2DBA1E53"/>
    <w:rsid w:val="30806273"/>
    <w:rsid w:val="30B24952"/>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TotalTime>
  <ScaleCrop>false</ScaleCrop>
  <LinksUpToDate>false</LinksUpToDate>
  <CharactersWithSpaces>928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刘小瘦</cp:lastModifiedBy>
  <cp:lastPrinted>2019-07-23T02:42:00Z</cp:lastPrinted>
  <dcterms:modified xsi:type="dcterms:W3CDTF">2020-09-04T09:11:59Z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