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广元市利州区商务局</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Cs/>
          <w:sz w:val="44"/>
          <w:szCs w:val="44"/>
        </w:rPr>
        <w:t>202</w:t>
      </w:r>
      <w:r>
        <w:rPr>
          <w:rFonts w:hint="eastAsia" w:asciiTheme="minorEastAsia" w:hAnsiTheme="minorEastAsia" w:eastAsiaTheme="minorEastAsia" w:cstheme="minorEastAsia"/>
          <w:bCs/>
          <w:sz w:val="44"/>
          <w:szCs w:val="44"/>
          <w:lang w:val="en-US" w:eastAsia="zh-CN"/>
        </w:rPr>
        <w:t>1</w:t>
      </w:r>
      <w:r>
        <w:rPr>
          <w:rFonts w:hint="eastAsia" w:asciiTheme="minorEastAsia" w:hAnsiTheme="minorEastAsia" w:eastAsiaTheme="minorEastAsia" w:cstheme="minorEastAsia"/>
          <w:bCs/>
          <w:sz w:val="44"/>
          <w:szCs w:val="44"/>
        </w:rPr>
        <w:t>年部门预算情况说明</w:t>
      </w:r>
    </w:p>
    <w:p>
      <w:pPr>
        <w:keepNext w:val="0"/>
        <w:keepLines w:val="0"/>
        <w:pageBreakBefore w:val="0"/>
        <w:numPr>
          <w:ilvl w:val="0"/>
          <w:numId w:val="1"/>
        </w:numPr>
        <w:kinsoku/>
        <w:wordWrap/>
        <w:overflowPunct/>
        <w:topLinePunct w:val="0"/>
        <w:autoSpaceDE/>
        <w:autoSpaceDN/>
        <w:bidi w:val="0"/>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基本情况：广元市利州区</w:t>
      </w:r>
      <w:r>
        <w:rPr>
          <w:rFonts w:hint="eastAsia" w:ascii="宋体" w:hAnsi="宋体" w:eastAsia="宋体" w:cs="宋体"/>
          <w:sz w:val="32"/>
          <w:szCs w:val="32"/>
          <w:lang w:val="en-US" w:eastAsia="zh-CN"/>
        </w:rPr>
        <w:t>商务局</w:t>
      </w:r>
      <w:r>
        <w:rPr>
          <w:rFonts w:hint="eastAsia" w:ascii="宋体" w:hAnsi="宋体" w:eastAsia="宋体" w:cs="宋体"/>
          <w:sz w:val="32"/>
          <w:szCs w:val="32"/>
        </w:rPr>
        <w:t>总编制</w:t>
      </w:r>
      <w:r>
        <w:rPr>
          <w:rFonts w:hint="eastAsia" w:ascii="宋体" w:hAnsi="宋体" w:eastAsia="宋体" w:cs="宋体"/>
          <w:sz w:val="32"/>
          <w:szCs w:val="32"/>
          <w:lang w:val="en-US" w:eastAsia="zh-CN"/>
        </w:rPr>
        <w:t>24</w:t>
      </w:r>
      <w:r>
        <w:rPr>
          <w:rFonts w:hint="eastAsia" w:ascii="宋体" w:hAnsi="宋体" w:eastAsia="宋体" w:cs="宋体"/>
          <w:sz w:val="32"/>
          <w:szCs w:val="32"/>
        </w:rPr>
        <w:t>名，其中行政编制</w:t>
      </w:r>
      <w:r>
        <w:rPr>
          <w:rFonts w:hint="eastAsia" w:ascii="宋体" w:hAnsi="宋体" w:eastAsia="宋体" w:cs="宋体"/>
          <w:sz w:val="32"/>
          <w:szCs w:val="32"/>
          <w:lang w:val="en-US" w:eastAsia="zh-CN"/>
        </w:rPr>
        <w:t>7</w:t>
      </w:r>
      <w:r>
        <w:rPr>
          <w:rFonts w:hint="eastAsia" w:ascii="宋体" w:hAnsi="宋体" w:eastAsia="宋体" w:cs="宋体"/>
          <w:sz w:val="32"/>
          <w:szCs w:val="32"/>
        </w:rPr>
        <w:t>名，事业编制</w:t>
      </w:r>
      <w:r>
        <w:rPr>
          <w:rFonts w:hint="eastAsia" w:ascii="宋体" w:hAnsi="宋体" w:eastAsia="宋体" w:cs="宋体"/>
          <w:sz w:val="32"/>
          <w:szCs w:val="32"/>
          <w:lang w:val="en-US" w:eastAsia="zh-CN"/>
        </w:rPr>
        <w:t>16</w:t>
      </w:r>
      <w:r>
        <w:rPr>
          <w:rFonts w:hint="eastAsia" w:ascii="宋体" w:hAnsi="宋体" w:eastAsia="宋体" w:cs="宋体"/>
          <w:sz w:val="32"/>
          <w:szCs w:val="32"/>
        </w:rPr>
        <w:t>名</w:t>
      </w:r>
      <w:r>
        <w:rPr>
          <w:rFonts w:hint="eastAsia" w:ascii="宋体" w:hAnsi="宋体" w:eastAsia="宋体" w:cs="宋体"/>
          <w:sz w:val="32"/>
          <w:szCs w:val="32"/>
          <w:lang w:eastAsia="zh-CN"/>
        </w:rPr>
        <w:t>，</w:t>
      </w:r>
      <w:r>
        <w:rPr>
          <w:rFonts w:hint="eastAsia" w:ascii="宋体" w:hAnsi="宋体" w:eastAsia="宋体" w:cs="宋体"/>
          <w:sz w:val="32"/>
          <w:szCs w:val="32"/>
        </w:rPr>
        <w:t>工勤编制</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名</w:t>
      </w:r>
      <w:r>
        <w:rPr>
          <w:rFonts w:hint="eastAsia" w:ascii="宋体" w:hAnsi="宋体" w:eastAsia="宋体" w:cs="宋体"/>
          <w:sz w:val="32"/>
          <w:szCs w:val="32"/>
        </w:rPr>
        <w:t>。在职人员总数</w:t>
      </w:r>
      <w:r>
        <w:rPr>
          <w:rFonts w:hint="eastAsia" w:ascii="宋体" w:hAnsi="宋体" w:eastAsia="宋体" w:cs="宋体"/>
          <w:sz w:val="32"/>
          <w:szCs w:val="32"/>
          <w:lang w:val="en-US" w:eastAsia="zh-CN"/>
        </w:rPr>
        <w:t>18</w:t>
      </w:r>
      <w:r>
        <w:rPr>
          <w:rFonts w:hint="eastAsia" w:ascii="宋体" w:hAnsi="宋体" w:eastAsia="宋体" w:cs="宋体"/>
          <w:sz w:val="32"/>
          <w:szCs w:val="32"/>
        </w:rPr>
        <w:t>人，其中行政人员</w:t>
      </w:r>
      <w:r>
        <w:rPr>
          <w:rFonts w:hint="eastAsia" w:ascii="宋体" w:hAnsi="宋体" w:eastAsia="宋体" w:cs="宋体"/>
          <w:sz w:val="32"/>
          <w:szCs w:val="32"/>
          <w:lang w:val="en-US" w:eastAsia="zh-CN"/>
        </w:rPr>
        <w:t>5</w:t>
      </w:r>
      <w:r>
        <w:rPr>
          <w:rFonts w:hint="eastAsia" w:ascii="宋体" w:hAnsi="宋体" w:eastAsia="宋体" w:cs="宋体"/>
          <w:sz w:val="32"/>
          <w:szCs w:val="32"/>
        </w:rPr>
        <w:t>人，工勤</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1</w:t>
      </w:r>
      <w:r>
        <w:rPr>
          <w:rFonts w:hint="eastAsia" w:ascii="宋体" w:hAnsi="宋体" w:eastAsia="宋体" w:cs="宋体"/>
          <w:sz w:val="32"/>
          <w:szCs w:val="32"/>
        </w:rPr>
        <w:t>人，事业人员</w:t>
      </w:r>
      <w:r>
        <w:rPr>
          <w:rFonts w:hint="eastAsia" w:ascii="宋体" w:hAnsi="宋体" w:eastAsia="宋体" w:cs="宋体"/>
          <w:sz w:val="32"/>
          <w:szCs w:val="32"/>
          <w:lang w:val="en-US" w:eastAsia="zh-CN"/>
        </w:rPr>
        <w:t>12</w:t>
      </w:r>
      <w:r>
        <w:rPr>
          <w:rFonts w:hint="eastAsia" w:ascii="宋体" w:hAnsi="宋体" w:eastAsia="宋体" w:cs="宋体"/>
          <w:sz w:val="32"/>
          <w:szCs w:val="32"/>
        </w:rPr>
        <w:t>人，</w:t>
      </w:r>
      <w:r>
        <w:rPr>
          <w:rFonts w:hint="eastAsia" w:ascii="宋体" w:hAnsi="宋体" w:eastAsia="宋体" w:cs="宋体"/>
          <w:sz w:val="32"/>
          <w:szCs w:val="32"/>
          <w:lang w:eastAsia="zh-CN"/>
        </w:rPr>
        <w:t>其他</w:t>
      </w:r>
      <w:r>
        <w:rPr>
          <w:rFonts w:hint="eastAsia" w:ascii="宋体" w:hAnsi="宋体" w:eastAsia="宋体" w:cs="宋体"/>
          <w:sz w:val="32"/>
          <w:szCs w:val="32"/>
        </w:rPr>
        <w:t>人员</w:t>
      </w:r>
      <w:r>
        <w:rPr>
          <w:rFonts w:hint="eastAsia" w:ascii="宋体" w:hAnsi="宋体" w:eastAsia="宋体" w:cs="宋体"/>
          <w:sz w:val="32"/>
          <w:szCs w:val="32"/>
          <w:lang w:val="en-US" w:eastAsia="zh-CN"/>
        </w:rPr>
        <w:t>0</w:t>
      </w:r>
      <w:r>
        <w:rPr>
          <w:rFonts w:hint="eastAsia" w:ascii="宋体" w:hAnsi="宋体" w:eastAsia="宋体" w:cs="宋体"/>
          <w:sz w:val="32"/>
          <w:szCs w:val="32"/>
        </w:rPr>
        <w:t>人；</w:t>
      </w:r>
      <w:r>
        <w:rPr>
          <w:rFonts w:hint="eastAsia" w:ascii="宋体" w:hAnsi="宋体" w:eastAsia="宋体" w:cs="宋体"/>
          <w:sz w:val="32"/>
          <w:szCs w:val="32"/>
          <w:lang w:eastAsia="zh-CN"/>
        </w:rPr>
        <w:t>离</w:t>
      </w:r>
      <w:r>
        <w:rPr>
          <w:rFonts w:hint="eastAsia" w:ascii="宋体" w:hAnsi="宋体" w:eastAsia="宋体" w:cs="宋体"/>
          <w:sz w:val="32"/>
          <w:szCs w:val="32"/>
        </w:rPr>
        <w:t>退休人员</w:t>
      </w:r>
      <w:r>
        <w:rPr>
          <w:rFonts w:hint="eastAsia" w:ascii="宋体" w:hAnsi="宋体" w:eastAsia="宋体" w:cs="宋体"/>
          <w:sz w:val="32"/>
          <w:szCs w:val="32"/>
          <w:lang w:val="en-US" w:eastAsia="zh-CN"/>
        </w:rPr>
        <w:t>0</w:t>
      </w:r>
      <w:r>
        <w:rPr>
          <w:rFonts w:hint="eastAsia" w:ascii="宋体" w:hAnsi="宋体" w:eastAsia="宋体" w:cs="宋体"/>
          <w:sz w:val="32"/>
          <w:szCs w:val="32"/>
        </w:rPr>
        <w:t>人。</w:t>
      </w:r>
    </w:p>
    <w:p>
      <w:pPr>
        <w:keepNext w:val="0"/>
        <w:keepLines w:val="0"/>
        <w:pageBreakBefore w:val="0"/>
        <w:numPr>
          <w:ilvl w:val="0"/>
          <w:numId w:val="0"/>
        </w:numPr>
        <w:kinsoku/>
        <w:wordWrap/>
        <w:overflowPunct/>
        <w:topLinePunct w:val="0"/>
        <w:autoSpaceDE/>
        <w:autoSpaceDN/>
        <w:bidi w:val="0"/>
        <w:snapToGrid/>
        <w:spacing w:line="560" w:lineRule="exact"/>
        <w:ind w:firstLine="960" w:firstLineChars="300"/>
        <w:textAlignment w:val="auto"/>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eastAsia="宋体" w:cs="宋体"/>
          <w:sz w:val="32"/>
          <w:szCs w:val="32"/>
          <w:lang w:val="en-US" w:eastAsia="zh-CN"/>
        </w:rPr>
        <w:t>商务局</w:t>
      </w:r>
      <w:r>
        <w:rPr>
          <w:rFonts w:hint="eastAsia" w:ascii="宋体" w:hAnsi="宋体" w:eastAsia="宋体" w:cs="宋体"/>
          <w:sz w:val="32"/>
          <w:szCs w:val="32"/>
        </w:rPr>
        <w:t>固定资产总额</w:t>
      </w:r>
      <w:r>
        <w:rPr>
          <w:rFonts w:hint="eastAsia" w:ascii="宋体" w:hAnsi="宋体" w:eastAsia="宋体" w:cs="宋体"/>
          <w:sz w:val="32"/>
          <w:szCs w:val="32"/>
          <w:lang w:val="en-US" w:eastAsia="zh-CN"/>
        </w:rPr>
        <w:t>24.07</w:t>
      </w:r>
      <w:r>
        <w:rPr>
          <w:rFonts w:hint="eastAsia" w:ascii="宋体" w:hAnsi="宋体" w:eastAsia="宋体" w:cs="宋体"/>
          <w:sz w:val="32"/>
          <w:szCs w:val="32"/>
        </w:rPr>
        <w:t>万元。</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主要职能职责：（一）贯彻落实国家、省、市有关国内外贸易、引进外资和国际经济技术合作的各项方针、政策和法律、法规；研究拟定全区内外贸易、利用外资、国际经济合作的相关措施和制定全区商务工作的发展战略、政策措施，并监督实施。</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（二）按要求承担全区服务业发展工作中组织实施的协调职责；牵头制定全区服务业发展规划，负责服务业发展的综合、协调、指导职责；调查研究服务业发展中的重大问题，提出政策建议。</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研究提出引导国内外资金投向市场体系建设的政策，制定全区商贸流通发展规划和物流规划并组织实施；培育建设全区商贸流通体系，发展城乡市场；推进流通产业结构调整，发展连锁经营、物流配送、电子商务等现代流通方式；协调商品市场建设和商业设施建设中的有关问题；指导全区流通领域建立现代企业制度工作，促进城乡市场一体化发展。</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承担牵头协调全区整顿和规范市场经济秩序工作的责任；落实国家、省、市规范市场运行、流通秩序和打破市场垄断、地区封锁的政策，打击不正当竞争等违法行为；推动商务领域信用建设，指导商业信用销售，建立市场诚信公共服务平台；按有关规定对典当、租赁、旧货市场等行业进行监督管理；负责全区内外贸易有关行政许可事项。</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六）执行国家制定的进出口商品管理办法、进出口目录和进出口商品配额招标政策；负责进出口配额、许可证申报、实施的协调与指导工作；负责上级下达我区关系国计民生的重要工业品、原材料及重要农产品进出口计划的实施；贯彻落实鼓励出口政策，研究推广国际贸易方式，指导各类进出口业务相关工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（七）依法监督技术引进、设备进口、国家限制出口技术等工作；推进进出口贸易标准化工作；牵头负责发展服务贸易的相关工作，推动服务外包平台建设。</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（八）贯彻执行对港、澳、台地区的经贸政策、贸易中长期规划及管理规章；指导全区的经贸机构与港澳台地区有关经贸机构开展经贸合作。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九）承担组织协调我区反倾销、反补贴保障措施和技术性贸易壁垒等与进出口公平贸易相关工作的责任；牵头开展对外贸易调查、产业损害调查和对经营者集中行为的反垄断审查；指导协调产业安全应对、企业在国外的反垄断应诉工作和国外对我区出口商品的反倾销、反补贴、保障措施的应诉工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（十）贯彻国家、省、市外商投资政策和改革方案，指导全区外商投资工作；统计分析全区外商投资情况，依法监督检查外商投资企业执行有关法律法规规章、合同章程的情况并协调解决有关问题。</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一）负责全区对外经济合作工作，执行对外经济合作政策；依法管理和监督对外承包工程、对外劳务合作和出境就业工作；会同相关部门做好外派劳务和赴境外就业人员的权益保护工作；管理多双边对我区的无偿援助和赠款（不含财政合作项目下外国政府及国际金融组织对我区赠款）等发展合作业务。</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二）指导监督以利州区名义在区外举办的各种交易会、展览会、展销会等经贸活动；监督管理在区内举办的各种商贸交易会、展览会、展销会等活动；牵头协调有关部门参加国家、省、市举办的各种商贸交易会、展览会、展销会等工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（十三）负责友好城市商贸活动的发展与合作工作。</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（十四）承担区政府公布的有关行政审批事项。</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三、预算收支情况说明</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eastAsia="宋体" w:cs="宋体"/>
          <w:sz w:val="32"/>
          <w:szCs w:val="32"/>
          <w:lang w:val="en-US" w:eastAsia="zh-CN"/>
        </w:rPr>
        <w:t>商务局</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471.70</w:t>
      </w:r>
      <w:r>
        <w:rPr>
          <w:rFonts w:hint="eastAsia" w:ascii="宋体" w:hAnsi="宋体" w:eastAsia="宋体" w:cs="宋体"/>
          <w:sz w:val="32"/>
          <w:szCs w:val="32"/>
        </w:rPr>
        <w:t>万元，较20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364.47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29.42</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471.70</w:t>
      </w:r>
      <w:r>
        <w:rPr>
          <w:rFonts w:hint="eastAsia" w:ascii="宋体" w:hAnsi="宋体" w:eastAsia="宋体" w:cs="宋体"/>
          <w:sz w:val="32"/>
          <w:szCs w:val="32"/>
        </w:rPr>
        <w:t>万元，较20</w:t>
      </w:r>
      <w:r>
        <w:rPr>
          <w:rFonts w:hint="eastAsia" w:ascii="宋体" w:hAnsi="宋体" w:eastAsia="宋体" w:cs="宋体"/>
          <w:sz w:val="32"/>
          <w:szCs w:val="32"/>
          <w:lang w:val="en-US" w:eastAsia="zh-CN"/>
        </w:rPr>
        <w:t>20</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364.47</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29.42</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广元市利州区商务局202</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年部门基本支出预算总数</w:t>
      </w:r>
      <w:r>
        <w:rPr>
          <w:rFonts w:hint="eastAsia" w:ascii="宋体" w:hAnsi="宋体" w:eastAsia="宋体" w:cs="宋体"/>
          <w:color w:val="000000" w:themeColor="text1"/>
          <w:sz w:val="32"/>
          <w:szCs w:val="32"/>
          <w:lang w:val="en-US" w:eastAsia="zh-CN"/>
          <w14:textFill>
            <w14:solidFill>
              <w14:schemeClr w14:val="tx1"/>
            </w14:solidFill>
          </w14:textFill>
        </w:rPr>
        <w:t>219.33</w:t>
      </w:r>
      <w:r>
        <w:rPr>
          <w:rFonts w:hint="eastAsia" w:ascii="宋体" w:hAnsi="宋体" w:eastAsia="宋体" w:cs="宋体"/>
          <w:color w:val="000000" w:themeColor="text1"/>
          <w:sz w:val="32"/>
          <w:szCs w:val="32"/>
          <w14:textFill>
            <w14:solidFill>
              <w14:schemeClr w14:val="tx1"/>
            </w14:solidFill>
          </w14:textFill>
        </w:rPr>
        <w:t>万元，其中：人员支出</w:t>
      </w:r>
      <w:r>
        <w:rPr>
          <w:rFonts w:hint="eastAsia" w:ascii="宋体" w:hAnsi="宋体" w:eastAsia="宋体" w:cs="宋体"/>
          <w:color w:val="000000" w:themeColor="text1"/>
          <w:sz w:val="32"/>
          <w:szCs w:val="32"/>
          <w:lang w:val="en-US" w:eastAsia="zh-CN"/>
          <w14:textFill>
            <w14:solidFill>
              <w14:schemeClr w14:val="tx1"/>
            </w14:solidFill>
          </w14:textFill>
        </w:rPr>
        <w:t>198.45</w:t>
      </w:r>
      <w:r>
        <w:rPr>
          <w:rFonts w:hint="eastAsia" w:ascii="宋体" w:hAnsi="宋体" w:eastAsia="宋体" w:cs="宋体"/>
          <w:color w:val="000000" w:themeColor="text1"/>
          <w:sz w:val="32"/>
          <w:szCs w:val="32"/>
          <w14:textFill>
            <w14:solidFill>
              <w14:schemeClr w14:val="tx1"/>
            </w14:solidFill>
          </w14:textFill>
        </w:rPr>
        <w:t>万元，公用支出</w:t>
      </w:r>
      <w:r>
        <w:rPr>
          <w:rFonts w:hint="eastAsia" w:ascii="宋体" w:hAnsi="宋体" w:eastAsia="宋体" w:cs="宋体"/>
          <w:color w:val="000000" w:themeColor="text1"/>
          <w:sz w:val="32"/>
          <w:szCs w:val="32"/>
          <w:lang w:val="en-US" w:eastAsia="zh-CN"/>
          <w14:textFill>
            <w14:solidFill>
              <w14:schemeClr w14:val="tx1"/>
            </w14:solidFill>
          </w14:textFill>
        </w:rPr>
        <w:t>20.88</w:t>
      </w:r>
      <w:r>
        <w:rPr>
          <w:rFonts w:hint="eastAsia" w:ascii="宋体" w:hAnsi="宋体" w:eastAsia="宋体" w:cs="宋体"/>
          <w:color w:val="000000" w:themeColor="text1"/>
          <w:sz w:val="32"/>
          <w:szCs w:val="32"/>
          <w14:textFill>
            <w14:solidFill>
              <w14:schemeClr w14:val="tx1"/>
            </w14:solidFill>
          </w14:textFill>
        </w:rPr>
        <w:t>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广元市利州区商务局202</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年部门预算安排专项资金</w:t>
      </w:r>
      <w:r>
        <w:rPr>
          <w:rFonts w:hint="eastAsia" w:ascii="宋体" w:hAnsi="宋体" w:eastAsia="宋体" w:cs="宋体"/>
          <w:color w:val="000000" w:themeColor="text1"/>
          <w:sz w:val="32"/>
          <w:szCs w:val="32"/>
          <w:lang w:val="en-US" w:eastAsia="zh-CN"/>
          <w14:textFill>
            <w14:solidFill>
              <w14:schemeClr w14:val="tx1"/>
            </w14:solidFill>
          </w14:textFill>
        </w:rPr>
        <w:t>252.37</w:t>
      </w:r>
      <w:r>
        <w:rPr>
          <w:rFonts w:hint="eastAsia" w:ascii="宋体" w:hAnsi="宋体" w:eastAsia="宋体" w:cs="宋体"/>
          <w:color w:val="000000" w:themeColor="text1"/>
          <w:sz w:val="32"/>
          <w:szCs w:val="32"/>
          <w14:textFill>
            <w14:solidFill>
              <w14:schemeClr w14:val="tx1"/>
            </w14:solidFill>
          </w14:textFill>
        </w:rPr>
        <w:t>万元（明细项目见附表）。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四、财政拨款收支预算情况说明</w:t>
      </w:r>
      <w:r>
        <w:rPr>
          <w:rFonts w:hint="eastAsia" w:ascii="宋体" w:hAnsi="宋体" w:eastAsia="宋体" w:cs="宋体"/>
          <w:color w:val="000000" w:themeColor="text1"/>
          <w:sz w:val="32"/>
          <w:szCs w:val="32"/>
          <w14:textFill>
            <w14:solidFill>
              <w14:schemeClr w14:val="tx1"/>
            </w14:solidFill>
          </w14:textFill>
        </w:rPr>
        <w:br w:type="textWrapping"/>
      </w:r>
      <w:r>
        <w:rPr>
          <w:rFonts w:hint="eastAsia" w:ascii="宋体" w:hAnsi="宋体" w:eastAsia="宋体" w:cs="宋体"/>
          <w:color w:val="000000" w:themeColor="text1"/>
          <w:sz w:val="32"/>
          <w:szCs w:val="32"/>
          <w14:textFill>
            <w14:solidFill>
              <w14:schemeClr w14:val="tx1"/>
            </w14:solidFill>
          </w14:textFill>
        </w:rPr>
        <w:t>　  广元市利州区商务局202</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年部门预算收入总数</w:t>
      </w:r>
      <w:r>
        <w:rPr>
          <w:rFonts w:hint="eastAsia" w:ascii="宋体" w:hAnsi="宋体" w:eastAsia="宋体" w:cs="宋体"/>
          <w:color w:val="000000" w:themeColor="text1"/>
          <w:sz w:val="32"/>
          <w:szCs w:val="32"/>
          <w:lang w:val="en-US" w:eastAsia="zh-CN"/>
          <w14:textFill>
            <w14:solidFill>
              <w14:schemeClr w14:val="tx1"/>
            </w14:solidFill>
          </w14:textFill>
        </w:rPr>
        <w:t>471.7</w:t>
      </w:r>
      <w:r>
        <w:rPr>
          <w:rFonts w:hint="eastAsia" w:ascii="宋体" w:hAnsi="宋体" w:eastAsia="宋体" w:cs="宋体"/>
          <w:color w:val="000000" w:themeColor="text1"/>
          <w:sz w:val="32"/>
          <w:szCs w:val="32"/>
          <w14:textFill>
            <w14:solidFill>
              <w14:schemeClr w14:val="tx1"/>
            </w14:solidFill>
          </w14:textFill>
        </w:rPr>
        <w:t>万元，较20</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宋体" w:hAnsi="宋体" w:eastAsia="宋体" w:cs="宋体"/>
          <w:color w:val="000000" w:themeColor="text1"/>
          <w:sz w:val="32"/>
          <w:szCs w:val="32"/>
          <w14:textFill>
            <w14:solidFill>
              <w14:schemeClr w14:val="tx1"/>
            </w14:solidFill>
          </w14:textFill>
        </w:rPr>
        <w:t>年部门预算收入总数</w:t>
      </w:r>
      <w:r>
        <w:rPr>
          <w:rFonts w:hint="eastAsia" w:ascii="宋体" w:hAnsi="宋体" w:eastAsia="宋体" w:cs="宋体"/>
          <w:color w:val="000000" w:themeColor="text1"/>
          <w:sz w:val="32"/>
          <w:szCs w:val="32"/>
          <w:lang w:val="en-US" w:eastAsia="zh-CN"/>
          <w14:textFill>
            <w14:solidFill>
              <w14:schemeClr w14:val="tx1"/>
            </w14:solidFill>
          </w14:textFill>
        </w:rPr>
        <w:t>364.47</w:t>
      </w:r>
      <w:r>
        <w:rPr>
          <w:rFonts w:hint="eastAsia" w:ascii="宋体" w:hAnsi="宋体" w:eastAsia="宋体" w:cs="宋体"/>
          <w:color w:val="000000" w:themeColor="text1"/>
          <w:sz w:val="32"/>
          <w:szCs w:val="32"/>
          <w14:textFill>
            <w14:solidFill>
              <w14:schemeClr w14:val="tx1"/>
            </w14:solidFill>
          </w14:textFill>
        </w:rPr>
        <w:t>万元增长</w:t>
      </w:r>
      <w:r>
        <w:rPr>
          <w:rFonts w:hint="eastAsia" w:ascii="宋体" w:hAnsi="宋体" w:eastAsia="宋体" w:cs="宋体"/>
          <w:color w:val="000000" w:themeColor="text1"/>
          <w:sz w:val="32"/>
          <w:szCs w:val="32"/>
          <w:lang w:val="en-US" w:eastAsia="zh-CN"/>
          <w14:textFill>
            <w14:solidFill>
              <w14:schemeClr w14:val="tx1"/>
            </w14:solidFill>
          </w14:textFill>
        </w:rPr>
        <w:t>29.42</w:t>
      </w:r>
      <w:r>
        <w:rPr>
          <w:rFonts w:hint="eastAsia" w:ascii="宋体" w:hAnsi="宋体" w:eastAsia="宋体" w:cs="宋体"/>
          <w:color w:val="000000" w:themeColor="text1"/>
          <w:sz w:val="32"/>
          <w:szCs w:val="32"/>
          <w14:textFill>
            <w14:solidFill>
              <w14:schemeClr w14:val="tx1"/>
            </w14:solidFill>
          </w14:textFill>
        </w:rPr>
        <w:t>%；202</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年部门预算支出总数</w:t>
      </w:r>
      <w:r>
        <w:rPr>
          <w:rFonts w:hint="eastAsia" w:ascii="宋体" w:hAnsi="宋体" w:eastAsia="宋体" w:cs="宋体"/>
          <w:color w:val="000000" w:themeColor="text1"/>
          <w:sz w:val="32"/>
          <w:szCs w:val="32"/>
          <w:lang w:val="en-US" w:eastAsia="zh-CN"/>
          <w14:textFill>
            <w14:solidFill>
              <w14:schemeClr w14:val="tx1"/>
            </w14:solidFill>
          </w14:textFill>
        </w:rPr>
        <w:t>471.70</w:t>
      </w:r>
      <w:r>
        <w:rPr>
          <w:rFonts w:hint="eastAsia" w:ascii="宋体" w:hAnsi="宋体" w:eastAsia="宋体" w:cs="宋体"/>
          <w:color w:val="000000" w:themeColor="text1"/>
          <w:sz w:val="32"/>
          <w:szCs w:val="32"/>
          <w14:textFill>
            <w14:solidFill>
              <w14:schemeClr w14:val="tx1"/>
            </w14:solidFill>
          </w14:textFill>
        </w:rPr>
        <w:t>万元，较20</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宋体" w:hAnsi="宋体" w:eastAsia="宋体" w:cs="宋体"/>
          <w:color w:val="000000" w:themeColor="text1"/>
          <w:sz w:val="32"/>
          <w:szCs w:val="32"/>
          <w14:textFill>
            <w14:solidFill>
              <w14:schemeClr w14:val="tx1"/>
            </w14:solidFill>
          </w14:textFill>
        </w:rPr>
        <w:t>年部门预算支出总数</w:t>
      </w:r>
      <w:r>
        <w:rPr>
          <w:rFonts w:hint="eastAsia" w:ascii="宋体" w:hAnsi="宋体" w:eastAsia="宋体" w:cs="宋体"/>
          <w:color w:val="000000" w:themeColor="text1"/>
          <w:sz w:val="32"/>
          <w:szCs w:val="32"/>
          <w:lang w:val="en-US" w:eastAsia="zh-CN"/>
          <w14:textFill>
            <w14:solidFill>
              <w14:schemeClr w14:val="tx1"/>
            </w14:solidFill>
          </w14:textFill>
        </w:rPr>
        <w:t>364.47</w:t>
      </w:r>
      <w:r>
        <w:rPr>
          <w:rFonts w:hint="eastAsia" w:ascii="宋体" w:hAnsi="宋体" w:eastAsia="宋体" w:cs="宋体"/>
          <w:color w:val="000000" w:themeColor="text1"/>
          <w:sz w:val="32"/>
          <w:szCs w:val="32"/>
          <w14:textFill>
            <w14:solidFill>
              <w14:schemeClr w14:val="tx1"/>
            </w14:solidFill>
          </w14:textFill>
        </w:rPr>
        <w:t>万元增长</w:t>
      </w:r>
      <w:r>
        <w:rPr>
          <w:rFonts w:hint="eastAsia" w:ascii="宋体" w:hAnsi="宋体" w:eastAsia="宋体" w:cs="宋体"/>
          <w:color w:val="000000" w:themeColor="text1"/>
          <w:sz w:val="32"/>
          <w:szCs w:val="32"/>
          <w:lang w:val="en-US" w:eastAsia="zh-CN"/>
          <w14:textFill>
            <w14:solidFill>
              <w14:schemeClr w14:val="tx1"/>
            </w14:solidFill>
          </w14:textFill>
        </w:rPr>
        <w:t>29.42</w:t>
      </w:r>
      <w:r>
        <w:rPr>
          <w:rFonts w:hint="eastAsia" w:ascii="宋体" w:hAnsi="宋体" w:eastAsia="宋体" w:cs="宋体"/>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五、一般公共预算当年拨款情况说明</w:t>
      </w:r>
      <w:r>
        <w:rPr>
          <w:rFonts w:hint="eastAsia" w:ascii="宋体" w:hAnsi="宋体" w:eastAsia="宋体" w:cs="宋体"/>
          <w:color w:val="FF0000"/>
          <w:sz w:val="32"/>
          <w:szCs w:val="32"/>
        </w:rPr>
        <w:br w:type="textWrapping"/>
      </w:r>
      <w:r>
        <w:rPr>
          <w:rFonts w:hint="eastAsia" w:ascii="宋体" w:hAnsi="宋体" w:eastAsia="宋体" w:cs="宋体"/>
          <w:color w:val="FF0000"/>
          <w:sz w:val="32"/>
          <w:szCs w:val="32"/>
        </w:rPr>
        <w:t>　　</w:t>
      </w:r>
      <w:r>
        <w:rPr>
          <w:rStyle w:val="6"/>
          <w:rFonts w:hint="eastAsia" w:ascii="宋体" w:hAnsi="宋体" w:eastAsia="宋体" w:cs="宋体"/>
          <w:color w:val="000000" w:themeColor="text1"/>
          <w:sz w:val="32"/>
          <w:szCs w:val="32"/>
          <w14:textFill>
            <w14:solidFill>
              <w14:schemeClr w14:val="tx1"/>
            </w14:solidFill>
          </w14:textFill>
        </w:rPr>
        <w:t>（一）一般公共预算当年拨款规模变化情况</w:t>
      </w:r>
      <w:r>
        <w:rPr>
          <w:rStyle w:val="6"/>
          <w:rFonts w:hint="eastAsia" w:ascii="宋体" w:hAnsi="宋体" w:eastAsia="宋体" w:cs="宋体"/>
          <w:color w:val="000000" w:themeColor="text1"/>
          <w:sz w:val="32"/>
          <w:szCs w:val="32"/>
          <w14:textFill>
            <w14:solidFill>
              <w14:schemeClr w14:val="tx1"/>
            </w14:solidFill>
          </w14:textFill>
        </w:rPr>
        <w:br w:type="textWrapping"/>
      </w:r>
      <w:r>
        <w:rPr>
          <w:rStyle w:val="6"/>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202</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年一般公共预算当年拨款</w:t>
      </w:r>
      <w:r>
        <w:rPr>
          <w:rFonts w:hint="eastAsia" w:ascii="宋体" w:hAnsi="宋体" w:eastAsia="宋体" w:cs="宋体"/>
          <w:color w:val="000000" w:themeColor="text1"/>
          <w:sz w:val="32"/>
          <w:szCs w:val="32"/>
          <w:lang w:val="en-US" w:eastAsia="zh-CN"/>
          <w14:textFill>
            <w14:solidFill>
              <w14:schemeClr w14:val="tx1"/>
            </w14:solidFill>
          </w14:textFill>
        </w:rPr>
        <w:t>471.70</w:t>
      </w:r>
      <w:r>
        <w:rPr>
          <w:rFonts w:hint="eastAsia" w:ascii="宋体" w:hAnsi="宋体" w:eastAsia="宋体" w:cs="宋体"/>
          <w:color w:val="000000" w:themeColor="text1"/>
          <w:sz w:val="32"/>
          <w:szCs w:val="32"/>
          <w14:textFill>
            <w14:solidFill>
              <w14:schemeClr w14:val="tx1"/>
            </w14:solidFill>
          </w14:textFill>
        </w:rPr>
        <w:t>万元，比20</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宋体" w:hAnsi="宋体" w:eastAsia="宋体" w:cs="宋体"/>
          <w:color w:val="000000" w:themeColor="text1"/>
          <w:sz w:val="32"/>
          <w:szCs w:val="32"/>
          <w14:textFill>
            <w14:solidFill>
              <w14:schemeClr w14:val="tx1"/>
            </w14:solidFill>
          </w14:textFill>
        </w:rPr>
        <w:t>年预算数增加</w:t>
      </w:r>
      <w:r>
        <w:rPr>
          <w:rFonts w:hint="eastAsia" w:ascii="宋体" w:hAnsi="宋体" w:eastAsia="宋体" w:cs="宋体"/>
          <w:color w:val="000000" w:themeColor="text1"/>
          <w:sz w:val="32"/>
          <w:szCs w:val="32"/>
          <w:lang w:val="en-US" w:eastAsia="zh-CN"/>
          <w14:textFill>
            <w14:solidFill>
              <w14:schemeClr w14:val="tx1"/>
            </w14:solidFill>
          </w14:textFill>
        </w:rPr>
        <w:t>107.23</w:t>
      </w:r>
      <w:r>
        <w:rPr>
          <w:rFonts w:hint="eastAsia" w:ascii="宋体" w:hAnsi="宋体" w:eastAsia="宋体" w:cs="宋体"/>
          <w:color w:val="000000" w:themeColor="text1"/>
          <w:sz w:val="32"/>
          <w:szCs w:val="32"/>
          <w14:textFill>
            <w14:solidFill>
              <w14:schemeClr w14:val="tx1"/>
            </w14:solidFill>
          </w14:textFill>
        </w:rPr>
        <w:t>万元，主要原因是项目增多。</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Style w:val="6"/>
          <w:rFonts w:hint="eastAsia" w:ascii="宋体" w:hAnsi="宋体" w:eastAsia="宋体" w:cs="宋体"/>
          <w:color w:val="000000" w:themeColor="text1"/>
          <w:sz w:val="32"/>
          <w:szCs w:val="32"/>
          <w:highlight w:val="none"/>
          <w14:textFill>
            <w14:solidFill>
              <w14:schemeClr w14:val="tx1"/>
            </w14:solidFill>
          </w14:textFill>
        </w:rPr>
        <w:t>（二）一般公共预算当年拨款结构情况</w:t>
      </w:r>
      <w:r>
        <w:rPr>
          <w:rStyle w:val="6"/>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FF0000"/>
          <w:sz w:val="32"/>
          <w:szCs w:val="32"/>
          <w:highlight w:val="none"/>
        </w:rPr>
        <w:t>　　</w:t>
      </w:r>
      <w:r>
        <w:rPr>
          <w:rFonts w:hint="eastAsia" w:ascii="宋体" w:hAnsi="宋体" w:eastAsia="宋体" w:cs="宋体"/>
          <w:color w:val="000000" w:themeColor="text1"/>
          <w:sz w:val="32"/>
          <w:szCs w:val="32"/>
          <w:highlight w:val="none"/>
          <w14:textFill>
            <w14:solidFill>
              <w14:schemeClr w14:val="tx1"/>
            </w14:solidFill>
          </w14:textFill>
        </w:rPr>
        <w:t>一般公共服务支出</w:t>
      </w: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83.96</w:t>
      </w:r>
      <w:r>
        <w:rPr>
          <w:rFonts w:hint="eastAsia" w:ascii="宋体" w:hAnsi="宋体" w:eastAsia="宋体" w:cs="宋体"/>
          <w:color w:val="000000" w:themeColor="text1"/>
          <w:sz w:val="32"/>
          <w:szCs w:val="32"/>
          <w:highlight w:val="none"/>
          <w14:textFill>
            <w14:solidFill>
              <w14:schemeClr w14:val="tx1"/>
            </w14:solidFill>
          </w14:textFill>
        </w:rPr>
        <w:t>万元,占</w:t>
      </w:r>
      <w:r>
        <w:rPr>
          <w:rFonts w:hint="eastAsia" w:ascii="宋体" w:hAnsi="宋体" w:eastAsia="宋体" w:cs="宋体"/>
          <w:color w:val="000000" w:themeColor="text1"/>
          <w:sz w:val="32"/>
          <w:szCs w:val="32"/>
          <w:highlight w:val="none"/>
          <w:lang w:val="en-US" w:eastAsia="zh-CN"/>
          <w14:textFill>
            <w14:solidFill>
              <w14:schemeClr w14:val="tx1"/>
            </w14:solidFill>
          </w14:textFill>
        </w:rPr>
        <w:t>81.40</w:t>
      </w:r>
      <w:r>
        <w:rPr>
          <w:rFonts w:hint="eastAsia" w:ascii="宋体" w:hAnsi="宋体" w:eastAsia="宋体" w:cs="宋体"/>
          <w:color w:val="000000" w:themeColor="text1"/>
          <w:sz w:val="32"/>
          <w:szCs w:val="32"/>
          <w:highlight w:val="none"/>
          <w14:textFill>
            <w14:solidFill>
              <w14:schemeClr w14:val="tx1"/>
            </w14:solidFill>
          </w14:textFill>
        </w:rPr>
        <w:t>%；社会保障和就业支出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19.72</w:t>
      </w:r>
      <w:r>
        <w:rPr>
          <w:rFonts w:hint="eastAsia" w:ascii="宋体" w:hAnsi="宋体" w:eastAsia="宋体" w:cs="宋体"/>
          <w:color w:val="000000" w:themeColor="text1"/>
          <w:sz w:val="32"/>
          <w:szCs w:val="32"/>
          <w:highlight w:val="none"/>
          <w14:textFill>
            <w14:solidFill>
              <w14:schemeClr w14:val="tx1"/>
            </w14:solidFill>
          </w14:textFill>
        </w:rPr>
        <w:t>万元，占</w:t>
      </w:r>
      <w:r>
        <w:rPr>
          <w:rFonts w:hint="eastAsia" w:ascii="宋体" w:hAnsi="宋体" w:eastAsia="宋体" w:cs="宋体"/>
          <w:color w:val="000000" w:themeColor="text1"/>
          <w:sz w:val="32"/>
          <w:szCs w:val="32"/>
          <w:highlight w:val="none"/>
          <w:lang w:val="en-US" w:eastAsia="zh-CN"/>
          <w14:textFill>
            <w14:solidFill>
              <w14:schemeClr w14:val="tx1"/>
            </w14:solidFill>
          </w14:textFill>
        </w:rPr>
        <w:t>4.18</w:t>
      </w:r>
      <w:r>
        <w:rPr>
          <w:rFonts w:hint="eastAsia" w:ascii="宋体" w:hAnsi="宋体" w:eastAsia="宋体" w:cs="宋体"/>
          <w:color w:val="000000" w:themeColor="text1"/>
          <w:sz w:val="32"/>
          <w:szCs w:val="32"/>
          <w:highlight w:val="none"/>
          <w14:textFill>
            <w14:solidFill>
              <w14:schemeClr w14:val="tx1"/>
            </w14:solidFill>
          </w14:textFill>
        </w:rPr>
        <w:t>%；卫生健康支出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9.17</w:t>
      </w:r>
      <w:r>
        <w:rPr>
          <w:rFonts w:hint="eastAsia" w:ascii="宋体" w:hAnsi="宋体" w:eastAsia="宋体" w:cs="宋体"/>
          <w:color w:val="000000" w:themeColor="text1"/>
          <w:sz w:val="32"/>
          <w:szCs w:val="32"/>
          <w:highlight w:val="none"/>
          <w14:textFill>
            <w14:solidFill>
              <w14:schemeClr w14:val="tx1"/>
            </w14:solidFill>
          </w14:textFill>
        </w:rPr>
        <w:t>万元，占</w:t>
      </w:r>
      <w:r>
        <w:rPr>
          <w:rFonts w:hint="eastAsia" w:ascii="宋体" w:hAnsi="宋体" w:eastAsia="宋体" w:cs="宋体"/>
          <w:color w:val="000000" w:themeColor="text1"/>
          <w:sz w:val="32"/>
          <w:szCs w:val="32"/>
          <w:highlight w:val="none"/>
          <w:lang w:val="en-US" w:eastAsia="zh-CN"/>
          <w14:textFill>
            <w14:solidFill>
              <w14:schemeClr w14:val="tx1"/>
            </w14:solidFill>
          </w14:textFill>
        </w:rPr>
        <w:t>1.94</w:t>
      </w:r>
      <w:r>
        <w:rPr>
          <w:rFonts w:hint="eastAsia" w:ascii="宋体" w:hAnsi="宋体" w:eastAsia="宋体" w:cs="宋体"/>
          <w:color w:val="000000" w:themeColor="text1"/>
          <w:sz w:val="32"/>
          <w:szCs w:val="32"/>
          <w:highlight w:val="none"/>
          <w14:textFill>
            <w14:solidFill>
              <w14:schemeClr w14:val="tx1"/>
            </w14:solidFill>
          </w14:textFill>
        </w:rPr>
        <w:t>%；农林水支出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45.15</w:t>
      </w:r>
      <w:r>
        <w:rPr>
          <w:rFonts w:hint="eastAsia" w:ascii="宋体" w:hAnsi="宋体" w:eastAsia="宋体" w:cs="宋体"/>
          <w:color w:val="000000" w:themeColor="text1"/>
          <w:sz w:val="32"/>
          <w:szCs w:val="32"/>
          <w:highlight w:val="none"/>
          <w14:textFill>
            <w14:solidFill>
              <w14:schemeClr w14:val="tx1"/>
            </w14:solidFill>
          </w14:textFill>
        </w:rPr>
        <w:t>万元，占</w:t>
      </w:r>
      <w:r>
        <w:rPr>
          <w:rFonts w:hint="eastAsia" w:ascii="宋体" w:hAnsi="宋体" w:eastAsia="宋体" w:cs="宋体"/>
          <w:color w:val="000000" w:themeColor="text1"/>
          <w:sz w:val="32"/>
          <w:szCs w:val="32"/>
          <w:highlight w:val="none"/>
          <w:lang w:val="en-US" w:eastAsia="zh-CN"/>
          <w14:textFill>
            <w14:solidFill>
              <w14:schemeClr w14:val="tx1"/>
            </w14:solidFill>
          </w14:textFill>
        </w:rPr>
        <w:t>9.57</w:t>
      </w:r>
      <w:r>
        <w:rPr>
          <w:rFonts w:hint="eastAsia" w:ascii="宋体" w:hAnsi="宋体" w:eastAsia="宋体" w:cs="宋体"/>
          <w:color w:val="000000" w:themeColor="text1"/>
          <w:sz w:val="32"/>
          <w:szCs w:val="32"/>
          <w:highlight w:val="none"/>
          <w14:textFill>
            <w14:solidFill>
              <w14:schemeClr w14:val="tx1"/>
            </w14:solidFill>
          </w14:textFill>
        </w:rPr>
        <w:t>%；住房保障支出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13.70</w:t>
      </w:r>
      <w:r>
        <w:rPr>
          <w:rFonts w:hint="eastAsia" w:ascii="宋体" w:hAnsi="宋体" w:eastAsia="宋体" w:cs="宋体"/>
          <w:color w:val="000000" w:themeColor="text1"/>
          <w:sz w:val="32"/>
          <w:szCs w:val="32"/>
          <w:highlight w:val="none"/>
          <w14:textFill>
            <w14:solidFill>
              <w14:schemeClr w14:val="tx1"/>
            </w14:solidFill>
          </w14:textFill>
        </w:rPr>
        <w:t>万元，占</w:t>
      </w:r>
      <w:r>
        <w:rPr>
          <w:rFonts w:hint="eastAsia" w:ascii="宋体" w:hAnsi="宋体" w:eastAsia="宋体" w:cs="宋体"/>
          <w:color w:val="000000" w:themeColor="text1"/>
          <w:sz w:val="32"/>
          <w:szCs w:val="32"/>
          <w:highlight w:val="none"/>
          <w:lang w:val="en-US" w:eastAsia="zh-CN"/>
          <w14:textFill>
            <w14:solidFill>
              <w14:schemeClr w14:val="tx1"/>
            </w14:solidFill>
          </w14:textFill>
        </w:rPr>
        <w:t>2.90</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Style w:val="6"/>
          <w:rFonts w:hint="eastAsia" w:ascii="宋体" w:hAnsi="宋体" w:eastAsia="宋体" w:cs="宋体"/>
          <w:color w:val="FF0000"/>
          <w:sz w:val="32"/>
          <w:szCs w:val="32"/>
          <w:highlight w:val="none"/>
        </w:rPr>
        <w:t>　　</w:t>
      </w:r>
      <w:r>
        <w:rPr>
          <w:rStyle w:val="6"/>
          <w:rFonts w:hint="eastAsia" w:ascii="宋体" w:hAnsi="宋体" w:eastAsia="宋体" w:cs="宋体"/>
          <w:color w:val="000000" w:themeColor="text1"/>
          <w:sz w:val="32"/>
          <w:szCs w:val="32"/>
          <w:highlight w:val="none"/>
          <w14:textFill>
            <w14:solidFill>
              <w14:schemeClr w14:val="tx1"/>
            </w14:solidFill>
          </w14:textFill>
        </w:rPr>
        <w:t>（三）一般公共预算当年拨款具体使用情况</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Style w:val="6"/>
          <w:rFonts w:hint="eastAsia" w:ascii="宋体" w:hAnsi="宋体" w:eastAsia="宋体" w:cs="宋体"/>
          <w:b w:val="0"/>
          <w:color w:val="000000" w:themeColor="text1"/>
          <w:sz w:val="32"/>
          <w:szCs w:val="32"/>
          <w:highlight w:val="non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1.一般公共服务（类）商贸事务（款）行政运行（项）202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176.24</w:t>
      </w:r>
      <w:r>
        <w:rPr>
          <w:rFonts w:hint="eastAsia" w:ascii="宋体" w:hAnsi="宋体" w:eastAsia="宋体" w:cs="宋体"/>
          <w:color w:val="000000" w:themeColor="text1"/>
          <w:sz w:val="32"/>
          <w:szCs w:val="32"/>
          <w:highlight w:val="none"/>
          <w14:textFill>
            <w14:solidFill>
              <w14:schemeClr w14:val="tx1"/>
            </w14:solidFill>
          </w14:textFill>
        </w:rPr>
        <w:t>万元，主要用于：局机关及下属事业单位正常运转的基本支出，包括基本工资、津贴补贴等人员经费以及办公费、印刷费、水电费等日常公用经费,保障部门正常运转。</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FF0000"/>
          <w:sz w:val="32"/>
          <w:szCs w:val="32"/>
          <w:highlight w:val="none"/>
        </w:rPr>
        <w:t>　　</w:t>
      </w:r>
      <w:r>
        <w:rPr>
          <w:rFonts w:hint="eastAsia" w:ascii="宋体" w:hAnsi="宋体" w:eastAsia="宋体" w:cs="宋体"/>
          <w:color w:val="000000" w:themeColor="text1"/>
          <w:sz w:val="32"/>
          <w:szCs w:val="32"/>
          <w:highlight w:val="none"/>
          <w14:textFill>
            <w14:solidFill>
              <w14:schemeClr w14:val="tx1"/>
            </w14:solidFill>
          </w14:textFill>
        </w:rPr>
        <w:t>2.一般公共服务（类）商贸事务（款）国际贸易管理（项）202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年预算数为5.00万元，主要用于：社消零统计培训业务会议费。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3. 一般公共服务（类）商贸事务（款）招商引资（项）202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color w:val="000000" w:themeColor="text1"/>
          <w:sz w:val="32"/>
          <w:szCs w:val="32"/>
          <w:highlight w:val="none"/>
          <w14:textFill>
            <w14:solidFill>
              <w14:schemeClr w14:val="tx1"/>
            </w14:solidFill>
          </w14:textFill>
        </w:rPr>
        <w:t>.00万元，主要用于：招商引资、优化经济环境进行的办公费、印刷费、差旅费、</w:t>
      </w:r>
      <w:r>
        <w:rPr>
          <w:rFonts w:hint="eastAsia" w:ascii="宋体" w:hAnsi="宋体" w:eastAsia="宋体" w:cs="宋体"/>
          <w:color w:val="000000" w:themeColor="text1"/>
          <w:sz w:val="32"/>
          <w:szCs w:val="32"/>
          <w:highlight w:val="none"/>
          <w:lang w:eastAsia="zh-CN"/>
          <w14:textFill>
            <w14:solidFill>
              <w14:schemeClr w14:val="tx1"/>
            </w14:solidFill>
          </w14:textFill>
        </w:rPr>
        <w:t>会务</w:t>
      </w:r>
      <w:r>
        <w:rPr>
          <w:rFonts w:hint="eastAsia" w:ascii="宋体" w:hAnsi="宋体" w:eastAsia="宋体" w:cs="宋体"/>
          <w:color w:val="000000" w:themeColor="text1"/>
          <w:sz w:val="32"/>
          <w:szCs w:val="32"/>
          <w:highlight w:val="none"/>
          <w14:textFill>
            <w14:solidFill>
              <w14:schemeClr w14:val="tx1"/>
            </w14:solidFill>
          </w14:textFill>
        </w:rPr>
        <w:t>等经费。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4. 一般公共服务（类）商贸事务（款）一般行政管理事务（项）202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年预算数为7.00万元，主要用于：市场监管、物流园区建设管理办公费、印刷费、差旅费。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5. 一般公共服务（类）商贸事务（款）其他商贸事务支出（项）202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175.72</w:t>
      </w:r>
      <w:r>
        <w:rPr>
          <w:rFonts w:hint="eastAsia" w:ascii="宋体" w:hAnsi="宋体" w:eastAsia="宋体" w:cs="宋体"/>
          <w:color w:val="000000" w:themeColor="text1"/>
          <w:sz w:val="32"/>
          <w:szCs w:val="32"/>
          <w:highlight w:val="none"/>
          <w14:textFill>
            <w14:solidFill>
              <w14:schemeClr w14:val="tx1"/>
            </w14:solidFill>
          </w14:textFill>
        </w:rPr>
        <w:t>万元，主要用于：项目管理、商贸服务业企业进规、入库、统计业务进行的办公费、印刷费、差旅费、会议费、奖励等经费。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6.社会保障和就业（类）行政事业单位离退休（款）机关事业单位基本养老保险缴费支出（项）202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18.67</w:t>
      </w:r>
      <w:r>
        <w:rPr>
          <w:rFonts w:hint="eastAsia" w:ascii="宋体" w:hAnsi="宋体" w:eastAsia="宋体" w:cs="宋体"/>
          <w:color w:val="000000" w:themeColor="text1"/>
          <w:sz w:val="32"/>
          <w:szCs w:val="32"/>
          <w:highlight w:val="none"/>
          <w14:textFill>
            <w14:solidFill>
              <w14:schemeClr w14:val="tx1"/>
            </w14:solidFill>
          </w14:textFill>
        </w:rPr>
        <w:t>万元，主要用于：单位缴纳的基本养老保险费支出。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7. 社会保障和就业（类）财政对其他社会保险基金的补助（款）财政对失业保险基金的补助（项）202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年预算数为0.</w:t>
      </w:r>
      <w:r>
        <w:rPr>
          <w:rFonts w:hint="eastAsia" w:ascii="宋体" w:hAnsi="宋体" w:eastAsia="宋体" w:cs="宋体"/>
          <w:color w:val="000000" w:themeColor="text1"/>
          <w:sz w:val="32"/>
          <w:szCs w:val="32"/>
          <w:highlight w:val="none"/>
          <w:lang w:val="en-US" w:eastAsia="zh-CN"/>
          <w14:textFill>
            <w14:solidFill>
              <w14:schemeClr w14:val="tx1"/>
            </w14:solidFill>
          </w14:textFill>
        </w:rPr>
        <w:t>48</w:t>
      </w:r>
      <w:r>
        <w:rPr>
          <w:rFonts w:hint="eastAsia" w:ascii="宋体" w:hAnsi="宋体" w:eastAsia="宋体" w:cs="宋体"/>
          <w:color w:val="000000" w:themeColor="text1"/>
          <w:sz w:val="32"/>
          <w:szCs w:val="32"/>
          <w:highlight w:val="none"/>
          <w14:textFill>
            <w14:solidFill>
              <w14:schemeClr w14:val="tx1"/>
            </w14:solidFill>
          </w14:textFill>
        </w:rPr>
        <w:t>万元，主要用于：单位缴纳的失业保险费支出。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FF0000"/>
          <w:sz w:val="32"/>
          <w:szCs w:val="32"/>
          <w:highlight w:val="none"/>
        </w:rPr>
        <w:t>　　</w:t>
      </w:r>
      <w:r>
        <w:rPr>
          <w:rFonts w:hint="eastAsia" w:ascii="宋体" w:hAnsi="宋体" w:eastAsia="宋体" w:cs="宋体"/>
          <w:color w:val="000000" w:themeColor="text1"/>
          <w:sz w:val="32"/>
          <w:szCs w:val="32"/>
          <w:highlight w:val="none"/>
          <w14:textFill>
            <w14:solidFill>
              <w14:schemeClr w14:val="tx1"/>
            </w14:solidFill>
          </w14:textFill>
        </w:rPr>
        <w:t>8. 社会保障和就业（类）财政对其他社会保险基金的补助（款）财政对工伤保险基金的补助（项）202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0.57</w:t>
      </w:r>
      <w:r>
        <w:rPr>
          <w:rFonts w:hint="eastAsia" w:ascii="宋体" w:hAnsi="宋体" w:eastAsia="宋体" w:cs="宋体"/>
          <w:color w:val="000000" w:themeColor="text1"/>
          <w:sz w:val="32"/>
          <w:szCs w:val="32"/>
          <w:highlight w:val="none"/>
          <w14:textFill>
            <w14:solidFill>
              <w14:schemeClr w14:val="tx1"/>
            </w14:solidFill>
          </w14:textFill>
        </w:rPr>
        <w:t>万元，主要用于：单位缴纳的工伤保险费支出。</w:t>
      </w:r>
    </w:p>
    <w:p>
      <w:pPr>
        <w:keepNext w:val="0"/>
        <w:keepLines w:val="0"/>
        <w:pageBreakBefore w:val="0"/>
        <w:kinsoku/>
        <w:wordWrap/>
        <w:overflowPunct/>
        <w:topLinePunct w:val="0"/>
        <w:autoSpaceDE/>
        <w:autoSpaceDN/>
        <w:bidi w:val="0"/>
        <w:adjustRightInd w:val="0"/>
        <w:snapToGrid/>
        <w:spacing w:line="560" w:lineRule="exact"/>
        <w:ind w:firstLine="480" w:firstLineChars="15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9</w:t>
      </w:r>
      <w:r>
        <w:rPr>
          <w:rFonts w:hint="eastAsia" w:ascii="宋体" w:hAnsi="宋体" w:eastAsia="宋体" w:cs="宋体"/>
          <w:color w:val="000000" w:themeColor="text1"/>
          <w:sz w:val="32"/>
          <w:szCs w:val="32"/>
          <w:highlight w:val="none"/>
          <w14:textFill>
            <w14:solidFill>
              <w14:schemeClr w14:val="tx1"/>
            </w14:solidFill>
          </w14:textFill>
        </w:rPr>
        <w:t>.卫生健康支出（类）行政事业单位医疗（款）行政单位医疗（项）202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9.17</w:t>
      </w:r>
      <w:r>
        <w:rPr>
          <w:rFonts w:hint="eastAsia" w:ascii="宋体" w:hAnsi="宋体" w:eastAsia="宋体" w:cs="宋体"/>
          <w:color w:val="000000" w:themeColor="text1"/>
          <w:sz w:val="32"/>
          <w:szCs w:val="32"/>
          <w:highlight w:val="none"/>
          <w14:textFill>
            <w14:solidFill>
              <w14:schemeClr w14:val="tx1"/>
            </w14:solidFill>
          </w14:textFill>
        </w:rPr>
        <w:t>万元，主要用于：单位基本医疗保险缴费支出。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hint="eastAsia" w:ascii="宋体" w:hAnsi="宋体" w:eastAsia="宋体" w:cs="宋体"/>
          <w:color w:val="000000" w:themeColor="text1"/>
          <w:sz w:val="32"/>
          <w:szCs w:val="32"/>
          <w:highlight w:val="none"/>
          <w:lang w:val="en-US" w:eastAsia="zh-CN"/>
          <w14:textFill>
            <w14:solidFill>
              <w14:schemeClr w14:val="tx1"/>
            </w14:solidFill>
          </w14:textFill>
        </w:rPr>
        <w:t>10</w:t>
      </w:r>
      <w:r>
        <w:rPr>
          <w:rFonts w:hint="eastAsia" w:ascii="宋体" w:hAnsi="宋体" w:eastAsia="宋体" w:cs="宋体"/>
          <w:color w:val="000000" w:themeColor="text1"/>
          <w:sz w:val="32"/>
          <w:szCs w:val="32"/>
          <w:highlight w:val="none"/>
          <w14:textFill>
            <w14:solidFill>
              <w14:schemeClr w14:val="tx1"/>
            </w14:solidFill>
          </w14:textFill>
        </w:rPr>
        <w:t>.农林水支出（类）农业（款）农产品加工与促销（项）2020年预算数为44.65万元，主要用于开拓农产品市场进行的促销、参会、参展等方面的支出。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1</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 农林水支出（类）农业（款）其他扶贫支出（项）202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年预算数为0.50万元，主要用于非贫困村第一书记工作经费支出。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1</w:t>
      </w:r>
      <w:r>
        <w:rPr>
          <w:rFonts w:hint="eastAsia" w:ascii="宋体" w:hAnsi="宋体" w:eastAsia="宋体" w:cs="宋体"/>
          <w:color w:val="000000" w:themeColor="text1"/>
          <w:sz w:val="32"/>
          <w:szCs w:val="32"/>
          <w:highlight w:val="none"/>
          <w:lang w:val="en-US" w:eastAsia="zh-CN"/>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t>.住房保障（类）住房改革支出（款）住房公积金（项）202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年预算数为</w:t>
      </w:r>
      <w:r>
        <w:rPr>
          <w:rFonts w:hint="eastAsia" w:ascii="宋体" w:hAnsi="宋体" w:eastAsia="宋体" w:cs="宋体"/>
          <w:color w:val="000000" w:themeColor="text1"/>
          <w:sz w:val="32"/>
          <w:szCs w:val="32"/>
          <w:highlight w:val="none"/>
          <w:lang w:val="en-US" w:eastAsia="zh-CN"/>
          <w14:textFill>
            <w14:solidFill>
              <w14:schemeClr w14:val="tx1"/>
            </w14:solidFill>
          </w14:textFill>
        </w:rPr>
        <w:t>13.70</w:t>
      </w:r>
      <w:r>
        <w:rPr>
          <w:rFonts w:hint="eastAsia" w:ascii="宋体" w:hAnsi="宋体" w:eastAsia="宋体" w:cs="宋体"/>
          <w:color w:val="000000" w:themeColor="text1"/>
          <w:sz w:val="32"/>
          <w:szCs w:val="32"/>
          <w:highlight w:val="none"/>
          <w14:textFill>
            <w14:solidFill>
              <w14:schemeClr w14:val="tx1"/>
            </w14:solidFill>
          </w14:textFill>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六、一般公共预算基本支出情况说明</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广元市利州区商务局202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年一般公共预算基本支出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219.34</w:t>
      </w:r>
      <w:r>
        <w:rPr>
          <w:rFonts w:hint="eastAsia" w:ascii="宋体" w:hAnsi="宋体" w:eastAsia="宋体" w:cs="宋体"/>
          <w:color w:val="000000" w:themeColor="text1"/>
          <w:sz w:val="32"/>
          <w:szCs w:val="32"/>
          <w:highlight w:val="none"/>
          <w14:textFill>
            <w14:solidFill>
              <w14:schemeClr w14:val="tx1"/>
            </w14:solidFill>
          </w14:textFill>
        </w:rPr>
        <w:t>万元，其中：人员经费</w:t>
      </w:r>
      <w:r>
        <w:rPr>
          <w:rFonts w:hint="eastAsia" w:ascii="宋体" w:hAnsi="宋体" w:eastAsia="宋体" w:cs="宋体"/>
          <w:color w:val="000000" w:themeColor="text1"/>
          <w:sz w:val="32"/>
          <w:szCs w:val="32"/>
          <w:highlight w:val="none"/>
          <w:lang w:val="en-US" w:eastAsia="zh-CN"/>
          <w14:textFill>
            <w14:solidFill>
              <w14:schemeClr w14:val="tx1"/>
            </w14:solidFill>
          </w14:textFill>
        </w:rPr>
        <w:t>19</w:t>
      </w:r>
      <w:r>
        <w:rPr>
          <w:rFonts w:hint="eastAsia" w:ascii="宋体" w:hAnsi="宋体" w:cs="宋体"/>
          <w:color w:val="000000" w:themeColor="text1"/>
          <w:sz w:val="32"/>
          <w:szCs w:val="32"/>
          <w:highlight w:val="none"/>
          <w:lang w:val="en-US" w:eastAsia="zh-CN"/>
          <w14:textFill>
            <w14:solidFill>
              <w14:schemeClr w14:val="tx1"/>
            </w14:solidFill>
          </w14:textFill>
        </w:rPr>
        <w:t>8.46</w:t>
      </w:r>
      <w:r>
        <w:rPr>
          <w:rFonts w:hint="eastAsia" w:ascii="宋体" w:hAnsi="宋体" w:eastAsia="宋体" w:cs="宋体"/>
          <w:color w:val="000000" w:themeColor="text1"/>
          <w:sz w:val="32"/>
          <w:szCs w:val="32"/>
          <w:highlight w:val="none"/>
          <w14:textFill>
            <w14:solidFill>
              <w14:schemeClr w14:val="tx1"/>
            </w14:solidFill>
          </w14:textFill>
        </w:rPr>
        <w:t>万元，主要包括：基本工资、津贴补贴、奖金、社会保险缴费等支出。公用经费</w:t>
      </w:r>
      <w:r>
        <w:rPr>
          <w:rFonts w:hint="eastAsia" w:ascii="宋体" w:hAnsi="宋体" w:eastAsia="宋体" w:cs="宋体"/>
          <w:color w:val="000000" w:themeColor="text1"/>
          <w:sz w:val="32"/>
          <w:szCs w:val="32"/>
          <w:highlight w:val="none"/>
          <w:lang w:val="en-US" w:eastAsia="zh-CN"/>
          <w14:textFill>
            <w14:solidFill>
              <w14:schemeClr w14:val="tx1"/>
            </w14:solidFill>
          </w14:textFill>
        </w:rPr>
        <w:t>20.88</w:t>
      </w:r>
      <w:r>
        <w:rPr>
          <w:rFonts w:hint="eastAsia" w:ascii="宋体" w:hAnsi="宋体" w:eastAsia="宋体" w:cs="宋体"/>
          <w:color w:val="000000" w:themeColor="text1"/>
          <w:sz w:val="32"/>
          <w:szCs w:val="32"/>
          <w:highlight w:val="none"/>
          <w14:textFill>
            <w14:solidFill>
              <w14:schemeClr w14:val="tx1"/>
            </w14:solidFill>
          </w14:textFill>
        </w:rPr>
        <w:t>万元，主要包括：办公费、水费、电费、邮电费、印刷费、差旅费、维修（护）费、物业管理费、劳务费等支出。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FF0000"/>
          <w:sz w:val="32"/>
          <w:szCs w:val="32"/>
          <w:highlight w:val="none"/>
        </w:rPr>
        <w:t>　　</w:t>
      </w:r>
      <w:r>
        <w:rPr>
          <w:rFonts w:hint="eastAsia" w:ascii="宋体" w:hAnsi="宋体" w:eastAsia="宋体" w:cs="宋体"/>
          <w:color w:val="000000" w:themeColor="text1"/>
          <w:sz w:val="32"/>
          <w:szCs w:val="32"/>
          <w:highlight w:val="none"/>
          <w14:textFill>
            <w14:solidFill>
              <w14:schemeClr w14:val="tx1"/>
            </w14:solidFill>
          </w14:textFill>
        </w:rPr>
        <w:t>七、“三公”经费财政拨款预算安排情况说明</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hint="eastAsia" w:ascii="宋体" w:hAnsi="宋体" w:eastAsia="宋体" w:cs="宋体"/>
          <w:color w:val="000000" w:themeColor="text1"/>
          <w:sz w:val="32"/>
          <w:szCs w:val="32"/>
          <w:highlight w:val="none"/>
          <w:lang w:val="en-US" w:eastAsia="zh-CN"/>
          <w14:textFill>
            <w14:solidFill>
              <w14:schemeClr w14:val="tx1"/>
            </w14:solidFill>
          </w14:textFill>
        </w:rPr>
        <w:t>2021年，</w:t>
      </w:r>
      <w:r>
        <w:rPr>
          <w:rFonts w:hint="eastAsia" w:ascii="宋体" w:hAnsi="宋体" w:eastAsia="宋体" w:cs="宋体"/>
          <w:color w:val="000000" w:themeColor="text1"/>
          <w:sz w:val="32"/>
          <w:szCs w:val="32"/>
          <w:highlight w:val="none"/>
          <w14:textFill>
            <w14:solidFill>
              <w14:schemeClr w14:val="tx1"/>
            </w14:solidFill>
          </w14:textFill>
        </w:rPr>
        <w:t>财政拨款安排“三公”经费预算</w:t>
      </w:r>
      <w:r>
        <w:rPr>
          <w:rFonts w:hint="eastAsia" w:ascii="宋体" w:hAnsi="宋体" w:eastAsia="宋体" w:cs="宋体"/>
          <w:color w:val="000000" w:themeColor="text1"/>
          <w:sz w:val="32"/>
          <w:szCs w:val="32"/>
          <w:highlight w:val="none"/>
          <w:lang w:val="en-US" w:eastAsia="zh-CN"/>
          <w14:textFill>
            <w14:solidFill>
              <w14:schemeClr w14:val="tx1"/>
            </w14:solidFill>
          </w14:textFill>
        </w:rPr>
        <w:t>1.00</w:t>
      </w:r>
      <w:r>
        <w:rPr>
          <w:rFonts w:hint="eastAsia" w:ascii="宋体" w:hAnsi="宋体" w:eastAsia="宋体" w:cs="宋体"/>
          <w:color w:val="000000" w:themeColor="text1"/>
          <w:sz w:val="32"/>
          <w:szCs w:val="32"/>
          <w:highlight w:val="none"/>
          <w14:textFill>
            <w14:solidFill>
              <w14:schemeClr w14:val="tx1"/>
            </w14:solidFill>
          </w14:textFill>
        </w:rPr>
        <w:t>万元，较20</w:t>
      </w:r>
      <w:r>
        <w:rPr>
          <w:rFonts w:hint="eastAsia" w:ascii="宋体" w:hAnsi="宋体" w:eastAsia="宋体" w:cs="宋体"/>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color w:val="000000" w:themeColor="text1"/>
          <w:sz w:val="32"/>
          <w:szCs w:val="32"/>
          <w:highlight w:val="none"/>
          <w14:textFill>
            <w14:solidFill>
              <w14:schemeClr w14:val="tx1"/>
            </w14:solidFill>
          </w14:textFill>
        </w:rPr>
        <w:t>年部门预算收入0.73万元增长</w:t>
      </w:r>
      <w:r>
        <w:rPr>
          <w:rFonts w:hint="eastAsia" w:ascii="宋体" w:hAnsi="宋体" w:eastAsia="宋体" w:cs="宋体"/>
          <w:color w:val="000000" w:themeColor="text1"/>
          <w:sz w:val="32"/>
          <w:szCs w:val="32"/>
          <w:highlight w:val="none"/>
          <w:lang w:val="en-US" w:eastAsia="zh-CN"/>
          <w14:textFill>
            <w14:solidFill>
              <w14:schemeClr w14:val="tx1"/>
            </w14:solidFill>
          </w14:textFill>
        </w:rPr>
        <w:t>36.98</w:t>
      </w:r>
      <w:r>
        <w:rPr>
          <w:rFonts w:hint="eastAsia" w:ascii="宋体" w:hAnsi="宋体" w:eastAsia="宋体" w:cs="宋体"/>
          <w:color w:val="000000" w:themeColor="text1"/>
          <w:sz w:val="32"/>
          <w:szCs w:val="32"/>
          <w:highlight w:val="none"/>
          <w14:textFill>
            <w14:solidFill>
              <w14:schemeClr w14:val="tx1"/>
            </w14:solidFill>
          </w14:textFill>
        </w:rPr>
        <w:t>%。其中：20</w:t>
      </w:r>
      <w:r>
        <w:rPr>
          <w:rFonts w:hint="eastAsia" w:ascii="宋体" w:hAnsi="宋体" w:eastAsia="宋体" w:cs="宋体"/>
          <w:color w:val="000000" w:themeColor="text1"/>
          <w:sz w:val="32"/>
          <w:szCs w:val="32"/>
          <w:highlight w:val="none"/>
          <w:lang w:val="en-US" w:eastAsia="zh-CN"/>
          <w14:textFill>
            <w14:solidFill>
              <w14:schemeClr w14:val="tx1"/>
            </w14:solidFill>
          </w14:textFill>
        </w:rPr>
        <w:t>21</w:t>
      </w:r>
      <w:r>
        <w:rPr>
          <w:rFonts w:hint="eastAsia" w:ascii="宋体" w:hAnsi="宋体" w:eastAsia="宋体" w:cs="宋体"/>
          <w:color w:val="000000" w:themeColor="text1"/>
          <w:sz w:val="32"/>
          <w:szCs w:val="32"/>
          <w:highlight w:val="none"/>
          <w14:textFill>
            <w14:solidFill>
              <w14:schemeClr w14:val="tx1"/>
            </w14:solidFill>
          </w14:textFill>
        </w:rPr>
        <w:t>年安排公务接待费预算</w:t>
      </w:r>
      <w:r>
        <w:rPr>
          <w:rFonts w:hint="eastAsia" w:ascii="宋体" w:hAnsi="宋体" w:eastAsia="宋体" w:cs="宋体"/>
          <w:color w:val="000000" w:themeColor="text1"/>
          <w:sz w:val="32"/>
          <w:szCs w:val="32"/>
          <w:highlight w:val="none"/>
          <w:lang w:val="en-US" w:eastAsia="zh-CN"/>
          <w14:textFill>
            <w14:solidFill>
              <w14:schemeClr w14:val="tx1"/>
            </w14:solidFill>
          </w14:textFill>
        </w:rPr>
        <w:t>1.00</w:t>
      </w:r>
      <w:r>
        <w:rPr>
          <w:rFonts w:hint="eastAsia" w:ascii="宋体" w:hAnsi="宋体" w:eastAsia="宋体" w:cs="宋体"/>
          <w:color w:val="000000" w:themeColor="text1"/>
          <w:sz w:val="32"/>
          <w:szCs w:val="32"/>
          <w:highlight w:val="none"/>
          <w14:textFill>
            <w14:solidFill>
              <w14:schemeClr w14:val="tx1"/>
            </w14:solidFill>
          </w14:textFill>
        </w:rPr>
        <w:t>万元，安排公车购置及运行维护费0万元。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（一）公务接待费较20</w:t>
      </w:r>
      <w:r>
        <w:rPr>
          <w:rFonts w:hint="eastAsia" w:ascii="宋体" w:hAnsi="宋体" w:eastAsia="宋体" w:cs="宋体"/>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color w:val="000000" w:themeColor="text1"/>
          <w:sz w:val="32"/>
          <w:szCs w:val="32"/>
          <w:highlight w:val="none"/>
          <w14:textFill>
            <w14:solidFill>
              <w14:schemeClr w14:val="tx1"/>
            </w14:solidFill>
          </w14:textFill>
        </w:rPr>
        <w:t>年预算</w:t>
      </w:r>
      <w:r>
        <w:rPr>
          <w:rFonts w:hint="eastAsia" w:ascii="宋体" w:hAnsi="宋体" w:eastAsia="宋体" w:cs="宋体"/>
          <w:color w:val="000000" w:themeColor="text1"/>
          <w:sz w:val="32"/>
          <w:szCs w:val="32"/>
          <w:highlight w:val="none"/>
          <w:lang w:eastAsia="zh-CN"/>
          <w14:textFill>
            <w14:solidFill>
              <w14:schemeClr w14:val="tx1"/>
            </w14:solidFill>
          </w14:textFill>
        </w:rPr>
        <w:t>增长</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年公务接待费计划用于执行接待考察调研、检查指导等公务活动开支的交通费、住宿费、用餐费等。</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（二）公务用车购置及运行维护费与20</w:t>
      </w:r>
      <w:r>
        <w:rPr>
          <w:rFonts w:hint="eastAsia" w:ascii="宋体" w:hAnsi="宋体" w:eastAsia="宋体" w:cs="宋体"/>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color w:val="000000" w:themeColor="text1"/>
          <w:sz w:val="32"/>
          <w:szCs w:val="32"/>
          <w:highlight w:val="none"/>
          <w14:textFill>
            <w14:solidFill>
              <w14:schemeClr w14:val="tx1"/>
            </w14:solidFill>
          </w14:textFill>
        </w:rPr>
        <w:t>年预算增长持平。</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单位现有公务用车0辆。</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年未安排公务用车购置费0元。</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八、政府性基金预算支出情况说明</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广元市利州区商务局202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年没有使用政府性基金预算拨款安排的支出。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九、国有资本经营预算支出情况说明</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广元市利州区商务局202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年没有使用国有资本经营预算拨款安排的支出。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十、其他重要事项的情况说明</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FF0000"/>
          <w:sz w:val="32"/>
          <w:szCs w:val="32"/>
          <w:highlight w:val="none"/>
        </w:rPr>
        <w:t>　　</w:t>
      </w:r>
      <w:r>
        <w:rPr>
          <w:rStyle w:val="6"/>
          <w:rFonts w:hint="eastAsia" w:ascii="宋体" w:hAnsi="宋体" w:eastAsia="宋体" w:cs="宋体"/>
          <w:color w:val="000000" w:themeColor="text1"/>
          <w:sz w:val="32"/>
          <w:szCs w:val="32"/>
          <w:highlight w:val="none"/>
          <w14:textFill>
            <w14:solidFill>
              <w14:schemeClr w14:val="tx1"/>
            </w14:solidFill>
          </w14:textFill>
        </w:rPr>
        <w:t>（一）机关运行经费</w:t>
      </w:r>
      <w:r>
        <w:rPr>
          <w:rStyle w:val="6"/>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年，广元市利州区商务局机关运行经费财政拨款预算为</w:t>
      </w:r>
      <w:r>
        <w:rPr>
          <w:rFonts w:hint="eastAsia" w:ascii="宋体" w:hAnsi="宋体" w:eastAsia="宋体" w:cs="宋体"/>
          <w:color w:val="000000" w:themeColor="text1"/>
          <w:sz w:val="32"/>
          <w:szCs w:val="32"/>
          <w:highlight w:val="none"/>
          <w:lang w:val="en-US" w:eastAsia="zh-CN"/>
          <w14:textFill>
            <w14:solidFill>
              <w14:schemeClr w14:val="tx1"/>
            </w14:solidFill>
          </w14:textFill>
        </w:rPr>
        <w:t>20.88</w:t>
      </w:r>
      <w:r>
        <w:rPr>
          <w:rFonts w:hint="eastAsia" w:ascii="宋体" w:hAnsi="宋体" w:eastAsia="宋体" w:cs="宋体"/>
          <w:color w:val="000000" w:themeColor="text1"/>
          <w:sz w:val="32"/>
          <w:szCs w:val="32"/>
          <w:highlight w:val="none"/>
          <w14:textFill>
            <w14:solidFill>
              <w14:schemeClr w14:val="tx1"/>
            </w14:solidFill>
          </w14:textFill>
        </w:rPr>
        <w:t>万元，比2020年预算增加</w:t>
      </w:r>
      <w:r>
        <w:rPr>
          <w:rFonts w:hint="eastAsia" w:ascii="宋体" w:hAnsi="宋体" w:cs="宋体"/>
          <w:color w:val="000000" w:themeColor="text1"/>
          <w:sz w:val="32"/>
          <w:szCs w:val="32"/>
          <w:highlight w:val="none"/>
          <w:lang w:val="en-US" w:eastAsia="zh-CN"/>
          <w14:textFill>
            <w14:solidFill>
              <w14:schemeClr w14:val="tx1"/>
            </w14:solidFill>
          </w14:textFill>
        </w:rPr>
        <w:t>4.62</w:t>
      </w:r>
      <w:r>
        <w:rPr>
          <w:rFonts w:hint="eastAsia" w:ascii="宋体" w:hAnsi="宋体" w:eastAsia="宋体" w:cs="宋体"/>
          <w:color w:val="000000" w:themeColor="text1"/>
          <w:sz w:val="32"/>
          <w:szCs w:val="32"/>
          <w:highlight w:val="none"/>
          <w14:textFill>
            <w14:solidFill>
              <w14:schemeClr w14:val="tx1"/>
            </w14:solidFill>
          </w14:textFill>
        </w:rPr>
        <w:t>万元，增长2</w:t>
      </w:r>
      <w:r>
        <w:rPr>
          <w:rFonts w:hint="eastAsia" w:ascii="宋体" w:hAnsi="宋体" w:cs="宋体"/>
          <w:color w:val="000000" w:themeColor="text1"/>
          <w:sz w:val="32"/>
          <w:szCs w:val="32"/>
          <w:highlight w:val="none"/>
          <w:lang w:val="en-US" w:eastAsia="zh-CN"/>
          <w14:textFill>
            <w14:solidFill>
              <w14:schemeClr w14:val="tx1"/>
            </w14:solidFill>
          </w14:textFill>
        </w:rPr>
        <w:t>8.39</w:t>
      </w:r>
      <w:r>
        <w:rPr>
          <w:rFonts w:hint="eastAsia" w:ascii="宋体" w:hAnsi="宋体" w:eastAsia="宋体" w:cs="宋体"/>
          <w:color w:val="000000" w:themeColor="text1"/>
          <w:sz w:val="32"/>
          <w:szCs w:val="32"/>
          <w:highlight w:val="none"/>
          <w14:textFill>
            <w14:solidFill>
              <w14:schemeClr w14:val="tx1"/>
            </w14:solidFill>
          </w14:textFill>
        </w:rPr>
        <w:t>%。主要原因是人员工资变动。</w:t>
      </w:r>
    </w:p>
    <w:p>
      <w:pPr>
        <w:keepNext w:val="0"/>
        <w:keepLines w:val="0"/>
        <w:pageBreakBefore w:val="0"/>
        <w:widowControl/>
        <w:kinsoku/>
        <w:wordWrap/>
        <w:overflowPunct/>
        <w:topLinePunct w:val="0"/>
        <w:autoSpaceDE/>
        <w:autoSpaceDN/>
        <w:bidi w:val="0"/>
        <w:snapToGrid/>
        <w:spacing w:before="270" w:line="560" w:lineRule="exact"/>
        <w:ind w:firstLine="643"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Style w:val="6"/>
          <w:rFonts w:hint="eastAsia" w:ascii="宋体" w:hAnsi="宋体" w:eastAsia="宋体" w:cs="宋体"/>
          <w:color w:val="000000" w:themeColor="text1"/>
          <w:sz w:val="32"/>
          <w:szCs w:val="32"/>
          <w:highlight w:val="none"/>
          <w14:textFill>
            <w14:solidFill>
              <w14:schemeClr w14:val="tx1"/>
            </w14:solidFill>
          </w14:textFill>
        </w:rPr>
        <w:t>（二）政府采购情况</w:t>
      </w:r>
      <w:r>
        <w:rPr>
          <w:rStyle w:val="6"/>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年，安排采购预算业务</w:t>
      </w:r>
      <w:r>
        <w:rPr>
          <w:rFonts w:hint="eastAsia" w:ascii="宋体" w:hAnsi="宋体" w:cs="宋体"/>
          <w:color w:val="000000" w:themeColor="text1"/>
          <w:sz w:val="32"/>
          <w:szCs w:val="32"/>
          <w:highlight w:val="none"/>
          <w:lang w:val="en-US" w:eastAsia="zh-CN"/>
          <w14:textFill>
            <w14:solidFill>
              <w14:schemeClr w14:val="tx1"/>
            </w14:solidFill>
          </w14:textFill>
        </w:rPr>
        <w:t>0</w:t>
      </w:r>
      <w:r>
        <w:rPr>
          <w:rFonts w:hint="eastAsia" w:ascii="宋体" w:hAnsi="宋体" w:eastAsia="宋体" w:cs="宋体"/>
          <w:color w:val="000000" w:themeColor="text1"/>
          <w:sz w:val="32"/>
          <w:szCs w:val="32"/>
          <w:highlight w:val="none"/>
          <w:lang w:val="en-US" w:eastAsia="zh-CN"/>
          <w14:textFill>
            <w14:solidFill>
              <w14:schemeClr w14:val="tx1"/>
            </w14:solidFill>
          </w14:textFill>
        </w:rPr>
        <w:t>万</w:t>
      </w:r>
      <w:r>
        <w:rPr>
          <w:rFonts w:hint="eastAsia" w:ascii="宋体" w:hAnsi="宋体" w:eastAsia="宋体" w:cs="宋体"/>
          <w:color w:val="000000" w:themeColor="text1"/>
          <w:sz w:val="32"/>
          <w:szCs w:val="32"/>
          <w:highlight w:val="none"/>
          <w14:textFill>
            <w14:solidFill>
              <w14:schemeClr w14:val="tx1"/>
            </w14:solidFill>
          </w14:textFill>
        </w:rPr>
        <w:t>。</w:t>
      </w:r>
      <w:bookmarkStart w:id="0" w:name="_GoBack"/>
      <w:bookmarkEnd w:id="0"/>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w:t>
      </w:r>
      <w:r>
        <w:rPr>
          <w:rStyle w:val="6"/>
          <w:rFonts w:hint="eastAsia" w:ascii="宋体" w:hAnsi="宋体" w:eastAsia="宋体" w:cs="宋体"/>
          <w:color w:val="000000" w:themeColor="text1"/>
          <w:sz w:val="32"/>
          <w:szCs w:val="32"/>
          <w:highlight w:val="none"/>
          <w14:textFill>
            <w14:solidFill>
              <w14:schemeClr w14:val="tx1"/>
            </w14:solidFill>
          </w14:textFill>
        </w:rPr>
        <w:t>（三）国有资产占有使用情况</w:t>
      </w:r>
      <w:r>
        <w:rPr>
          <w:rStyle w:val="6"/>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截至202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年底，商务局无占有使用国有资产。</w:t>
      </w:r>
    </w:p>
    <w:p>
      <w:pPr>
        <w:keepNext w:val="0"/>
        <w:keepLines w:val="0"/>
        <w:pageBreakBefore w:val="0"/>
        <w:widowControl/>
        <w:kinsoku/>
        <w:wordWrap/>
        <w:overflowPunct/>
        <w:topLinePunct w:val="0"/>
        <w:autoSpaceDE/>
        <w:autoSpaceDN/>
        <w:bidi w:val="0"/>
        <w:snapToGrid/>
        <w:spacing w:before="270" w:line="560" w:lineRule="exact"/>
        <w:ind w:firstLine="643" w:firstLineChars="200"/>
        <w:textAlignment w:val="auto"/>
        <w:rPr>
          <w:rFonts w:hint="eastAsia" w:ascii="宋体" w:hAnsi="宋体" w:eastAsia="宋体" w:cs="宋体"/>
          <w:color w:val="000000" w:themeColor="text1"/>
          <w:sz w:val="32"/>
          <w:szCs w:val="32"/>
          <w:highlight w:val="none"/>
          <w14:textFill>
            <w14:solidFill>
              <w14:schemeClr w14:val="tx1"/>
            </w14:solidFill>
          </w14:textFill>
        </w:rPr>
      </w:pPr>
      <w:r>
        <w:rPr>
          <w:rStyle w:val="6"/>
          <w:rFonts w:hint="eastAsia" w:ascii="宋体" w:hAnsi="宋体" w:eastAsia="宋体" w:cs="宋体"/>
          <w:color w:val="000000" w:themeColor="text1"/>
          <w:sz w:val="32"/>
          <w:szCs w:val="32"/>
          <w:highlight w:val="none"/>
          <w14:textFill>
            <w14:solidFill>
              <w14:schemeClr w14:val="tx1"/>
            </w14:solidFill>
          </w14:textFill>
        </w:rPr>
        <w:t>（四）绩效目标设置情况</w:t>
      </w:r>
      <w:r>
        <w:rPr>
          <w:rStyle w:val="6"/>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绩效目标是预算编制的前提和基础，按照“费随事定”的原则，202</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年广元市利州区商务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十一、名词解释</w:t>
      </w:r>
    </w:p>
    <w:p>
      <w:pPr>
        <w:keepNext w:val="0"/>
        <w:keepLines w:val="0"/>
        <w:pageBreakBefore w:val="0"/>
        <w:widowControl/>
        <w:kinsoku/>
        <w:wordWrap/>
        <w:overflowPunct/>
        <w:topLinePunct w:val="0"/>
        <w:autoSpaceDE/>
        <w:autoSpaceDN/>
        <w:bidi w:val="0"/>
        <w:snapToGrid/>
        <w:spacing w:before="270" w:line="560" w:lineRule="exact"/>
        <w:ind w:firstLine="640" w:firstLineChars="200"/>
        <w:textAlignment w:val="auto"/>
        <w:rPr>
          <w:rFonts w:hint="eastAsia" w:ascii="宋体" w:hAnsi="宋体" w:eastAsia="宋体" w:cs="宋体"/>
          <w:color w:val="000000" w:themeColor="text1"/>
          <w:sz w:val="32"/>
          <w:szCs w:val="32"/>
          <w:highlight w:val="none"/>
          <w:shd w:val="clear" w:color="auto" w:fill="FFFFFF"/>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（一）一般公共预算拨款收入：指区级财政当年拨付的资金。</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（二）上年结转：指以前年度尚未完成，结转到本年仍按原规定用途继续使用的资金。</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（三）一般公共服务（类）商贸事务（款）行政运行（项）：指机关用于保障机构正常运行、开展日常工作的基本支出。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（四）社会保障和就业（类）行政事业单位离退休（款）机关事业单位基本养老保险缴费支出（项）：指部门实施养老保险制度由单位缴纳的养老保险费的支出。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（五）卫生健康（类）行政事业单位医疗（款）行政单位医疗（项）：指行政单位基本医疗保险缴费经费。　　</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（六）住房保障（类）住房改革支出（款）住房公积金（项）：指按照《住房公积金管理条例》的规定，由单位及其在职职工缴存的长期住房储金。</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（七）基本支出：指为保证机构正常运转，完成日常工作任务而发生的人员支出和公用支出。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（八）项目支出：指在基本支出之外为完成特定行政任务和事业发展目标所发生的支出。</w:t>
      </w:r>
      <w:r>
        <w:rPr>
          <w:rFonts w:hint="eastAsia" w:ascii="宋体" w:hAnsi="宋体" w:eastAsia="宋体" w:cs="宋体"/>
          <w:color w:val="000000" w:themeColor="text1"/>
          <w:sz w:val="32"/>
          <w:szCs w:val="32"/>
          <w:highlight w:val="none"/>
          <w14:textFill>
            <w14:solidFill>
              <w14:schemeClr w14:val="tx1"/>
            </w14:solidFill>
          </w14:textFill>
        </w:rPr>
        <w:br w:type="textWrapping"/>
      </w:r>
      <w:r>
        <w:rPr>
          <w:rFonts w:hint="eastAsia" w:ascii="宋体" w:hAnsi="宋体" w:eastAsia="宋体" w:cs="宋体"/>
          <w:color w:val="000000" w:themeColor="text1"/>
          <w:sz w:val="32"/>
          <w:szCs w:val="32"/>
          <w:highlight w:val="none"/>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F02E7"/>
    <w:multiLevelType w:val="singleLevel"/>
    <w:tmpl w:val="E20F02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15C3B"/>
    <w:rsid w:val="000234F0"/>
    <w:rsid w:val="00030345"/>
    <w:rsid w:val="000D7336"/>
    <w:rsid w:val="00185332"/>
    <w:rsid w:val="0019321F"/>
    <w:rsid w:val="001C6004"/>
    <w:rsid w:val="001D1CB2"/>
    <w:rsid w:val="001E078F"/>
    <w:rsid w:val="00211B92"/>
    <w:rsid w:val="0022790D"/>
    <w:rsid w:val="0024385F"/>
    <w:rsid w:val="00251DA8"/>
    <w:rsid w:val="00252F10"/>
    <w:rsid w:val="0026122B"/>
    <w:rsid w:val="0028010F"/>
    <w:rsid w:val="002D21C9"/>
    <w:rsid w:val="002D7F1F"/>
    <w:rsid w:val="00326DE0"/>
    <w:rsid w:val="0033727F"/>
    <w:rsid w:val="00362CB2"/>
    <w:rsid w:val="003C5322"/>
    <w:rsid w:val="003C681A"/>
    <w:rsid w:val="003F084C"/>
    <w:rsid w:val="004600B9"/>
    <w:rsid w:val="004C01BC"/>
    <w:rsid w:val="004C516E"/>
    <w:rsid w:val="004F514A"/>
    <w:rsid w:val="00583F15"/>
    <w:rsid w:val="005A443A"/>
    <w:rsid w:val="005C7EF0"/>
    <w:rsid w:val="005D6922"/>
    <w:rsid w:val="00605F7D"/>
    <w:rsid w:val="0060771F"/>
    <w:rsid w:val="00627314"/>
    <w:rsid w:val="00681D50"/>
    <w:rsid w:val="006B2F92"/>
    <w:rsid w:val="00770A45"/>
    <w:rsid w:val="007B113E"/>
    <w:rsid w:val="007D2FDC"/>
    <w:rsid w:val="007E0094"/>
    <w:rsid w:val="007E0D7C"/>
    <w:rsid w:val="007F3343"/>
    <w:rsid w:val="00840A52"/>
    <w:rsid w:val="008A04BD"/>
    <w:rsid w:val="008B02AB"/>
    <w:rsid w:val="009073AE"/>
    <w:rsid w:val="00975976"/>
    <w:rsid w:val="00994415"/>
    <w:rsid w:val="009A136E"/>
    <w:rsid w:val="009F5EB7"/>
    <w:rsid w:val="00A0670E"/>
    <w:rsid w:val="00A101CA"/>
    <w:rsid w:val="00A47A7A"/>
    <w:rsid w:val="00A565DC"/>
    <w:rsid w:val="00A954A3"/>
    <w:rsid w:val="00A961DF"/>
    <w:rsid w:val="00AB0651"/>
    <w:rsid w:val="00AF6A04"/>
    <w:rsid w:val="00B5184A"/>
    <w:rsid w:val="00B65057"/>
    <w:rsid w:val="00B82E68"/>
    <w:rsid w:val="00BC41F1"/>
    <w:rsid w:val="00BD526B"/>
    <w:rsid w:val="00BE1495"/>
    <w:rsid w:val="00C06BFD"/>
    <w:rsid w:val="00C440D0"/>
    <w:rsid w:val="00C82999"/>
    <w:rsid w:val="00CD4B04"/>
    <w:rsid w:val="00D344FD"/>
    <w:rsid w:val="00D52DB7"/>
    <w:rsid w:val="00D54657"/>
    <w:rsid w:val="00D7225C"/>
    <w:rsid w:val="00D80B3F"/>
    <w:rsid w:val="00D95350"/>
    <w:rsid w:val="00DC1F38"/>
    <w:rsid w:val="00E130AF"/>
    <w:rsid w:val="00E14578"/>
    <w:rsid w:val="00E4597D"/>
    <w:rsid w:val="00E73EBF"/>
    <w:rsid w:val="00E7752B"/>
    <w:rsid w:val="00E777E1"/>
    <w:rsid w:val="00EF6568"/>
    <w:rsid w:val="00EF66FC"/>
    <w:rsid w:val="00FA0029"/>
    <w:rsid w:val="00FA5DF8"/>
    <w:rsid w:val="00FB46A1"/>
    <w:rsid w:val="00FD2341"/>
    <w:rsid w:val="00FF14D9"/>
    <w:rsid w:val="00FF33B2"/>
    <w:rsid w:val="012E766D"/>
    <w:rsid w:val="044F5BC4"/>
    <w:rsid w:val="099A6EBD"/>
    <w:rsid w:val="0E1168EA"/>
    <w:rsid w:val="0E8D6536"/>
    <w:rsid w:val="12542E88"/>
    <w:rsid w:val="15815E09"/>
    <w:rsid w:val="160776AB"/>
    <w:rsid w:val="16E93513"/>
    <w:rsid w:val="1A4B3E10"/>
    <w:rsid w:val="1E7B7192"/>
    <w:rsid w:val="237F1682"/>
    <w:rsid w:val="24C15CB9"/>
    <w:rsid w:val="24C90A2A"/>
    <w:rsid w:val="27A66C81"/>
    <w:rsid w:val="339F2A88"/>
    <w:rsid w:val="36E8166F"/>
    <w:rsid w:val="3B6B44B6"/>
    <w:rsid w:val="43644D8C"/>
    <w:rsid w:val="45D562A1"/>
    <w:rsid w:val="52D72BAA"/>
    <w:rsid w:val="62EB125C"/>
    <w:rsid w:val="64A8537C"/>
    <w:rsid w:val="67D245BF"/>
    <w:rsid w:val="6DCF06EB"/>
    <w:rsid w:val="74AB75CC"/>
    <w:rsid w:val="785F0829"/>
    <w:rsid w:val="7A4040F2"/>
    <w:rsid w:val="7BD06D36"/>
    <w:rsid w:val="7E0061DA"/>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C7529-55C9-45C5-9CA3-A3E9CE667B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688</Words>
  <Characters>3927</Characters>
  <Lines>32</Lines>
  <Paragraphs>9</Paragraphs>
  <ScaleCrop>false</ScaleCrop>
  <LinksUpToDate>false</LinksUpToDate>
  <CharactersWithSpaces>4606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2021-03-18T08:06:16Z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