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83802794"/>
      <w:bookmarkStart w:id="1" w:name="_Toc15306267"/>
      <w:r>
        <w:rPr>
          <w:rFonts w:hint="eastAsia" w:ascii="方正小标宋简体" w:hAnsi="宋体" w:eastAsia="方正小标宋简体"/>
          <w:color w:val="000000"/>
          <w:sz w:val="30"/>
          <w:szCs w:val="30"/>
        </w:rPr>
        <w:t>附件</w:t>
      </w:r>
      <w:r>
        <w:rPr>
          <w:rFonts w:ascii="方正小标宋简体" w:hAnsi="宋体" w:eastAsia="方正小标宋简体"/>
          <w:color w:val="000000"/>
          <w:sz w:val="30"/>
          <w:szCs w:val="30"/>
        </w:rPr>
        <w:t>4</w:t>
      </w:r>
      <w:bookmarkEnd w:id="0"/>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48"/>
          <w:szCs w:val="48"/>
        </w:rPr>
      </w:pPr>
      <w:bookmarkStart w:id="2" w:name="_Toc15396597"/>
      <w:bookmarkStart w:id="3" w:name="_Toc15377193"/>
      <w:bookmarkStart w:id="4" w:name="_Toc15396475"/>
      <w:bookmarkStart w:id="5" w:name="_Toc83802795"/>
      <w:bookmarkStart w:id="6" w:name="_Toc15378441"/>
      <w:bookmarkStart w:id="7" w:name="_Toc15377425"/>
      <w:r>
        <w:rPr>
          <w:rFonts w:ascii="黑体" w:hAnsi="黑体" w:eastAsia="黑体"/>
          <w:color w:val="000000"/>
          <w:sz w:val="48"/>
          <w:szCs w:val="48"/>
        </w:rPr>
        <w:t>2020</w:t>
      </w:r>
      <w:r>
        <w:rPr>
          <w:rFonts w:hint="eastAsia" w:ascii="方正小标宋简体" w:hAnsi="宋体" w:eastAsia="方正小标宋简体"/>
          <w:color w:val="000000"/>
          <w:sz w:val="48"/>
          <w:szCs w:val="48"/>
        </w:rPr>
        <w:t>年度</w:t>
      </w:r>
      <w:bookmarkEnd w:id="2"/>
      <w:bookmarkEnd w:id="3"/>
      <w:bookmarkEnd w:id="4"/>
      <w:bookmarkEnd w:id="5"/>
      <w:bookmarkEnd w:id="6"/>
      <w:bookmarkEnd w:id="7"/>
    </w:p>
    <w:bookmarkEnd w:id="1"/>
    <w:p>
      <w:pPr>
        <w:adjustRightInd w:val="0"/>
        <w:snapToGrid w:val="0"/>
        <w:spacing w:line="360" w:lineRule="auto"/>
        <w:jc w:val="center"/>
        <w:outlineLvl w:val="0"/>
        <w:rPr>
          <w:rFonts w:ascii="方正小标宋简体" w:hAnsi="宋体" w:eastAsia="方正小标宋简体"/>
          <w:color w:val="000000"/>
          <w:sz w:val="48"/>
          <w:szCs w:val="48"/>
        </w:rPr>
      </w:pPr>
      <w:bookmarkStart w:id="8" w:name="_Toc15377426"/>
      <w:bookmarkStart w:id="9" w:name="_Toc15378442"/>
      <w:bookmarkStart w:id="10" w:name="_Toc15396476"/>
      <w:bookmarkStart w:id="11" w:name="_Toc15396598"/>
      <w:bookmarkStart w:id="12" w:name="_Toc15377194"/>
      <w:bookmarkStart w:id="13" w:name="_Toc15306268"/>
      <w:bookmarkStart w:id="14" w:name="_Toc83802796"/>
      <w:r>
        <w:rPr>
          <w:rFonts w:hint="eastAsia" w:ascii="方正小标宋简体" w:hAnsi="宋体" w:eastAsia="方正小标宋简体"/>
          <w:color w:val="000000"/>
          <w:sz w:val="48"/>
          <w:szCs w:val="48"/>
        </w:rPr>
        <w:t>广元市利州区人民法院部门决算</w:t>
      </w:r>
      <w:bookmarkEnd w:id="8"/>
      <w:bookmarkEnd w:id="9"/>
      <w:bookmarkEnd w:id="10"/>
      <w:bookmarkEnd w:id="11"/>
      <w:bookmarkEnd w:id="12"/>
      <w:bookmarkEnd w:id="13"/>
      <w:bookmarkEnd w:id="14"/>
    </w:p>
    <w:p>
      <w:pPr>
        <w:adjustRightInd w:val="0"/>
        <w:snapToGrid w:val="0"/>
        <w:spacing w:line="360" w:lineRule="auto"/>
        <w:jc w:val="center"/>
        <w:outlineLvl w:val="0"/>
        <w:rPr>
          <w:rFonts w:ascii="方正小标宋简体" w:hAnsi="宋体" w:eastAsia="方正小标宋简体"/>
          <w:color w:val="000000"/>
          <w:sz w:val="48"/>
          <w:szCs w:val="48"/>
        </w:rPr>
      </w:pPr>
      <w:bookmarkStart w:id="15" w:name="_Toc83802797"/>
      <w:r>
        <w:rPr>
          <w:rFonts w:hint="eastAsia" w:ascii="方正小标宋简体" w:hAnsi="宋体" w:eastAsia="方正小标宋简体"/>
          <w:color w:val="000000"/>
          <w:sz w:val="48"/>
          <w:szCs w:val="48"/>
        </w:rPr>
        <w:t>（公开）</w:t>
      </w:r>
      <w:bookmarkEnd w:id="15"/>
    </w:p>
    <w:p>
      <w:pPr>
        <w:adjustRightInd w:val="0"/>
        <w:snapToGrid w:val="0"/>
        <w:spacing w:line="360" w:lineRule="auto"/>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2021</w:t>
      </w:r>
      <w:r>
        <w:rPr>
          <w:rFonts w:hint="eastAsia"/>
        </w:rPr>
        <w:t>年9 月29 日</w:t>
      </w:r>
    </w:p>
    <w:sdt>
      <w:sdtPr>
        <w:rPr>
          <w:rFonts w:ascii="Times New Roman" w:hAnsi="Times New Roman" w:eastAsia="宋体"/>
          <w:sz w:val="21"/>
          <w:szCs w:val="24"/>
          <w:lang w:val="zh-CN"/>
        </w:rPr>
        <w:id w:val="-1611501556"/>
        <w:docPartObj>
          <w:docPartGallery w:val="Table of Contents"/>
          <w:docPartUnique/>
        </w:docPartObj>
      </w:sdtPr>
      <w:sdtEndPr>
        <w:rPr>
          <w:rFonts w:ascii="Times New Roman" w:hAnsi="Times New Roman" w:eastAsia="宋体"/>
          <w:b/>
          <w:bCs/>
          <w:sz w:val="21"/>
          <w:szCs w:val="24"/>
          <w:lang w:val="zh-CN"/>
        </w:rPr>
      </w:sdtEndPr>
      <w:sdtContent>
        <w:p>
          <w:pPr>
            <w:pStyle w:val="10"/>
            <w:rPr>
              <w:rStyle w:val="16"/>
              <w:color w:val="auto"/>
              <w:u w:val="none"/>
            </w:rPr>
          </w:pPr>
          <w:r>
            <w:fldChar w:fldCharType="begin"/>
          </w:r>
          <w:r>
            <w:instrText xml:space="preserve"> TOC \o "1-3" \h \z \u </w:instrText>
          </w:r>
          <w:r>
            <w:fldChar w:fldCharType="separate"/>
          </w:r>
          <w:r>
            <w:fldChar w:fldCharType="begin"/>
          </w:r>
          <w:r>
            <w:instrText xml:space="preserve"> HYPERLINK \l "_Toc83802807" </w:instrText>
          </w:r>
          <w:r>
            <w:fldChar w:fldCharType="separate"/>
          </w:r>
          <w:r>
            <w:rPr>
              <w:rStyle w:val="16"/>
              <w:rFonts w:hint="eastAsia" w:ascii="黑体" w:hAnsi="黑体" w:eastAsia="黑体"/>
              <w:color w:val="auto"/>
              <w:u w:val="none"/>
            </w:rPr>
            <w:t>第一部分</w:t>
          </w:r>
          <w:r>
            <w:rPr>
              <w:rStyle w:val="16"/>
              <w:rFonts w:ascii="黑体" w:hAnsi="黑体" w:eastAsia="黑体"/>
              <w:color w:val="auto"/>
              <w:u w:val="none"/>
            </w:rPr>
            <w:t xml:space="preserve"> </w:t>
          </w:r>
          <w:r>
            <w:rPr>
              <w:rStyle w:val="16"/>
              <w:rFonts w:hint="eastAsia" w:ascii="黑体" w:hAnsi="黑体" w:eastAsia="黑体"/>
              <w:color w:val="auto"/>
              <w:u w:val="none"/>
            </w:rPr>
            <w:t>部门概况</w:t>
          </w:r>
          <w:r>
            <w:tab/>
          </w:r>
          <w:r>
            <w:t>…………………………………………………</w:t>
          </w:r>
          <w:r>
            <w:rPr>
              <w:rFonts w:hint="eastAsia"/>
            </w:rPr>
            <w:t>4</w:t>
          </w:r>
          <w:r>
            <w:rPr>
              <w:rFonts w:hint="eastAsia"/>
            </w:rPr>
            <w:fldChar w:fldCharType="end"/>
          </w:r>
          <w:r>
            <w:rPr>
              <w:rStyle w:val="16"/>
              <w:rFonts w:hint="eastAsia"/>
              <w:color w:val="auto"/>
              <w:u w:val="none"/>
            </w:rPr>
            <w:t>—5</w:t>
          </w:r>
        </w:p>
        <w:p>
          <w:pPr>
            <w:pStyle w:val="11"/>
            <w:rPr>
              <w:rFonts w:asciiTheme="minorHAnsi" w:hAnsiTheme="minorHAnsi" w:eastAsiaTheme="minorEastAsia" w:cstheme="minorBidi"/>
              <w:szCs w:val="22"/>
            </w:rPr>
          </w:pPr>
          <w:r>
            <w:fldChar w:fldCharType="begin"/>
          </w:r>
          <w:r>
            <w:instrText xml:space="preserve"> HYPERLINK \l "_Toc83802806" </w:instrText>
          </w:r>
          <w:r>
            <w:fldChar w:fldCharType="separate"/>
          </w:r>
          <w:r>
            <w:rPr>
              <w:rStyle w:val="16"/>
              <w:rFonts w:hint="eastAsia" w:ascii="黑体" w:hAnsi="黑体" w:eastAsia="黑体"/>
            </w:rPr>
            <w:t>一、 基本职能及主要工作</w:t>
          </w:r>
          <w:r>
            <w:tab/>
          </w:r>
          <w:r>
            <w:rPr>
              <w:rFonts w:hint="eastAsia"/>
            </w:rPr>
            <w:t>4</w:t>
          </w:r>
          <w:r>
            <w:rPr>
              <w:rFonts w:hint="eastAsia"/>
            </w:rPr>
            <w:fldChar w:fldCharType="end"/>
          </w:r>
        </w:p>
        <w:p>
          <w:pPr>
            <w:pStyle w:val="6"/>
            <w:rPr>
              <w:rFonts w:asciiTheme="minorHAnsi" w:hAnsiTheme="minorHAnsi" w:eastAsiaTheme="minorEastAsia" w:cstheme="minorBidi"/>
              <w:szCs w:val="22"/>
            </w:rPr>
          </w:pPr>
          <w:r>
            <w:fldChar w:fldCharType="begin"/>
          </w:r>
          <w:r>
            <w:instrText xml:space="preserve"> HYPERLINK \l "_Toc83802800" </w:instrText>
          </w:r>
          <w:r>
            <w:fldChar w:fldCharType="separate"/>
          </w:r>
          <w:r>
            <w:rPr>
              <w:rStyle w:val="16"/>
              <w:rFonts w:hint="eastAsia" w:ascii="黑体" w:hAnsi="黑体" w:eastAsia="黑体"/>
              <w:bCs/>
            </w:rPr>
            <w:t>（一）主要职能</w:t>
          </w:r>
          <w:r>
            <w:tab/>
          </w:r>
          <w:r>
            <w:fldChar w:fldCharType="begin"/>
          </w:r>
          <w:r>
            <w:instrText xml:space="preserve"> PAGEREF _Toc83802800 \h </w:instrText>
          </w:r>
          <w:r>
            <w:fldChar w:fldCharType="separate"/>
          </w:r>
          <w:r>
            <w:t>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"_Toc83802801" </w:instrText>
          </w:r>
          <w:r>
            <w:fldChar w:fldCharType="separate"/>
          </w:r>
          <w:r>
            <w:rPr>
              <w:rStyle w:val="16"/>
              <w:rFonts w:hint="eastAsia" w:ascii="黑体" w:hAnsi="黑体" w:eastAsia="黑体"/>
              <w:bCs/>
            </w:rPr>
            <w:t>（二）</w:t>
          </w:r>
          <w:r>
            <w:rPr>
              <w:rStyle w:val="16"/>
              <w:rFonts w:ascii="黑体" w:hAnsi="黑体" w:eastAsia="黑体"/>
              <w:bCs/>
            </w:rPr>
            <w:t>2020</w:t>
          </w:r>
          <w:r>
            <w:rPr>
              <w:rStyle w:val="16"/>
              <w:rFonts w:hint="eastAsia" w:ascii="黑体" w:hAnsi="黑体" w:eastAsia="黑体"/>
              <w:bCs/>
            </w:rPr>
            <w:t>年重点工作完成情况</w:t>
          </w:r>
          <w:r>
            <w:tab/>
          </w:r>
          <w:r>
            <w:fldChar w:fldCharType="begin"/>
          </w:r>
          <w:r>
            <w:instrText xml:space="preserve"> PAGEREF _Toc83802801 \h </w:instrText>
          </w:r>
          <w:r>
            <w:fldChar w:fldCharType="separate"/>
          </w:r>
          <w:r>
            <w:t>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"_Toc83802806" </w:instrText>
          </w:r>
          <w:r>
            <w:fldChar w:fldCharType="separate"/>
          </w:r>
          <w:r>
            <w:rPr>
              <w:rStyle w:val="16"/>
              <w:rFonts w:hint="eastAsia" w:ascii="黑体" w:hAnsi="黑体" w:eastAsia="黑体"/>
            </w:rPr>
            <w:t>二、 机构设置</w:t>
          </w:r>
          <w:r>
            <w:tab/>
          </w:r>
          <w:r>
            <w:fldChar w:fldCharType="begin"/>
          </w:r>
          <w:r>
            <w:instrText xml:space="preserve"> PAGEREF _Toc83802806 \h </w:instrText>
          </w:r>
          <w:r>
            <w:fldChar w:fldCharType="separate"/>
          </w:r>
          <w:r>
            <w:t>5</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"_Toc83802807" </w:instrText>
          </w:r>
          <w:r>
            <w:fldChar w:fldCharType="separate"/>
          </w:r>
          <w:r>
            <w:rPr>
              <w:rStyle w:val="16"/>
              <w:rFonts w:hint="eastAsia" w:ascii="黑体" w:hAnsi="黑体" w:eastAsia="黑体"/>
              <w:color w:val="auto"/>
              <w:u w:val="none"/>
            </w:rPr>
            <w:t>第二部分</w:t>
          </w:r>
          <w:r>
            <w:rPr>
              <w:rStyle w:val="16"/>
              <w:rFonts w:ascii="黑体" w:hAnsi="黑体" w:eastAsia="黑体"/>
              <w:color w:val="auto"/>
              <w:u w:val="none"/>
            </w:rPr>
            <w:t xml:space="preserve"> 2020</w:t>
          </w:r>
          <w:r>
            <w:rPr>
              <w:rStyle w:val="16"/>
              <w:rFonts w:hint="eastAsia" w:ascii="黑体" w:hAnsi="黑体" w:eastAsia="黑体"/>
              <w:color w:val="auto"/>
              <w:u w:val="none"/>
            </w:rPr>
            <w:t>年度部门决算情况说明</w:t>
          </w:r>
          <w:r>
            <w:tab/>
          </w:r>
          <w:r>
            <w:t>…………………………</w:t>
          </w:r>
          <w:r>
            <w:fldChar w:fldCharType="begin"/>
          </w:r>
          <w:r>
            <w:instrText xml:space="preserve"> PAGEREF _Toc83802807 \h </w:instrText>
          </w:r>
          <w:r>
            <w:fldChar w:fldCharType="separate"/>
          </w:r>
          <w:r>
            <w:t>6</w:t>
          </w:r>
          <w:r>
            <w:fldChar w:fldCharType="end"/>
          </w:r>
          <w:r>
            <w:fldChar w:fldCharType="end"/>
          </w:r>
          <w:r>
            <w:rPr>
              <w:rStyle w:val="16"/>
              <w:rFonts w:hint="eastAsia"/>
              <w:color w:val="auto"/>
              <w:u w:val="none"/>
            </w:rPr>
            <w:t>—23</w:t>
          </w:r>
        </w:p>
        <w:p>
          <w:pPr>
            <w:pStyle w:val="11"/>
            <w:rPr>
              <w:rFonts w:asciiTheme="minorHAnsi" w:hAnsiTheme="minorHAnsi" w:eastAsiaTheme="minorEastAsia" w:cstheme="minorBidi"/>
              <w:szCs w:val="22"/>
            </w:rPr>
          </w:pPr>
          <w:r>
            <w:fldChar w:fldCharType="begin"/>
          </w:r>
          <w:r>
            <w:instrText xml:space="preserve"> HYPERLINK \l "_Toc83802808" </w:instrText>
          </w:r>
          <w:r>
            <w:fldChar w:fldCharType="separate"/>
          </w:r>
          <w:r>
            <w:rPr>
              <w:rStyle w:val="16"/>
              <w:rFonts w:hint="eastAsia" w:ascii="黑体" w:hAnsi="黑体" w:eastAsia="黑体"/>
              <w:bCs/>
            </w:rPr>
            <w:t>一、</w:t>
          </w:r>
          <w:r>
            <w:rPr>
              <w:rStyle w:val="16"/>
              <w:rFonts w:hint="eastAsia" w:ascii="黑体" w:hAnsi="黑体" w:eastAsia="黑体"/>
            </w:rPr>
            <w:t>收</w:t>
          </w:r>
          <w:r>
            <w:rPr>
              <w:rStyle w:val="16"/>
              <w:rFonts w:hint="eastAsia" w:ascii="黑体" w:hAnsi="黑体" w:eastAsia="黑体"/>
              <w:bCs/>
            </w:rPr>
            <w:t>入支出决算总体情况说明</w:t>
          </w:r>
          <w:r>
            <w:tab/>
          </w:r>
          <w:r>
            <w:fldChar w:fldCharType="begin"/>
          </w:r>
          <w:r>
            <w:instrText xml:space="preserve"> PAGEREF _Toc83802808 \h </w:instrText>
          </w:r>
          <w:r>
            <w:fldChar w:fldCharType="separate"/>
          </w:r>
          <w:r>
            <w:t>6</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"_Toc83802809" </w:instrText>
          </w:r>
          <w:r>
            <w:fldChar w:fldCharType="separate"/>
          </w:r>
          <w:r>
            <w:rPr>
              <w:rStyle w:val="16"/>
              <w:rFonts w:hint="eastAsia" w:ascii="黑体" w:hAnsi="黑体" w:eastAsia="黑体"/>
              <w:bCs/>
            </w:rPr>
            <w:t>二、</w:t>
          </w:r>
          <w:r>
            <w:rPr>
              <w:rStyle w:val="16"/>
              <w:rFonts w:hint="eastAsia" w:ascii="黑体" w:hAnsi="黑体" w:eastAsia="黑体"/>
            </w:rPr>
            <w:t>收</w:t>
          </w:r>
          <w:r>
            <w:rPr>
              <w:rStyle w:val="16"/>
              <w:rFonts w:hint="eastAsia" w:ascii="黑体" w:hAnsi="黑体" w:eastAsia="黑体"/>
              <w:bCs/>
            </w:rPr>
            <w:t>入决算情况说明</w:t>
          </w:r>
          <w:r>
            <w:tab/>
          </w:r>
          <w:r>
            <w:fldChar w:fldCharType="begin"/>
          </w:r>
          <w:r>
            <w:instrText xml:space="preserve"> PAGEREF _Toc83802809 \h </w:instrText>
          </w:r>
          <w:r>
            <w:fldChar w:fldCharType="separate"/>
          </w:r>
          <w:r>
            <w:t>6</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"_Toc83802811" </w:instrText>
          </w:r>
          <w:r>
            <w:fldChar w:fldCharType="separate"/>
          </w:r>
          <w:r>
            <w:rPr>
              <w:rStyle w:val="16"/>
              <w:rFonts w:hint="eastAsia" w:ascii="黑体" w:hAnsi="黑体" w:eastAsia="黑体"/>
              <w:b/>
              <w:bCs/>
            </w:rPr>
            <w:t>三、支</w:t>
          </w:r>
          <w:r>
            <w:rPr>
              <w:rStyle w:val="16"/>
              <w:rFonts w:hint="eastAsia" w:ascii="黑体" w:hAnsi="黑体" w:eastAsia="黑体"/>
              <w:bCs/>
            </w:rPr>
            <w:t>出决算情况说明</w:t>
          </w:r>
          <w:r>
            <w:tab/>
          </w:r>
          <w:r>
            <w:fldChar w:fldCharType="begin"/>
          </w:r>
          <w:r>
            <w:instrText xml:space="preserve"> PAGEREF _Toc83802811 \h </w:instrText>
          </w:r>
          <w:r>
            <w:fldChar w:fldCharType="separate"/>
          </w:r>
          <w:r>
            <w:t>7</w:t>
          </w:r>
          <w:r>
            <w:fldChar w:fldCharType="end"/>
          </w:r>
          <w:r>
            <w:fldChar w:fldCharType="end"/>
          </w:r>
        </w:p>
        <w:p>
          <w:pPr>
            <w:pStyle w:val="11"/>
            <w:rPr>
              <w:rStyle w:val="16"/>
              <w:rFonts w:ascii="黑体" w:hAnsi="黑体" w:eastAsia="黑体"/>
              <w:bCs/>
              <w:color w:val="auto"/>
              <w:u w:val="none"/>
            </w:rPr>
          </w:pPr>
          <w:r>
            <w:rPr>
              <w:rStyle w:val="16"/>
              <w:rFonts w:ascii="黑体" w:hAnsi="黑体" w:eastAsia="黑体"/>
              <w:bCs/>
              <w:color w:val="auto"/>
              <w:u w:val="none"/>
            </w:rPr>
            <w:t>四、财政拨款收入支出决算总体情况说明</w:t>
          </w:r>
          <w:r>
            <w:rPr>
              <w:rStyle w:val="16"/>
              <w:rFonts w:ascii="黑体" w:hAnsi="黑体" w:eastAsia="黑体"/>
              <w:bCs/>
              <w:color w:val="auto"/>
              <w:u w:val="none"/>
            </w:rPr>
            <w:tab/>
          </w:r>
          <w:r>
            <w:rPr>
              <w:rStyle w:val="16"/>
              <w:rFonts w:hint="eastAsia" w:ascii="黑体" w:hAnsi="黑体" w:eastAsia="黑体"/>
              <w:bCs/>
              <w:color w:val="auto"/>
              <w:u w:val="none"/>
            </w:rPr>
            <w:t>7</w:t>
          </w:r>
        </w:p>
        <w:p>
          <w:pPr>
            <w:pStyle w:val="11"/>
            <w:rPr>
              <w:rFonts w:asciiTheme="minorHAnsi" w:hAnsiTheme="minorHAnsi" w:eastAsiaTheme="minorEastAsia" w:cstheme="minorBidi"/>
              <w:szCs w:val="22"/>
            </w:rPr>
          </w:pPr>
          <w:r>
            <w:fldChar w:fldCharType="begin"/>
          </w:r>
          <w:r>
            <w:instrText xml:space="preserve"> HYPERLINK \l "_Toc83802813" </w:instrText>
          </w:r>
          <w:r>
            <w:fldChar w:fldCharType="separate"/>
          </w:r>
          <w:r>
            <w:rPr>
              <w:rStyle w:val="16"/>
              <w:rFonts w:hint="eastAsia" w:ascii="黑体" w:hAnsi="黑体" w:eastAsia="黑体"/>
            </w:rPr>
            <w:t>五、</w:t>
          </w:r>
          <w:r>
            <w:rPr>
              <w:rStyle w:val="16"/>
              <w:rFonts w:hint="eastAsia" w:ascii="黑体" w:hAnsi="黑体" w:eastAsia="黑体"/>
              <w:b/>
            </w:rPr>
            <w:t>一</w:t>
          </w:r>
          <w:r>
            <w:rPr>
              <w:rStyle w:val="16"/>
              <w:rFonts w:hint="eastAsia" w:ascii="黑体" w:hAnsi="黑体" w:eastAsia="黑体"/>
              <w:bCs/>
            </w:rPr>
            <w:t>般公共预算财政拨款支出决算情况说明</w:t>
          </w:r>
          <w:r>
            <w:tab/>
          </w:r>
          <w:r>
            <w:fldChar w:fldCharType="begin"/>
          </w:r>
          <w:r>
            <w:instrText xml:space="preserve"> PAGEREF _Toc83802813 \h </w:instrText>
          </w:r>
          <w:r>
            <w:fldChar w:fldCharType="separate"/>
          </w:r>
          <w:r>
            <w:t>8</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"_Toc83802814" </w:instrText>
          </w:r>
          <w:r>
            <w:fldChar w:fldCharType="separate"/>
          </w:r>
          <w:r>
            <w:rPr>
              <w:rStyle w:val="16"/>
              <w:rFonts w:hint="eastAsia" w:ascii="仿宋" w:hAnsi="仿宋" w:eastAsia="仿宋"/>
              <w:b/>
            </w:rPr>
            <w:t>（一）一般公共预算财政拨款支出决算总体情况</w:t>
          </w:r>
          <w:r>
            <w:tab/>
          </w:r>
          <w:r>
            <w:fldChar w:fldCharType="begin"/>
          </w:r>
          <w:r>
            <w:instrText xml:space="preserve"> PAGEREF _Toc83802814 \h </w:instrText>
          </w:r>
          <w:r>
            <w:fldChar w:fldCharType="separate"/>
          </w:r>
          <w:r>
            <w:t>9</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"_Toc83802815" </w:instrText>
          </w:r>
          <w:r>
            <w:fldChar w:fldCharType="separate"/>
          </w:r>
          <w:r>
            <w:rPr>
              <w:rStyle w:val="16"/>
              <w:rFonts w:hint="eastAsia" w:ascii="仿宋" w:hAnsi="仿宋" w:eastAsia="仿宋"/>
              <w:b/>
            </w:rPr>
            <w:t>（二）一般公共预算财政拨款支出决算结构情况</w:t>
          </w:r>
          <w:r>
            <w:tab/>
          </w:r>
          <w:r>
            <w:fldChar w:fldCharType="begin"/>
          </w:r>
          <w:r>
            <w:instrText xml:space="preserve"> PAGEREF _Toc83802815 \h </w:instrText>
          </w:r>
          <w:r>
            <w:fldChar w:fldCharType="separate"/>
          </w:r>
          <w:r>
            <w:t>10</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"_Toc83802816" </w:instrText>
          </w:r>
          <w:r>
            <w:fldChar w:fldCharType="separate"/>
          </w:r>
          <w:r>
            <w:rPr>
              <w:rStyle w:val="16"/>
              <w:rFonts w:hint="eastAsia" w:ascii="仿宋" w:hAnsi="仿宋" w:eastAsia="仿宋"/>
              <w:b/>
            </w:rPr>
            <w:t>（三）一般公共预算财政拨款支出决算具体情况</w:t>
          </w:r>
          <w:r>
            <w:tab/>
          </w:r>
          <w:r>
            <w:fldChar w:fldCharType="begin"/>
          </w:r>
          <w:r>
            <w:instrText xml:space="preserve"> PAGEREF _Toc83802816 \h </w:instrText>
          </w:r>
          <w:r>
            <w:fldChar w:fldCharType="separate"/>
          </w:r>
          <w:r>
            <w:t>10</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"_Toc83802818" </w:instrText>
          </w:r>
          <w:r>
            <w:fldChar w:fldCharType="separate"/>
          </w:r>
          <w:r>
            <w:rPr>
              <w:rStyle w:val="16"/>
              <w:rFonts w:hint="eastAsia" w:ascii="黑体" w:eastAsia="黑体"/>
            </w:rPr>
            <w:t>六</w:t>
          </w:r>
          <w:r>
            <w:rPr>
              <w:rStyle w:val="16"/>
              <w:rFonts w:hint="eastAsia" w:ascii="黑体" w:eastAsia="黑体"/>
              <w:b/>
            </w:rPr>
            <w:t>、</w:t>
          </w:r>
          <w:r>
            <w:rPr>
              <w:rStyle w:val="16"/>
              <w:rFonts w:hint="eastAsia" w:ascii="黑体" w:hAnsi="黑体" w:eastAsia="黑体"/>
              <w:b/>
            </w:rPr>
            <w:t>一</w:t>
          </w:r>
          <w:r>
            <w:rPr>
              <w:rStyle w:val="16"/>
              <w:rFonts w:hint="eastAsia" w:ascii="黑体" w:hAnsi="黑体" w:eastAsia="黑体"/>
              <w:bCs/>
            </w:rPr>
            <w:t>般公共预算财政拨款基本支出决算情况说明</w:t>
          </w:r>
          <w:r>
            <w:tab/>
          </w:r>
          <w:r>
            <w:fldChar w:fldCharType="begin"/>
          </w:r>
          <w:r>
            <w:instrText xml:space="preserve"> PAGEREF _Toc83802818 \h </w:instrText>
          </w:r>
          <w:r>
            <w:fldChar w:fldCharType="separate"/>
          </w:r>
          <w:r>
            <w:t>11</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"_Toc83802819" </w:instrText>
          </w:r>
          <w:r>
            <w:fldChar w:fldCharType="separate"/>
          </w:r>
          <w:r>
            <w:rPr>
              <w:rStyle w:val="16"/>
              <w:rFonts w:hint="eastAsia" w:ascii="黑体" w:eastAsia="黑体"/>
            </w:rPr>
            <w:t>七、</w:t>
          </w:r>
          <w:r>
            <w:rPr>
              <w:rStyle w:val="16"/>
              <w:rFonts w:ascii="黑体" w:hAnsi="黑体" w:eastAsia="黑体"/>
              <w:b/>
              <w:bCs/>
            </w:rPr>
            <w:t>“</w:t>
          </w:r>
          <w:r>
            <w:rPr>
              <w:rStyle w:val="16"/>
              <w:rFonts w:hint="eastAsia" w:ascii="黑体" w:hAnsi="黑体" w:eastAsia="黑体"/>
              <w:bCs/>
            </w:rPr>
            <w:t>三公”经费财政拨款支出决算情况说明</w:t>
          </w:r>
          <w:r>
            <w:tab/>
          </w:r>
          <w:r>
            <w:fldChar w:fldCharType="begin"/>
          </w:r>
          <w:r>
            <w:instrText xml:space="preserve"> PAGEREF _Toc83802819 \h </w:instrText>
          </w:r>
          <w:r>
            <w:fldChar w:fldCharType="separate"/>
          </w:r>
          <w:r>
            <w:t>12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"_Toc83802820" </w:instrText>
          </w:r>
          <w:r>
            <w:fldChar w:fldCharType="separate"/>
          </w:r>
          <w:r>
            <w:rPr>
              <w:rStyle w:val="16"/>
              <w:rFonts w:hint="eastAsia" w:ascii="仿宋" w:hAnsi="仿宋" w:eastAsia="仿宋"/>
              <w:b/>
            </w:rPr>
            <w:t>（一）“三公”经费财政拨款支出决算总体情况说明</w:t>
          </w:r>
          <w:r>
            <w:tab/>
          </w:r>
          <w:r>
            <w:fldChar w:fldCharType="begin"/>
          </w:r>
          <w:r>
            <w:instrText xml:space="preserve"> PAGEREF _Toc83802820 \h </w:instrText>
          </w:r>
          <w:r>
            <w:fldChar w:fldCharType="separate"/>
          </w:r>
          <w:r>
            <w:t>12</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"_Toc83802821" </w:instrText>
          </w:r>
          <w:r>
            <w:fldChar w:fldCharType="separate"/>
          </w:r>
          <w:r>
            <w:rPr>
              <w:rStyle w:val="16"/>
              <w:rFonts w:hint="eastAsia" w:ascii="仿宋" w:hAnsi="仿宋" w:eastAsia="仿宋"/>
              <w:b/>
            </w:rPr>
            <w:t>（二）“三公”经费财政拨款支出决算具体情况说明</w:t>
          </w:r>
          <w:r>
            <w:tab/>
          </w:r>
          <w:r>
            <w:fldChar w:fldCharType="begin"/>
          </w:r>
          <w:r>
            <w:instrText xml:space="preserve"> PAGEREF _Toc83802821 \h </w:instrText>
          </w:r>
          <w:r>
            <w:fldChar w:fldCharType="separate"/>
          </w:r>
          <w:r>
            <w:t>13</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"_Toc83802822" </w:instrText>
          </w:r>
          <w:r>
            <w:fldChar w:fldCharType="separate"/>
          </w:r>
          <w:r>
            <w:rPr>
              <w:rStyle w:val="16"/>
              <w:rFonts w:hint="eastAsia" w:ascii="黑体" w:eastAsia="黑体"/>
            </w:rPr>
            <w:t>八、</w:t>
          </w:r>
          <w:r>
            <w:rPr>
              <w:rStyle w:val="16"/>
              <w:rFonts w:hint="eastAsia" w:ascii="黑体" w:hAnsi="黑体" w:eastAsia="黑体"/>
              <w:bCs/>
            </w:rPr>
            <w:t>政府性基金预算支出决算情况说明</w:t>
          </w:r>
          <w:r>
            <w:tab/>
          </w:r>
          <w:r>
            <w:fldChar w:fldCharType="begin"/>
          </w:r>
          <w:r>
            <w:instrText xml:space="preserve"> PAGEREF _Toc83802822 \h </w:instrText>
          </w:r>
          <w:r>
            <w:fldChar w:fldCharType="separate"/>
          </w:r>
          <w:r>
            <w:t>14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"_Toc83802823" </w:instrText>
          </w:r>
          <w:r>
            <w:fldChar w:fldCharType="separate"/>
          </w:r>
          <w:r>
            <w:rPr>
              <w:rStyle w:val="16"/>
              <w:rFonts w:hint="eastAsia" w:ascii="黑体" w:hAnsi="黑体" w:eastAsia="黑体"/>
              <w:bCs/>
            </w:rPr>
            <w:t>九、 国有资本经营预算支出决算情况说明</w:t>
          </w:r>
          <w:r>
            <w:tab/>
          </w:r>
          <w:r>
            <w:fldChar w:fldCharType="begin"/>
          </w:r>
          <w:r>
            <w:instrText xml:space="preserve"> PAGEREF _Toc83802823 \h </w:instrText>
          </w:r>
          <w:r>
            <w:fldChar w:fldCharType="separate"/>
          </w:r>
          <w:r>
            <w:t>14</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"_Toc83802824" </w:instrText>
          </w:r>
          <w:r>
            <w:fldChar w:fldCharType="separate"/>
          </w:r>
          <w:r>
            <w:rPr>
              <w:rStyle w:val="16"/>
              <w:rFonts w:hint="eastAsia" w:ascii="黑体" w:hAnsi="黑体" w:eastAsia="黑体"/>
              <w:bCs/>
            </w:rPr>
            <w:t>十、 其他重要事项的情况说明</w:t>
          </w:r>
          <w:r>
            <w:tab/>
          </w:r>
          <w:r>
            <w:fldChar w:fldCharType="begin"/>
          </w:r>
          <w:r>
            <w:instrText xml:space="preserve"> PAGEREF _Toc83802824 \h </w:instrText>
          </w:r>
          <w:r>
            <w:fldChar w:fldCharType="separate"/>
          </w:r>
          <w:r>
            <w:t>14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"_Toc83802825" </w:instrText>
          </w:r>
          <w:r>
            <w:fldChar w:fldCharType="separate"/>
          </w:r>
          <w:r>
            <w:rPr>
              <w:rStyle w:val="16"/>
              <w:rFonts w:hint="eastAsia" w:ascii="仿宋" w:hAnsi="仿宋" w:eastAsia="仿宋"/>
              <w:b/>
            </w:rPr>
            <w:t>（一）机关运行经费支出情况</w:t>
          </w:r>
          <w:r>
            <w:tab/>
          </w:r>
          <w:r>
            <w:fldChar w:fldCharType="begin"/>
          </w:r>
          <w:r>
            <w:instrText xml:space="preserve"> PAGEREF _Toc83802825 \h </w:instrText>
          </w:r>
          <w:r>
            <w:fldChar w:fldCharType="separate"/>
          </w:r>
          <w:r>
            <w:t>14</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"_Toc83802826" </w:instrText>
          </w:r>
          <w:r>
            <w:fldChar w:fldCharType="separate"/>
          </w:r>
          <w:r>
            <w:rPr>
              <w:rStyle w:val="16"/>
              <w:rFonts w:hint="eastAsia" w:ascii="仿宋" w:hAnsi="仿宋" w:eastAsia="仿宋"/>
              <w:b/>
            </w:rPr>
            <w:t>（二）政府采购支出情况</w:t>
          </w:r>
          <w:r>
            <w:tab/>
          </w:r>
          <w:r>
            <w:fldChar w:fldCharType="begin"/>
          </w:r>
          <w:r>
            <w:instrText xml:space="preserve"> PAGEREF _Toc83802826 \h </w:instrText>
          </w:r>
          <w:r>
            <w:fldChar w:fldCharType="separate"/>
          </w:r>
          <w:r>
            <w:t>15</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"_Toc83802827" </w:instrText>
          </w:r>
          <w:r>
            <w:fldChar w:fldCharType="separate"/>
          </w:r>
          <w:r>
            <w:rPr>
              <w:rStyle w:val="16"/>
              <w:rFonts w:hint="eastAsia" w:ascii="仿宋" w:hAnsi="仿宋" w:eastAsia="仿宋"/>
              <w:b/>
            </w:rPr>
            <w:t>（三）国有资产占有使用情况</w:t>
          </w:r>
          <w:r>
            <w:tab/>
          </w:r>
          <w:r>
            <w:fldChar w:fldCharType="begin"/>
          </w:r>
          <w:r>
            <w:instrText xml:space="preserve"> PAGEREF _Toc83802827 \h </w:instrText>
          </w:r>
          <w:r>
            <w:fldChar w:fldCharType="separate"/>
          </w:r>
          <w:r>
            <w:t>15</w:t>
          </w:r>
          <w:r>
            <w:fldChar w:fldCharType="end"/>
          </w:r>
          <w:r>
            <w:fldChar w:fldCharType="end"/>
          </w:r>
        </w:p>
        <w:p>
          <w:pPr>
            <w:pStyle w:val="6"/>
            <w:rPr>
              <w:rFonts w:asciiTheme="minorHAnsi" w:hAnsiTheme="minorHAnsi" w:eastAsiaTheme="minorEastAsia" w:cstheme="minorBidi"/>
              <w:szCs w:val="22"/>
            </w:rPr>
          </w:pPr>
          <w:r>
            <w:fldChar w:fldCharType="begin"/>
          </w:r>
          <w:r>
            <w:instrText xml:space="preserve"> HYPERLINK \l "_Toc83802828" </w:instrText>
          </w:r>
          <w:r>
            <w:fldChar w:fldCharType="separate"/>
          </w:r>
          <w:r>
            <w:rPr>
              <w:rStyle w:val="16"/>
              <w:rFonts w:hint="eastAsia" w:ascii="仿宋" w:hAnsi="仿宋" w:eastAsia="仿宋"/>
              <w:b/>
            </w:rPr>
            <w:t>（四）预算绩效管理情况。</w:t>
          </w:r>
          <w:r>
            <w:tab/>
          </w:r>
          <w:r>
            <w:fldChar w:fldCharType="begin"/>
          </w:r>
          <w:r>
            <w:instrText xml:space="preserve"> PAGEREF _Toc83802828 \h </w:instrText>
          </w:r>
          <w:r>
            <w:fldChar w:fldCharType="separate"/>
          </w:r>
          <w:r>
            <w:t>15</w:t>
          </w:r>
          <w:r>
            <w:fldChar w:fldCharType="end"/>
          </w:r>
          <w:r>
            <w:fldChar w:fldCharType="end"/>
          </w:r>
        </w:p>
        <w:p>
          <w:pPr>
            <w:pStyle w:val="10"/>
            <w:rPr>
              <w:rFonts w:asciiTheme="minorHAnsi" w:hAnsiTheme="minorHAnsi" w:eastAsiaTheme="minorEastAsia" w:cstheme="minorBidi"/>
              <w:sz w:val="21"/>
              <w:szCs w:val="22"/>
            </w:rPr>
          </w:pPr>
          <w:r>
            <w:fldChar w:fldCharType="begin"/>
          </w:r>
          <w:r>
            <w:instrText xml:space="preserve"> HYPERLINK \l "_Toc83802829" </w:instrText>
          </w:r>
          <w:r>
            <w:fldChar w:fldCharType="separate"/>
          </w:r>
          <w:r>
            <w:rPr>
              <w:rStyle w:val="16"/>
              <w:rFonts w:hint="eastAsia" w:ascii="黑体" w:hAnsi="黑体" w:eastAsia="黑体"/>
              <w:bCs/>
              <w:color w:val="auto"/>
              <w:kern w:val="44"/>
              <w:u w:val="none"/>
            </w:rPr>
            <w:t>第三部分</w:t>
          </w:r>
          <w:r>
            <w:rPr>
              <w:rStyle w:val="16"/>
              <w:rFonts w:hint="eastAsia" w:ascii="黑体" w:hAnsi="黑体" w:eastAsia="黑体"/>
              <w:color w:val="auto"/>
              <w:u w:val="none"/>
            </w:rPr>
            <w:t xml:space="preserve"> 名</w:t>
          </w:r>
          <w:r>
            <w:rPr>
              <w:rStyle w:val="16"/>
              <w:rFonts w:hint="eastAsia" w:ascii="黑体" w:hAnsi="黑体" w:eastAsia="黑体"/>
              <w:bCs/>
              <w:color w:val="auto"/>
              <w:kern w:val="44"/>
              <w:u w:val="none"/>
            </w:rPr>
            <w:t>词解释</w:t>
          </w:r>
          <w:r>
            <w:tab/>
          </w:r>
          <w:r>
            <w:fldChar w:fldCharType="begin"/>
          </w:r>
          <w:r>
            <w:instrText xml:space="preserve"> PAGEREF _Toc83802829 \h </w:instrText>
          </w:r>
          <w:r>
            <w:fldChar w:fldCharType="separate"/>
          </w:r>
          <w:r>
            <w:t>24</w:t>
          </w:r>
          <w:r>
            <w:fldChar w:fldCharType="end"/>
          </w:r>
          <w:r>
            <w:fldChar w:fldCharType="end"/>
          </w:r>
          <w:r>
            <w:rPr>
              <w:rStyle w:val="16"/>
              <w:rFonts w:hint="eastAsia"/>
              <w:color w:val="auto"/>
              <w:u w:val="none"/>
            </w:rPr>
            <w:t>—25</w:t>
          </w:r>
        </w:p>
        <w:p>
          <w:pPr>
            <w:pStyle w:val="10"/>
            <w:rPr>
              <w:rStyle w:val="16"/>
              <w:rFonts w:ascii="黑体" w:hAnsi="黑体" w:eastAsia="黑体"/>
              <w:bCs/>
              <w:color w:val="auto"/>
              <w:kern w:val="44"/>
              <w:u w:val="none"/>
            </w:rPr>
          </w:pPr>
          <w:r>
            <w:fldChar w:fldCharType="begin"/>
          </w:r>
          <w:r>
            <w:instrText xml:space="preserve"> HYPERLINK \l "_Toc83802842" </w:instrText>
          </w:r>
          <w:r>
            <w:fldChar w:fldCharType="separate"/>
          </w:r>
          <w:r>
            <w:rPr>
              <w:rStyle w:val="16"/>
              <w:rFonts w:hint="eastAsia" w:ascii="黑体" w:hAnsi="黑体" w:eastAsia="黑体"/>
              <w:bCs/>
              <w:color w:val="auto"/>
              <w:kern w:val="44"/>
              <w:u w:val="none"/>
            </w:rPr>
            <w:t>第四部分 附件</w:t>
          </w:r>
          <w:r>
            <w:rPr>
              <w:rStyle w:val="16"/>
              <w:rFonts w:ascii="黑体" w:hAnsi="黑体" w:eastAsia="黑体"/>
              <w:bCs/>
              <w:color w:val="auto"/>
              <w:kern w:val="44"/>
              <w:u w:val="none"/>
            </w:rPr>
            <w:tab/>
          </w:r>
          <w:r>
            <w:rPr>
              <w:rStyle w:val="16"/>
              <w:rFonts w:hint="eastAsia" w:ascii="黑体" w:hAnsi="黑体" w:eastAsia="黑体"/>
              <w:bCs/>
              <w:color w:val="auto"/>
              <w:kern w:val="44"/>
              <w:u w:val="none"/>
            </w:rPr>
            <w:t>26—46</w:t>
          </w:r>
          <w:r>
            <w:rPr>
              <w:rStyle w:val="16"/>
              <w:rFonts w:hint="eastAsia" w:ascii="黑体" w:hAnsi="黑体" w:eastAsia="黑体"/>
              <w:bCs/>
              <w:color w:val="auto"/>
              <w:kern w:val="44"/>
              <w:u w:val="none"/>
            </w:rPr>
            <w:fldChar w:fldCharType="end"/>
          </w:r>
        </w:p>
        <w:p>
          <w:pPr>
            <w:pStyle w:val="10"/>
            <w:rPr>
              <w:rStyle w:val="16"/>
              <w:rFonts w:ascii="黑体" w:hAnsi="黑体" w:eastAsia="黑体"/>
              <w:bCs/>
              <w:color w:val="auto"/>
              <w:kern w:val="44"/>
              <w:u w:val="none"/>
            </w:rPr>
          </w:pPr>
          <w:r>
            <w:fldChar w:fldCharType="begin"/>
          </w:r>
          <w:r>
            <w:instrText xml:space="preserve"> HYPERLINK \l "_Toc83802843" </w:instrText>
          </w:r>
          <w:r>
            <w:fldChar w:fldCharType="separate"/>
          </w:r>
          <w:r>
            <w:rPr>
              <w:rStyle w:val="16"/>
              <w:rFonts w:hint="eastAsia" w:ascii="黑体" w:hAnsi="黑体" w:eastAsia="黑体"/>
              <w:bCs/>
              <w:color w:val="auto"/>
              <w:kern w:val="44"/>
              <w:u w:val="none"/>
            </w:rPr>
            <w:t>第五部分 附表</w:t>
          </w:r>
          <w:r>
            <w:rPr>
              <w:rStyle w:val="16"/>
              <w:rFonts w:ascii="黑体" w:hAnsi="黑体" w:eastAsia="黑体"/>
              <w:bCs/>
              <w:color w:val="auto"/>
              <w:kern w:val="44"/>
              <w:u w:val="none"/>
            </w:rPr>
            <w:tab/>
          </w:r>
          <w:r>
            <w:rPr>
              <w:rStyle w:val="16"/>
              <w:rFonts w:ascii="黑体" w:hAnsi="黑体" w:eastAsia="黑体"/>
              <w:bCs/>
              <w:color w:val="auto"/>
              <w:kern w:val="44"/>
              <w:u w:val="none"/>
            </w:rPr>
            <w:fldChar w:fldCharType="begin"/>
          </w:r>
          <w:r>
            <w:rPr>
              <w:rStyle w:val="16"/>
              <w:rFonts w:ascii="黑体" w:hAnsi="黑体" w:eastAsia="黑体"/>
              <w:bCs/>
              <w:color w:val="auto"/>
              <w:kern w:val="44"/>
              <w:u w:val="none"/>
            </w:rPr>
            <w:instrText xml:space="preserve"> PAGEREF _Toc83802843 \h </w:instrText>
          </w:r>
          <w:r>
            <w:rPr>
              <w:rStyle w:val="16"/>
              <w:rFonts w:ascii="黑体" w:hAnsi="黑体" w:eastAsia="黑体"/>
              <w:bCs/>
              <w:color w:val="auto"/>
              <w:kern w:val="44"/>
              <w:u w:val="none"/>
            </w:rPr>
            <w:fldChar w:fldCharType="separate"/>
          </w:r>
          <w:r>
            <w:rPr>
              <w:rStyle w:val="16"/>
              <w:rFonts w:ascii="黑体" w:hAnsi="黑体" w:eastAsia="黑体"/>
              <w:bCs/>
              <w:color w:val="auto"/>
              <w:kern w:val="44"/>
              <w:u w:val="none"/>
            </w:rPr>
            <w:t>4</w:t>
          </w:r>
          <w:r>
            <w:rPr>
              <w:rStyle w:val="16"/>
              <w:rFonts w:hint="eastAsia" w:ascii="黑体" w:hAnsi="黑体" w:eastAsia="黑体"/>
              <w:bCs/>
              <w:color w:val="auto"/>
              <w:kern w:val="44"/>
              <w:u w:val="none"/>
            </w:rPr>
            <w:t>7</w:t>
          </w:r>
          <w:r>
            <w:rPr>
              <w:rStyle w:val="16"/>
              <w:rFonts w:ascii="黑体" w:hAnsi="黑体" w:eastAsia="黑体"/>
              <w:bCs/>
              <w:color w:val="auto"/>
              <w:kern w:val="44"/>
              <w:u w:val="none"/>
            </w:rPr>
            <w:fldChar w:fldCharType="end"/>
          </w:r>
          <w:r>
            <w:rPr>
              <w:rStyle w:val="16"/>
              <w:rFonts w:ascii="黑体" w:hAnsi="黑体" w:eastAsia="黑体"/>
              <w:bCs/>
              <w:color w:val="auto"/>
              <w:kern w:val="44"/>
              <w:u w:val="none"/>
            </w:rPr>
            <w:fldChar w:fldCharType="end"/>
          </w:r>
        </w:p>
        <w:p>
          <w:pPr>
            <w:pStyle w:val="11"/>
            <w:rPr>
              <w:rFonts w:asciiTheme="minorHAnsi" w:hAnsiTheme="minorHAnsi" w:eastAsiaTheme="minorEastAsia" w:cstheme="minorBidi"/>
              <w:szCs w:val="22"/>
            </w:rPr>
          </w:pPr>
          <w:r>
            <w:fldChar w:fldCharType="begin"/>
          </w:r>
          <w:r>
            <w:instrText xml:space="preserve"> HYPERLINK \l "_Toc83802844" </w:instrText>
          </w:r>
          <w:r>
            <w:fldChar w:fldCharType="separate"/>
          </w:r>
          <w:r>
            <w:rPr>
              <w:rStyle w:val="16"/>
              <w:rFonts w:hint="eastAsia" w:ascii="仿宋" w:hAnsi="仿宋" w:eastAsia="仿宋"/>
            </w:rPr>
            <w:t>一、收入支出决算总表</w:t>
          </w:r>
          <w:r>
            <w:tab/>
          </w:r>
          <w:r>
            <w:fldChar w:fldCharType="begin"/>
          </w:r>
          <w:r>
            <w:instrText xml:space="preserve"> PAGEREF _Toc83802844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"_Toc83802845" </w:instrText>
          </w:r>
          <w:r>
            <w:fldChar w:fldCharType="separate"/>
          </w:r>
          <w:r>
            <w:rPr>
              <w:rStyle w:val="16"/>
              <w:rFonts w:hint="eastAsia" w:ascii="仿宋" w:hAnsi="仿宋" w:eastAsia="仿宋"/>
            </w:rPr>
            <w:t>二、收入决算表</w:t>
          </w:r>
          <w:r>
            <w:tab/>
          </w:r>
          <w:r>
            <w:fldChar w:fldCharType="begin"/>
          </w:r>
          <w:r>
            <w:instrText xml:space="preserve"> PAGEREF _Toc83802845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"_Toc83802846" </w:instrText>
          </w:r>
          <w:r>
            <w:fldChar w:fldCharType="separate"/>
          </w:r>
          <w:r>
            <w:rPr>
              <w:rStyle w:val="16"/>
              <w:rFonts w:hint="eastAsia" w:ascii="仿宋" w:hAnsi="仿宋" w:eastAsia="仿宋"/>
            </w:rPr>
            <w:t>三、支出决算表</w:t>
          </w:r>
          <w:r>
            <w:tab/>
          </w:r>
          <w:r>
            <w:fldChar w:fldCharType="begin"/>
          </w:r>
          <w:r>
            <w:instrText xml:space="preserve"> PAGEREF _Toc83802846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"_Toc83802847" </w:instrText>
          </w:r>
          <w:r>
            <w:fldChar w:fldCharType="separate"/>
          </w:r>
          <w:r>
            <w:rPr>
              <w:rStyle w:val="16"/>
              <w:rFonts w:hint="eastAsia" w:ascii="仿宋" w:hAnsi="仿宋" w:eastAsia="仿宋"/>
            </w:rPr>
            <w:t>四、财政拨款收入支出决算总表</w:t>
          </w:r>
          <w:r>
            <w:tab/>
          </w:r>
          <w:r>
            <w:fldChar w:fldCharType="begin"/>
          </w:r>
          <w:r>
            <w:instrText xml:space="preserve"> PAGEREF _Toc83802847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"_Toc83802848" </w:instrText>
          </w:r>
          <w:r>
            <w:fldChar w:fldCharType="separate"/>
          </w:r>
          <w:r>
            <w:rPr>
              <w:rStyle w:val="16"/>
              <w:rFonts w:hint="eastAsia" w:ascii="仿宋" w:hAnsi="仿宋" w:eastAsia="仿宋"/>
            </w:rPr>
            <w:t>五、财政拨款支出决算明细表</w:t>
          </w:r>
          <w:r>
            <w:tab/>
          </w:r>
          <w:r>
            <w:fldChar w:fldCharType="begin"/>
          </w:r>
          <w:r>
            <w:instrText xml:space="preserve"> PAGEREF _Toc83802848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"_Toc83802849" </w:instrText>
          </w:r>
          <w:r>
            <w:fldChar w:fldCharType="separate"/>
          </w:r>
          <w:r>
            <w:rPr>
              <w:rStyle w:val="16"/>
              <w:rFonts w:hint="eastAsia" w:ascii="仿宋" w:hAnsi="仿宋" w:eastAsia="仿宋"/>
            </w:rPr>
            <w:t>六、一般公共预算财政拨款支出决算表</w:t>
          </w:r>
          <w:r>
            <w:tab/>
          </w:r>
          <w:r>
            <w:fldChar w:fldCharType="begin"/>
          </w:r>
          <w:r>
            <w:instrText xml:space="preserve"> PAGEREF _Toc83802849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"_Toc83802850" </w:instrText>
          </w:r>
          <w:r>
            <w:fldChar w:fldCharType="separate"/>
          </w:r>
          <w:r>
            <w:rPr>
              <w:rStyle w:val="16"/>
              <w:rFonts w:hint="eastAsia" w:ascii="仿宋" w:hAnsi="仿宋" w:eastAsia="仿宋"/>
            </w:rPr>
            <w:t>七、一般公共预算财政拨款支出决算明细表</w:t>
          </w:r>
          <w:r>
            <w:tab/>
          </w:r>
          <w:r>
            <w:fldChar w:fldCharType="begin"/>
          </w:r>
          <w:r>
            <w:instrText xml:space="preserve"> PAGEREF _Toc83802850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"_Toc83802851" </w:instrText>
          </w:r>
          <w:r>
            <w:fldChar w:fldCharType="separate"/>
          </w:r>
          <w:r>
            <w:rPr>
              <w:rStyle w:val="16"/>
              <w:rFonts w:hint="eastAsia" w:ascii="仿宋" w:hAnsi="仿宋" w:eastAsia="仿宋"/>
            </w:rPr>
            <w:t>八、一般公共预算财政拨款基本支出决算表</w:t>
          </w:r>
          <w:r>
            <w:tab/>
          </w:r>
          <w:r>
            <w:fldChar w:fldCharType="begin"/>
          </w:r>
          <w:r>
            <w:instrText xml:space="preserve"> PAGEREF _Toc83802851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"_Toc83802852" </w:instrText>
          </w:r>
          <w:r>
            <w:fldChar w:fldCharType="separate"/>
          </w:r>
          <w:r>
            <w:rPr>
              <w:rStyle w:val="16"/>
              <w:rFonts w:hint="eastAsia" w:ascii="仿宋" w:hAnsi="仿宋" w:eastAsia="仿宋"/>
            </w:rPr>
            <w:t>九、一般公共预算财政拨款项目支出决算表</w:t>
          </w:r>
          <w:r>
            <w:tab/>
          </w:r>
          <w:r>
            <w:fldChar w:fldCharType="begin"/>
          </w:r>
          <w:r>
            <w:instrText xml:space="preserve"> PAGEREF _Toc83802852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"_Toc83802853" </w:instrText>
          </w:r>
          <w:r>
            <w:fldChar w:fldCharType="separate"/>
          </w:r>
          <w:r>
            <w:rPr>
              <w:rStyle w:val="16"/>
              <w:rFonts w:hint="eastAsia" w:ascii="仿宋" w:hAnsi="仿宋" w:eastAsia="仿宋"/>
            </w:rPr>
            <w:t>十、一般公共预算财政拨款“三公”经费支出决算表</w:t>
          </w:r>
          <w:r>
            <w:tab/>
          </w:r>
          <w:r>
            <w:fldChar w:fldCharType="begin"/>
          </w:r>
          <w:r>
            <w:instrText xml:space="preserve"> PAGEREF _Toc83802853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"_Toc83802854" </w:instrText>
          </w:r>
          <w:r>
            <w:fldChar w:fldCharType="separate"/>
          </w:r>
          <w:r>
            <w:rPr>
              <w:rStyle w:val="16"/>
              <w:rFonts w:hint="eastAsia" w:ascii="仿宋" w:hAnsi="仿宋" w:eastAsia="仿宋"/>
            </w:rPr>
            <w:t>十一、政府性基金预算财政拨款收入支出决算表</w:t>
          </w:r>
          <w:r>
            <w:tab/>
          </w:r>
          <w:r>
            <w:fldChar w:fldCharType="begin"/>
          </w:r>
          <w:r>
            <w:instrText xml:space="preserve"> PAGEREF _Toc83802854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"_Toc83802855" </w:instrText>
          </w:r>
          <w:r>
            <w:fldChar w:fldCharType="separate"/>
          </w:r>
          <w:r>
            <w:rPr>
              <w:rStyle w:val="16"/>
              <w:rFonts w:hint="eastAsia" w:ascii="仿宋" w:hAnsi="仿宋" w:eastAsia="仿宋"/>
            </w:rPr>
            <w:t>十二、政府性基金预算财政拨款“三公”经费支出决算表</w:t>
          </w:r>
          <w:r>
            <w:tab/>
          </w:r>
          <w:r>
            <w:fldChar w:fldCharType="begin"/>
          </w:r>
          <w:r>
            <w:instrText xml:space="preserve"> PAGEREF _Toc83802855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"_Toc83802856" </w:instrText>
          </w:r>
          <w:r>
            <w:fldChar w:fldCharType="separate"/>
          </w:r>
          <w:r>
            <w:rPr>
              <w:rStyle w:val="16"/>
              <w:rFonts w:hint="eastAsia" w:ascii="仿宋" w:hAnsi="仿宋" w:eastAsia="仿宋"/>
            </w:rPr>
            <w:t>十三、国有资本经营预算财政拨款收入支出决算表</w:t>
          </w:r>
          <w:r>
            <w:tab/>
          </w:r>
          <w:r>
            <w:fldChar w:fldCharType="begin"/>
          </w:r>
          <w:r>
            <w:instrText xml:space="preserve"> PAGEREF _Toc83802856 \h </w:instrText>
          </w:r>
          <w:r>
            <w:fldChar w:fldCharType="separate"/>
          </w:r>
          <w:r>
            <w:t>47</w:t>
          </w:r>
          <w:r>
            <w:fldChar w:fldCharType="end"/>
          </w:r>
          <w:r>
            <w:fldChar w:fldCharType="end"/>
          </w:r>
        </w:p>
        <w:p>
          <w:pPr>
            <w:pStyle w:val="11"/>
            <w:rPr>
              <w:rFonts w:asciiTheme="minorHAnsi" w:hAnsiTheme="minorHAnsi" w:eastAsiaTheme="minorEastAsia" w:cstheme="minorBidi"/>
              <w:szCs w:val="22"/>
            </w:rPr>
          </w:pPr>
          <w:r>
            <w:fldChar w:fldCharType="begin"/>
          </w:r>
          <w:r>
            <w:instrText xml:space="preserve"> HYPERLINK \l "_Toc83802857" </w:instrText>
          </w:r>
          <w:r>
            <w:fldChar w:fldCharType="separate"/>
          </w:r>
          <w:r>
            <w:rPr>
              <w:rStyle w:val="16"/>
              <w:rFonts w:hint="eastAsia" w:ascii="仿宋" w:hAnsi="仿宋" w:eastAsia="仿宋"/>
            </w:rPr>
            <w:t>十四、国有资本经营预算财政拨款支出决算表</w:t>
          </w:r>
          <w:r>
            <w:tab/>
          </w:r>
          <w:r>
            <w:fldChar w:fldCharType="begin"/>
          </w:r>
          <w:r>
            <w:instrText xml:space="preserve"> PAGEREF _Toc83802857 \h </w:instrText>
          </w:r>
          <w:r>
            <w:fldChar w:fldCharType="separate"/>
          </w:r>
          <w:r>
            <w:t>47</w:t>
          </w:r>
          <w:r>
            <w:fldChar w:fldCharType="end"/>
          </w:r>
          <w:r>
            <w:fldChar w:fldCharType="end"/>
          </w:r>
        </w:p>
        <w:p>
          <w:pPr>
            <w:rPr>
              <w:b/>
              <w:bCs/>
              <w:lang w:val="zh-CN"/>
            </w:rPr>
          </w:pPr>
          <w:r>
            <w:rPr>
              <w:b/>
              <w:bCs/>
              <w:lang w:val="zh-CN"/>
            </w:rPr>
            <w:fldChar w:fldCharType="end"/>
          </w:r>
        </w:p>
      </w:sdtContent>
    </w:sdt>
    <w:p>
      <w:pPr>
        <w:widowControl/>
        <w:adjustRightInd w:val="0"/>
        <w:snapToGrid w:val="0"/>
        <w:spacing w:line="440" w:lineRule="exact"/>
        <w:ind w:firstLine="1320" w:firstLineChars="550"/>
        <w:jc w:val="left"/>
        <w:rPr>
          <w:rFonts w:ascii="仿宋" w:hAnsi="仿宋" w:eastAsia="仿宋"/>
          <w:color w:val="FF0000"/>
          <w:sz w:val="24"/>
        </w:rPr>
      </w:pPr>
      <w:bookmarkStart w:id="16" w:name="_Toc15377196"/>
      <w:bookmarkStart w:id="17" w:name="_Toc15396599"/>
      <w:bookmarkStart w:id="18" w:name="_Toc83802798"/>
      <w:r>
        <w:rPr>
          <w:rFonts w:ascii="仿宋" w:hAnsi="仿宋" w:eastAsia="仿宋"/>
          <w:color w:val="FF0000"/>
          <w:sz w:val="24"/>
        </w:rPr>
        <w:t>(</w:t>
      </w:r>
      <w:r>
        <w:rPr>
          <w:rFonts w:hint="eastAsia" w:ascii="仿宋" w:hAnsi="仿宋" w:eastAsia="仿宋"/>
          <w:color w:val="FF0000"/>
          <w:sz w:val="24"/>
        </w:rPr>
        <w:t>注：请部门根据实际注明页码</w:t>
      </w:r>
      <w:r>
        <w:rPr>
          <w:rFonts w:ascii="仿宋" w:hAnsi="仿宋" w:eastAsia="仿宋"/>
          <w:color w:val="FF0000"/>
          <w:sz w:val="24"/>
        </w:rPr>
        <w:t>)</w:t>
      </w:r>
    </w:p>
    <w:p>
      <w:pPr>
        <w:widowControl/>
        <w:jc w:val="left"/>
        <w:rPr>
          <w:rFonts w:ascii="仿宋" w:hAnsi="仿宋" w:eastAsia="仿宋"/>
          <w:color w:val="FF0000"/>
          <w:sz w:val="24"/>
        </w:rPr>
      </w:pPr>
      <w:r>
        <w:rPr>
          <w:rFonts w:ascii="仿宋" w:hAnsi="仿宋" w:eastAsia="仿宋"/>
          <w:color w:val="FF0000"/>
          <w:sz w:val="24"/>
        </w:rPr>
        <w:br w:type="page"/>
      </w:r>
    </w:p>
    <w:p>
      <w:pPr>
        <w:pStyle w:val="2"/>
        <w:jc w:val="center"/>
        <w:rPr>
          <w:rStyle w:val="22"/>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22"/>
          <w:rFonts w:hint="eastAsia" w:ascii="黑体" w:hAnsi="黑体" w:eastAsia="黑体"/>
          <w:b w:val="0"/>
          <w:bCs w:val="0"/>
        </w:rPr>
        <w:t>部门概况</w:t>
      </w:r>
      <w:bookmarkEnd w:id="16"/>
      <w:bookmarkEnd w:id="17"/>
      <w:bookmarkEnd w:id="18"/>
    </w:p>
    <w:p>
      <w:pPr>
        <w:pStyle w:val="3"/>
        <w:numPr>
          <w:ilvl w:val="0"/>
          <w:numId w:val="1"/>
        </w:numPr>
        <w:rPr>
          <w:rStyle w:val="19"/>
          <w:rFonts w:ascii="黑体" w:hAnsi="黑体" w:eastAsia="黑体"/>
          <w:b w:val="0"/>
          <w:bCs w:val="0"/>
        </w:rPr>
      </w:pPr>
      <w:bookmarkStart w:id="19" w:name="_Toc15396600"/>
      <w:bookmarkStart w:id="20" w:name="_Toc83802799"/>
      <w:bookmarkStart w:id="21" w:name="_Toc15377197"/>
      <w:r>
        <w:rPr>
          <w:rFonts w:hint="eastAsia" w:ascii="黑体" w:hAnsi="黑体" w:eastAsia="黑体"/>
          <w:b w:val="0"/>
          <w:color w:val="000000"/>
        </w:rPr>
        <w:t>基</w:t>
      </w:r>
      <w:r>
        <w:rPr>
          <w:rStyle w:val="19"/>
          <w:rFonts w:hint="eastAsia" w:ascii="黑体" w:hAnsi="黑体" w:eastAsia="黑体"/>
          <w:b w:val="0"/>
          <w:bCs w:val="0"/>
        </w:rPr>
        <w:t>本职能及主要工作</w:t>
      </w:r>
      <w:bookmarkEnd w:id="19"/>
      <w:bookmarkEnd w:id="20"/>
      <w:bookmarkEnd w:id="21"/>
    </w:p>
    <w:p>
      <w:pPr>
        <w:pStyle w:val="5"/>
        <w:tabs>
          <w:tab w:val="left" w:pos="621"/>
        </w:tabs>
        <w:adjustRightInd w:val="0"/>
        <w:snapToGrid w:val="0"/>
        <w:spacing w:before="93" w:line="600" w:lineRule="exact"/>
        <w:ind w:firstLine="640" w:firstLineChars="200"/>
        <w:outlineLvl w:val="2"/>
        <w:rPr>
          <w:rFonts w:ascii="黑体" w:hAnsi="黑体" w:eastAsia="黑体"/>
          <w:bCs/>
          <w:color w:val="000000"/>
          <w:sz w:val="32"/>
          <w:szCs w:val="32"/>
          <w:lang w:eastAsia="zh-CN"/>
        </w:rPr>
      </w:pPr>
      <w:bookmarkStart w:id="22" w:name="_Toc83802800"/>
      <w:r>
        <w:rPr>
          <w:rFonts w:hint="eastAsia" w:ascii="黑体" w:hAnsi="黑体" w:eastAsia="黑体"/>
          <w:bCs/>
          <w:color w:val="000000"/>
          <w:sz w:val="32"/>
          <w:szCs w:val="32"/>
          <w:lang w:eastAsia="zh-CN"/>
        </w:rPr>
        <w:t>（一）主要职能</w:t>
      </w:r>
      <w:bookmarkEnd w:id="22"/>
    </w:p>
    <w:p>
      <w:pPr>
        <w:spacing w:line="580" w:lineRule="exact"/>
        <w:ind w:firstLine="640" w:firstLineChars="200"/>
        <w:rPr>
          <w:rFonts w:ascii="仿宋" w:hAnsi="仿宋" w:eastAsia="仿宋"/>
          <w:color w:val="000000"/>
          <w:sz w:val="32"/>
          <w:szCs w:val="32"/>
        </w:rPr>
      </w:pPr>
      <w:bookmarkStart w:id="23" w:name="_Toc15378445"/>
      <w:bookmarkStart w:id="24" w:name="_Toc15377198"/>
      <w:r>
        <w:rPr>
          <w:rFonts w:hint="eastAsia" w:ascii="仿宋" w:hAnsi="仿宋" w:eastAsia="仿宋"/>
          <w:color w:val="000000"/>
          <w:sz w:val="32"/>
          <w:szCs w:val="32"/>
        </w:rPr>
        <w:t>1、依法审判法律规定由广元市利州区人民法院管辖的刑事、民事、行政等第一审案件。</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2、依法审理上级人民法院指令再审的案件，复查审理本院判决、裁定发生法律效力后的申诉和再审案件。</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3、依法行使司法执行权和司法决定权。</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4、指导人民调解委员会的工作。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5、针对案件审理中发现的问题提出司法建议。</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6、负责本院思想政治、教育培训工作；按权限和有关规定分类管理员额法官、法官助理、书记员、司法警察、司法行政综合类人员及司法辅助人员；协同主管部门管理本院机构设置、人员编制。</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7、负责本院的督察工作。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8、管理本院的有关经费和物资装备。</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9、参与社会治安综合管理工作。</w:t>
      </w:r>
    </w:p>
    <w:p>
      <w:pPr>
        <w:spacing w:line="58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rPr>
        <w:t>10、承办其他应由广元市利州区人民法院负责的工作。</w:t>
      </w:r>
    </w:p>
    <w:bookmarkEnd w:id="23"/>
    <w:bookmarkEnd w:id="24"/>
    <w:p>
      <w:pPr>
        <w:pStyle w:val="5"/>
        <w:tabs>
          <w:tab w:val="left" w:pos="621"/>
        </w:tabs>
        <w:adjustRightInd w:val="0"/>
        <w:snapToGrid w:val="0"/>
        <w:spacing w:before="93" w:line="600" w:lineRule="exact"/>
        <w:ind w:firstLine="640" w:firstLineChars="200"/>
        <w:outlineLvl w:val="2"/>
        <w:rPr>
          <w:rFonts w:ascii="黑体" w:hAnsi="黑体" w:eastAsia="黑体"/>
          <w:bCs/>
          <w:color w:val="000000"/>
          <w:sz w:val="32"/>
          <w:szCs w:val="32"/>
          <w:lang w:eastAsia="zh-CN"/>
        </w:rPr>
      </w:pPr>
      <w:bookmarkStart w:id="25" w:name="_Toc15378446"/>
      <w:bookmarkStart w:id="26" w:name="_Toc15377199"/>
      <w:bookmarkStart w:id="27" w:name="_Toc83802801"/>
      <w:r>
        <w:rPr>
          <w:rFonts w:hint="eastAsia" w:ascii="黑体" w:hAnsi="黑体" w:eastAsia="黑体"/>
          <w:bCs/>
          <w:color w:val="000000"/>
          <w:sz w:val="32"/>
          <w:szCs w:val="32"/>
          <w:lang w:eastAsia="zh-CN"/>
        </w:rPr>
        <w:t>（二）</w:t>
      </w:r>
      <w:r>
        <w:rPr>
          <w:rFonts w:ascii="黑体" w:hAnsi="黑体" w:eastAsia="黑体"/>
          <w:bCs/>
          <w:color w:val="000000"/>
          <w:sz w:val="32"/>
          <w:szCs w:val="32"/>
        </w:rPr>
        <w:t>2020</w:t>
      </w:r>
      <w:r>
        <w:rPr>
          <w:rFonts w:hint="eastAsia" w:ascii="黑体" w:hAnsi="黑体" w:eastAsia="黑体"/>
          <w:bCs/>
          <w:color w:val="000000"/>
          <w:sz w:val="32"/>
          <w:szCs w:val="32"/>
        </w:rPr>
        <w:t>年重点工作完成情况</w:t>
      </w:r>
      <w:bookmarkEnd w:id="25"/>
      <w:bookmarkEnd w:id="26"/>
      <w:bookmarkEnd w:id="27"/>
    </w:p>
    <w:p>
      <w:pPr>
        <w:pStyle w:val="5"/>
        <w:tabs>
          <w:tab w:val="left" w:pos="621"/>
        </w:tabs>
        <w:adjustRightInd w:val="0"/>
        <w:snapToGrid w:val="0"/>
        <w:spacing w:before="93" w:line="600" w:lineRule="exact"/>
        <w:ind w:firstLine="640" w:firstLineChars="200"/>
        <w:outlineLvl w:val="2"/>
        <w:rPr>
          <w:rFonts w:ascii="仿宋" w:hAnsi="仿宋" w:eastAsia="仿宋"/>
          <w:bCs/>
          <w:color w:val="000000"/>
          <w:sz w:val="32"/>
          <w:szCs w:val="32"/>
          <w:lang w:eastAsia="zh-CN"/>
        </w:rPr>
      </w:pPr>
      <w:bookmarkStart w:id="28" w:name="_Toc83802802"/>
      <w:r>
        <w:rPr>
          <w:rFonts w:hint="eastAsia" w:ascii="仿宋" w:hAnsi="仿宋" w:eastAsia="仿宋"/>
          <w:bCs/>
          <w:color w:val="000000"/>
          <w:sz w:val="32"/>
          <w:szCs w:val="32"/>
          <w:lang w:eastAsia="zh-CN"/>
        </w:rPr>
        <w:t>2020年，我院在区委的领导和市法院的指导下，认真贯彻党中央的方针政策，积极完成各项任务，取得明显成效。</w:t>
      </w:r>
      <w:bookmarkEnd w:id="28"/>
    </w:p>
    <w:p>
      <w:pPr>
        <w:pStyle w:val="5"/>
        <w:tabs>
          <w:tab w:val="left" w:pos="621"/>
        </w:tabs>
        <w:adjustRightInd w:val="0"/>
        <w:snapToGrid w:val="0"/>
        <w:spacing w:before="93" w:line="600" w:lineRule="exact"/>
        <w:ind w:firstLine="640" w:firstLineChars="200"/>
        <w:outlineLvl w:val="2"/>
        <w:rPr>
          <w:rFonts w:ascii="仿宋" w:hAnsi="仿宋" w:eastAsia="仿宋"/>
          <w:bCs/>
          <w:color w:val="000000"/>
          <w:sz w:val="32"/>
          <w:szCs w:val="32"/>
          <w:lang w:eastAsia="zh-CN"/>
        </w:rPr>
      </w:pPr>
      <w:bookmarkStart w:id="29" w:name="_Toc83802803"/>
      <w:r>
        <w:rPr>
          <w:rFonts w:hint="eastAsia" w:ascii="仿宋" w:hAnsi="仿宋" w:eastAsia="仿宋"/>
          <w:bCs/>
          <w:color w:val="000000"/>
          <w:sz w:val="32"/>
          <w:szCs w:val="32"/>
          <w:lang w:eastAsia="zh-CN"/>
        </w:rPr>
        <w:t>一是通过审判、执行业务活动，惩治一切犯罪分子，解决各类矛盾纠纷，维护社会主义法治和社会经济秩序，保卫社会主义的全民所有制财产、劳动群众集体所有制财产，保护公民私人所有的合法财产。保护公民的人身权利、民主权利和其他权利。保障国家的社会主义革命和社会主义建设事业的顺利进行。</w:t>
      </w:r>
      <w:bookmarkEnd w:id="29"/>
    </w:p>
    <w:p>
      <w:pPr>
        <w:pStyle w:val="5"/>
        <w:tabs>
          <w:tab w:val="left" w:pos="621"/>
        </w:tabs>
        <w:adjustRightInd w:val="0"/>
        <w:snapToGrid w:val="0"/>
        <w:spacing w:before="93" w:line="600" w:lineRule="exact"/>
        <w:ind w:firstLine="640" w:firstLineChars="200"/>
        <w:outlineLvl w:val="2"/>
        <w:rPr>
          <w:rFonts w:ascii="仿宋" w:hAnsi="仿宋" w:eastAsia="仿宋"/>
          <w:bCs/>
          <w:color w:val="000000"/>
          <w:sz w:val="32"/>
          <w:szCs w:val="32"/>
          <w:lang w:eastAsia="zh-CN"/>
        </w:rPr>
      </w:pPr>
      <w:bookmarkStart w:id="30" w:name="_Toc83802804"/>
      <w:r>
        <w:rPr>
          <w:rFonts w:hint="eastAsia" w:ascii="仿宋" w:hAnsi="仿宋" w:eastAsia="仿宋"/>
          <w:bCs/>
          <w:color w:val="000000"/>
          <w:sz w:val="32"/>
          <w:szCs w:val="32"/>
          <w:lang w:eastAsia="zh-CN"/>
        </w:rPr>
        <w:t>二是通过“大调解”机制、任命“陪审员”、“购买社会劳动力”等措施，充分发挥职能，搭建纠纷多元化解平台，引导社会力量积极参与。</w:t>
      </w:r>
      <w:bookmarkEnd w:id="30"/>
    </w:p>
    <w:p>
      <w:pPr>
        <w:pStyle w:val="5"/>
        <w:tabs>
          <w:tab w:val="left" w:pos="621"/>
        </w:tabs>
        <w:adjustRightInd w:val="0"/>
        <w:snapToGrid w:val="0"/>
        <w:spacing w:before="93" w:line="600" w:lineRule="exact"/>
        <w:ind w:firstLine="640" w:firstLineChars="200"/>
        <w:outlineLvl w:val="2"/>
        <w:rPr>
          <w:rFonts w:ascii="仿宋" w:hAnsi="仿宋" w:eastAsia="仿宋"/>
          <w:bCs/>
          <w:color w:val="000000"/>
          <w:sz w:val="32"/>
          <w:szCs w:val="32"/>
          <w:lang w:eastAsia="zh-CN"/>
        </w:rPr>
      </w:pPr>
      <w:bookmarkStart w:id="31" w:name="_Toc83802805"/>
      <w:r>
        <w:rPr>
          <w:rFonts w:hint="eastAsia" w:ascii="仿宋" w:hAnsi="仿宋" w:eastAsia="仿宋"/>
          <w:bCs/>
          <w:color w:val="000000"/>
          <w:sz w:val="32"/>
          <w:szCs w:val="32"/>
          <w:lang w:eastAsia="zh-CN"/>
        </w:rPr>
        <w:t>三是全力推进切实解决执行难，有力推进利州诚信社会建设，有力开展扫黑除恶专项斗争，促进社会环境净化。</w:t>
      </w:r>
      <w:bookmarkEnd w:id="31"/>
    </w:p>
    <w:p>
      <w:pPr>
        <w:pStyle w:val="3"/>
        <w:numPr>
          <w:ilvl w:val="0"/>
          <w:numId w:val="2"/>
        </w:numPr>
        <w:rPr>
          <w:rStyle w:val="19"/>
          <w:rFonts w:ascii="黑体" w:hAnsi="黑体" w:eastAsia="黑体"/>
          <w:b w:val="0"/>
          <w:bCs w:val="0"/>
        </w:rPr>
      </w:pPr>
      <w:bookmarkStart w:id="32" w:name="_Toc15377200"/>
      <w:bookmarkStart w:id="33" w:name="_Toc83802806"/>
      <w:bookmarkStart w:id="34" w:name="_Toc15396601"/>
      <w:r>
        <w:rPr>
          <w:rFonts w:hint="eastAsia" w:ascii="黑体" w:hAnsi="黑体" w:eastAsia="黑体"/>
          <w:b w:val="0"/>
          <w:color w:val="000000"/>
        </w:rPr>
        <w:t>机</w:t>
      </w:r>
      <w:r>
        <w:rPr>
          <w:rStyle w:val="19"/>
          <w:rFonts w:hint="eastAsia" w:ascii="黑体" w:hAnsi="黑体" w:eastAsia="黑体"/>
          <w:b w:val="0"/>
          <w:bCs w:val="0"/>
        </w:rPr>
        <w:t>构设置</w:t>
      </w:r>
      <w:bookmarkEnd w:id="32"/>
      <w:bookmarkEnd w:id="33"/>
      <w:bookmarkEnd w:id="34"/>
    </w:p>
    <w:p>
      <w:pPr>
        <w:ind w:firstLine="640" w:firstLineChars="200"/>
        <w:rPr>
          <w:rFonts w:ascii="仿宋" w:hAnsi="仿宋" w:eastAsia="仿宋"/>
          <w:color w:val="000000"/>
          <w:sz w:val="32"/>
          <w:szCs w:val="32"/>
        </w:rPr>
      </w:pPr>
      <w:r>
        <w:rPr>
          <w:rFonts w:hint="eastAsia" w:ascii="仿宋" w:hAnsi="仿宋" w:eastAsia="仿宋"/>
          <w:color w:val="000000"/>
          <w:sz w:val="32"/>
          <w:szCs w:val="32"/>
        </w:rPr>
        <w:t>1、机构情况：我院现有行政编制103人，事业编制12人，工勤编制3人，下设4个综合部门，8个审判庭（局、室），1个联调中心，6个人民法庭。</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2、人员增减变动情况：2020年末行政97人；工勤3人；全额事业12人（年初预算114人，退休2人、在职死亡1人、调入1人）；遗属5人；司法辅助劳务人员132人；退休人员46人。</w:t>
      </w:r>
    </w:p>
    <w:p>
      <w:pPr>
        <w:pStyle w:val="2"/>
        <w:ind w:right="440"/>
        <w:jc w:val="center"/>
        <w:rPr>
          <w:rFonts w:ascii="黑体" w:hAnsi="黑体" w:eastAsia="黑体"/>
          <w:b w:val="0"/>
          <w:color w:val="000000"/>
        </w:rPr>
      </w:pPr>
      <w:bookmarkStart w:id="35" w:name="_Toc15377204"/>
      <w:bookmarkStart w:id="36" w:name="_Toc15396602"/>
      <w:r>
        <w:rPr>
          <w:rFonts w:hint="eastAsia" w:ascii="黑体" w:hAnsi="黑体" w:eastAsia="黑体"/>
          <w:b w:val="0"/>
          <w:color w:val="000000"/>
        </w:rPr>
        <w:t xml:space="preserve">  </w:t>
      </w:r>
    </w:p>
    <w:p>
      <w:pPr>
        <w:widowControl/>
        <w:jc w:val="left"/>
        <w:rPr>
          <w:rFonts w:ascii="黑体" w:hAnsi="黑体" w:eastAsia="黑体"/>
          <w:bCs/>
          <w:color w:val="000000"/>
          <w:kern w:val="44"/>
          <w:sz w:val="44"/>
          <w:szCs w:val="44"/>
        </w:rPr>
      </w:pPr>
      <w:r>
        <w:rPr>
          <w:rFonts w:ascii="黑体" w:hAnsi="黑体" w:eastAsia="黑体"/>
          <w:b/>
          <w:color w:val="000000"/>
        </w:rPr>
        <w:br w:type="page"/>
      </w:r>
    </w:p>
    <w:p>
      <w:pPr>
        <w:pStyle w:val="2"/>
        <w:ind w:right="440"/>
        <w:jc w:val="center"/>
        <w:rPr>
          <w:rStyle w:val="22"/>
          <w:rFonts w:ascii="黑体" w:hAnsi="黑体" w:eastAsia="黑体"/>
          <w:b w:val="0"/>
          <w:bCs w:val="0"/>
        </w:rPr>
      </w:pPr>
      <w:bookmarkStart w:id="37" w:name="_Toc83802807"/>
      <w:bookmarkStart w:id="137" w:name="_GoBack"/>
      <w:bookmarkEnd w:id="137"/>
      <w:r>
        <w:rPr>
          <w:rFonts w:hint="eastAsia" w:ascii="黑体" w:hAnsi="黑体" w:eastAsia="黑体"/>
          <w:b w:val="0"/>
          <w:color w:val="000000"/>
        </w:rPr>
        <w:t>第二部分</w:t>
      </w:r>
      <w:r>
        <w:rPr>
          <w:rFonts w:ascii="黑体" w:hAnsi="黑体" w:eastAsia="黑体"/>
          <w:color w:val="000000"/>
        </w:rPr>
        <w:t xml:space="preserve"> </w:t>
      </w:r>
      <w:r>
        <w:rPr>
          <w:rStyle w:val="22"/>
          <w:rFonts w:ascii="黑体" w:hAnsi="黑体" w:eastAsia="黑体"/>
          <w:b w:val="0"/>
          <w:bCs w:val="0"/>
        </w:rPr>
        <w:t>2020</w:t>
      </w:r>
      <w:r>
        <w:rPr>
          <w:rStyle w:val="22"/>
          <w:rFonts w:hint="eastAsia" w:ascii="黑体" w:hAnsi="黑体" w:eastAsia="黑体"/>
          <w:b w:val="0"/>
          <w:bCs w:val="0"/>
        </w:rPr>
        <w:t>年度部门决算情况说明</w:t>
      </w:r>
      <w:bookmarkEnd w:id="35"/>
      <w:bookmarkEnd w:id="36"/>
      <w:bookmarkEnd w:id="37"/>
    </w:p>
    <w:p>
      <w:pPr>
        <w:pStyle w:val="29"/>
        <w:numPr>
          <w:ilvl w:val="0"/>
          <w:numId w:val="3"/>
        </w:numPr>
        <w:spacing w:line="600" w:lineRule="exact"/>
        <w:ind w:firstLineChars="0"/>
        <w:outlineLvl w:val="1"/>
        <w:rPr>
          <w:rStyle w:val="19"/>
          <w:rFonts w:ascii="黑体" w:hAnsi="黑体" w:eastAsia="黑体"/>
          <w:b w:val="0"/>
        </w:rPr>
      </w:pPr>
      <w:bookmarkStart w:id="38" w:name="_Toc15377205"/>
      <w:bookmarkStart w:id="39" w:name="_Toc15396603"/>
      <w:bookmarkStart w:id="40" w:name="_Toc83802808"/>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38"/>
      <w:bookmarkEnd w:id="39"/>
      <w:bookmarkEnd w:id="40"/>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年度收入总计4825.30万元、支出总计4086.95万元。与</w:t>
      </w:r>
      <w:r>
        <w:rPr>
          <w:rFonts w:ascii="仿宋" w:hAnsi="仿宋" w:eastAsia="仿宋"/>
          <w:color w:val="000000"/>
          <w:sz w:val="32"/>
          <w:szCs w:val="32"/>
        </w:rPr>
        <w:t>2019</w:t>
      </w:r>
      <w:r>
        <w:rPr>
          <w:rFonts w:hint="eastAsia" w:ascii="仿宋" w:hAnsi="仿宋" w:eastAsia="仿宋"/>
          <w:color w:val="000000"/>
          <w:sz w:val="32"/>
          <w:szCs w:val="32"/>
        </w:rPr>
        <w:t>年相比，收入总计增加1345.70万元、支出总计减少138.32万元。主要变动原因是两法庭修建项目的实施。</w:t>
      </w:r>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5408" behindDoc="1" locked="0" layoutInCell="1" allowOverlap="1">
            <wp:simplePos x="0" y="0"/>
            <wp:positionH relativeFrom="column">
              <wp:posOffset>2540</wp:posOffset>
            </wp:positionH>
            <wp:positionV relativeFrom="paragraph">
              <wp:posOffset>283210</wp:posOffset>
            </wp:positionV>
            <wp:extent cx="5594985" cy="3637280"/>
            <wp:effectExtent l="4445" t="4445" r="20320" b="15875"/>
            <wp:wrapTight wrapText="bothSides">
              <wp:wrapPolygon>
                <wp:start x="-17" y="-26"/>
                <wp:lineTo x="-17" y="21468"/>
                <wp:lineTo x="21531" y="21468"/>
                <wp:lineTo x="21531" y="-26"/>
                <wp:lineTo x="-17" y="-2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29"/>
        <w:numPr>
          <w:ilvl w:val="0"/>
          <w:numId w:val="3"/>
        </w:numPr>
        <w:spacing w:line="600" w:lineRule="exact"/>
        <w:ind w:firstLineChars="0"/>
        <w:outlineLvl w:val="1"/>
        <w:rPr>
          <w:rStyle w:val="19"/>
          <w:rFonts w:ascii="黑体" w:hAnsi="黑体" w:eastAsia="黑体"/>
          <w:b w:val="0"/>
        </w:rPr>
      </w:pPr>
      <w:bookmarkStart w:id="41" w:name="_Toc15396604"/>
      <w:bookmarkStart w:id="42" w:name="_Toc15377206"/>
      <w:bookmarkStart w:id="43" w:name="_Toc83802809"/>
      <w:r>
        <w:rPr>
          <w:rFonts w:hint="eastAsia" w:ascii="黑体" w:hAnsi="黑体" w:eastAsia="黑体"/>
          <w:color w:val="000000"/>
          <w:sz w:val="32"/>
          <w:szCs w:val="32"/>
        </w:rPr>
        <w:t>收</w:t>
      </w:r>
      <w:r>
        <w:rPr>
          <w:rStyle w:val="19"/>
          <w:rFonts w:hint="eastAsia" w:ascii="黑体" w:hAnsi="黑体" w:eastAsia="黑体"/>
          <w:b w:val="0"/>
        </w:rPr>
        <w:t>入决算情况说明</w:t>
      </w:r>
      <w:bookmarkEnd w:id="41"/>
      <w:bookmarkEnd w:id="42"/>
      <w:bookmarkEnd w:id="43"/>
    </w:p>
    <w:p>
      <w:pPr>
        <w:spacing w:line="600" w:lineRule="exact"/>
        <w:ind w:firstLine="640" w:firstLineChars="200"/>
        <w:outlineLvl w:val="1"/>
        <w:rPr>
          <w:rFonts w:hint="eastAsia" w:ascii="仿宋" w:hAnsi="仿宋" w:eastAsia="仿宋"/>
          <w:color w:val="000000"/>
          <w:sz w:val="32"/>
          <w:szCs w:val="32"/>
        </w:rPr>
      </w:pPr>
      <w:bookmarkStart w:id="44" w:name="_Toc83802810"/>
      <w:r>
        <w:rPr>
          <w:rFonts w:ascii="仿宋" w:hAnsi="仿宋" w:eastAsia="仿宋"/>
          <w:color w:val="000000"/>
          <w:sz w:val="32"/>
          <w:szCs w:val="32"/>
        </w:rPr>
        <w:t>2020</w:t>
      </w:r>
      <w:r>
        <w:rPr>
          <w:rFonts w:hint="eastAsia" w:ascii="仿宋" w:hAnsi="仿宋" w:eastAsia="仿宋"/>
          <w:color w:val="000000"/>
          <w:sz w:val="32"/>
          <w:szCs w:val="32"/>
        </w:rPr>
        <w:t>年本年收入合计4825.30万元，其中：一般公共预算财政拨款收入4824.78万元，占99.99</w:t>
      </w:r>
      <w:r>
        <w:rPr>
          <w:rFonts w:ascii="仿宋" w:hAnsi="仿宋" w:eastAsia="仿宋"/>
          <w:color w:val="000000"/>
          <w:sz w:val="32"/>
          <w:szCs w:val="32"/>
        </w:rPr>
        <w:t>%</w:t>
      </w:r>
      <w:r>
        <w:rPr>
          <w:rFonts w:hint="eastAsia" w:ascii="仿宋" w:hAnsi="仿宋" w:eastAsia="仿宋"/>
          <w:color w:val="000000"/>
          <w:sz w:val="32"/>
          <w:szCs w:val="32"/>
        </w:rPr>
        <w:t>；</w:t>
      </w:r>
      <w:bookmarkEnd w:id="44"/>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；其他收入0.52万元，占</w:t>
      </w:r>
    </w:p>
    <w:p>
      <w:pPr>
        <w:spacing w:line="600" w:lineRule="exact"/>
        <w:outlineLvl w:val="1"/>
        <w:rPr>
          <w:rFonts w:hint="eastAsia"/>
          <w:color w:val="000000"/>
          <w:sz w:val="32"/>
          <w:szCs w:val="32"/>
        </w:rPr>
      </w:pPr>
    </w:p>
    <w:p>
      <w:pPr>
        <w:spacing w:line="600" w:lineRule="exact"/>
        <w:outlineLvl w:val="1"/>
        <w:rPr>
          <w:rFonts w:ascii="仿宋" w:hAnsi="仿宋" w:eastAsia="仿宋"/>
          <w:color w:val="000000"/>
          <w:sz w:val="32"/>
          <w:szCs w:val="32"/>
        </w:rPr>
      </w:pPr>
      <w:r>
        <w:rPr>
          <w:rFonts w:hint="eastAsia" w:ascii="仿宋" w:hAnsi="仿宋" w:eastAsia="仿宋"/>
          <w:color w:val="000000"/>
          <w:sz w:val="32"/>
          <w:szCs w:val="32"/>
        </w:rPr>
        <w:t>0.01</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1"/>
        <w:rPr>
          <w:rFonts w:ascii="仿宋" w:hAnsi="仿宋" w:eastAsia="仿宋"/>
          <w:b/>
          <w:color w:val="FF0000"/>
          <w:sz w:val="32"/>
          <w:szCs w:val="32"/>
        </w:rPr>
      </w:pPr>
      <w:r>
        <w:rPr>
          <w:rStyle w:val="19"/>
          <w:rFonts w:hint="eastAsia" w:ascii="黑体" w:hAnsi="黑体" w:eastAsia="黑体"/>
        </w:rPr>
        <w:drawing>
          <wp:anchor distT="0" distB="0" distL="114300" distR="114300" simplePos="0" relativeHeight="251659264" behindDoc="0" locked="0" layoutInCell="1" allowOverlap="1">
            <wp:simplePos x="0" y="0"/>
            <wp:positionH relativeFrom="column">
              <wp:posOffset>113030</wp:posOffset>
            </wp:positionH>
            <wp:positionV relativeFrom="paragraph">
              <wp:posOffset>481330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b/>
          <w:color w:val="FF0000"/>
          <w:sz w:val="32"/>
          <w:szCs w:val="32"/>
        </w:rPr>
        <w:t>（注：数据来源于财决</w:t>
      </w:r>
      <w:r>
        <w:rPr>
          <w:rFonts w:ascii="仿宋" w:hAnsi="仿宋" w:eastAsia="仿宋"/>
          <w:b/>
          <w:color w:val="FF0000"/>
          <w:sz w:val="32"/>
          <w:szCs w:val="32"/>
        </w:rPr>
        <w:t>01</w:t>
      </w:r>
      <w:r>
        <w:rPr>
          <w:rFonts w:hint="eastAsia" w:ascii="仿宋" w:hAnsi="仿宋" w:eastAsia="仿宋"/>
          <w:b/>
          <w:color w:val="FF0000"/>
          <w:sz w:val="32"/>
          <w:szCs w:val="32"/>
        </w:rPr>
        <w:t>表）</w: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spacing w:line="600" w:lineRule="exact"/>
        <w:ind w:firstLine="640" w:firstLineChars="200"/>
        <w:outlineLvl w:val="1"/>
        <w:rPr>
          <w:rFonts w:ascii="仿宋" w:hAnsi="仿宋" w:eastAsia="仿宋"/>
          <w:color w:val="000000"/>
          <w:sz w:val="32"/>
          <w:szCs w:val="32"/>
        </w:rPr>
      </w:pPr>
    </w:p>
    <w:p>
      <w:pPr>
        <w:spacing w:line="600" w:lineRule="exact"/>
        <w:ind w:firstLine="643" w:firstLineChars="200"/>
        <w:outlineLvl w:val="1"/>
        <w:rPr>
          <w:rStyle w:val="19"/>
          <w:rFonts w:ascii="黑体" w:hAnsi="黑体" w:eastAsia="黑体"/>
          <w:b w:val="0"/>
        </w:rPr>
      </w:pPr>
      <w:bookmarkStart w:id="45" w:name="_Toc83802811"/>
      <w:bookmarkStart w:id="46" w:name="_Toc15396605"/>
      <w:bookmarkStart w:id="47" w:name="_Toc15377207"/>
      <w:r>
        <w:rPr>
          <w:rStyle w:val="19"/>
          <w:rFonts w:hint="eastAsia" w:ascii="黑体" w:hAnsi="黑体" w:eastAsia="黑体"/>
        </w:rPr>
        <w:t>三、支</w:t>
      </w:r>
      <w:r>
        <w:rPr>
          <w:rStyle w:val="19"/>
          <w:rFonts w:hint="eastAsia" w:ascii="黑体" w:hAnsi="黑体" w:eastAsia="黑体"/>
          <w:b w:val="0"/>
        </w:rPr>
        <w:t>出决算情况说明</w:t>
      </w:r>
      <w:bookmarkEnd w:id="45"/>
      <w:bookmarkEnd w:id="46"/>
      <w:bookmarkEnd w:id="47"/>
    </w:p>
    <w:p>
      <w:pPr>
        <w:spacing w:line="600" w:lineRule="exact"/>
        <w:ind w:firstLine="640" w:firstLineChars="200"/>
        <w:outlineLvl w:val="1"/>
        <w:rPr>
          <w:rFonts w:hint="eastAsia" w:ascii="仿宋" w:hAnsi="仿宋" w:eastAsia="仿宋"/>
          <w:color w:val="000000"/>
          <w:sz w:val="32"/>
          <w:szCs w:val="32"/>
        </w:rPr>
      </w:pPr>
      <w:bookmarkStart w:id="48" w:name="_Toc83802812"/>
      <w:r>
        <w:rPr>
          <w:rFonts w:ascii="仿宋" w:hAnsi="仿宋" w:eastAsia="仿宋"/>
          <w:color w:val="000000"/>
          <w:sz w:val="32"/>
          <w:szCs w:val="32"/>
        </w:rPr>
        <w:t>2020</w:t>
      </w:r>
      <w:r>
        <w:rPr>
          <w:rFonts w:hint="eastAsia" w:ascii="仿宋" w:hAnsi="仿宋" w:eastAsia="仿宋"/>
          <w:color w:val="000000"/>
          <w:sz w:val="32"/>
          <w:szCs w:val="32"/>
        </w:rPr>
        <w:t>年本年支出合计4086.95万元，其中：基本支出2346.73万元，占57.42</w:t>
      </w:r>
      <w:r>
        <w:rPr>
          <w:rFonts w:ascii="仿宋" w:hAnsi="仿宋" w:eastAsia="仿宋"/>
          <w:color w:val="000000"/>
          <w:sz w:val="32"/>
          <w:szCs w:val="32"/>
        </w:rPr>
        <w:t>%</w:t>
      </w:r>
      <w:r>
        <w:rPr>
          <w:rFonts w:hint="eastAsia" w:ascii="仿宋" w:hAnsi="仿宋" w:eastAsia="仿宋"/>
          <w:color w:val="000000"/>
          <w:sz w:val="32"/>
          <w:szCs w:val="32"/>
        </w:rPr>
        <w:t>；项目支出1740.22万元，占42.58</w:t>
      </w:r>
      <w:r>
        <w:rPr>
          <w:rFonts w:ascii="仿宋" w:hAnsi="仿宋" w:eastAsia="仿宋"/>
          <w:color w:val="000000"/>
          <w:sz w:val="32"/>
          <w:szCs w:val="32"/>
        </w:rPr>
        <w:t>%</w:t>
      </w:r>
      <w:r>
        <w:rPr>
          <w:rFonts w:hint="eastAsia" w:ascii="仿宋" w:hAnsi="仿宋" w:eastAsia="仿宋"/>
          <w:color w:val="000000"/>
          <w:sz w:val="32"/>
          <w:szCs w:val="32"/>
        </w:rPr>
        <w:t>。</w:t>
      </w:r>
      <w:bookmarkEnd w:id="48"/>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p>
    <w:p>
      <w:pPr>
        <w:spacing w:line="600" w:lineRule="exact"/>
        <w:ind w:firstLine="640" w:firstLineChars="200"/>
        <w:rPr>
          <w:rFonts w:ascii="仿宋" w:hAnsi="仿宋" w:eastAsia="仿宋"/>
          <w:color w:val="000000"/>
          <w:sz w:val="32"/>
          <w:szCs w:val="32"/>
        </w:rPr>
      </w:pPr>
      <w:bookmarkStart w:id="49" w:name="_Toc15396606"/>
      <w:bookmarkStart w:id="50" w:name="_Toc15377208"/>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rPr>
          <w:rStyle w:val="19"/>
          <w:rFonts w:ascii="黑体" w:hAnsi="黑体" w:eastAsia="黑体"/>
          <w:b w:val="0"/>
        </w:rPr>
      </w:pPr>
      <w:r>
        <w:rPr>
          <w:rFonts w:hint="eastAsia" w:ascii="仿宋" w:hAnsi="仿宋" w:eastAsia="仿宋"/>
          <w:b/>
          <w:color w:val="FF0000"/>
          <w:sz w:val="32"/>
          <w:szCs w:val="32"/>
        </w:rPr>
        <w:drawing>
          <wp:anchor distT="0" distB="0" distL="114300" distR="114300" simplePos="0" relativeHeight="251660288" behindDoc="1" locked="0" layoutInCell="1" allowOverlap="1">
            <wp:simplePos x="0" y="0"/>
            <wp:positionH relativeFrom="column">
              <wp:posOffset>38100</wp:posOffset>
            </wp:positionH>
            <wp:positionV relativeFrom="paragraph">
              <wp:posOffset>314325</wp:posOffset>
            </wp:positionV>
            <wp:extent cx="5274310" cy="3076575"/>
            <wp:effectExtent l="0" t="0" r="21590" b="9525"/>
            <wp:wrapTight wrapText="bothSides">
              <wp:wrapPolygon>
                <wp:start x="0" y="0"/>
                <wp:lineTo x="0" y="21533"/>
                <wp:lineTo x="21610" y="21533"/>
                <wp:lineTo x="21610" y="0"/>
                <wp:lineTo x="0" y="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49"/>
      <w:bookmarkEnd w:id="50"/>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年财政拨款收入总计4824.78万元、支出总计4086.43万元。与</w:t>
      </w:r>
      <w:r>
        <w:rPr>
          <w:rFonts w:ascii="仿宋" w:hAnsi="仿宋" w:eastAsia="仿宋"/>
          <w:color w:val="000000"/>
          <w:sz w:val="32"/>
          <w:szCs w:val="32"/>
        </w:rPr>
        <w:t>2019</w:t>
      </w:r>
      <w:r>
        <w:rPr>
          <w:rFonts w:hint="eastAsia" w:ascii="仿宋" w:hAnsi="仿宋" w:eastAsia="仿宋"/>
          <w:color w:val="000000"/>
          <w:sz w:val="32"/>
          <w:szCs w:val="32"/>
        </w:rPr>
        <w:t>年相比，财政拨款收入增加1345.62万元，增长38.68 %，支出总计减少138.39万元，下降3.27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b/>
          <w:color w:val="FF0000"/>
          <w:sz w:val="32"/>
          <w:szCs w:val="32"/>
        </w:rPr>
        <w:t>（注：除国有资本经营预算外，数据来源于财决</w:t>
      </w:r>
      <w:r>
        <w:rPr>
          <w:rFonts w:ascii="仿宋" w:hAnsi="仿宋" w:eastAsia="仿宋"/>
          <w:b/>
          <w:color w:val="FF0000"/>
          <w:sz w:val="32"/>
          <w:szCs w:val="32"/>
        </w:rPr>
        <w:t>Z01-1</w:t>
      </w:r>
      <w:r>
        <w:rPr>
          <w:rFonts w:hint="eastAsia" w:ascii="仿宋" w:hAnsi="仿宋" w:eastAsia="仿宋"/>
          <w:b/>
          <w:color w:val="FF0000"/>
          <w:sz w:val="32"/>
          <w:szCs w:val="32"/>
        </w:rPr>
        <w:t>表，口径为“总计”数</w:t>
      </w:r>
      <w:r>
        <w:rPr>
          <w:rFonts w:ascii="仿宋" w:hAnsi="仿宋" w:eastAsia="仿宋"/>
          <w:b/>
          <w:color w:val="FF0000"/>
          <w:sz w:val="32"/>
          <w:szCs w:val="32"/>
        </w:rPr>
        <w:t>+</w:t>
      </w:r>
      <w:r>
        <w:rPr>
          <w:rFonts w:hint="eastAsia" w:ascii="仿宋" w:hAnsi="仿宋" w:eastAsia="仿宋"/>
          <w:b/>
          <w:color w:val="FF0000"/>
          <w:sz w:val="32"/>
          <w:szCs w:val="32"/>
        </w:rPr>
        <w:t>国有资本经营预算。）</w:t>
      </w:r>
    </w:p>
    <w:p>
      <w:pPr>
        <w:spacing w:line="600" w:lineRule="exact"/>
        <w:ind w:firstLine="640" w:firstLineChars="200"/>
        <w:rPr>
          <w:rFonts w:ascii="仿宋" w:hAnsi="仿宋" w:eastAsia="仿宋"/>
          <w:color w:val="000000"/>
          <w:sz w:val="32"/>
          <w:szCs w:val="32"/>
        </w:rPr>
      </w:pPr>
      <w:bookmarkStart w:id="51" w:name="_Toc15377209"/>
      <w:bookmarkStart w:id="52" w:name="_Toc15396607"/>
      <w:bookmarkStart w:id="53" w:name="_Toc83802813"/>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jc w:val="center"/>
        <w:outlineLvl w:val="1"/>
        <w:rPr>
          <w:rStyle w:val="19"/>
          <w:rFonts w:ascii="黑体" w:hAnsi="黑体" w:eastAsia="黑体"/>
          <w:b w:val="0"/>
        </w:rPr>
      </w:pPr>
      <w:r>
        <w:rPr>
          <w:rFonts w:hint="eastAsia" w:ascii="仿宋" w:hAnsi="仿宋" w:eastAsia="仿宋"/>
          <w:color w:val="000000"/>
          <w:sz w:val="32"/>
          <w:szCs w:val="32"/>
        </w:rPr>
        <w:drawing>
          <wp:anchor distT="0" distB="0" distL="114300" distR="114300" simplePos="0" relativeHeight="251661312" behindDoc="1" locked="0" layoutInCell="1" allowOverlap="1">
            <wp:simplePos x="0" y="0"/>
            <wp:positionH relativeFrom="column">
              <wp:posOffset>28575</wp:posOffset>
            </wp:positionH>
            <wp:positionV relativeFrom="paragraph">
              <wp:posOffset>180975</wp:posOffset>
            </wp:positionV>
            <wp:extent cx="5276850" cy="2752725"/>
            <wp:effectExtent l="0" t="0" r="19050" b="9525"/>
            <wp:wrapTight wrapText="bothSides">
              <wp:wrapPolygon>
                <wp:start x="0" y="0"/>
                <wp:lineTo x="0" y="21525"/>
                <wp:lineTo x="21600" y="21525"/>
                <wp:lineTo x="21600" y="0"/>
                <wp:lineTo x="0" y="0"/>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51"/>
      <w:bookmarkEnd w:id="52"/>
      <w:bookmarkEnd w:id="53"/>
    </w:p>
    <w:p>
      <w:pPr>
        <w:spacing w:line="600" w:lineRule="exact"/>
        <w:ind w:firstLine="640" w:firstLineChars="200"/>
        <w:outlineLvl w:val="2"/>
        <w:rPr>
          <w:rFonts w:ascii="仿宋" w:hAnsi="仿宋" w:eastAsia="仿宋"/>
          <w:b/>
          <w:color w:val="000000"/>
          <w:sz w:val="32"/>
          <w:szCs w:val="32"/>
        </w:rPr>
      </w:pPr>
      <w:bookmarkStart w:id="54" w:name="_Toc83802814"/>
      <w:bookmarkStart w:id="55" w:name="_Toc15377210"/>
      <w:r>
        <w:rPr>
          <w:rFonts w:hint="eastAsia" w:ascii="仿宋" w:hAnsi="仿宋" w:eastAsia="仿宋"/>
          <w:b/>
          <w:color w:val="000000"/>
          <w:sz w:val="32"/>
          <w:szCs w:val="32"/>
        </w:rPr>
        <w:t>（一）一般公共预算财政拨款支出决算总体情况</w:t>
      </w:r>
      <w:bookmarkEnd w:id="54"/>
      <w:bookmarkEnd w:id="55"/>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2336" behindDoc="1" locked="0" layoutInCell="1" allowOverlap="1">
            <wp:simplePos x="0" y="0"/>
            <wp:positionH relativeFrom="column">
              <wp:posOffset>28575</wp:posOffset>
            </wp:positionH>
            <wp:positionV relativeFrom="paragraph">
              <wp:posOffset>1628775</wp:posOffset>
            </wp:positionV>
            <wp:extent cx="5248275" cy="2886075"/>
            <wp:effectExtent l="0" t="0" r="9525" b="9525"/>
            <wp:wrapTight wrapText="bothSides">
              <wp:wrapPolygon>
                <wp:start x="0" y="0"/>
                <wp:lineTo x="0" y="21529"/>
                <wp:lineTo x="21561" y="21529"/>
                <wp:lineTo x="21561" y="0"/>
                <wp:lineTo x="0" y="0"/>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年一般公共预算财政拨款支出4086.43万元，占本年支出合计的99.99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年相比，一般公共预算财政拨款支出减少138.39万元，下降3.27</w:t>
      </w:r>
      <w:r>
        <w:rPr>
          <w:rFonts w:ascii="仿宋" w:hAnsi="仿宋" w:eastAsia="仿宋"/>
          <w:color w:val="000000"/>
          <w:sz w:val="32"/>
          <w:szCs w:val="32"/>
        </w:rPr>
        <w:t>%</w:t>
      </w:r>
      <w:r>
        <w:rPr>
          <w:rFonts w:hint="eastAsia" w:ascii="仿宋" w:hAnsi="仿宋" w:eastAsia="仿宋"/>
          <w:color w:val="000000"/>
          <w:sz w:val="32"/>
          <w:szCs w:val="32"/>
        </w:rPr>
        <w:t>。主要变动原因是两法庭修建项目因疫情影响工程进度导致延后支付。</w:t>
      </w:r>
    </w:p>
    <w:p>
      <w:pPr>
        <w:spacing w:line="600" w:lineRule="exact"/>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0" w:firstLineChars="200"/>
        <w:rPr>
          <w:rFonts w:ascii="仿宋" w:hAnsi="仿宋" w:eastAsia="仿宋"/>
          <w:b/>
          <w:color w:val="000000"/>
          <w:sz w:val="32"/>
          <w:szCs w:val="32"/>
        </w:rPr>
      </w:pPr>
      <w:r>
        <w:rPr>
          <w:rFonts w:ascii="仿宋" w:hAnsi="仿宋" w:eastAsia="仿宋"/>
          <w:color w:val="000000"/>
          <w:sz w:val="32"/>
          <w:szCs w:val="32"/>
        </w:rPr>
        <w:t xml:space="preserve"> </w:t>
      </w:r>
      <w:bookmarkStart w:id="56" w:name="_Toc15377211"/>
      <w:bookmarkStart w:id="57" w:name="_Toc83802815"/>
      <w:r>
        <w:rPr>
          <w:rFonts w:hint="eastAsia" w:ascii="仿宋" w:hAnsi="仿宋" w:eastAsia="仿宋"/>
          <w:b/>
          <w:color w:val="000000"/>
          <w:sz w:val="32"/>
          <w:szCs w:val="32"/>
        </w:rPr>
        <w:t>（二）一般公共预算财政拨款支出决算结构情况</w:t>
      </w:r>
      <w:bookmarkEnd w:id="56"/>
      <w:bookmarkEnd w:id="57"/>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3360" behindDoc="1" locked="0" layoutInCell="1" allowOverlap="1">
            <wp:simplePos x="0" y="0"/>
            <wp:positionH relativeFrom="column">
              <wp:posOffset>-66675</wp:posOffset>
            </wp:positionH>
            <wp:positionV relativeFrom="paragraph">
              <wp:posOffset>2771775</wp:posOffset>
            </wp:positionV>
            <wp:extent cx="5410200" cy="3038475"/>
            <wp:effectExtent l="0" t="0" r="19050" b="9525"/>
            <wp:wrapTight wrapText="bothSides">
              <wp:wrapPolygon>
                <wp:start x="0" y="0"/>
                <wp:lineTo x="0" y="21532"/>
                <wp:lineTo x="21600" y="21532"/>
                <wp:lineTo x="21600" y="0"/>
                <wp:lineTo x="0" y="0"/>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年一般公共预算财政拨款支出4086.43万元，主要用于以下方面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一般公共安全</w:t>
      </w:r>
      <w:r>
        <w:rPr>
          <w:rFonts w:hint="eastAsia" w:ascii="仿宋" w:hAnsi="仿宋" w:eastAsia="仿宋"/>
          <w:color w:val="000000"/>
          <w:sz w:val="32"/>
          <w:szCs w:val="32"/>
        </w:rPr>
        <w:t>支出3751.71万元，占91.81</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教育支出</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科学技术</w:t>
      </w:r>
      <w:r>
        <w:rPr>
          <w:rFonts w:hint="eastAsia" w:ascii="仿宋" w:hAnsi="仿宋" w:eastAsia="仿宋"/>
          <w:color w:val="000000"/>
          <w:sz w:val="32"/>
          <w:szCs w:val="32"/>
        </w:rPr>
        <w:t>支出0万元，占0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文化旅游体育与传媒</w:t>
      </w:r>
      <w:r>
        <w:rPr>
          <w:rFonts w:hint="eastAsia" w:ascii="仿宋" w:hAnsi="仿宋" w:eastAsia="仿宋"/>
          <w:bCs/>
          <w:color w:val="000000"/>
          <w:sz w:val="32"/>
          <w:szCs w:val="32"/>
        </w:rPr>
        <w:t>支出0万元，占0</w:t>
      </w:r>
      <w:r>
        <w:rPr>
          <w:rFonts w:ascii="仿宋" w:hAnsi="仿宋" w:eastAsia="仿宋"/>
          <w:bCs/>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w:t>
      </w:r>
      <w:r>
        <w:rPr>
          <w:rFonts w:hint="eastAsia" w:ascii="仿宋" w:hAnsi="仿宋" w:eastAsia="仿宋"/>
          <w:color w:val="000000"/>
          <w:sz w:val="32"/>
          <w:szCs w:val="32"/>
        </w:rPr>
        <w:t>支出175.16万元，占4.29</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color w:val="000000"/>
          <w:sz w:val="32"/>
          <w:szCs w:val="32"/>
        </w:rPr>
        <w:t>64.92万元，占1.59</w:t>
      </w:r>
      <w:r>
        <w:rPr>
          <w:rFonts w:ascii="仿宋" w:hAnsi="仿宋" w:eastAsia="仿宋"/>
          <w:color w:val="000000"/>
          <w:sz w:val="32"/>
          <w:szCs w:val="32"/>
        </w:rPr>
        <w:t>%</w:t>
      </w:r>
      <w:r>
        <w:rPr>
          <w:rFonts w:hint="eastAsia" w:ascii="仿宋" w:hAnsi="仿宋" w:eastAsia="仿宋"/>
          <w:color w:val="000000"/>
          <w:sz w:val="32"/>
          <w:szCs w:val="32"/>
        </w:rPr>
        <w:t>；住房保障支出94.14万元，占2.30</w:t>
      </w:r>
      <w:r>
        <w:rPr>
          <w:rFonts w:ascii="仿宋" w:hAnsi="仿宋" w:eastAsia="仿宋"/>
          <w:color w:val="000000"/>
          <w:sz w:val="32"/>
          <w:szCs w:val="32"/>
        </w:rPr>
        <w:t>%</w:t>
      </w:r>
      <w:r>
        <w:rPr>
          <w:rFonts w:hint="eastAsia" w:ascii="仿宋" w:hAnsi="仿宋" w:eastAsia="仿宋"/>
          <w:color w:val="000000"/>
          <w:sz w:val="32"/>
          <w:szCs w:val="32"/>
        </w:rPr>
        <w:t>；农业水支出（扶贫）0.5万元,占0.01 %。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outlineLvl w:val="2"/>
        <w:rPr>
          <w:rFonts w:ascii="仿宋" w:hAnsi="仿宋" w:eastAsia="仿宋"/>
          <w:b/>
          <w:color w:val="000000"/>
          <w:sz w:val="32"/>
          <w:szCs w:val="32"/>
        </w:rPr>
      </w:pPr>
      <w:bookmarkStart w:id="58" w:name="_Toc83802816"/>
      <w:bookmarkStart w:id="59" w:name="_Toc15377212"/>
      <w:r>
        <w:rPr>
          <w:rFonts w:hint="eastAsia" w:ascii="仿宋" w:hAnsi="仿宋" w:eastAsia="仿宋"/>
          <w:b/>
          <w:color w:val="000000"/>
          <w:sz w:val="32"/>
          <w:szCs w:val="32"/>
        </w:rPr>
        <w:t>（三）一般公共预算财政拨款支出决算具体情况</w:t>
      </w:r>
      <w:bookmarkEnd w:id="58"/>
      <w:bookmarkEnd w:id="59"/>
    </w:p>
    <w:p>
      <w:pPr>
        <w:spacing w:line="600" w:lineRule="exact"/>
        <w:ind w:firstLine="640" w:firstLineChars="200"/>
        <w:outlineLvl w:val="2"/>
        <w:rPr>
          <w:rFonts w:ascii="仿宋" w:hAnsi="仿宋" w:eastAsia="仿宋"/>
          <w:color w:val="FF0000"/>
          <w:sz w:val="32"/>
          <w:szCs w:val="32"/>
        </w:rPr>
      </w:pPr>
      <w:bookmarkStart w:id="60" w:name="_Toc15377213"/>
      <w:bookmarkStart w:id="61" w:name="_Toc15378460"/>
      <w:bookmarkStart w:id="62" w:name="_Toc15377444"/>
      <w:bookmarkStart w:id="63" w:name="_Toc83802817"/>
      <w:r>
        <w:rPr>
          <w:rFonts w:ascii="仿宋" w:hAnsi="仿宋" w:eastAsia="仿宋"/>
          <w:b/>
          <w:color w:val="000000"/>
          <w:sz w:val="32"/>
          <w:szCs w:val="32"/>
        </w:rPr>
        <w:t>2020</w:t>
      </w:r>
      <w:r>
        <w:rPr>
          <w:rFonts w:hint="eastAsia" w:ascii="仿宋" w:hAnsi="仿宋" w:eastAsia="仿宋"/>
          <w:b/>
          <w:color w:val="000000"/>
          <w:sz w:val="32"/>
          <w:szCs w:val="32"/>
        </w:rPr>
        <w:t>年一般公共预算财政拨款支出决算数为4086.43万元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完成预算84.70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60"/>
      <w:bookmarkEnd w:id="61"/>
      <w:bookmarkEnd w:id="62"/>
      <w:bookmarkEnd w:id="63"/>
    </w:p>
    <w:p>
      <w:pPr>
        <w:spacing w:line="600" w:lineRule="exact"/>
        <w:ind w:firstLine="640"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1.一般</w:t>
      </w:r>
      <w:r>
        <w:rPr>
          <w:rStyle w:val="15"/>
          <w:rFonts w:hint="eastAsia" w:ascii="仿宋" w:hAnsi="仿宋" w:eastAsia="仿宋"/>
          <w:bCs/>
          <w:color w:val="000000"/>
          <w:sz w:val="32"/>
          <w:szCs w:val="32"/>
        </w:rPr>
        <w:t>公共安全：</w:t>
      </w:r>
      <w:r>
        <w:rPr>
          <w:rStyle w:val="15"/>
          <w:rFonts w:hint="eastAsia" w:ascii="仿宋" w:hAnsi="仿宋" w:eastAsia="仿宋"/>
          <w:b w:val="0"/>
          <w:bCs/>
          <w:color w:val="000000"/>
          <w:sz w:val="32"/>
          <w:szCs w:val="32"/>
        </w:rPr>
        <w:t>支出决算为3751.71万元，完成预算83.56</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其中行政运行支出2011.96万元；一般行政管理事务支出1382.86万元；案件审判支出130万元；案件执行支出173.33万元；“两庭建设”支出0.01万元；其他公共安全支出53.55万元；决算数小于预算数的主要原因一是法庭修建资金按工程进度待支付；二是三类人员绩效奖励待支付。</w:t>
      </w:r>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教育</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支出决算为0万元，完成预算0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3.</w:t>
      </w:r>
      <w:r>
        <w:rPr>
          <w:rStyle w:val="15"/>
          <w:rFonts w:hint="eastAsia" w:ascii="仿宋" w:hAnsi="仿宋" w:eastAsia="仿宋"/>
          <w:bCs/>
          <w:color w:val="000000"/>
          <w:sz w:val="32"/>
          <w:szCs w:val="32"/>
        </w:rPr>
        <w:t>科学技术</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支出决算为0万元，完成预算0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Fonts w:ascii="仿宋" w:hAnsi="仿宋" w:eastAsia="仿宋"/>
          <w:b/>
          <w:color w:val="000000"/>
          <w:sz w:val="32"/>
          <w:szCs w:val="32"/>
        </w:rPr>
      </w:pPr>
      <w:r>
        <w:rPr>
          <w:rStyle w:val="15"/>
          <w:rFonts w:ascii="仿宋" w:hAnsi="仿宋" w:eastAsia="仿宋"/>
          <w:bCs/>
          <w:color w:val="000000"/>
          <w:sz w:val="32"/>
          <w:szCs w:val="32"/>
        </w:rPr>
        <w:t>4.</w:t>
      </w:r>
      <w:r>
        <w:rPr>
          <w:rStyle w:val="15"/>
          <w:rFonts w:hint="eastAsia" w:ascii="仿宋" w:hAnsi="仿宋" w:eastAsia="仿宋"/>
          <w:bCs/>
          <w:color w:val="000000"/>
          <w:sz w:val="32"/>
          <w:szCs w:val="32"/>
        </w:rPr>
        <w:t>文化旅游体育与传媒</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支出决算为0万元，完成预算0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支出决算为175.16万元，完成预算100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。其中养老保险缴费支出134.73万元；职业年金缴费支出7.89万元；死亡抚恤支出27.66万元；工伤、失业保障缴费4.89万元。决算数等于预算数。</w:t>
      </w:r>
    </w:p>
    <w:p>
      <w:pPr>
        <w:spacing w:line="600" w:lineRule="exact"/>
        <w:ind w:firstLine="640" w:firstLineChars="200"/>
        <w:rPr>
          <w:rFonts w:ascii="仿宋" w:hAnsi="仿宋" w:eastAsia="仿宋"/>
          <w:b/>
          <w:color w:val="000000"/>
          <w:sz w:val="32"/>
          <w:szCs w:val="32"/>
        </w:rPr>
      </w:pPr>
      <w:r>
        <w:rPr>
          <w:rStyle w:val="15"/>
          <w:rFonts w:hint="eastAsia" w:ascii="仿宋" w:hAnsi="仿宋" w:eastAsia="仿宋"/>
          <w:bCs/>
          <w:color w:val="000000"/>
          <w:sz w:val="32"/>
          <w:szCs w:val="32"/>
        </w:rPr>
        <w:t>6</w:t>
      </w:r>
      <w:r>
        <w:rPr>
          <w:rStyle w:val="15"/>
          <w:rFonts w:ascii="仿宋" w:hAnsi="仿宋" w:eastAsia="仿宋"/>
          <w:bCs/>
          <w:color w:val="000000"/>
          <w:sz w:val="32"/>
          <w:szCs w:val="32"/>
        </w:rPr>
        <w:t>.</w:t>
      </w:r>
      <w:r>
        <w:rPr>
          <w:rFonts w:hint="eastAsia" w:ascii="仿宋" w:hAnsi="仿宋" w:eastAsia="仿宋"/>
          <w:b/>
          <w:bCs/>
          <w:color w:val="000000"/>
          <w:sz w:val="32"/>
          <w:szCs w:val="32"/>
        </w:rPr>
        <w:t>卫生健康</w:t>
      </w:r>
      <w:r>
        <w:rPr>
          <w:rStyle w:val="15"/>
          <w:rFonts w:ascii="仿宋" w:hAnsi="仿宋" w:eastAsia="仿宋"/>
          <w:bCs/>
          <w:color w:val="000000"/>
          <w:sz w:val="32"/>
          <w:szCs w:val="32"/>
        </w:rPr>
        <w:t>:</w:t>
      </w:r>
      <w:r>
        <w:rPr>
          <w:rStyle w:val="15"/>
          <w:rFonts w:ascii="仿宋" w:hAnsi="仿宋" w:eastAsia="仿宋"/>
          <w:b w:val="0"/>
          <w:bCs/>
          <w:color w:val="000000"/>
          <w:sz w:val="32"/>
          <w:szCs w:val="32"/>
        </w:rPr>
        <w:t>行政单位医疗保障缴费</w:t>
      </w:r>
      <w:r>
        <w:rPr>
          <w:rStyle w:val="15"/>
          <w:rFonts w:hint="eastAsia" w:ascii="仿宋" w:hAnsi="仿宋" w:eastAsia="仿宋"/>
          <w:b w:val="0"/>
          <w:bCs/>
          <w:color w:val="000000"/>
          <w:sz w:val="32"/>
          <w:szCs w:val="32"/>
        </w:rPr>
        <w:t>支出决算为64.92万元，完成预算100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0" w:firstLineChars="200"/>
        <w:rPr>
          <w:rFonts w:ascii="仿宋" w:hAnsi="仿宋" w:eastAsia="仿宋"/>
          <w:b/>
          <w:color w:val="000000"/>
          <w:sz w:val="32"/>
          <w:szCs w:val="32"/>
        </w:rPr>
      </w:pPr>
      <w:r>
        <w:rPr>
          <w:rFonts w:hint="eastAsia" w:ascii="仿宋" w:hAnsi="仿宋" w:eastAsia="仿宋"/>
          <w:b/>
          <w:color w:val="000000"/>
          <w:sz w:val="32"/>
          <w:szCs w:val="32"/>
        </w:rPr>
        <w:t>7．住房保障：</w:t>
      </w:r>
      <w:r>
        <w:rPr>
          <w:rFonts w:hint="eastAsia" w:ascii="仿宋" w:hAnsi="仿宋" w:eastAsia="仿宋"/>
          <w:color w:val="000000"/>
          <w:sz w:val="32"/>
          <w:szCs w:val="32"/>
        </w:rPr>
        <w:t>住房公积金</w:t>
      </w:r>
      <w:r>
        <w:rPr>
          <w:rStyle w:val="15"/>
          <w:rFonts w:hint="eastAsia" w:ascii="仿宋" w:hAnsi="仿宋" w:eastAsia="仿宋"/>
          <w:b w:val="0"/>
          <w:bCs/>
          <w:color w:val="000000"/>
          <w:sz w:val="32"/>
          <w:szCs w:val="32"/>
        </w:rPr>
        <w:t>支出决算为94.14万元，完成预算100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0" w:firstLineChars="200"/>
        <w:rPr>
          <w:rStyle w:val="15"/>
          <w:rFonts w:hint="eastAsia" w:ascii="仿宋" w:hAnsi="仿宋" w:eastAsia="仿宋"/>
          <w:b w:val="0"/>
          <w:bCs/>
          <w:color w:val="000000"/>
          <w:sz w:val="32"/>
          <w:szCs w:val="32"/>
        </w:rPr>
      </w:pPr>
      <w:r>
        <w:rPr>
          <w:rFonts w:hint="eastAsia" w:ascii="仿宋" w:hAnsi="仿宋" w:eastAsia="仿宋"/>
          <w:b/>
          <w:color w:val="000000"/>
          <w:sz w:val="32"/>
          <w:szCs w:val="32"/>
        </w:rPr>
        <w:t>8.农业水</w:t>
      </w:r>
      <w:r>
        <w:rPr>
          <w:rFonts w:hint="eastAsia" w:ascii="仿宋" w:hAnsi="仿宋" w:eastAsia="仿宋"/>
          <w:color w:val="000000"/>
          <w:sz w:val="32"/>
          <w:szCs w:val="32"/>
        </w:rPr>
        <w:t>：扶贫</w:t>
      </w:r>
      <w:r>
        <w:rPr>
          <w:rStyle w:val="15"/>
          <w:rFonts w:hint="eastAsia" w:ascii="仿宋" w:hAnsi="仿宋" w:eastAsia="仿宋"/>
          <w:b w:val="0"/>
          <w:bCs/>
          <w:color w:val="000000"/>
          <w:sz w:val="32"/>
          <w:szCs w:val="32"/>
        </w:rPr>
        <w:t>支出决算为0.5万元，完成预算100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pPr>
        <w:spacing w:line="600" w:lineRule="exact"/>
        <w:ind w:firstLine="640"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tabs>
          <w:tab w:val="right" w:pos="8306"/>
        </w:tabs>
        <w:spacing w:line="600" w:lineRule="exact"/>
        <w:ind w:firstLine="640"/>
        <w:outlineLvl w:val="1"/>
        <w:rPr>
          <w:rStyle w:val="19"/>
        </w:rPr>
      </w:pPr>
      <w:bookmarkStart w:id="64" w:name="_Toc15396608"/>
      <w:bookmarkStart w:id="65" w:name="_Toc15377214"/>
      <w:bookmarkStart w:id="66" w:name="_Toc8380281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64"/>
      <w:bookmarkEnd w:id="65"/>
      <w:bookmarkEnd w:id="66"/>
      <w:r>
        <w:rPr>
          <w:rStyle w:val="19"/>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年一般公共预算财政拨款基本支出2346.21万元，其中：</w:t>
      </w:r>
    </w:p>
    <w:p>
      <w:pPr>
        <w:spacing w:line="600" w:lineRule="exact"/>
        <w:ind w:firstLine="645"/>
        <w:rPr>
          <w:rFonts w:hint="eastAsia" w:ascii="仿宋" w:hAnsi="仿宋" w:eastAsia="仿宋"/>
          <w:color w:val="000000"/>
          <w:sz w:val="32"/>
          <w:szCs w:val="32"/>
        </w:rPr>
      </w:pPr>
      <w:r>
        <w:rPr>
          <w:rFonts w:hint="eastAsia" w:ascii="仿宋" w:hAnsi="仿宋" w:eastAsia="仿宋"/>
          <w:color w:val="000000"/>
          <w:sz w:val="32"/>
          <w:szCs w:val="32"/>
        </w:rPr>
        <w:t>人员经费2135.35万元，主要包括：基本工资504.59万元、津贴补贴392.51万元、奖金626.96万元、绩效工资38.25万元、机关事业单位基本养老保险缴费134.73万元、职业年金缴费7.89万元、职工基本医疗保险缴费64.92万元、其他社会保障缴费49.16万元、其他工资福利105万元、抚恤金27.66万元、生活补助77.11万元、医疗费补助0.28万元、奖励金0.41万元、住房公积金105.88万元。</w:t>
      </w:r>
      <w:r>
        <w:rPr>
          <w:rFonts w:ascii="仿宋" w:hAnsi="仿宋" w:eastAsia="仿宋"/>
          <w:color w:val="000000"/>
          <w:sz w:val="32"/>
          <w:szCs w:val="32"/>
        </w:rPr>
        <w:br w:type="textWrapping"/>
      </w:r>
      <w:r>
        <w:rPr>
          <w:rFonts w:hint="eastAsia" w:ascii="仿宋" w:hAnsi="仿宋" w:eastAsia="仿宋"/>
          <w:color w:val="000000"/>
          <w:sz w:val="32"/>
          <w:szCs w:val="32"/>
        </w:rPr>
        <w:t>　　日常公用经费210.86万元，主要包括：办公费24.76万元、水费5.45万元、电费6.46万元、邮电费2.54万元、差旅费8.46万元、维修（护）费2.63万元、会议费0.91万元、培训费4.1万元、公务接待费2万元、劳务费5.70万元、工会7.86万元、福利费30.77万元、公务用车运行21.4万元、其他交通费83.86万元、其他商品和服务支出3.97万元。</w:t>
      </w:r>
    </w:p>
    <w:p>
      <w:pPr>
        <w:spacing w:line="600" w:lineRule="exact"/>
        <w:ind w:firstLine="645"/>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07</w:t>
      </w:r>
      <w:r>
        <w:rPr>
          <w:rFonts w:hint="eastAsia" w:ascii="仿宋" w:hAnsi="仿宋" w:eastAsia="仿宋"/>
          <w:b/>
          <w:color w:val="FF0000"/>
          <w:sz w:val="32"/>
          <w:szCs w:val="32"/>
        </w:rPr>
        <w:t>表，根据本部门实际支出情况罗列全部经济分类科目。）</w:t>
      </w:r>
    </w:p>
    <w:p>
      <w:pPr>
        <w:spacing w:line="600" w:lineRule="exact"/>
        <w:ind w:firstLine="640"/>
        <w:outlineLvl w:val="1"/>
        <w:rPr>
          <w:rStyle w:val="19"/>
          <w:rFonts w:ascii="黑体" w:hAnsi="黑体" w:eastAsia="黑体"/>
          <w:b w:val="0"/>
        </w:rPr>
      </w:pPr>
      <w:bookmarkStart w:id="67" w:name="_Toc15396609"/>
      <w:bookmarkStart w:id="68" w:name="_Toc15377215"/>
      <w:bookmarkStart w:id="69" w:name="_Toc83802819"/>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67"/>
      <w:bookmarkEnd w:id="68"/>
      <w:bookmarkEnd w:id="69"/>
    </w:p>
    <w:p>
      <w:pPr>
        <w:spacing w:line="600" w:lineRule="exact"/>
        <w:ind w:firstLine="640"/>
        <w:outlineLvl w:val="2"/>
        <w:rPr>
          <w:rFonts w:ascii="仿宋" w:hAnsi="仿宋" w:eastAsia="仿宋"/>
          <w:b/>
          <w:color w:val="000000"/>
          <w:sz w:val="32"/>
          <w:szCs w:val="32"/>
        </w:rPr>
      </w:pPr>
      <w:bookmarkStart w:id="70" w:name="_Toc15377216"/>
      <w:bookmarkStart w:id="71" w:name="_Toc83802820"/>
      <w:r>
        <w:rPr>
          <w:rFonts w:hint="eastAsia" w:ascii="仿宋" w:hAnsi="仿宋" w:eastAsia="仿宋"/>
          <w:b/>
          <w:color w:val="000000"/>
          <w:sz w:val="32"/>
          <w:szCs w:val="32"/>
        </w:rPr>
        <w:t>（一）“三公”经费财政拨款支出决算总体情况说明</w:t>
      </w:r>
      <w:bookmarkEnd w:id="70"/>
      <w:bookmarkEnd w:id="71"/>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年“三公”经费财政拨款支出决算为25.74万元，完成预算99.96</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，决算数小于预算数的主要原因是汽车燃油费降低。</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72" w:name="_Toc15377217"/>
      <w:bookmarkStart w:id="73" w:name="_Toc83802821"/>
      <w:r>
        <w:rPr>
          <w:rFonts w:hint="eastAsia" w:ascii="仿宋" w:hAnsi="仿宋" w:eastAsia="仿宋"/>
          <w:b/>
          <w:color w:val="000000"/>
          <w:sz w:val="32"/>
          <w:szCs w:val="32"/>
        </w:rPr>
        <w:t>（二）“三公”经费财政拨款支出决算具体情况说明</w:t>
      </w:r>
      <w:bookmarkEnd w:id="72"/>
      <w:bookmarkEnd w:id="73"/>
    </w:p>
    <w:p>
      <w:pPr>
        <w:spacing w:line="600" w:lineRule="exact"/>
        <w:ind w:firstLine="640"/>
        <w:outlineLvl w:val="2"/>
        <w:rPr>
          <w:rFonts w:hint="eastAsia" w:ascii="仿宋" w:hAnsi="仿宋" w:eastAsia="仿宋"/>
          <w:color w:val="000000"/>
          <w:sz w:val="32"/>
          <w:szCs w:val="32"/>
        </w:rPr>
      </w:pPr>
      <w:r>
        <w:rPr>
          <w:rFonts w:ascii="仿宋" w:hAnsi="仿宋" w:eastAsia="仿宋"/>
          <w:color w:val="000000"/>
          <w:sz w:val="32"/>
          <w:szCs w:val="32"/>
        </w:rPr>
        <w:drawing>
          <wp:anchor distT="0" distB="0" distL="114300" distR="114300" simplePos="0" relativeHeight="251664384" behindDoc="1" locked="0" layoutInCell="1" allowOverlap="1">
            <wp:simplePos x="0" y="0"/>
            <wp:positionH relativeFrom="column">
              <wp:posOffset>-104775</wp:posOffset>
            </wp:positionH>
            <wp:positionV relativeFrom="paragraph">
              <wp:posOffset>1609725</wp:posOffset>
            </wp:positionV>
            <wp:extent cx="5274310" cy="3076575"/>
            <wp:effectExtent l="0" t="0" r="21590" b="9525"/>
            <wp:wrapTight wrapText="bothSides">
              <wp:wrapPolygon>
                <wp:start x="0" y="0"/>
                <wp:lineTo x="0" y="21533"/>
                <wp:lineTo x="21610" y="21533"/>
                <wp:lineTo x="21610" y="0"/>
                <wp:lineTo x="0" y="0"/>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年“三公”经费财政拨款支出决算中，因公出国（境）费支出决算0.00万元；公务用车及运行维护费支出决算21.40万元，占83.14</w:t>
      </w:r>
      <w:r>
        <w:rPr>
          <w:rFonts w:ascii="仿宋" w:hAnsi="仿宋" w:eastAsia="仿宋"/>
          <w:color w:val="000000"/>
          <w:sz w:val="32"/>
          <w:szCs w:val="32"/>
        </w:rPr>
        <w:t>%</w:t>
      </w:r>
      <w:r>
        <w:rPr>
          <w:rFonts w:hint="eastAsia" w:ascii="仿宋" w:hAnsi="仿宋" w:eastAsia="仿宋"/>
          <w:color w:val="000000"/>
          <w:sz w:val="32"/>
          <w:szCs w:val="32"/>
        </w:rPr>
        <w:t>；公务接待费支出决算4.34万元，占16.86</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spacing w:line="600" w:lineRule="exact"/>
        <w:ind w:firstLine="640"/>
        <w:rPr>
          <w:rFonts w:ascii="仿宋" w:hAnsi="仿宋" w:eastAsia="仿宋"/>
          <w:b/>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因公出国（境）经费支出0万元。</w:t>
      </w:r>
    </w:p>
    <w:p>
      <w:pPr>
        <w:spacing w:line="600" w:lineRule="exact"/>
        <w:ind w:firstLine="640"/>
        <w:rPr>
          <w:rFonts w:ascii="仿宋_GB2312" w:eastAsia="仿宋_GB2312"/>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公务用车购置及运行维护费支出21.40万元</w:t>
      </w:r>
      <w:r>
        <w:rPr>
          <w:rFonts w:ascii="仿宋" w:hAnsi="仿宋" w:eastAsia="仿宋"/>
          <w:b/>
          <w:color w:val="000000"/>
          <w:sz w:val="32"/>
          <w:szCs w:val="32"/>
        </w:rPr>
        <w:t>,</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公务用车运行维护费支出决算比与</w:t>
      </w:r>
      <w:r>
        <w:rPr>
          <w:rFonts w:ascii="仿宋_GB2312" w:eastAsia="仿宋_GB2312"/>
          <w:color w:val="000000"/>
          <w:sz w:val="32"/>
          <w:szCs w:val="32"/>
        </w:rPr>
        <w:t>201</w:t>
      </w:r>
      <w:r>
        <w:rPr>
          <w:rFonts w:hint="eastAsia" w:ascii="仿宋_GB2312" w:eastAsia="仿宋_GB2312"/>
          <w:color w:val="000000"/>
          <w:sz w:val="32"/>
          <w:szCs w:val="32"/>
        </w:rPr>
        <w:t>9年持平。其中：</w:t>
      </w:r>
    </w:p>
    <w:p>
      <w:pPr>
        <w:spacing w:line="600" w:lineRule="exact"/>
        <w:ind w:firstLine="640" w:firstLineChars="200"/>
        <w:rPr>
          <w:rFonts w:ascii="仿宋_GB2312" w:eastAsia="仿宋_GB2312"/>
          <w:b/>
          <w:sz w:val="32"/>
          <w:szCs w:val="32"/>
        </w:rPr>
      </w:pPr>
      <w:r>
        <w:rPr>
          <w:rFonts w:hint="eastAsia" w:ascii="仿宋" w:hAnsi="仿宋" w:eastAsia="仿宋"/>
          <w:color w:val="000000"/>
          <w:sz w:val="32"/>
          <w:szCs w:val="32"/>
        </w:rPr>
        <w:t>其中：</w:t>
      </w:r>
      <w:r>
        <w:rPr>
          <w:rFonts w:hint="eastAsia" w:ascii="仿宋" w:hAnsi="仿宋" w:eastAsia="仿宋"/>
          <w:b/>
          <w:color w:val="000000"/>
          <w:sz w:val="32"/>
          <w:szCs w:val="32"/>
        </w:rPr>
        <w:t>公务用车购置支出0万元。</w:t>
      </w:r>
      <w:r>
        <w:rPr>
          <w:rFonts w:hint="eastAsia" w:ascii="仿宋_GB2312" w:eastAsia="仿宋_GB2312"/>
          <w:color w:val="000000"/>
          <w:sz w:val="32"/>
          <w:szCs w:val="32"/>
        </w:rPr>
        <w:t>全年按规定更新购置公务用车0辆，其中：轿车0辆、金额0万元，越野车0辆、金额0万元，载客汽车0辆、金额0万元。截至</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月底，单位共有公务用车22辆，</w:t>
      </w:r>
      <w:r>
        <w:rPr>
          <w:rFonts w:hint="eastAsia" w:ascii="仿宋_GB2312" w:eastAsia="仿宋_GB2312"/>
          <w:sz w:val="32"/>
          <w:szCs w:val="32"/>
        </w:rPr>
        <w:t>其中：轿车15辆、越野车5辆、载客汽车2辆。</w:t>
      </w:r>
    </w:p>
    <w:p>
      <w:pPr>
        <w:spacing w:line="600" w:lineRule="exact"/>
        <w:ind w:firstLine="640"/>
        <w:rPr>
          <w:rFonts w:ascii="仿宋_GB2312" w:eastAsia="仿宋_GB2312"/>
          <w:b/>
          <w:color w:val="000000"/>
          <w:sz w:val="32"/>
          <w:szCs w:val="32"/>
        </w:rPr>
      </w:pPr>
      <w:r>
        <w:rPr>
          <w:rFonts w:hint="eastAsia" w:ascii="仿宋" w:hAnsi="仿宋" w:eastAsia="仿宋"/>
          <w:b/>
          <w:color w:val="000000"/>
          <w:sz w:val="32"/>
          <w:szCs w:val="32"/>
        </w:rPr>
        <w:t>公务用车运行维护费支出21.40万元，</w:t>
      </w:r>
      <w:r>
        <w:rPr>
          <w:rFonts w:hint="eastAsia" w:ascii="仿宋_GB2312" w:eastAsia="仿宋_GB2312"/>
          <w:color w:val="000000"/>
          <w:sz w:val="32"/>
          <w:szCs w:val="32"/>
        </w:rPr>
        <w:t>主要用于公务用车运行所需的燃料费、维修费、过路过桥费、保险费等支出。</w:t>
      </w:r>
    </w:p>
    <w:p>
      <w:pPr>
        <w:spacing w:line="600" w:lineRule="exact"/>
        <w:ind w:firstLine="640"/>
        <w:rPr>
          <w:rFonts w:ascii="仿宋_GB2312" w:eastAsia="仿宋_GB2312"/>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公务接待费支出4.34万元，</w:t>
      </w:r>
      <w:r>
        <w:rPr>
          <w:rStyle w:val="15"/>
          <w:rFonts w:hint="eastAsia" w:ascii="仿宋" w:hAnsi="仿宋" w:eastAsia="仿宋"/>
          <w:b w:val="0"/>
          <w:bCs/>
          <w:color w:val="000000"/>
          <w:sz w:val="32"/>
          <w:szCs w:val="32"/>
        </w:rPr>
        <w:t>完成预算99.77</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2019</w:t>
      </w:r>
      <w:r>
        <w:rPr>
          <w:rFonts w:hint="eastAsia" w:ascii="仿宋_GB2312" w:eastAsia="仿宋_GB2312"/>
          <w:color w:val="000000"/>
          <w:sz w:val="32"/>
          <w:szCs w:val="32"/>
        </w:rPr>
        <w:t>年减少0.02万元，下降0.04</w:t>
      </w:r>
      <w:r>
        <w:rPr>
          <w:rFonts w:ascii="仿宋_GB2312" w:eastAsia="仿宋_GB2312"/>
          <w:color w:val="000000"/>
          <w:sz w:val="32"/>
          <w:szCs w:val="32"/>
        </w:rPr>
        <w:t>%</w:t>
      </w:r>
      <w:r>
        <w:rPr>
          <w:rFonts w:hint="eastAsia" w:ascii="仿宋_GB2312" w:eastAsia="仿宋_GB2312"/>
          <w:color w:val="000000"/>
          <w:sz w:val="32"/>
          <w:szCs w:val="32"/>
        </w:rPr>
        <w:t>。主要原因是接待次数减少。其中：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国内公务接待支出4.34万元，</w:t>
      </w:r>
      <w:r>
        <w:rPr>
          <w:rFonts w:hint="eastAsia" w:ascii="仿宋_GB2312" w:eastAsia="仿宋_GB2312"/>
          <w:color w:val="000000"/>
          <w:sz w:val="32"/>
          <w:szCs w:val="32"/>
        </w:rPr>
        <w:t>主要用于执行公务、开展业务活动开支的交通费、住宿费、用餐费等。国内公务接待27批次，525人次，共计支出4.34万元。</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外事接待支出0万元，</w:t>
      </w:r>
      <w:r>
        <w:rPr>
          <w:rFonts w:hint="eastAsia" w:ascii="仿宋_GB2312" w:eastAsia="仿宋_GB2312"/>
          <w:color w:val="000000"/>
          <w:sz w:val="32"/>
          <w:szCs w:val="32"/>
        </w:rPr>
        <w:t>外事接待0批次，0人，共计支出0万元</w:t>
      </w:r>
    </w:p>
    <w:p>
      <w:pPr>
        <w:spacing w:line="600" w:lineRule="exact"/>
        <w:ind w:firstLine="640"/>
        <w:outlineLvl w:val="1"/>
        <w:rPr>
          <w:rStyle w:val="19"/>
          <w:rFonts w:ascii="黑体" w:hAnsi="黑体" w:eastAsia="黑体"/>
        </w:rPr>
      </w:pPr>
      <w:bookmarkStart w:id="74" w:name="_Toc15396610"/>
      <w:bookmarkStart w:id="75" w:name="_Toc15377218"/>
      <w:bookmarkStart w:id="76" w:name="_Toc83802822"/>
      <w:r>
        <w:rPr>
          <w:rFonts w:hint="eastAsia" w:ascii="黑体" w:eastAsia="黑体"/>
          <w:color w:val="000000"/>
          <w:sz w:val="32"/>
          <w:szCs w:val="32"/>
        </w:rPr>
        <w:t>八、</w:t>
      </w:r>
      <w:r>
        <w:rPr>
          <w:rStyle w:val="19"/>
          <w:rFonts w:hint="eastAsia" w:ascii="黑体" w:hAnsi="黑体" w:eastAsia="黑体"/>
          <w:b w:val="0"/>
        </w:rPr>
        <w:t>政府性基金预算支出决算情况说明</w:t>
      </w:r>
      <w:bookmarkEnd w:id="74"/>
      <w:bookmarkEnd w:id="75"/>
      <w:bookmarkEnd w:id="76"/>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年政府性基金预算拨款支出0万元。</w:t>
      </w:r>
    </w:p>
    <w:p>
      <w:pPr>
        <w:numPr>
          <w:ilvl w:val="0"/>
          <w:numId w:val="4"/>
        </w:numPr>
        <w:spacing w:line="600" w:lineRule="exact"/>
        <w:ind w:firstLine="640"/>
        <w:outlineLvl w:val="1"/>
        <w:rPr>
          <w:rStyle w:val="19"/>
          <w:rFonts w:ascii="黑体" w:hAnsi="黑体" w:eastAsia="黑体"/>
          <w:b w:val="0"/>
        </w:rPr>
      </w:pPr>
      <w:bookmarkStart w:id="77" w:name="_Toc15377219"/>
      <w:bookmarkStart w:id="78" w:name="_Toc15396611"/>
      <w:bookmarkStart w:id="79" w:name="_Toc83802823"/>
      <w:r>
        <w:rPr>
          <w:rStyle w:val="19"/>
          <w:rFonts w:hint="eastAsia" w:ascii="黑体" w:hAnsi="黑体" w:eastAsia="黑体"/>
          <w:b w:val="0"/>
        </w:rPr>
        <w:t>国有资本经营预算支出决算情况说明</w:t>
      </w:r>
      <w:bookmarkEnd w:id="77"/>
      <w:bookmarkEnd w:id="78"/>
      <w:bookmarkEnd w:id="7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年国有资本经营预算拨款支出0万元。</w:t>
      </w:r>
      <w:bookmarkStart w:id="80" w:name="_Toc15396612"/>
      <w:bookmarkStart w:id="81" w:name="_Toc15377221"/>
    </w:p>
    <w:p>
      <w:pPr>
        <w:numPr>
          <w:ilvl w:val="0"/>
          <w:numId w:val="4"/>
        </w:numPr>
        <w:spacing w:line="600" w:lineRule="exact"/>
        <w:ind w:firstLine="640"/>
        <w:outlineLvl w:val="1"/>
        <w:rPr>
          <w:rStyle w:val="19"/>
          <w:rFonts w:ascii="黑体" w:hAnsi="黑体" w:eastAsia="黑体"/>
          <w:b w:val="0"/>
        </w:rPr>
      </w:pPr>
      <w:bookmarkStart w:id="82" w:name="_Toc83802824"/>
      <w:r>
        <w:rPr>
          <w:rStyle w:val="19"/>
          <w:rFonts w:hint="eastAsia" w:ascii="黑体" w:hAnsi="黑体" w:eastAsia="黑体"/>
          <w:b w:val="0"/>
        </w:rPr>
        <w:t>其他重要事项的情况说明</w:t>
      </w:r>
      <w:bookmarkEnd w:id="80"/>
      <w:bookmarkEnd w:id="81"/>
      <w:bookmarkEnd w:id="82"/>
    </w:p>
    <w:p>
      <w:pPr>
        <w:spacing w:line="600" w:lineRule="exact"/>
        <w:ind w:firstLine="640" w:firstLineChars="200"/>
        <w:outlineLvl w:val="2"/>
        <w:rPr>
          <w:rFonts w:ascii="仿宋" w:hAnsi="仿宋" w:eastAsia="仿宋"/>
          <w:color w:val="000000"/>
          <w:sz w:val="32"/>
          <w:szCs w:val="32"/>
        </w:rPr>
      </w:pPr>
      <w:bookmarkStart w:id="83" w:name="_Toc15377222"/>
      <w:bookmarkStart w:id="84" w:name="_Toc83802825"/>
      <w:r>
        <w:rPr>
          <w:rFonts w:hint="eastAsia" w:ascii="仿宋" w:hAnsi="仿宋" w:eastAsia="仿宋"/>
          <w:b/>
          <w:color w:val="000000"/>
          <w:sz w:val="32"/>
          <w:szCs w:val="32"/>
        </w:rPr>
        <w:t>（一）机关运行经费支出情况</w:t>
      </w:r>
      <w:bookmarkEnd w:id="83"/>
      <w:bookmarkEnd w:id="84"/>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年，法院机关运行经费支出210.86万元，比</w:t>
      </w:r>
      <w:r>
        <w:rPr>
          <w:rFonts w:ascii="仿宋_GB2312" w:eastAsia="仿宋_GB2312"/>
          <w:color w:val="000000"/>
          <w:sz w:val="32"/>
          <w:szCs w:val="32"/>
        </w:rPr>
        <w:t>2019</w:t>
      </w:r>
      <w:r>
        <w:rPr>
          <w:rFonts w:hint="eastAsia" w:ascii="仿宋_GB2312" w:eastAsia="仿宋_GB2312"/>
          <w:color w:val="000000"/>
          <w:sz w:val="32"/>
          <w:szCs w:val="32"/>
        </w:rPr>
        <w:t>减少111.55万元，下降34.60</w:t>
      </w:r>
      <w:r>
        <w:rPr>
          <w:rFonts w:ascii="仿宋_GB2312" w:eastAsia="仿宋_GB2312"/>
          <w:color w:val="000000"/>
          <w:sz w:val="32"/>
          <w:szCs w:val="32"/>
        </w:rPr>
        <w:t>%</w:t>
      </w:r>
      <w:r>
        <w:rPr>
          <w:rFonts w:hint="eastAsia" w:ascii="仿宋_GB2312" w:eastAsia="仿宋_GB2312"/>
          <w:color w:val="000000"/>
          <w:sz w:val="32"/>
          <w:szCs w:val="32"/>
        </w:rPr>
        <w:t>。主要原因是当年在岗人员减少3人，再者是加强日常经费的管理（主要减少项目是：办公费30.90万元；物业费37.91万元；差旅费13.96万元；维修费12.7万元；租赁费3.7万元；劳务费减少11.40万元；其他商品0.98万元），</w:t>
      </w:r>
    </w:p>
    <w:p>
      <w:pPr>
        <w:spacing w:line="600" w:lineRule="exact"/>
        <w:ind w:firstLine="640"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85" w:name="_Toc15377223"/>
      <w:bookmarkStart w:id="86" w:name="_Toc83802826"/>
      <w:r>
        <w:rPr>
          <w:rFonts w:hint="eastAsia" w:ascii="仿宋" w:hAnsi="仿宋" w:eastAsia="仿宋"/>
          <w:b/>
          <w:color w:val="000000"/>
          <w:sz w:val="32"/>
          <w:szCs w:val="32"/>
        </w:rPr>
        <w:t>（二）政府采购支出情况</w:t>
      </w:r>
      <w:bookmarkEnd w:id="85"/>
      <w:bookmarkEnd w:id="86"/>
    </w:p>
    <w:p>
      <w:pPr>
        <w:spacing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年，法院</w:t>
      </w:r>
      <w:r>
        <w:rPr>
          <w:rFonts w:ascii="仿宋_GB2312" w:eastAsia="仿宋_GB2312"/>
          <w:color w:val="000000"/>
          <w:sz w:val="32"/>
          <w:szCs w:val="32"/>
        </w:rPr>
        <w:t>政府</w:t>
      </w:r>
      <w:r>
        <w:rPr>
          <w:rFonts w:hint="eastAsia" w:ascii="仿宋_GB2312" w:eastAsia="仿宋_GB2312"/>
          <w:color w:val="000000"/>
          <w:sz w:val="32"/>
          <w:szCs w:val="32"/>
        </w:rPr>
        <w:t>采购支出总额162.96万元，其中：政府采购货物支出162.96万元，占政府采购支出总额的100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。政府采购工程支出0万元、政府采购服务支出0万元。授予中小企业合同金额0万元，占政府采购支出总额的0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87" w:name="_Toc83802827"/>
      <w:bookmarkStart w:id="88" w:name="_Toc15377224"/>
      <w:r>
        <w:rPr>
          <w:rFonts w:hint="eastAsia" w:ascii="仿宋" w:hAnsi="仿宋" w:eastAsia="仿宋"/>
          <w:b/>
          <w:color w:val="000000"/>
          <w:sz w:val="32"/>
          <w:szCs w:val="32"/>
        </w:rPr>
        <w:t>（三）国有资产占有使用情况</w:t>
      </w:r>
      <w:bookmarkEnd w:id="87"/>
      <w:bookmarkEnd w:id="88"/>
    </w:p>
    <w:p>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日，法院共有车辆22辆，其中：主要领导干部用车0辆、机要通信用车0辆、应急保障用车0辆、其他用车22辆（一般执法执勤用车14辆，特种专用技术用车8辆）。其他用车主要是用于审判、执行办案工作。单价</w:t>
      </w:r>
      <w:r>
        <w:rPr>
          <w:rFonts w:ascii="仿宋_GB2312" w:eastAsia="仿宋_GB2312"/>
          <w:sz w:val="32"/>
          <w:szCs w:val="32"/>
        </w:rPr>
        <w:t>50</w:t>
      </w:r>
      <w:r>
        <w:rPr>
          <w:rFonts w:hint="eastAsia" w:ascii="仿宋_GB2312" w:eastAsia="仿宋_GB2312"/>
          <w:sz w:val="32"/>
          <w:szCs w:val="32"/>
        </w:rPr>
        <w:t>万元以上通用设备0台，单价</w:t>
      </w:r>
      <w:r>
        <w:rPr>
          <w:rFonts w:ascii="仿宋_GB2312" w:eastAsia="仿宋_GB2312"/>
          <w:sz w:val="32"/>
          <w:szCs w:val="32"/>
        </w:rPr>
        <w:t>100</w:t>
      </w:r>
      <w:r>
        <w:rPr>
          <w:rFonts w:hint="eastAsia" w:ascii="仿宋_GB2312" w:eastAsia="仿宋_GB2312"/>
          <w:sz w:val="32"/>
          <w:szCs w:val="32"/>
        </w:rPr>
        <w:t>万元以上专用设备0台。</w:t>
      </w:r>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0" w:firstLineChars="200"/>
        <w:jc w:val="left"/>
        <w:outlineLvl w:val="2"/>
        <w:rPr>
          <w:rFonts w:ascii="仿宋" w:hAnsi="仿宋" w:eastAsia="仿宋"/>
          <w:b/>
          <w:color w:val="000000"/>
          <w:sz w:val="32"/>
          <w:szCs w:val="32"/>
        </w:rPr>
      </w:pPr>
      <w:bookmarkStart w:id="89" w:name="_Toc83802828"/>
      <w:r>
        <w:rPr>
          <w:rFonts w:hint="eastAsia" w:ascii="仿宋" w:hAnsi="仿宋" w:eastAsia="仿宋"/>
          <w:b/>
          <w:color w:val="000000"/>
          <w:sz w:val="32"/>
          <w:szCs w:val="32"/>
        </w:rPr>
        <w:t>（四）预算绩效管理情况。</w:t>
      </w:r>
      <w:bookmarkEnd w:id="89"/>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根据预算绩效管理要求，法院在年初预算编制阶段，组织对“法院服装费”、“司法救助金”、“案件执行业务费、扫黑除恶经费”、“案件审判业务费”、“陪审员工作”、“购买社会劳动力”、“涉诉维稳</w:t>
      </w:r>
      <w:r>
        <w:rPr>
          <w:rFonts w:ascii="仿宋_GB2312" w:hAnsi="仿宋_GB2312" w:eastAsia="仿宋_GB2312" w:cs="仿宋_GB2312"/>
          <w:sz w:val="32"/>
          <w:szCs w:val="32"/>
        </w:rPr>
        <w:t>信访</w:t>
      </w:r>
      <w:r>
        <w:rPr>
          <w:rFonts w:hint="eastAsia" w:ascii="仿宋_GB2312" w:hAnsi="仿宋_GB2312" w:eastAsia="仿宋_GB2312" w:cs="仿宋_GB2312"/>
          <w:sz w:val="32"/>
          <w:szCs w:val="32"/>
        </w:rPr>
        <w:t>”、“大调解工作”、“编内自收自支20人工资”、“司法鉴定、翻译费、收监人员体检费”等项目开展了预算事前绩效评估，对10个项目编制了绩效目标，预算执行过程中，选取5个项目开展绩效监控，年终执行完毕后，对5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开展绩效自评，从评价情况来看，做到了依法履行审判、执行职责，积极服务改革发展稳定大局；践行司法为民宗旨，更好满足人民群众多元化司法需求；推进过硬队伍建设，全面提升公正司法能力。本部门还自行组织了5个项目支出绩效评价，从评价情况来看，严格遵守各项财经纪律和财务管理制度规定，资金拨付有完整的审批程序和手续，支出符合部门预算批复的用途，无截留、挤占、挪用、虚列支出等情况。</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项目绩效目标完成情况。</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年度部门决算中反映了“司法救助金”、 “陪审员工作”、“购买社会劳动力”、“涉诉维稳</w:t>
      </w:r>
      <w:r>
        <w:rPr>
          <w:rFonts w:ascii="仿宋_GB2312" w:hAnsi="仿宋_GB2312" w:eastAsia="仿宋_GB2312" w:cs="仿宋_GB2312"/>
          <w:sz w:val="32"/>
          <w:szCs w:val="32"/>
        </w:rPr>
        <w:t>信访</w:t>
      </w:r>
      <w:r>
        <w:rPr>
          <w:rFonts w:hint="eastAsia" w:ascii="仿宋_GB2312" w:hAnsi="仿宋_GB2312" w:eastAsia="仿宋_GB2312" w:cs="仿宋_GB2312"/>
          <w:sz w:val="32"/>
          <w:szCs w:val="32"/>
        </w:rPr>
        <w:t>”、“大调解工作”等5个项目绩效目标实际完成情况。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）“司法救助金”项目绩效目标完成情况综述。项目全年预算数33万元，执行数为53.3万元，完成预算的161.5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。通过项目实施，保障了弱势群体的有效维护，体现了司法人文关怀。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）“陪审员工作”项目绩效目标完成情况综述。项目全年预算数70万元，执行数为71.28万元，完成预算的101.83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人民陪审员工作经费，提升了社会参与度。需要解决的主要问题是司法改革过程中为严格执行陪审员相关规定，保障人员配比，我院陪审员人数为123人，实际支出费用超出预算费用1.28万元。下一步改进措施为调整年初预算数，做到合理预算，保障经费使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）“购买社会劳动力”项目绩效目标完成情况综述。项目年初预算数210万元（按60人，3.5万元/人.年测算），执行数为210万元，完成预算的100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基本保障了购买社会劳动力的人员工资。存在的主要问题一是现有劳务外聘人员132名，其中42名的人员工资及工作经费未纳入预算，二是90名劳务外聘人员的工作经费未纳入年初预算。仅仅是法院非税收缴情况至年末争取经费来弥补经费不足。下一步改进措施为劳务外聘人员费用全部纳入年初预算，保障法院日常工作的正常运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（4）“涉诉维稳</w:t>
      </w:r>
      <w:r>
        <w:rPr>
          <w:rFonts w:ascii="仿宋_GB2312" w:hAnsi="仿宋_GB2312" w:eastAsia="仿宋_GB2312" w:cs="仿宋_GB2312"/>
          <w:sz w:val="32"/>
          <w:szCs w:val="32"/>
        </w:rPr>
        <w:t>信访</w:t>
      </w:r>
      <w:r>
        <w:rPr>
          <w:rFonts w:hint="eastAsia" w:ascii="仿宋_GB2312" w:hAnsi="仿宋_GB2312" w:eastAsia="仿宋_GB2312" w:cs="仿宋_GB2312"/>
          <w:sz w:val="32"/>
          <w:szCs w:val="32"/>
        </w:rPr>
        <w:t>”项目绩效目标完成情况综述。项目全年预算数30万元，执行数为30万元，完成预算的100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。通过项目实施，保障法院涉诉维稳信访案件排查及化解工作开展，维护法律尊严和社会稳定，保护当事人合法权益，实现法治建设目标。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（5）“大调解工作”项目绩效目标完成情况综述。项目全年预算数30万元，执行数为30万元，完成预算的100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。通过项目实施，保障“大调解”工作进行，体现法院调解职能，保护当事人合法权益，加大法制宣传，促进广大人民群众懂法、守法。</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13"/>
        <w:tblpPr w:leftFromText="180" w:rightFromText="180" w:vertAnchor="text" w:horzAnchor="margin" w:tblpXSpec="center" w:tblpY="159"/>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司法救助金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广元市利州区人民法院</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53.3万元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33万元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53.3万元</w:t>
            </w:r>
          </w:p>
        </w:tc>
      </w:tr>
      <w:tr>
        <w:tblPrEx>
          <w:tblCellMar>
            <w:top w:w="0" w:type="dxa"/>
            <w:left w:w="0" w:type="dxa"/>
            <w:bottom w:w="0" w:type="dxa"/>
            <w:right w:w="0" w:type="dxa"/>
          </w:tblCellMar>
        </w:tblPrEx>
        <w:trPr>
          <w:trHeight w:val="1046"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0万元</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93"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确保保障有效维护弱势群体</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有效维护弱势群体</w:t>
            </w:r>
          </w:p>
        </w:tc>
      </w:tr>
      <w:tr>
        <w:tblPrEx>
          <w:tblCellMar>
            <w:top w:w="0" w:type="dxa"/>
            <w:left w:w="0" w:type="dxa"/>
            <w:bottom w:w="0" w:type="dxa"/>
            <w:right w:w="0" w:type="dxa"/>
          </w:tblCellMar>
        </w:tblPrEx>
        <w:trPr>
          <w:trHeight w:val="1042" w:hRule="atLeast"/>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w:t>
            </w:r>
          </w:p>
          <w:p>
            <w:pPr>
              <w:widowControl/>
              <w:jc w:val="center"/>
              <w:textAlignment w:val="center"/>
              <w:rPr>
                <w:rFonts w:ascii="宋体" w:cs="宋体"/>
                <w:color w:val="000000"/>
                <w:sz w:val="24"/>
              </w:rPr>
            </w:pPr>
            <w:r>
              <w:rPr>
                <w:rFonts w:hint="eastAsia" w:ascii="宋体" w:hAnsi="宋体" w:cs="宋体"/>
                <w:color w:val="000000"/>
                <w:kern w:val="0"/>
                <w:sz w:val="24"/>
                <w:lang w:bidi="ar"/>
              </w:rPr>
              <w:t>指标</w:t>
            </w:r>
          </w:p>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司法救助人员数量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≥35人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33人</w:t>
            </w:r>
          </w:p>
        </w:tc>
      </w:tr>
      <w:tr>
        <w:tblPrEx>
          <w:tblCellMar>
            <w:top w:w="0" w:type="dxa"/>
            <w:left w:w="0" w:type="dxa"/>
            <w:bottom w:w="0" w:type="dxa"/>
            <w:right w:w="0" w:type="dxa"/>
          </w:tblCellMar>
        </w:tblPrEx>
        <w:trPr>
          <w:trHeight w:val="1297"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有法定理由须救助的对象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有法定理由须救助的对象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有法定理由须救助的对象</w:t>
            </w:r>
          </w:p>
        </w:tc>
      </w:tr>
      <w:tr>
        <w:tblPrEx>
          <w:tblCellMar>
            <w:top w:w="0" w:type="dxa"/>
            <w:left w:w="0" w:type="dxa"/>
            <w:bottom w:w="0" w:type="dxa"/>
            <w:right w:w="0" w:type="dxa"/>
          </w:tblCellMar>
        </w:tblPrEx>
        <w:trPr>
          <w:trHeight w:val="1042"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r>
        <w:tblPrEx>
          <w:tblCellMar>
            <w:top w:w="0" w:type="dxa"/>
            <w:left w:w="0" w:type="dxa"/>
            <w:bottom w:w="0" w:type="dxa"/>
            <w:right w:w="0" w:type="dxa"/>
          </w:tblCellMar>
        </w:tblPrEx>
        <w:trPr>
          <w:trHeight w:val="1042"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有效维护弱势群体</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有效维护弱势群体</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r>
        <w:tblPrEx>
          <w:tblCellMar>
            <w:top w:w="0" w:type="dxa"/>
            <w:left w:w="0" w:type="dxa"/>
            <w:bottom w:w="0" w:type="dxa"/>
            <w:right w:w="0" w:type="dxa"/>
          </w:tblCellMar>
        </w:tblPrEx>
        <w:trPr>
          <w:trHeight w:val="1297"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维护社会稳定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维护社会稳定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r>
        <w:tblPrEx>
          <w:tblCellMar>
            <w:top w:w="0" w:type="dxa"/>
            <w:left w:w="0" w:type="dxa"/>
            <w:bottom w:w="0" w:type="dxa"/>
            <w:right w:w="0" w:type="dxa"/>
          </w:tblCellMar>
        </w:tblPrEx>
        <w:trPr>
          <w:trHeight w:val="1050" w:hRule="atLeast"/>
        </w:trPr>
        <w:tc>
          <w:tcPr>
            <w:tcW w:w="7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司法人文关怀</w:t>
            </w:r>
            <w:r>
              <w:rPr>
                <w:rFonts w:hint="eastAsia" w:ascii="宋体" w:cs="宋体"/>
                <w:color w:val="000000"/>
                <w:sz w:val="24"/>
              </w:rPr>
              <w:t>，</w:t>
            </w:r>
            <w:r>
              <w:rPr>
                <w:rFonts w:ascii="宋体" w:cs="宋体"/>
                <w:color w:val="000000"/>
                <w:sz w:val="24"/>
              </w:rPr>
              <w:t>救助对象满意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司法人文关怀</w:t>
            </w:r>
            <w:r>
              <w:rPr>
                <w:rFonts w:hint="eastAsia" w:ascii="宋体" w:cs="宋体"/>
                <w:color w:val="000000"/>
                <w:sz w:val="24"/>
              </w:rPr>
              <w:t>，</w:t>
            </w:r>
            <w:r>
              <w:rPr>
                <w:rFonts w:ascii="宋体" w:cs="宋体"/>
                <w:color w:val="000000"/>
                <w:sz w:val="24"/>
              </w:rPr>
              <w:t>救助对象满意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bl>
    <w:p/>
    <w:tbl>
      <w:tblPr>
        <w:tblStyle w:val="13"/>
        <w:tblpPr w:leftFromText="180" w:rightFromText="180" w:vertAnchor="text" w:horzAnchor="margin" w:tblpXSpec="center" w:tblpY="48"/>
        <w:tblOverlap w:val="never"/>
        <w:tblW w:w="9960" w:type="dxa"/>
        <w:tblInd w:w="0" w:type="dxa"/>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陪审员工作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广元市利州区人民法院</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70万元</w:t>
            </w:r>
          </w:p>
        </w:tc>
      </w:tr>
      <w:tr>
        <w:tblPrEx>
          <w:tblCellMar>
            <w:top w:w="0" w:type="dxa"/>
            <w:left w:w="0" w:type="dxa"/>
            <w:bottom w:w="0" w:type="dxa"/>
            <w:right w:w="0" w:type="dxa"/>
          </w:tblCellMar>
        </w:tblPrEx>
        <w:trPr>
          <w:trHeight w:val="276"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70万元</w:t>
            </w:r>
          </w:p>
        </w:tc>
      </w:tr>
      <w:tr>
        <w:tblPrEx>
          <w:tblCellMar>
            <w:top w:w="0" w:type="dxa"/>
            <w:left w:w="0" w:type="dxa"/>
            <w:bottom w:w="0" w:type="dxa"/>
            <w:right w:w="0" w:type="dxa"/>
          </w:tblCellMar>
        </w:tblPrEx>
        <w:trPr>
          <w:trHeight w:val="1046"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0万元</w:t>
            </w:r>
          </w:p>
        </w:tc>
      </w:tr>
      <w:tr>
        <w:tblPrEx>
          <w:tblCellMar>
            <w:top w:w="0" w:type="dxa"/>
            <w:left w:w="0" w:type="dxa"/>
            <w:bottom w:w="0" w:type="dxa"/>
            <w:right w:w="0" w:type="dxa"/>
          </w:tblCellMar>
        </w:tblPrEx>
        <w:trPr>
          <w:trHeight w:val="276"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768"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确保陪审员工作经费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确保陪审员工作经费</w:t>
            </w:r>
          </w:p>
        </w:tc>
      </w:tr>
      <w:tr>
        <w:tblPrEx>
          <w:tblCellMar>
            <w:top w:w="0" w:type="dxa"/>
            <w:left w:w="0" w:type="dxa"/>
            <w:bottom w:w="0" w:type="dxa"/>
            <w:right w:w="0" w:type="dxa"/>
          </w:tblCellMar>
        </w:tblPrEx>
        <w:trPr>
          <w:trHeight w:val="541" w:hRule="atLeast"/>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888"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w:t>
            </w:r>
          </w:p>
          <w:p>
            <w:pPr>
              <w:widowControl/>
              <w:jc w:val="center"/>
              <w:textAlignment w:val="center"/>
              <w:rPr>
                <w:rFonts w:ascii="宋体" w:cs="宋体"/>
                <w:color w:val="000000"/>
                <w:sz w:val="24"/>
              </w:rPr>
            </w:pPr>
            <w:r>
              <w:rPr>
                <w:rFonts w:hint="eastAsia" w:ascii="宋体" w:hAnsi="宋体" w:cs="宋体"/>
                <w:color w:val="000000"/>
                <w:kern w:val="0"/>
                <w:sz w:val="24"/>
                <w:lang w:bidi="ar"/>
              </w:rPr>
              <w:t>指标</w:t>
            </w:r>
          </w:p>
          <w:p>
            <w:pPr>
              <w:jc w:val="center"/>
              <w:textAlignment w:val="center"/>
              <w:rPr>
                <w:rFonts w:asci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组织开展人民陪审员集中或不定期培训</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hint="eastAsia" w:ascii="宋体" w:cs="宋体"/>
                <w:color w:val="000000"/>
                <w:sz w:val="24"/>
              </w:rPr>
              <w:t>3次（政治部组织）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3次</w:t>
            </w:r>
          </w:p>
        </w:tc>
      </w:tr>
      <w:tr>
        <w:tblPrEx>
          <w:tblCellMar>
            <w:top w:w="0" w:type="dxa"/>
            <w:left w:w="0" w:type="dxa"/>
            <w:bottom w:w="0" w:type="dxa"/>
            <w:right w:w="0" w:type="dxa"/>
          </w:tblCellMar>
        </w:tblPrEx>
        <w:trPr>
          <w:trHeight w:val="815"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聘任陪审员</w:t>
            </w:r>
            <w:r>
              <w:rPr>
                <w:rFonts w:hint="eastAsia" w:ascii="宋体" w:cs="宋体"/>
                <w:color w:val="000000"/>
                <w:sz w:val="24"/>
              </w:rPr>
              <w:t>补助经费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陪审员</w:t>
            </w:r>
            <w:r>
              <w:rPr>
                <w:rFonts w:hint="eastAsia" w:ascii="宋体" w:cs="宋体"/>
                <w:color w:val="000000"/>
                <w:sz w:val="24"/>
              </w:rPr>
              <w:t>123人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陪审员</w:t>
            </w:r>
            <w:r>
              <w:rPr>
                <w:rFonts w:hint="eastAsia" w:ascii="宋体" w:cs="宋体"/>
                <w:color w:val="000000"/>
                <w:sz w:val="24"/>
              </w:rPr>
              <w:t>123人</w:t>
            </w:r>
          </w:p>
        </w:tc>
      </w:tr>
      <w:tr>
        <w:tblPrEx>
          <w:tblCellMar>
            <w:top w:w="0" w:type="dxa"/>
            <w:left w:w="0" w:type="dxa"/>
            <w:bottom w:w="0" w:type="dxa"/>
            <w:right w:w="0" w:type="dxa"/>
          </w:tblCellMar>
        </w:tblPrEx>
        <w:trPr>
          <w:trHeight w:val="970"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02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提升陪审员业务技能</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提升</w:t>
            </w:r>
            <w:r>
              <w:rPr>
                <w:rFonts w:hint="eastAsia" w:ascii="宋体" w:cs="宋体"/>
                <w:color w:val="000000"/>
                <w:sz w:val="24"/>
              </w:rPr>
              <w:t>123名陪审员业务技能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提升</w:t>
            </w:r>
            <w:r>
              <w:rPr>
                <w:rFonts w:hint="eastAsia" w:ascii="宋体" w:cs="宋体"/>
                <w:color w:val="000000"/>
                <w:sz w:val="24"/>
              </w:rPr>
              <w:t>123名陪审员业务技能</w:t>
            </w:r>
          </w:p>
        </w:tc>
      </w:tr>
      <w:tr>
        <w:tblPrEx>
          <w:tblCellMar>
            <w:top w:w="0" w:type="dxa"/>
            <w:left w:w="0" w:type="dxa"/>
            <w:bottom w:w="0" w:type="dxa"/>
            <w:right w:w="0" w:type="dxa"/>
          </w:tblCellMar>
        </w:tblPrEx>
        <w:trPr>
          <w:trHeight w:val="810"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02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保障</w:t>
            </w:r>
            <w:r>
              <w:rPr>
                <w:rFonts w:hint="eastAsia" w:ascii="宋体" w:cs="宋体"/>
                <w:color w:val="000000"/>
                <w:sz w:val="24"/>
              </w:rPr>
              <w:t>123人陪审员工作经费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保障经费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保障经费</w:t>
            </w:r>
          </w:p>
        </w:tc>
      </w:tr>
      <w:tr>
        <w:tblPrEx>
          <w:tblCellMar>
            <w:top w:w="0" w:type="dxa"/>
            <w:left w:w="0" w:type="dxa"/>
            <w:bottom w:w="0" w:type="dxa"/>
            <w:right w:w="0" w:type="dxa"/>
          </w:tblCellMar>
        </w:tblPrEx>
        <w:trPr>
          <w:trHeight w:val="698"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r>
        <w:tblPrEx>
          <w:tblCellMar>
            <w:top w:w="0" w:type="dxa"/>
            <w:left w:w="0" w:type="dxa"/>
            <w:bottom w:w="0" w:type="dxa"/>
            <w:right w:w="0" w:type="dxa"/>
          </w:tblCellMar>
        </w:tblPrEx>
        <w:trPr>
          <w:trHeight w:val="977"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严格有效控制经费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厉行节约</w:t>
            </w:r>
            <w:r>
              <w:rPr>
                <w:rFonts w:hint="eastAsia" w:ascii="宋体" w:cs="宋体"/>
                <w:color w:val="000000"/>
                <w:sz w:val="24"/>
              </w:rPr>
              <w:t>，</w:t>
            </w:r>
            <w:r>
              <w:rPr>
                <w:rFonts w:ascii="宋体" w:cs="宋体"/>
                <w:color w:val="000000"/>
                <w:sz w:val="24"/>
              </w:rPr>
              <w:t>按预算经费执行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厉行节约</w:t>
            </w:r>
            <w:r>
              <w:rPr>
                <w:rFonts w:hint="eastAsia" w:ascii="宋体" w:cs="宋体"/>
                <w:color w:val="000000"/>
                <w:sz w:val="24"/>
              </w:rPr>
              <w:t>，</w:t>
            </w:r>
            <w:r>
              <w:rPr>
                <w:rFonts w:ascii="宋体" w:cs="宋体"/>
                <w:color w:val="000000"/>
                <w:sz w:val="24"/>
              </w:rPr>
              <w:t>按预算经费执行</w:t>
            </w:r>
          </w:p>
        </w:tc>
      </w:tr>
      <w:tr>
        <w:tblPrEx>
          <w:tblCellMar>
            <w:top w:w="0" w:type="dxa"/>
            <w:left w:w="0" w:type="dxa"/>
            <w:bottom w:w="0" w:type="dxa"/>
            <w:right w:w="0" w:type="dxa"/>
          </w:tblCellMar>
        </w:tblPrEx>
        <w:trPr>
          <w:trHeight w:val="888"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加大社会参与度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加大社会参与度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加大社会参与度</w:t>
            </w:r>
          </w:p>
        </w:tc>
      </w:tr>
      <w:tr>
        <w:tblPrEx>
          <w:tblCellMar>
            <w:top w:w="0" w:type="dxa"/>
            <w:left w:w="0" w:type="dxa"/>
            <w:bottom w:w="0" w:type="dxa"/>
            <w:right w:w="0" w:type="dxa"/>
          </w:tblCellMar>
        </w:tblPrEx>
        <w:trPr>
          <w:trHeight w:val="1175" w:hRule="atLeast"/>
        </w:trPr>
        <w:tc>
          <w:tcPr>
            <w:tcW w:w="7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群众对人民陪审员工作满意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满意</w:t>
            </w:r>
          </w:p>
        </w:tc>
      </w:tr>
    </w:tbl>
    <w:p/>
    <w:tbl>
      <w:tblPr>
        <w:tblStyle w:val="13"/>
        <w:tblpPr w:leftFromText="180" w:rightFromText="180" w:vertAnchor="text" w:horzAnchor="margin" w:tblpXSpec="center" w:tblpY="243"/>
        <w:tblOverlap w:val="never"/>
        <w:tblW w:w="9962" w:type="dxa"/>
        <w:tblInd w:w="0" w:type="dxa"/>
        <w:tblLayout w:type="fixed"/>
        <w:tblCellMar>
          <w:top w:w="0" w:type="dxa"/>
          <w:left w:w="0" w:type="dxa"/>
          <w:bottom w:w="0" w:type="dxa"/>
          <w:right w:w="0" w:type="dxa"/>
        </w:tblCellMar>
      </w:tblPr>
      <w:tblGrid>
        <w:gridCol w:w="724"/>
        <w:gridCol w:w="1033"/>
        <w:gridCol w:w="1026"/>
        <w:gridCol w:w="67"/>
        <w:gridCol w:w="2325"/>
        <w:gridCol w:w="2394"/>
        <w:gridCol w:w="2393"/>
      </w:tblGrid>
      <w:tr>
        <w:tblPrEx>
          <w:tblCellMar>
            <w:top w:w="0" w:type="dxa"/>
            <w:left w:w="0" w:type="dxa"/>
            <w:bottom w:w="0" w:type="dxa"/>
            <w:right w:w="0" w:type="dxa"/>
          </w:tblCellMar>
        </w:tblPrEx>
        <w:trPr>
          <w:trHeight w:val="854" w:hRule="atLeast"/>
        </w:trPr>
        <w:tc>
          <w:tcPr>
            <w:tcW w:w="9962"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28" w:hRule="atLeast"/>
        </w:trPr>
        <w:tc>
          <w:tcPr>
            <w:tcW w:w="27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购买社会劳动力</w:t>
            </w:r>
          </w:p>
        </w:tc>
      </w:tr>
      <w:tr>
        <w:tblPrEx>
          <w:tblCellMar>
            <w:top w:w="0" w:type="dxa"/>
            <w:left w:w="0" w:type="dxa"/>
            <w:bottom w:w="0" w:type="dxa"/>
            <w:right w:w="0" w:type="dxa"/>
          </w:tblCellMar>
        </w:tblPrEx>
        <w:trPr>
          <w:trHeight w:val="228" w:hRule="atLeast"/>
        </w:trPr>
        <w:tc>
          <w:tcPr>
            <w:tcW w:w="278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9"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广元市利州区人民法院</w:t>
            </w:r>
          </w:p>
        </w:tc>
      </w:tr>
      <w:tr>
        <w:tblPrEx>
          <w:tblCellMar>
            <w:top w:w="0" w:type="dxa"/>
            <w:left w:w="0" w:type="dxa"/>
            <w:bottom w:w="0" w:type="dxa"/>
            <w:right w:w="0" w:type="dxa"/>
          </w:tblCellMar>
        </w:tblPrEx>
        <w:trPr>
          <w:trHeight w:val="228"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210万元</w:t>
            </w:r>
          </w:p>
        </w:tc>
      </w:tr>
      <w:tr>
        <w:tblPrEx>
          <w:tblCellMar>
            <w:top w:w="0" w:type="dxa"/>
            <w:left w:w="0" w:type="dxa"/>
            <w:bottom w:w="0" w:type="dxa"/>
            <w:right w:w="0" w:type="dxa"/>
          </w:tblCellMar>
        </w:tblPrEx>
        <w:trPr>
          <w:trHeight w:val="228"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210万元</w:t>
            </w:r>
          </w:p>
        </w:tc>
      </w:tr>
      <w:tr>
        <w:tblPrEx>
          <w:tblCellMar>
            <w:top w:w="0" w:type="dxa"/>
            <w:left w:w="0" w:type="dxa"/>
            <w:bottom w:w="0" w:type="dxa"/>
            <w:right w:w="0" w:type="dxa"/>
          </w:tblCellMar>
        </w:tblPrEx>
        <w:trPr>
          <w:trHeight w:val="864"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0万元</w:t>
            </w:r>
          </w:p>
        </w:tc>
      </w:tr>
      <w:tr>
        <w:tblPrEx>
          <w:tblCellMar>
            <w:top w:w="0" w:type="dxa"/>
            <w:left w:w="0" w:type="dxa"/>
            <w:bottom w:w="0" w:type="dxa"/>
            <w:right w:w="0" w:type="dxa"/>
          </w:tblCellMar>
        </w:tblPrEx>
        <w:trPr>
          <w:trHeight w:val="228" w:hRule="atLeast"/>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45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07" w:hRule="atLeast"/>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5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保障社会劳动力购买经费</w:t>
            </w:r>
          </w:p>
        </w:tc>
        <w:tc>
          <w:tcPr>
            <w:tcW w:w="478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保障社会劳动力购买经费</w:t>
            </w:r>
          </w:p>
        </w:tc>
      </w:tr>
      <w:tr>
        <w:tblPrEx>
          <w:tblCellMar>
            <w:top w:w="0" w:type="dxa"/>
            <w:left w:w="0" w:type="dxa"/>
            <w:bottom w:w="0" w:type="dxa"/>
            <w:right w:w="0" w:type="dxa"/>
          </w:tblCellMar>
        </w:tblPrEx>
        <w:trPr>
          <w:trHeight w:val="861" w:hRule="atLeast"/>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787"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项目完成</w:t>
            </w:r>
          </w:p>
          <w:p>
            <w:pPr>
              <w:widowControl/>
              <w:jc w:val="center"/>
              <w:textAlignment w:val="center"/>
              <w:rPr>
                <w:rFonts w:ascii="宋体" w:cs="宋体"/>
                <w:color w:val="000000"/>
                <w:sz w:val="24"/>
              </w:rPr>
            </w:pPr>
            <w:r>
              <w:rPr>
                <w:rFonts w:hint="eastAsia" w:ascii="宋体" w:hAnsi="宋体" w:cs="宋体"/>
                <w:color w:val="000000"/>
                <w:kern w:val="0"/>
                <w:sz w:val="24"/>
                <w:lang w:bidi="ar"/>
              </w:rPr>
              <w:t>指标</w:t>
            </w:r>
          </w:p>
          <w:p>
            <w:pPr>
              <w:jc w:val="center"/>
              <w:textAlignment w:val="center"/>
              <w:rPr>
                <w:rFonts w:ascii="宋体" w:cs="宋体"/>
                <w:color w:val="000000"/>
                <w:sz w:val="24"/>
              </w:rPr>
            </w:pPr>
          </w:p>
        </w:tc>
        <w:tc>
          <w:tcPr>
            <w:tcW w:w="1093"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确保劳务人员购买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司法辅助人员</w:t>
            </w:r>
            <w:r>
              <w:rPr>
                <w:rFonts w:hint="eastAsia" w:ascii="宋体" w:cs="宋体"/>
                <w:color w:val="000000"/>
                <w:sz w:val="24"/>
              </w:rPr>
              <w:t>60人</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司法辅助人员</w:t>
            </w:r>
            <w:r>
              <w:rPr>
                <w:rFonts w:hint="eastAsia" w:ascii="宋体" w:cs="宋体"/>
                <w:color w:val="000000"/>
                <w:sz w:val="24"/>
              </w:rPr>
              <w:t>60人</w:t>
            </w:r>
          </w:p>
        </w:tc>
      </w:tr>
      <w:tr>
        <w:tblPrEx>
          <w:tblCellMar>
            <w:top w:w="0" w:type="dxa"/>
            <w:left w:w="0" w:type="dxa"/>
            <w:bottom w:w="0" w:type="dxa"/>
            <w:right w:w="0" w:type="dxa"/>
          </w:tblCellMar>
        </w:tblPrEx>
        <w:trPr>
          <w:trHeight w:val="1071"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093"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确保劳务人员工资待遇标准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3.5万元/人.年</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3.5万元/人.年</w:t>
            </w:r>
          </w:p>
        </w:tc>
      </w:tr>
      <w:tr>
        <w:tblPrEx>
          <w:tblCellMar>
            <w:top w:w="0" w:type="dxa"/>
            <w:left w:w="0" w:type="dxa"/>
            <w:bottom w:w="0" w:type="dxa"/>
            <w:right w:w="0" w:type="dxa"/>
          </w:tblCellMar>
        </w:tblPrEx>
        <w:trPr>
          <w:trHeight w:val="1071"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质量指标</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确保按月发放工资</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司法辅助人员</w:t>
            </w:r>
            <w:r>
              <w:rPr>
                <w:rFonts w:hint="eastAsia" w:ascii="宋体" w:cs="宋体"/>
                <w:color w:val="000000"/>
                <w:sz w:val="24"/>
              </w:rPr>
              <w:t>60人</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司法辅助人员</w:t>
            </w:r>
            <w:r>
              <w:rPr>
                <w:rFonts w:hint="eastAsia" w:ascii="宋体" w:cs="宋体"/>
                <w:color w:val="000000"/>
                <w:sz w:val="24"/>
              </w:rPr>
              <w:t>60人</w:t>
            </w:r>
          </w:p>
        </w:tc>
      </w:tr>
      <w:tr>
        <w:tblPrEx>
          <w:tblCellMar>
            <w:top w:w="0" w:type="dxa"/>
            <w:left w:w="0" w:type="dxa"/>
            <w:bottom w:w="0" w:type="dxa"/>
            <w:right w:w="0" w:type="dxa"/>
          </w:tblCellMar>
        </w:tblPrEx>
        <w:trPr>
          <w:trHeight w:val="1016"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时效指标</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r>
        <w:tblPrEx>
          <w:tblCellMar>
            <w:top w:w="0" w:type="dxa"/>
            <w:left w:w="0" w:type="dxa"/>
            <w:bottom w:w="0" w:type="dxa"/>
            <w:right w:w="0" w:type="dxa"/>
          </w:tblCellMar>
        </w:tblPrEx>
        <w:trPr>
          <w:trHeight w:val="925" w:hRule="atLeast"/>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社会效益指标</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确保办案质效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r>
        <w:tblPrEx>
          <w:tblCellMar>
            <w:top w:w="0" w:type="dxa"/>
            <w:left w:w="0" w:type="dxa"/>
            <w:bottom w:w="0" w:type="dxa"/>
            <w:right w:w="0" w:type="dxa"/>
          </w:tblCellMar>
        </w:tblPrEx>
        <w:trPr>
          <w:trHeight w:val="681" w:hRule="atLeast"/>
        </w:trPr>
        <w:tc>
          <w:tcPr>
            <w:tcW w:w="7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2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法院司改人力保障百分比</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法院司改人力保障百分比</w:t>
            </w:r>
          </w:p>
        </w:tc>
        <w:tc>
          <w:tcPr>
            <w:tcW w:w="23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法院司改人力保障百分比</w:t>
            </w:r>
          </w:p>
        </w:tc>
      </w:tr>
      <w:tr>
        <w:tblPrEx>
          <w:tblCellMar>
            <w:top w:w="0" w:type="dxa"/>
            <w:left w:w="0" w:type="dxa"/>
            <w:bottom w:w="0" w:type="dxa"/>
            <w:right w:w="0" w:type="dxa"/>
          </w:tblCellMar>
        </w:tblPrEx>
        <w:trPr>
          <w:trHeight w:val="854" w:hRule="atLeast"/>
        </w:trPr>
        <w:tc>
          <w:tcPr>
            <w:tcW w:w="9962" w:type="dxa"/>
            <w:gridSpan w:val="7"/>
            <w:tcBorders>
              <w:left w:val="nil"/>
              <w:bottom w:val="nil"/>
              <w:right w:val="nil"/>
            </w:tcBorders>
            <w:tcMar>
              <w:top w:w="15" w:type="dxa"/>
              <w:left w:w="15" w:type="dxa"/>
              <w:right w:w="15" w:type="dxa"/>
            </w:tcMar>
            <w:vAlign w:val="center"/>
          </w:tcPr>
          <w:p>
            <w:pPr>
              <w:widowControl/>
              <w:textAlignment w:val="center"/>
              <w:rPr>
                <w:rFonts w:ascii="宋体" w:cs="宋体"/>
                <w:color w:val="000000"/>
                <w:sz w:val="36"/>
                <w:szCs w:val="36"/>
              </w:rPr>
            </w:pPr>
          </w:p>
        </w:tc>
      </w:tr>
    </w:tbl>
    <w:p>
      <w:pPr>
        <w:widowControl/>
        <w:jc w:val="left"/>
        <w:rPr>
          <w:rFonts w:ascii="楷体_GB2312" w:hAnsi="楷体_GB2312" w:eastAsia="楷体_GB2312" w:cs="楷体_GB2312"/>
          <w:sz w:val="32"/>
          <w:szCs w:val="32"/>
        </w:rPr>
      </w:pP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24"/>
        <w:gridCol w:w="1033"/>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涉诉维稳</w:t>
            </w:r>
            <w:r>
              <w:rPr>
                <w:rFonts w:ascii="宋体" w:cs="宋体"/>
                <w:color w:val="000000"/>
                <w:sz w:val="24"/>
              </w:rPr>
              <w:t>信访</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广元市利州区人民法院</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r>
      <w:tr>
        <w:tblPrEx>
          <w:tblCellMar>
            <w:top w:w="0" w:type="dxa"/>
            <w:left w:w="0" w:type="dxa"/>
            <w:bottom w:w="0" w:type="dxa"/>
            <w:right w:w="0" w:type="dxa"/>
          </w:tblCellMar>
        </w:tblPrEx>
        <w:trPr>
          <w:trHeight w:val="276"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r>
      <w:tr>
        <w:tblPrEx>
          <w:tblCellMar>
            <w:top w:w="0" w:type="dxa"/>
            <w:left w:w="0" w:type="dxa"/>
            <w:bottom w:w="0" w:type="dxa"/>
            <w:right w:w="0" w:type="dxa"/>
          </w:tblCellMar>
        </w:tblPrEx>
        <w:trPr>
          <w:trHeight w:val="621"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05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0万元</w:t>
            </w:r>
          </w:p>
        </w:tc>
      </w:tr>
      <w:tr>
        <w:tblPrEx>
          <w:tblCellMar>
            <w:top w:w="0" w:type="dxa"/>
            <w:left w:w="0" w:type="dxa"/>
            <w:bottom w:w="0" w:type="dxa"/>
            <w:right w:w="0" w:type="dxa"/>
          </w:tblCellMar>
        </w:tblPrEx>
        <w:trPr>
          <w:trHeight w:val="276" w:hRule="atLeast"/>
          <w:jc w:val="center"/>
        </w:trPr>
        <w:tc>
          <w:tcPr>
            <w:tcW w:w="7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652" w:hRule="atLeast"/>
          <w:jc w:val="center"/>
        </w:trPr>
        <w:tc>
          <w:tcPr>
            <w:tcW w:w="7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保障法院涉诉维稳信访排查案件工作经费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保障法院涉诉维稳信访排查案件工作经费</w:t>
            </w:r>
          </w:p>
        </w:tc>
      </w:tr>
      <w:tr>
        <w:tblPrEx>
          <w:tblCellMar>
            <w:top w:w="0" w:type="dxa"/>
            <w:left w:w="0" w:type="dxa"/>
            <w:bottom w:w="0" w:type="dxa"/>
            <w:right w:w="0" w:type="dxa"/>
          </w:tblCellMar>
        </w:tblPrEx>
        <w:trPr>
          <w:trHeight w:val="567" w:hRule="atLeast"/>
          <w:jc w:val="center"/>
        </w:trPr>
        <w:tc>
          <w:tcPr>
            <w:tcW w:w="72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619"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p>
            <w:pPr>
              <w:jc w:val="center"/>
              <w:textAlignment w:val="center"/>
              <w:rPr>
                <w:rFonts w:ascii="宋体" w:cs="宋体"/>
                <w:color w:val="000000"/>
                <w:sz w:val="24"/>
              </w:rPr>
            </w:pPr>
          </w:p>
        </w:tc>
        <w:tc>
          <w:tcPr>
            <w:tcW w:w="1025"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法院涉诉维稳信访排查案件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hint="eastAsia" w:ascii="宋体" w:cs="宋体"/>
                <w:color w:val="000000"/>
                <w:sz w:val="24"/>
              </w:rPr>
              <w:t>200件（立案庭具体统计）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211件（立案庭统计）</w:t>
            </w:r>
          </w:p>
        </w:tc>
      </w:tr>
      <w:tr>
        <w:tblPrEx>
          <w:tblCellMar>
            <w:top w:w="0" w:type="dxa"/>
            <w:left w:w="0" w:type="dxa"/>
            <w:bottom w:w="0" w:type="dxa"/>
            <w:right w:w="0" w:type="dxa"/>
          </w:tblCellMar>
        </w:tblPrEx>
        <w:trPr>
          <w:trHeight w:val="1042"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办理</w:t>
            </w:r>
            <w:r>
              <w:rPr>
                <w:rFonts w:ascii="宋体" w:cs="宋体"/>
                <w:color w:val="000000"/>
                <w:sz w:val="24"/>
              </w:rPr>
              <w:t>化解信访案件</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w:t>
            </w:r>
            <w:r>
              <w:rPr>
                <w:rFonts w:ascii="宋体" w:cs="宋体"/>
                <w:color w:val="000000"/>
                <w:sz w:val="24"/>
              </w:rPr>
              <w:t>辖区内重大涉诉维稳信访件及时办理</w:t>
            </w:r>
            <w:r>
              <w:rPr>
                <w:rFonts w:hint="eastAsia" w:ascii="宋体" w:cs="宋体"/>
                <w:color w:val="000000"/>
                <w:sz w:val="24"/>
              </w:rPr>
              <w:t>、</w:t>
            </w:r>
            <w:r>
              <w:rPr>
                <w:rFonts w:ascii="宋体" w:cs="宋体"/>
                <w:color w:val="000000"/>
                <w:sz w:val="24"/>
              </w:rPr>
              <w:t>化解</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w:t>
            </w:r>
            <w:r>
              <w:rPr>
                <w:rFonts w:ascii="宋体" w:cs="宋体"/>
                <w:color w:val="000000"/>
                <w:sz w:val="24"/>
              </w:rPr>
              <w:t>辖区内重大涉诉维稳信访件及时办理</w:t>
            </w:r>
            <w:r>
              <w:rPr>
                <w:rFonts w:hint="eastAsia" w:ascii="宋体" w:cs="宋体"/>
                <w:color w:val="000000"/>
                <w:sz w:val="24"/>
              </w:rPr>
              <w:t>、</w:t>
            </w:r>
            <w:r>
              <w:rPr>
                <w:rFonts w:ascii="宋体" w:cs="宋体"/>
                <w:color w:val="000000"/>
                <w:sz w:val="24"/>
              </w:rPr>
              <w:t>化解</w:t>
            </w:r>
          </w:p>
        </w:tc>
      </w:tr>
      <w:tr>
        <w:tblPrEx>
          <w:tblCellMar>
            <w:top w:w="0" w:type="dxa"/>
            <w:left w:w="0" w:type="dxa"/>
            <w:bottom w:w="0" w:type="dxa"/>
            <w:right w:w="0" w:type="dxa"/>
          </w:tblCellMar>
        </w:tblPrEx>
        <w:trPr>
          <w:trHeight w:val="1042"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严格有效控制经费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厉行节约</w:t>
            </w:r>
            <w:r>
              <w:rPr>
                <w:rFonts w:hint="eastAsia" w:ascii="宋体" w:cs="宋体"/>
                <w:color w:val="000000"/>
                <w:sz w:val="24"/>
              </w:rPr>
              <w:t>，</w:t>
            </w:r>
            <w:r>
              <w:rPr>
                <w:rFonts w:ascii="宋体" w:cs="宋体"/>
                <w:color w:val="000000"/>
                <w:sz w:val="24"/>
              </w:rPr>
              <w:t>严格按预算经费执行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厉行节约</w:t>
            </w:r>
            <w:r>
              <w:rPr>
                <w:rFonts w:hint="eastAsia" w:ascii="宋体" w:cs="宋体"/>
                <w:color w:val="000000"/>
                <w:sz w:val="24"/>
              </w:rPr>
              <w:t>，</w:t>
            </w:r>
            <w:r>
              <w:rPr>
                <w:rFonts w:ascii="宋体" w:cs="宋体"/>
                <w:color w:val="000000"/>
                <w:sz w:val="24"/>
              </w:rPr>
              <w:t>严格按预算经费执行</w:t>
            </w:r>
          </w:p>
        </w:tc>
      </w:tr>
      <w:tr>
        <w:tblPrEx>
          <w:tblCellMar>
            <w:top w:w="0" w:type="dxa"/>
            <w:left w:w="0" w:type="dxa"/>
            <w:bottom w:w="0" w:type="dxa"/>
            <w:right w:w="0" w:type="dxa"/>
          </w:tblCellMar>
        </w:tblPrEx>
        <w:trPr>
          <w:trHeight w:val="1042"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社会指标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维护社会稳定</w:t>
            </w:r>
            <w:r>
              <w:rPr>
                <w:rFonts w:hint="eastAsia" w:ascii="宋体" w:cs="宋体"/>
                <w:color w:val="000000"/>
                <w:sz w:val="24"/>
              </w:rPr>
              <w:t>，</w:t>
            </w:r>
            <w:r>
              <w:rPr>
                <w:rFonts w:ascii="宋体" w:cs="宋体"/>
                <w:color w:val="000000"/>
                <w:sz w:val="24"/>
              </w:rPr>
              <w:t>保护当事人合法权益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维稳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维稳</w:t>
            </w:r>
          </w:p>
        </w:tc>
      </w:tr>
      <w:tr>
        <w:tblPrEx>
          <w:tblCellMar>
            <w:top w:w="0" w:type="dxa"/>
            <w:left w:w="0" w:type="dxa"/>
            <w:bottom w:w="0" w:type="dxa"/>
            <w:right w:w="0" w:type="dxa"/>
          </w:tblCellMar>
        </w:tblPrEx>
        <w:trPr>
          <w:trHeight w:val="1297" w:hRule="atLeast"/>
          <w:jc w:val="center"/>
        </w:trPr>
        <w:tc>
          <w:tcPr>
            <w:tcW w:w="72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维护法律尊严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r>
        <w:tblPrEx>
          <w:tblCellMar>
            <w:top w:w="0" w:type="dxa"/>
            <w:left w:w="0" w:type="dxa"/>
            <w:bottom w:w="0" w:type="dxa"/>
            <w:right w:w="0" w:type="dxa"/>
          </w:tblCellMar>
        </w:tblPrEx>
        <w:trPr>
          <w:trHeight w:val="1050" w:hRule="atLeast"/>
          <w:jc w:val="center"/>
        </w:trPr>
        <w:tc>
          <w:tcPr>
            <w:tcW w:w="72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政府满意</w:t>
            </w:r>
            <w:r>
              <w:rPr>
                <w:rFonts w:hint="eastAsia" w:ascii="宋体" w:cs="宋体"/>
                <w:color w:val="000000"/>
                <w:sz w:val="24"/>
              </w:rPr>
              <w:t>，</w:t>
            </w:r>
            <w:r>
              <w:rPr>
                <w:rFonts w:ascii="宋体" w:cs="宋体"/>
                <w:color w:val="000000"/>
                <w:sz w:val="24"/>
              </w:rPr>
              <w:t>当事人合法权益得到保障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满意</w:t>
            </w:r>
          </w:p>
        </w:tc>
      </w:tr>
    </w:tbl>
    <w:p>
      <w:pPr>
        <w:widowControl/>
        <w:jc w:val="left"/>
        <w:rPr>
          <w:rFonts w:ascii="楷体_GB2312" w:hAnsi="楷体_GB2312" w:eastAsia="楷体_GB2312" w:cs="楷体_GB2312"/>
          <w:sz w:val="32"/>
          <w:szCs w:val="32"/>
        </w:rPr>
      </w:pPr>
    </w:p>
    <w:p>
      <w:pPr>
        <w:widowControl/>
        <w:jc w:val="left"/>
        <w:rPr>
          <w:rFonts w:ascii="楷体_GB2312" w:hAnsi="楷体_GB2312" w:eastAsia="楷体_GB2312" w:cs="楷体_GB2312"/>
          <w:sz w:val="32"/>
          <w:szCs w:val="32"/>
        </w:rPr>
      </w:pPr>
    </w:p>
    <w:p>
      <w:pPr>
        <w:widowControl/>
        <w:jc w:val="left"/>
        <w:rPr>
          <w:rFonts w:ascii="楷体_GB2312" w:hAnsi="楷体_GB2312" w:eastAsia="楷体_GB2312" w:cs="楷体_GB2312"/>
          <w:sz w:val="32"/>
          <w:szCs w:val="32"/>
        </w:rPr>
      </w:pPr>
    </w:p>
    <w:tbl>
      <w:tblPr>
        <w:tblStyle w:val="13"/>
        <w:tblpPr w:leftFromText="180" w:rightFromText="180" w:vertAnchor="text" w:horzAnchor="margin" w:tblpXSpec="center" w:tblpY="228"/>
        <w:tblOverlap w:val="never"/>
        <w:tblW w:w="9960" w:type="dxa"/>
        <w:tblInd w:w="0" w:type="dxa"/>
        <w:tblLayout w:type="fixed"/>
        <w:tblCellMar>
          <w:top w:w="0" w:type="dxa"/>
          <w:left w:w="0" w:type="dxa"/>
          <w:bottom w:w="0" w:type="dxa"/>
          <w:right w:w="0" w:type="dxa"/>
        </w:tblCellMar>
      </w:tblPr>
      <w:tblGrid>
        <w:gridCol w:w="582"/>
        <w:gridCol w:w="1175"/>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lang w:bidi="ar"/>
              </w:rPr>
              <w:t>项目绩效目标完成情况表</w:t>
            </w:r>
            <w:r>
              <w:rPr>
                <w:rFonts w:ascii="宋体" w:cs="宋体"/>
                <w:b/>
                <w:bCs/>
                <w:color w:val="000000"/>
                <w:kern w:val="0"/>
                <w:sz w:val="36"/>
                <w:szCs w:val="36"/>
                <w:lang w:bidi="ar"/>
              </w:rPr>
              <w:br w:type="textWrapping"/>
            </w:r>
            <w:r>
              <w:rPr>
                <w:rFonts w:ascii="宋体" w:hAnsi="宋体" w:cs="宋体"/>
                <w:color w:val="000000"/>
                <w:kern w:val="0"/>
                <w:sz w:val="36"/>
                <w:szCs w:val="36"/>
                <w:lang w:bidi="ar"/>
              </w:rPr>
              <w:t>(2020</w:t>
            </w:r>
            <w:r>
              <w:rPr>
                <w:rFonts w:hint="eastAsia" w:ascii="宋体" w:hAnsi="宋体" w:cs="宋体"/>
                <w:color w:val="000000"/>
                <w:kern w:val="0"/>
                <w:sz w:val="36"/>
                <w:szCs w:val="36"/>
                <w:lang w:bidi="ar"/>
              </w:rPr>
              <w:t>年度</w:t>
            </w:r>
            <w:r>
              <w:rPr>
                <w:rFonts w:ascii="宋体" w:hAnsi="宋体" w:cs="宋体"/>
                <w:color w:val="000000"/>
                <w:kern w:val="0"/>
                <w:sz w:val="36"/>
                <w:szCs w:val="36"/>
                <w:lang w:bidi="ar"/>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大调解工作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广元市利州区人民法院</w:t>
            </w:r>
          </w:p>
        </w:tc>
      </w:tr>
      <w:tr>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预算执行情况</w:t>
            </w:r>
            <w:r>
              <w:rPr>
                <w:rFonts w:ascii="宋体" w:hAnsi="宋体" w:cs="宋体"/>
                <w:color w:val="000000"/>
                <w:kern w:val="0"/>
                <w:sz w:val="24"/>
                <w:lang w:bidi="ar"/>
              </w:rPr>
              <w:t>(</w:t>
            </w:r>
            <w:r>
              <w:rPr>
                <w:rFonts w:hint="eastAsia" w:ascii="宋体" w:hAnsi="宋体" w:cs="宋体"/>
                <w:color w:val="000000"/>
                <w:kern w:val="0"/>
                <w:sz w:val="24"/>
                <w:lang w:bidi="ar"/>
              </w:rPr>
              <w:t>万元</w:t>
            </w:r>
            <w:r>
              <w:rPr>
                <w:rFonts w:ascii="宋体" w:hAnsi="宋体" w:cs="宋体"/>
                <w:color w:val="000000"/>
                <w:kern w:val="0"/>
                <w:sz w:val="24"/>
                <w:lang w:bidi="ar"/>
              </w:rPr>
              <w:t>)</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预算数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执行数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r>
      <w:tr>
        <w:tblPrEx>
          <w:tblCellMar>
            <w:top w:w="0" w:type="dxa"/>
            <w:left w:w="0" w:type="dxa"/>
            <w:bottom w:w="0" w:type="dxa"/>
            <w:right w:w="0" w:type="dxa"/>
          </w:tblCellMar>
        </w:tblPrEx>
        <w:trPr>
          <w:trHeight w:val="276" w:hRule="atLeast"/>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其中</w:t>
            </w:r>
            <w:r>
              <w:rPr>
                <w:rFonts w:ascii="宋体" w:cs="宋体"/>
                <w:color w:val="000000"/>
                <w:kern w:val="0"/>
                <w:sz w:val="24"/>
                <w:lang w:bidi="ar"/>
              </w:rPr>
              <w:t>-</w:t>
            </w:r>
            <w:r>
              <w:rPr>
                <w:rFonts w:hint="eastAsia" w:ascii="宋体" w:hAnsi="宋体" w:cs="宋体"/>
                <w:color w:val="000000"/>
                <w:kern w:val="0"/>
                <w:sz w:val="24"/>
                <w:lang w:bidi="ar"/>
              </w:rPr>
              <w:t>财政拨款</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30万元</w:t>
            </w:r>
          </w:p>
        </w:tc>
      </w:tr>
      <w:tr>
        <w:tblPrEx>
          <w:tblCellMar>
            <w:top w:w="0" w:type="dxa"/>
            <w:left w:w="0" w:type="dxa"/>
            <w:bottom w:w="0" w:type="dxa"/>
            <w:right w:w="0" w:type="dxa"/>
          </w:tblCellMar>
        </w:tblPrEx>
        <w:trPr>
          <w:trHeight w:val="763" w:hRule="atLeast"/>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其它资金</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0万元</w:t>
            </w:r>
          </w:p>
        </w:tc>
      </w:tr>
      <w:tr>
        <w:tblPrEx>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652" w:hRule="atLeast"/>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完成法院的调解职能</w:t>
            </w:r>
            <w:r>
              <w:rPr>
                <w:rFonts w:hint="eastAsia" w:ascii="宋体" w:cs="宋体"/>
                <w:color w:val="000000"/>
                <w:sz w:val="24"/>
              </w:rPr>
              <w:t>，</w:t>
            </w:r>
            <w:r>
              <w:rPr>
                <w:rFonts w:ascii="宋体" w:cs="宋体"/>
                <w:color w:val="000000"/>
                <w:sz w:val="24"/>
              </w:rPr>
              <w:t>确保保障工作经费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完成法院的调解职能</w:t>
            </w:r>
            <w:r>
              <w:rPr>
                <w:rFonts w:hint="eastAsia" w:ascii="宋体" w:cs="宋体"/>
                <w:color w:val="000000"/>
                <w:sz w:val="24"/>
              </w:rPr>
              <w:t>，</w:t>
            </w:r>
            <w:r>
              <w:rPr>
                <w:rFonts w:ascii="宋体" w:cs="宋体"/>
                <w:color w:val="000000"/>
                <w:sz w:val="24"/>
              </w:rPr>
              <w:t>确保保障工作经费</w:t>
            </w:r>
          </w:p>
        </w:tc>
      </w:tr>
      <w:tr>
        <w:tblPrEx>
          <w:tblCellMar>
            <w:top w:w="0" w:type="dxa"/>
            <w:left w:w="0" w:type="dxa"/>
            <w:bottom w:w="0" w:type="dxa"/>
            <w:right w:w="0" w:type="dxa"/>
          </w:tblCellMar>
        </w:tblPrEx>
        <w:trPr>
          <w:trHeight w:val="1042" w:hRule="atLeast"/>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预期指标值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实际完成指标值</w:t>
            </w:r>
            <w:r>
              <w:rPr>
                <w:rFonts w:ascii="宋体" w:hAnsi="宋体" w:cs="宋体"/>
                <w:color w:val="000000"/>
                <w:kern w:val="0"/>
                <w:sz w:val="24"/>
                <w:lang w:bidi="ar"/>
              </w:rPr>
              <w:t>(</w:t>
            </w:r>
            <w:r>
              <w:rPr>
                <w:rFonts w:hint="eastAsia" w:ascii="宋体" w:hAnsi="宋体" w:cs="宋体"/>
                <w:color w:val="000000"/>
                <w:kern w:val="0"/>
                <w:sz w:val="24"/>
                <w:lang w:bidi="ar"/>
              </w:rPr>
              <w:t>包含数字及文字描述</w:t>
            </w:r>
            <w:r>
              <w:rPr>
                <w:rFonts w:ascii="宋体" w:hAnsi="宋体" w:cs="宋体"/>
                <w:color w:val="000000"/>
                <w:kern w:val="0"/>
                <w:sz w:val="24"/>
                <w:lang w:bidi="ar"/>
              </w:rPr>
              <w:t>)</w:t>
            </w:r>
          </w:p>
        </w:tc>
      </w:tr>
      <w:tr>
        <w:tblPrEx>
          <w:tblCellMar>
            <w:top w:w="0" w:type="dxa"/>
            <w:left w:w="0" w:type="dxa"/>
            <w:bottom w:w="0" w:type="dxa"/>
            <w:right w:w="0" w:type="dxa"/>
          </w:tblCellMar>
        </w:tblPrEx>
        <w:trPr>
          <w:trHeight w:val="953"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法院诉讼调解结案案件数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r>
              <w:rPr>
                <w:rFonts w:hint="eastAsia" w:ascii="宋体" w:cs="宋体"/>
                <w:color w:val="000000"/>
                <w:sz w:val="24"/>
              </w:rPr>
              <w:t>2000件（审管办预计）根据近三年案件数测算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2919件（审管办统计）</w:t>
            </w:r>
          </w:p>
        </w:tc>
      </w:tr>
      <w:tr>
        <w:tblPrEx>
          <w:tblCellMar>
            <w:top w:w="0" w:type="dxa"/>
            <w:left w:w="0" w:type="dxa"/>
            <w:bottom w:w="0" w:type="dxa"/>
            <w:right w:w="0" w:type="dxa"/>
          </w:tblCellMar>
        </w:tblPrEx>
        <w:trPr>
          <w:trHeight w:val="1297"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达到当事人双方意见统一满意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当事人双方意见统一满意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当事人双方意见统一满意</w:t>
            </w:r>
          </w:p>
        </w:tc>
      </w:tr>
      <w:tr>
        <w:tblPrEx>
          <w:tblCellMar>
            <w:top w:w="0" w:type="dxa"/>
            <w:left w:w="0" w:type="dxa"/>
            <w:bottom w:w="0" w:type="dxa"/>
            <w:right w:w="0" w:type="dxa"/>
          </w:tblCellMar>
        </w:tblPrEx>
        <w:trPr>
          <w:trHeight w:val="1042"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2020年12月31日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r>
        <w:tblPrEx>
          <w:tblCellMar>
            <w:top w:w="0" w:type="dxa"/>
            <w:left w:w="0" w:type="dxa"/>
            <w:bottom w:w="0" w:type="dxa"/>
            <w:right w:w="0" w:type="dxa"/>
          </w:tblCellMar>
        </w:tblPrEx>
        <w:trPr>
          <w:trHeight w:val="1042"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lang w:bidi="ar"/>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严格有效控制经费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厉行节约</w:t>
            </w:r>
            <w:r>
              <w:rPr>
                <w:rFonts w:hint="eastAsia" w:ascii="宋体" w:cs="宋体"/>
                <w:color w:val="000000"/>
                <w:sz w:val="24"/>
              </w:rPr>
              <w:t>，</w:t>
            </w:r>
            <w:r>
              <w:rPr>
                <w:rFonts w:ascii="宋体" w:cs="宋体"/>
                <w:color w:val="000000"/>
                <w:sz w:val="24"/>
              </w:rPr>
              <w:t>严格按预算经费执行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厉行节约</w:t>
            </w:r>
            <w:r>
              <w:rPr>
                <w:rFonts w:hint="eastAsia" w:ascii="宋体" w:cs="宋体"/>
                <w:color w:val="000000"/>
                <w:sz w:val="24"/>
              </w:rPr>
              <w:t>，</w:t>
            </w:r>
            <w:r>
              <w:rPr>
                <w:rFonts w:ascii="宋体" w:cs="宋体"/>
                <w:color w:val="000000"/>
                <w:sz w:val="24"/>
              </w:rPr>
              <w:t>严格按预算经费执行</w:t>
            </w:r>
          </w:p>
        </w:tc>
      </w:tr>
      <w:tr>
        <w:tblPrEx>
          <w:tblCellMar>
            <w:top w:w="0" w:type="dxa"/>
            <w:left w:w="0" w:type="dxa"/>
            <w:bottom w:w="0" w:type="dxa"/>
            <w:right w:w="0" w:type="dxa"/>
          </w:tblCellMar>
        </w:tblPrEx>
        <w:trPr>
          <w:trHeight w:val="1042"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守法</w:t>
            </w:r>
            <w:r>
              <w:rPr>
                <w:rFonts w:hint="eastAsia" w:ascii="宋体" w:cs="宋体"/>
                <w:color w:val="000000"/>
                <w:sz w:val="24"/>
              </w:rPr>
              <w:t>、</w:t>
            </w:r>
            <w:r>
              <w:rPr>
                <w:rFonts w:ascii="宋体" w:cs="宋体"/>
                <w:color w:val="000000"/>
                <w:sz w:val="24"/>
              </w:rPr>
              <w:t>懂法</w:t>
            </w:r>
            <w:r>
              <w:rPr>
                <w:rFonts w:hint="eastAsia" w:ascii="宋体" w:cs="宋体"/>
                <w:color w:val="000000"/>
                <w:sz w:val="24"/>
              </w:rPr>
              <w:t>，</w:t>
            </w:r>
            <w:r>
              <w:rPr>
                <w:rFonts w:ascii="宋体" w:cs="宋体"/>
                <w:color w:val="000000"/>
                <w:sz w:val="24"/>
              </w:rPr>
              <w:t>保护当事人合法权益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完成</w:t>
            </w:r>
          </w:p>
        </w:tc>
      </w:tr>
      <w:tr>
        <w:tblPrEx>
          <w:tblCellMar>
            <w:top w:w="0" w:type="dxa"/>
            <w:left w:w="0" w:type="dxa"/>
            <w:bottom w:w="0" w:type="dxa"/>
            <w:right w:w="0" w:type="dxa"/>
          </w:tblCellMar>
        </w:tblPrEx>
        <w:trPr>
          <w:trHeight w:val="1042" w:hRule="atLeast"/>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法院调解职能体现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体现法院调解职能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体现法院调解职能</w:t>
            </w:r>
          </w:p>
        </w:tc>
      </w:tr>
      <w:tr>
        <w:tblPrEx>
          <w:tblCellMar>
            <w:top w:w="0" w:type="dxa"/>
            <w:left w:w="0" w:type="dxa"/>
            <w:bottom w:w="0" w:type="dxa"/>
            <w:right w:w="0" w:type="dxa"/>
          </w:tblCellMar>
        </w:tblPrEx>
        <w:trPr>
          <w:trHeight w:val="1042" w:hRule="atLeast"/>
        </w:trPr>
        <w:tc>
          <w:tcPr>
            <w:tcW w:w="58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lang w:bidi="ar"/>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当事人双方满意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满意</w:t>
            </w:r>
          </w:p>
        </w:tc>
      </w:tr>
    </w:tbl>
    <w:p>
      <w:pPr>
        <w:widowControl/>
        <w:jc w:val="left"/>
        <w:rPr>
          <w:rFonts w:ascii="仿宋_GB2312" w:hAnsi="仿宋_GB2312" w:eastAsia="仿宋_GB2312" w:cs="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年部门整体支出绩效评价情况开展自评，《广元市</w:t>
      </w:r>
      <w:r>
        <w:rPr>
          <w:rFonts w:ascii="仿宋_GB2312" w:hAnsi="仿宋_GB2312" w:eastAsia="仿宋_GB2312" w:cs="仿宋_GB2312"/>
          <w:sz w:val="32"/>
          <w:szCs w:val="32"/>
        </w:rPr>
        <w:t>利州区人民法院2020</w:t>
      </w:r>
      <w:r>
        <w:rPr>
          <w:rFonts w:hint="eastAsia" w:ascii="仿宋_GB2312" w:hAnsi="仿宋_GB2312" w:eastAsia="仿宋_GB2312" w:cs="仿宋_GB2312"/>
          <w:sz w:val="32"/>
          <w:szCs w:val="32"/>
        </w:rPr>
        <w:t>年部门整体支出绩效评价报告》见附件（附件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本部门自行组织对“司法救助金”、 “陪审员工作”、“购买社会劳动力”、“涉诉维稳</w:t>
      </w:r>
      <w:r>
        <w:rPr>
          <w:rFonts w:ascii="仿宋_GB2312" w:hAnsi="仿宋_GB2312" w:eastAsia="仿宋_GB2312" w:cs="仿宋_GB2312"/>
          <w:sz w:val="32"/>
          <w:szCs w:val="32"/>
        </w:rPr>
        <w:t>信访</w:t>
      </w:r>
      <w:r>
        <w:rPr>
          <w:rFonts w:hint="eastAsia" w:ascii="仿宋_GB2312" w:hAnsi="仿宋_GB2312" w:eastAsia="仿宋_GB2312" w:cs="仿宋_GB2312"/>
          <w:sz w:val="32"/>
          <w:szCs w:val="32"/>
        </w:rPr>
        <w:t>”、“大调解工作”、等项目开展了绩效评价，《司法救助金项目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年绩效评价报告》、《陪审员工作项目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年绩效评价报告》、《购买社会劳动力项目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年绩效评价报告》、《涉诉维稳</w:t>
      </w:r>
      <w:r>
        <w:rPr>
          <w:rFonts w:ascii="仿宋_GB2312" w:hAnsi="仿宋_GB2312" w:eastAsia="仿宋_GB2312" w:cs="仿宋_GB2312"/>
          <w:sz w:val="32"/>
          <w:szCs w:val="32"/>
        </w:rPr>
        <w:t>信访</w:t>
      </w:r>
      <w:r>
        <w:rPr>
          <w:rFonts w:hint="eastAsia" w:ascii="仿宋_GB2312" w:hAnsi="仿宋_GB2312" w:eastAsia="仿宋_GB2312" w:cs="仿宋_GB2312"/>
          <w:sz w:val="32"/>
          <w:szCs w:val="32"/>
        </w:rPr>
        <w:t>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年绩效评价报告》、《大调解工作项目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年绩效评价报告》见附件（附件</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22"/>
          <w:rFonts w:ascii="黑体" w:hAnsi="黑体" w:eastAsia="黑体"/>
          <w:b w:val="0"/>
        </w:rPr>
      </w:pPr>
      <w:bookmarkStart w:id="90" w:name="_Toc83802829"/>
      <w:bookmarkStart w:id="91" w:name="_Toc15377225"/>
      <w:bookmarkStart w:id="92" w:name="_Toc15396613"/>
      <w:r>
        <w:rPr>
          <w:rFonts w:hint="eastAsia" w:ascii="黑体" w:hAnsi="黑体" w:eastAsia="黑体"/>
          <w:color w:val="000000"/>
          <w:sz w:val="44"/>
          <w:szCs w:val="44"/>
        </w:rPr>
        <w:t>名</w:t>
      </w:r>
      <w:r>
        <w:rPr>
          <w:rStyle w:val="22"/>
          <w:rFonts w:hint="eastAsia" w:ascii="黑体" w:hAnsi="黑体" w:eastAsia="黑体"/>
          <w:b w:val="0"/>
        </w:rPr>
        <w:t>词解释</w:t>
      </w:r>
      <w:bookmarkEnd w:id="90"/>
      <w:bookmarkEnd w:id="91"/>
      <w:bookmarkEnd w:id="92"/>
    </w:p>
    <w:p>
      <w:pPr>
        <w:spacing w:line="600" w:lineRule="exact"/>
        <w:jc w:val="left"/>
        <w:rPr>
          <w:rFonts w:ascii="宋体"/>
          <w:b/>
          <w:color w:val="000000"/>
          <w:sz w:val="44"/>
          <w:szCs w:val="44"/>
        </w:rPr>
      </w:pPr>
    </w:p>
    <w:p>
      <w:pPr>
        <w:pStyle w:val="2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8"/>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住房保障（类）…（款）…（项）：指……。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8"/>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center"/>
        <w:rPr>
          <w:rStyle w:val="22"/>
          <w:rFonts w:ascii="黑体" w:hAnsi="黑体" w:eastAsia="黑体"/>
          <w:b w:val="0"/>
        </w:rPr>
      </w:pPr>
      <w:r>
        <w:rPr>
          <w:rFonts w:hint="eastAsia" w:ascii="仿宋" w:hAnsi="仿宋" w:eastAsia="仿宋"/>
          <w:b/>
          <w:color w:val="000000"/>
          <w:sz w:val="32"/>
          <w:szCs w:val="32"/>
        </w:rPr>
        <w:t>（名词解释部分请根据各部门实际列支情况罗列，并根据本部门职责职能增减名词解释内容。）</w:t>
      </w:r>
      <w:bookmarkStart w:id="93" w:name="_Toc15377226"/>
      <w:r>
        <w:rPr>
          <w:rFonts w:ascii="宋体"/>
          <w:b/>
          <w:color w:val="000000"/>
          <w:sz w:val="44"/>
          <w:szCs w:val="44"/>
        </w:rPr>
        <w:br w:type="page"/>
      </w:r>
      <w:bookmarkStart w:id="94" w:name="_Toc15396614"/>
      <w:r>
        <w:rPr>
          <w:rFonts w:hint="eastAsia" w:ascii="黑体" w:hAnsi="黑体" w:eastAsia="黑体"/>
          <w:sz w:val="44"/>
          <w:szCs w:val="44"/>
        </w:rPr>
        <w:t>第</w:t>
      </w:r>
      <w:r>
        <w:rPr>
          <w:rStyle w:val="22"/>
          <w:rFonts w:hint="eastAsia" w:ascii="黑体" w:hAnsi="黑体" w:eastAsia="黑体"/>
          <w:b w:val="0"/>
        </w:rPr>
        <w:t>四部分</w:t>
      </w:r>
      <w:r>
        <w:rPr>
          <w:rStyle w:val="22"/>
          <w:rFonts w:ascii="黑体" w:hAnsi="黑体" w:eastAsia="黑体"/>
          <w:b w:val="0"/>
        </w:rPr>
        <w:t xml:space="preserve"> </w:t>
      </w:r>
      <w:r>
        <w:rPr>
          <w:rStyle w:val="22"/>
          <w:rFonts w:hint="eastAsia" w:ascii="黑体" w:hAnsi="黑体" w:eastAsia="黑体"/>
          <w:b w:val="0"/>
        </w:rPr>
        <w:t>附件</w:t>
      </w:r>
      <w:bookmarkEnd w:id="94"/>
    </w:p>
    <w:p>
      <w:pPr>
        <w:spacing w:line="600" w:lineRule="exact"/>
        <w:jc w:val="left"/>
        <w:outlineLvl w:val="0"/>
        <w:rPr>
          <w:rFonts w:ascii="方正小标宋简体" w:hAnsi="方正小标宋简体" w:eastAsia="方正小标宋简体" w:cs="方正小标宋简体"/>
          <w:sz w:val="32"/>
          <w:szCs w:val="32"/>
        </w:rPr>
      </w:pPr>
      <w:bookmarkStart w:id="95" w:name="_Toc83802830"/>
      <w:r>
        <w:rPr>
          <w:rFonts w:hint="eastAsia" w:ascii="黑体" w:hAnsi="黑体" w:eastAsia="黑体" w:cs="黑体"/>
          <w:sz w:val="32"/>
          <w:szCs w:val="32"/>
        </w:rPr>
        <w:t>附件</w:t>
      </w:r>
      <w:r>
        <w:rPr>
          <w:rFonts w:ascii="黑体" w:hAnsi="黑体" w:eastAsia="黑体" w:cs="黑体"/>
          <w:sz w:val="32"/>
          <w:szCs w:val="32"/>
        </w:rPr>
        <w:t>1</w:t>
      </w:r>
      <w:bookmarkEnd w:id="95"/>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kern w:val="0"/>
          <w:sz w:val="40"/>
          <w:szCs w:val="44"/>
        </w:rPr>
      </w:pPr>
      <w:r>
        <w:rPr>
          <w:rFonts w:hint="eastAsia" w:ascii="方正小标宋简体" w:hAnsi="宋体" w:eastAsia="方正小标宋简体"/>
          <w:kern w:val="0"/>
          <w:sz w:val="40"/>
          <w:szCs w:val="44"/>
        </w:rPr>
        <w:t>广元市</w:t>
      </w:r>
      <w:r>
        <w:rPr>
          <w:rFonts w:ascii="方正小标宋简体" w:hAnsi="宋体" w:eastAsia="方正小标宋简体"/>
          <w:kern w:val="0"/>
          <w:sz w:val="40"/>
          <w:szCs w:val="44"/>
        </w:rPr>
        <w:t>利州区人民法院2020</w:t>
      </w:r>
      <w:r>
        <w:rPr>
          <w:rFonts w:hint="eastAsia" w:ascii="方正小标宋简体" w:hAnsi="宋体" w:eastAsia="方正小标宋简体"/>
          <w:kern w:val="0"/>
          <w:sz w:val="40"/>
          <w:szCs w:val="44"/>
        </w:rPr>
        <w:t>年部门</w:t>
      </w:r>
    </w:p>
    <w:p>
      <w:pPr>
        <w:spacing w:line="600" w:lineRule="exact"/>
        <w:jc w:val="center"/>
        <w:rPr>
          <w:rFonts w:ascii="方正小标宋简体" w:hAnsi="宋体" w:eastAsia="方正小标宋简体"/>
          <w:kern w:val="0"/>
          <w:sz w:val="40"/>
          <w:szCs w:val="44"/>
          <w:lang w:val="zh-CN"/>
        </w:rPr>
      </w:pPr>
      <w:r>
        <w:rPr>
          <w:rFonts w:hint="eastAsia" w:ascii="方正小标宋简体" w:hAnsi="宋体" w:eastAsia="方正小标宋简体"/>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lang w:val="zh-CN"/>
        </w:rPr>
      </w:pPr>
      <w:r>
        <w:rPr>
          <w:rFonts w:hint="eastAsia" w:ascii="黑体" w:hAnsi="宋体" w:eastAsia="黑体" w:cs="宋体"/>
          <w:kern w:val="0"/>
          <w:sz w:val="32"/>
          <w:szCs w:val="32"/>
          <w:shd w:val="clear" w:color="auto" w:fill="FFFFFF"/>
        </w:rPr>
        <w:t>一、部门（单位）概</w:t>
      </w:r>
      <w:r>
        <w:rPr>
          <w:rFonts w:hint="eastAsia" w:ascii="黑体" w:hAnsi="宋体" w:eastAsia="黑体" w:cs="宋体"/>
          <w:kern w:val="0"/>
          <w:sz w:val="32"/>
          <w:szCs w:val="32"/>
          <w:shd w:val="clear" w:color="auto" w:fill="FFFFFF"/>
          <w:lang w:val="zh-CN"/>
        </w:rPr>
        <w:t>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（一）机构组成。</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广元市利州区人民法院现有行政单位1个，行政编制103人，事业编制12人，工勤编制3人，下设4个综合部门（政治部（督察室）、行装办、综合办、法警大队），8个审判庭（审管办、民一庭、民二庭、民三庭、刑庭、行政庭、执行局、立案庭、），1个联调中心、6个人民法庭（东坝人民法庭、嘉陵人民法庭、大石人民法庭、宝轮人民法庭、天曌山人民法庭、经济开发区人民法庭）。</w:t>
      </w:r>
    </w:p>
    <w:p>
      <w:pPr>
        <w:widowControl/>
        <w:adjustRightInd w:val="0"/>
        <w:snapToGrid w:val="0"/>
        <w:spacing w:line="580" w:lineRule="exact"/>
        <w:ind w:firstLine="640" w:firstLineChars="200"/>
        <w:contextualSpacing/>
        <w:jc w:val="left"/>
        <w:rPr>
          <w:rFonts w:ascii="仿宋" w:hAnsi="仿宋" w:eastAsia="仿宋"/>
          <w:color w:val="000000"/>
          <w:sz w:val="32"/>
          <w:szCs w:val="32"/>
        </w:rPr>
      </w:pPr>
      <w:r>
        <w:rPr>
          <w:rFonts w:hint="eastAsia" w:ascii="仿宋" w:hAnsi="仿宋" w:eastAsia="仿宋"/>
          <w:color w:val="000000"/>
          <w:sz w:val="32"/>
          <w:szCs w:val="32"/>
        </w:rPr>
        <w:t>（二）机构职能。</w:t>
      </w:r>
    </w:p>
    <w:p>
      <w:pPr>
        <w:widowControl/>
        <w:adjustRightInd w:val="0"/>
        <w:snapToGrid w:val="0"/>
        <w:spacing w:line="580" w:lineRule="exact"/>
        <w:ind w:firstLine="640" w:firstLineChars="200"/>
        <w:contextualSpacing/>
        <w:jc w:val="left"/>
        <w:rPr>
          <w:rFonts w:ascii="仿宋" w:hAnsi="仿宋" w:eastAsia="仿宋"/>
          <w:color w:val="000000"/>
          <w:sz w:val="32"/>
          <w:szCs w:val="32"/>
        </w:rPr>
      </w:pPr>
      <w:r>
        <w:rPr>
          <w:rFonts w:hint="eastAsia" w:ascii="仿宋" w:hAnsi="仿宋" w:eastAsia="仿宋"/>
          <w:color w:val="000000"/>
          <w:sz w:val="32"/>
          <w:szCs w:val="32"/>
        </w:rPr>
        <w:t>人民法院是国家的审判机关，依照法律规定对刑事案件、民商事案件和行政案件进行审理并作出裁决。人民法院的职责，是通过审判活动，惩治一切犯罪分子，解决各类矛盾纠纷，维护社会主义法治和社会经济秩序，保卫社会主义全民所有制财产、劳动群众集体所有制财产，保护公民私人所有的合法财产，保护公民的人身权利、民主权利和其他权利，保障国家社会主义建设事业顺利进行。其主要职责是：</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1、依法审判法律规定由广元市利州区人民法院管辖的刑事、民事、行政等第一审案件。</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2、依法审理上级人民法院指令再审的案件，复查审理本院判决、裁定发生法律效力后的申诉和再审案件。</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3、依法行使司法执行权和司法决定权。</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4、指导人民调解委员会的工作。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5、针对案件审理中发现的问题提出司法建议。</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6、负责本院思想政治、教育培训工作；按权限和有关规定分类管理员额法官、法官助理、书记员、司法警察、司法行政综合类人员及司法辅助人员；协同主管部门管理本院机构设置、人员编制。</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7、负责本院的督察工作。</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8、管理本院的有关经费和物资装备。</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9、参与社会治安综合管理工作。</w:t>
      </w:r>
    </w:p>
    <w:p>
      <w:pPr>
        <w:spacing w:line="58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rPr>
        <w:t>10、承办其他应由广元市利州区人民法院负责的工作。</w:t>
      </w:r>
    </w:p>
    <w:p>
      <w:pPr>
        <w:widowControl/>
        <w:adjustRightInd w:val="0"/>
        <w:snapToGrid w:val="0"/>
        <w:spacing w:line="580" w:lineRule="exact"/>
        <w:ind w:firstLine="640" w:firstLineChars="200"/>
        <w:contextualSpacing/>
        <w:jc w:val="left"/>
        <w:rPr>
          <w:rFonts w:ascii="仿宋" w:hAnsi="仿宋" w:eastAsia="仿宋"/>
          <w:color w:val="000000"/>
          <w:sz w:val="32"/>
          <w:szCs w:val="32"/>
        </w:rPr>
      </w:pPr>
      <w:r>
        <w:rPr>
          <w:rFonts w:hint="eastAsia" w:ascii="仿宋" w:hAnsi="仿宋" w:eastAsia="仿宋"/>
          <w:color w:val="000000"/>
          <w:sz w:val="32"/>
          <w:szCs w:val="32"/>
        </w:rPr>
        <w:t>（三）人员概况。</w:t>
      </w:r>
    </w:p>
    <w:p>
      <w:pPr>
        <w:ind w:firstLine="640" w:firstLineChars="200"/>
        <w:rPr>
          <w:rFonts w:ascii="仿宋" w:hAnsi="仿宋" w:eastAsia="仿宋"/>
          <w:sz w:val="32"/>
          <w:szCs w:val="32"/>
        </w:rPr>
      </w:pPr>
      <w:r>
        <w:rPr>
          <w:rFonts w:hint="eastAsia" w:ascii="仿宋" w:hAnsi="仿宋" w:eastAsia="仿宋"/>
          <w:color w:val="000000"/>
          <w:sz w:val="32"/>
          <w:szCs w:val="32"/>
        </w:rPr>
        <w:t>2020年末行政97人；工勤3人；全额事业12人（年初预算114人，退休2人、在职死亡1人、调入1人）；遗属5</w:t>
      </w:r>
      <w:r>
        <w:rPr>
          <w:rFonts w:hint="eastAsia" w:ascii="仿宋" w:hAnsi="仿宋" w:eastAsia="仿宋"/>
          <w:sz w:val="32"/>
          <w:szCs w:val="32"/>
        </w:rPr>
        <w:t>人；司法辅助劳务人员132人；退休人员46人。</w:t>
      </w:r>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（一）部门财政资金收入情况。</w:t>
      </w:r>
    </w:p>
    <w:p>
      <w:pPr>
        <w:spacing w:line="600" w:lineRule="exact"/>
        <w:ind w:firstLine="640" w:firstLineChars="200"/>
        <w:outlineLvl w:val="1"/>
        <w:rPr>
          <w:rFonts w:ascii="仿宋" w:hAnsi="仿宋" w:eastAsia="仿宋"/>
          <w:sz w:val="32"/>
          <w:szCs w:val="32"/>
        </w:rPr>
      </w:pPr>
      <w:bookmarkStart w:id="96" w:name="_Toc83802831"/>
      <w:r>
        <w:rPr>
          <w:rFonts w:ascii="仿宋" w:hAnsi="仿宋" w:eastAsia="仿宋"/>
          <w:sz w:val="32"/>
          <w:szCs w:val="32"/>
        </w:rPr>
        <w:t>2020</w:t>
      </w:r>
      <w:r>
        <w:rPr>
          <w:rFonts w:hint="eastAsia" w:ascii="仿宋" w:hAnsi="仿宋" w:eastAsia="仿宋"/>
          <w:sz w:val="32"/>
          <w:szCs w:val="32"/>
        </w:rPr>
        <w:t>年收入合计4825.30万元，其中：一般公共预算财政拨款收入4824.78万元，其他收入0.52万元。</w:t>
      </w:r>
      <w:bookmarkEnd w:id="96"/>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（二）部门财政资金支出情况。</w:t>
      </w:r>
    </w:p>
    <w:p>
      <w:pPr>
        <w:spacing w:line="600" w:lineRule="exact"/>
        <w:ind w:firstLine="640" w:firstLineChars="200"/>
        <w:outlineLvl w:val="1"/>
        <w:rPr>
          <w:rFonts w:ascii="仿宋" w:hAnsi="仿宋" w:eastAsia="仿宋"/>
          <w:sz w:val="32"/>
          <w:szCs w:val="32"/>
        </w:rPr>
      </w:pPr>
      <w:bookmarkStart w:id="97" w:name="_Toc83802832"/>
      <w:r>
        <w:rPr>
          <w:rFonts w:ascii="仿宋" w:hAnsi="仿宋" w:eastAsia="仿宋"/>
          <w:sz w:val="32"/>
          <w:szCs w:val="32"/>
        </w:rPr>
        <w:t>2020</w:t>
      </w:r>
      <w:r>
        <w:rPr>
          <w:rFonts w:hint="eastAsia" w:ascii="仿宋" w:hAnsi="仿宋" w:eastAsia="仿宋"/>
          <w:sz w:val="32"/>
          <w:szCs w:val="32"/>
        </w:rPr>
        <w:t>年支出合计4086.95万元，其中：基本支出2346.73万元，项目支出1740.22万元。</w:t>
      </w:r>
      <w:bookmarkEnd w:id="97"/>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（一）部门预算管理。</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在编制2020年预决算报表时，我院严格按照区委、区政府统一部署，在区财政局的指导下，认真编制预决算报表，严格审核，对各项专项预算提前细化，将专项支出预算分类分项并逐条说明，确保汇总上报的数据完整、真实、准确，保证预决算报表不存在应编未编、错误列编、虚假混编等情形。</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我院财务部门认真履行预算管理、收支管理、资产管理、往来资金管理、财务核算、财务监督以及其他相关财务职责。同时着力加强内部审计内控建设工作，增强财务监督和管理水平，提高资金使用效益，严肃财经纪律。及时按照上级部门要求进行信息公开，认真开展绩效评价，反馈良好。</w:t>
      </w:r>
    </w:p>
    <w:p>
      <w:pPr>
        <w:widowControl/>
        <w:adjustRightInd w:val="0"/>
        <w:snapToGrid w:val="0"/>
        <w:spacing w:line="580" w:lineRule="exact"/>
        <w:ind w:firstLine="640" w:firstLineChars="200"/>
        <w:contextualSpacing/>
        <w:jc w:val="left"/>
        <w:rPr>
          <w:rFonts w:ascii="黑体" w:hAnsi="宋体" w:eastAsia="黑体" w:cs="宋体"/>
          <w:kern w:val="0"/>
          <w:sz w:val="32"/>
          <w:szCs w:val="32"/>
          <w:shd w:val="clear" w:color="auto" w:fill="FFFFFF"/>
        </w:rPr>
      </w:pPr>
      <w:r>
        <w:rPr>
          <w:rFonts w:hint="eastAsia" w:ascii="黑体" w:hAnsi="宋体" w:eastAsia="黑体" w:cs="宋体"/>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严格按照预算批复支出项目资金，支出符合国家财经法规和财务管理制度,经评价，项目财务管理信息资料真实、及时、完整，管理制度健全，管理效果明显，财政资金执行情况良好，项目目标得到较好完成。</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由于疫情原因，导致2020年法院“东坝人民法庭及扩建业务用房工程”和“回龙河人民法庭、天曌山人民法庭及配套工程”建设项目工程滞后，项目资金年度结转至次年使用。造成了预算资金执行未全额使用。</w:t>
      </w:r>
    </w:p>
    <w:p>
      <w:pPr>
        <w:widowControl/>
        <w:adjustRightInd w:val="0"/>
        <w:snapToGrid w:val="0"/>
        <w:spacing w:line="580"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spacing w:line="580" w:lineRule="exact"/>
        <w:ind w:firstLine="640" w:firstLineChars="200"/>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今后在资金执行管理中，监管部门加大监督力度，项目实施部门按月、季度、年的时间合理规划资金使用进度，各部门紧密衔接、加快预算执行进度，提高预算执行质量，强化财政资金使用效益，确保预算执行保持均衡进度。</w:t>
      </w:r>
    </w:p>
    <w:p>
      <w:pPr>
        <w:widowControl/>
        <w:jc w:val="left"/>
        <w:rPr>
          <w:rFonts w:ascii="仿宋_GB2312" w:hAnsi="宋体" w:eastAsia="仿宋_GB2312" w:cs="宋体"/>
          <w:color w:val="FF0000"/>
          <w:kern w:val="0"/>
          <w:sz w:val="32"/>
          <w:szCs w:val="32"/>
          <w:shd w:val="clear" w:color="auto" w:fill="FFFFFF"/>
          <w:lang w:val="zh-CN"/>
        </w:rPr>
      </w:pPr>
      <w:r>
        <w:rPr>
          <w:rFonts w:ascii="仿宋_GB2312" w:hAnsi="宋体" w:eastAsia="仿宋_GB2312" w:cs="宋体"/>
          <w:color w:val="FF0000"/>
          <w:kern w:val="0"/>
          <w:sz w:val="32"/>
          <w:szCs w:val="32"/>
          <w:shd w:val="clear" w:color="auto" w:fill="FFFFFF"/>
          <w:lang w:val="zh-CN"/>
        </w:rPr>
        <w:br w:type="page"/>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pPr>
        <w:spacing w:line="600" w:lineRule="exact"/>
        <w:jc w:val="center"/>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司法救助金</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1．司法救助基本原则</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司法救助是一种辅助性救助，对于能够通过诉讼获得赔偿、补偿的，一般应当通过诉讼渠道解决。同一案件的同一当事人只进行一次性救助。属地、公正、及时救助，充分保障被救助对象权益，严格把握救助条件和标准，及时救助，合理救助，确保化解矛盾，防范风险。</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2．司法救助对象</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文件规定，司法救助有严格的救助对象。救助对象共分为8类，其中：涉及刑事案件的司法救助4类；因举报、作证、鉴定受到打击报复、造成人身伤害或财产损失、无法诉讼获偿、生活困难的司法救助1类；追索赡养、扶养、抚育费无法履行、造成生活困难的1类；道路交通事故等民事侵权行为造成人身伤害、无法诉讼获偿、生活困难的1类；区委政法委和各政法部门根据实际情况认定需要救助的1类。</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3．司法救助方式和标准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司法救助以支付救助金为主要方式。救助金额控制在55万元以内。损失特别重大、生活特别困难，需适当突破救助限额的，严格审核、控制，不得超过人民法院依法判决的赔偿金额。</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4．资金管理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在资金管理上</w:t>
      </w:r>
      <w:r>
        <w:rPr>
          <w:rFonts w:hint="eastAsia" w:ascii="仿宋_GB2312" w:hAnsi="宋体" w:eastAsia="仿宋_GB2312"/>
          <w:b/>
          <w:sz w:val="32"/>
          <w:szCs w:val="32"/>
          <w:lang w:val="zh-CN"/>
        </w:rPr>
        <w:t>，</w:t>
      </w:r>
      <w:r>
        <w:rPr>
          <w:rFonts w:hint="eastAsia" w:ascii="仿宋_GB2312" w:hAnsi="宋体" w:eastAsia="仿宋_GB2312"/>
          <w:sz w:val="32"/>
          <w:szCs w:val="32"/>
          <w:lang w:val="zh-CN"/>
        </w:rPr>
        <w:t>明确了资金筹集、管理、监督和责任追究内容。司法救助纳入年度财政预算，对司法救助对象切实给予保障，建立动态调整机制，专款专用。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我院</w:t>
      </w:r>
      <w:r>
        <w:rPr>
          <w:rFonts w:hint="eastAsia" w:ascii="仿宋_GB2312" w:hAnsi="宋体" w:eastAsia="仿宋_GB2312"/>
          <w:sz w:val="32"/>
          <w:szCs w:val="32"/>
          <w:lang w:val="zh-CN"/>
        </w:rPr>
        <w:t>向区委政法委、区财政局申请项目资金，</w:t>
      </w:r>
      <w:r>
        <w:rPr>
          <w:rFonts w:ascii="仿宋_GB2312" w:hAnsi="宋体" w:eastAsia="仿宋_GB2312"/>
          <w:sz w:val="32"/>
          <w:szCs w:val="32"/>
          <w:lang w:val="zh-CN"/>
        </w:rPr>
        <w:t>法院成立了司法救助工作领导小组。领导小组负责研究制定司法救助制度规范，测算资金需求，定期检查工作落实情况。由司法救助工作领导小组</w:t>
      </w:r>
      <w:r>
        <w:rPr>
          <w:rFonts w:hint="eastAsia" w:ascii="仿宋_GB2312" w:hAnsi="宋体" w:eastAsia="仿宋_GB2312"/>
          <w:sz w:val="32"/>
          <w:szCs w:val="32"/>
          <w:lang w:val="zh-CN"/>
        </w:rPr>
        <w:t>、</w:t>
      </w:r>
      <w:r>
        <w:rPr>
          <w:rFonts w:ascii="仿宋_GB2312" w:hAnsi="宋体" w:eastAsia="仿宋_GB2312"/>
          <w:sz w:val="32"/>
          <w:szCs w:val="32"/>
          <w:lang w:val="zh-CN"/>
        </w:rPr>
        <w:t>行装办</w:t>
      </w:r>
      <w:r>
        <w:rPr>
          <w:rFonts w:hint="eastAsia" w:ascii="仿宋_GB2312" w:hAnsi="宋体" w:eastAsia="仿宋_GB2312"/>
          <w:sz w:val="32"/>
          <w:szCs w:val="32"/>
          <w:lang w:val="zh-CN"/>
        </w:rPr>
        <w:t>和各办案部门共同落实</w:t>
      </w:r>
      <w:r>
        <w:rPr>
          <w:rFonts w:ascii="仿宋_GB2312" w:hAnsi="宋体" w:eastAsia="仿宋_GB2312"/>
          <w:sz w:val="32"/>
          <w:szCs w:val="32"/>
          <w:lang w:val="zh-CN"/>
        </w:rPr>
        <w:t>司法救助工作，并按照各自职责范围和案件管辖分工，分别对救助申请进行审核，在审批后进行救助金的发放。加强部门联动，实现司法救助信息共享。建立衔接机制，充分保障困难群众行使诉讼权利和享有帮扶救助。</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采取自评与他评相结合，成立项目自评小组，结合评价内容，做到有计划，有安排，扎实开展本次自评工作。按照上级下达的项目支出绩效评价指据体系，自评小组针对项目内容，实施情况、项目目标、项目效益等做好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司法救助金项目经费预算33万元（本级财政年初预算28万元，省级以上财政资金5万元），按年度进行申报，资金及时批复到位。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于2019年申请2020年司法救助金项目经费年初预算33万元。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截止2020年12月，所有计划资金全部到位，共计33万元。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截止2020年12月31日，该项目经费已全部支出，共计53.3万元，用于救助金发放。</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2020年司法救助金项目经费采取授权支付形式，由财政所年初拟定用款计划，分期严格按照项目资金管理办法对资金进行计划申请、划拨、使用，我院财务人员及时、规范对收支进行账务处理和会计核算。</w:t>
      </w:r>
    </w:p>
    <w:p>
      <w:pPr>
        <w:pStyle w:val="31"/>
        <w:numPr>
          <w:ilvl w:val="0"/>
          <w:numId w:val="3"/>
        </w:numPr>
        <w:adjustRightInd w:val="0"/>
        <w:snapToGrid w:val="0"/>
        <w:spacing w:line="600" w:lineRule="exact"/>
        <w:ind w:firstLineChars="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项目实施及管理情况</w:t>
      </w:r>
    </w:p>
    <w:p>
      <w:pPr>
        <w:pStyle w:val="31"/>
        <w:numPr>
          <w:ilvl w:val="0"/>
          <w:numId w:val="6"/>
        </w:numPr>
        <w:adjustRightInd w:val="0"/>
        <w:snapToGrid w:val="0"/>
        <w:spacing w:line="600"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98" w:name="_Toc83802833"/>
      <w:r>
        <w:rPr>
          <w:rFonts w:hint="eastAsia" w:ascii="仿宋_GB2312" w:hAnsi="宋体" w:eastAsia="仿宋_GB2312"/>
          <w:color w:val="000000" w:themeColor="text1"/>
          <w:sz w:val="32"/>
          <w:szCs w:val="32"/>
          <w:lang w:val="zh-CN"/>
          <w14:textFill>
            <w14:solidFill>
              <w14:schemeClr w14:val="tx1"/>
            </w14:solidFill>
          </w14:textFill>
        </w:rPr>
        <w:t>该项目属于经常性项目，由本单位自行组织实施。实施过程都是按照制定的管理制度来执行。</w:t>
      </w:r>
      <w:bookmarkEnd w:id="98"/>
    </w:p>
    <w:p>
      <w:pPr>
        <w:pStyle w:val="31"/>
        <w:numPr>
          <w:ilvl w:val="0"/>
          <w:numId w:val="6"/>
        </w:numPr>
        <w:adjustRightInd w:val="0"/>
        <w:snapToGrid w:val="0"/>
        <w:spacing w:line="600"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项目管理情况。</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99" w:name="_Toc83802834"/>
      <w:r>
        <w:rPr>
          <w:rFonts w:hint="eastAsia" w:ascii="仿宋_GB2312" w:hAnsi="宋体" w:eastAsia="仿宋_GB2312"/>
          <w:color w:val="000000" w:themeColor="text1"/>
          <w:sz w:val="32"/>
          <w:szCs w:val="32"/>
          <w:lang w:val="zh-CN"/>
          <w14:textFill>
            <w14:solidFill>
              <w14:schemeClr w14:val="tx1"/>
            </w14:solidFill>
          </w14:textFill>
        </w:rPr>
        <w:t>项目目标设定依据充分、明确、合理，项目开展符合我院工作实际。项目开展过程中，以深入调查为依据，通过研究，再根据实际情况予以实施。</w:t>
      </w:r>
      <w:bookmarkEnd w:id="99"/>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p>
    <w:p>
      <w:pPr>
        <w:spacing w:line="570" w:lineRule="exact"/>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 xml:space="preserve">    该项目所有资金实行专款专用。项目支出均有相关的审批流程，资金拨付严格审批程序，使用规范。没有截留、挤占和挪用项目资金情况。</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1、数量指标：全年实现司法救助人员数量33人 。</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 质量指标：根据有法定理由须救助的对象进行救助。</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3、时效指标：针对受理案件，对案件整个情况的了解，符合条件的申请司法救助金，把救助金送到受害的困难家庭，完成本年度救助目标。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1、社会效益指标：贯彻执行了国家司法行政工作的方针、政策和法律法规，维护社会和谐稳定发展。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2、可持续影响指标：减轻受害人的痛苦，化解矛盾、维护社会稳定。</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体现了法院的人文关怀，</w:t>
      </w:r>
      <w:r>
        <w:rPr>
          <w:rFonts w:ascii="仿宋_GB2312" w:hAnsi="宋体" w:eastAsia="仿宋_GB2312"/>
          <w:sz w:val="32"/>
          <w:szCs w:val="32"/>
          <w:lang w:val="zh-CN"/>
        </w:rPr>
        <w:t>切实做好司法过程中对困难群众的救助工作，保障社会公平正义，促进社会和谐稳定</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bookmarkStart w:id="100" w:name="_Toc15396618"/>
    </w:p>
    <w:p>
      <w:pPr>
        <w:widowControl/>
        <w:jc w:val="center"/>
        <w:rPr>
          <w:rFonts w:ascii="方正小标宋简体" w:hAnsi="宋体" w:eastAsia="方正小标宋简体"/>
          <w:color w:val="000000"/>
          <w:kern w:val="0"/>
          <w:sz w:val="44"/>
          <w:szCs w:val="44"/>
          <w:lang w:val="zh-CN"/>
        </w:rPr>
      </w:pPr>
      <w:r>
        <w:rPr>
          <w:rFonts w:ascii="仿宋_GB2312" w:hAnsi="宋体" w:eastAsia="仿宋_GB2312"/>
          <w:sz w:val="32"/>
          <w:szCs w:val="32"/>
          <w:lang w:val="zh-CN"/>
        </w:rPr>
        <w:br w:type="page"/>
      </w:r>
      <w:r>
        <w:rPr>
          <w:rFonts w:hint="eastAsia" w:ascii="方正小标宋简体" w:hAnsi="宋体" w:eastAsia="方正小标宋简体"/>
          <w:color w:val="000000"/>
          <w:kern w:val="0"/>
          <w:sz w:val="44"/>
          <w:szCs w:val="44"/>
        </w:rPr>
        <w:t>陪审员工作</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根据全国人民代表大会常务委员会《关于完善人民陪审员制度的决定》第十八的规定，“人民陪审员因参加审 判活动而支出的交通、就餐等费用，由人民法院给予补助”,第十九条规定，“人民陪审员困参加审判活动应当享受的补助，人民法院和司法行政机关为实施陪审制度所必需的开支，列入人民法院和司法行政机关业务经费，由同级政府财政予以保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我院</w:t>
      </w:r>
      <w:r>
        <w:rPr>
          <w:rFonts w:hint="eastAsia" w:ascii="仿宋_GB2312" w:hAnsi="宋体" w:eastAsia="仿宋_GB2312"/>
          <w:sz w:val="32"/>
          <w:szCs w:val="32"/>
          <w:lang w:val="zh-CN"/>
        </w:rPr>
        <w:t>根据最高人民法院、司法部《关于人民法院陪审员选任、培训、考核工作的实施意见》的要求，采取公告、组织推荐(本人报名)、审查、审核、公式、培训、人大常委会任命的程序共选任了123名陪审员参审案件。由政治部（督察室）负责组织陪审员的集中或不定期培训，提升陪审员业务技能。实现加大社会参与度。</w:t>
      </w:r>
      <w:r>
        <w:rPr>
          <w:rFonts w:ascii="仿宋_GB2312" w:hAnsi="宋体" w:eastAsia="仿宋_GB2312"/>
          <w:sz w:val="32"/>
          <w:szCs w:val="32"/>
          <w:lang w:val="zh-CN"/>
        </w:rPr>
        <w:t>充分保障</w:t>
      </w:r>
      <w:r>
        <w:rPr>
          <w:rFonts w:hint="eastAsia" w:ascii="仿宋_GB2312" w:hAnsi="宋体" w:eastAsia="仿宋_GB2312"/>
          <w:sz w:val="32"/>
          <w:szCs w:val="32"/>
          <w:lang w:val="zh-CN"/>
        </w:rPr>
        <w:t>123人陪审员工作经费</w:t>
      </w:r>
      <w:r>
        <w:rPr>
          <w:rFonts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采取自评与他评相结合，成立项目自评小组，结合评价内容，做到有计划，有安排，扎实开展本次自评工作。按照上级下达的项目支出绩效评价指据体系，自评小组针对项目内容，实施情况、项目目标、项目效益等做好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陪审员项目经费预算70万元，按年度进行申报，资金及时批复到位。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2019年申请2020年陪审员项目经费年初预算70万元。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截止2020年12月，所有计划资金全部到位，共计70万元。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截止2020年12月31日，该项目经费已全部支出，共计70万元。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2020年陪审员项目经费采取授权支付形式，由财政所年初拟定用款计划，分期严格按照项目资金管理办法对资金进行计划申请、划拨、使用，我院财务人员及时、规范对收支进行账务处理和会计核算。</w:t>
      </w:r>
    </w:p>
    <w:p>
      <w:pPr>
        <w:pStyle w:val="31"/>
        <w:numPr>
          <w:ilvl w:val="0"/>
          <w:numId w:val="3"/>
        </w:numPr>
        <w:adjustRightInd w:val="0"/>
        <w:snapToGrid w:val="0"/>
        <w:spacing w:line="600" w:lineRule="exact"/>
        <w:ind w:firstLineChars="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项目实施及管理情况</w:t>
      </w:r>
    </w:p>
    <w:p>
      <w:pPr>
        <w:pStyle w:val="31"/>
        <w:numPr>
          <w:ilvl w:val="0"/>
          <w:numId w:val="6"/>
        </w:numPr>
        <w:adjustRightInd w:val="0"/>
        <w:snapToGrid w:val="0"/>
        <w:spacing w:line="600"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101" w:name="_Toc83802835"/>
      <w:r>
        <w:rPr>
          <w:rFonts w:hint="eastAsia" w:ascii="仿宋_GB2312" w:hAnsi="宋体" w:eastAsia="仿宋_GB2312"/>
          <w:color w:val="000000" w:themeColor="text1"/>
          <w:sz w:val="32"/>
          <w:szCs w:val="32"/>
          <w:lang w:val="zh-CN"/>
          <w14:textFill>
            <w14:solidFill>
              <w14:schemeClr w14:val="tx1"/>
            </w14:solidFill>
          </w14:textFill>
        </w:rPr>
        <w:t>该项目属于经常性项目，由本单位自行组织实施。实施过程都是按照制定的管理制度来执行。</w:t>
      </w:r>
      <w:bookmarkEnd w:id="101"/>
    </w:p>
    <w:p>
      <w:pPr>
        <w:pStyle w:val="31"/>
        <w:numPr>
          <w:ilvl w:val="0"/>
          <w:numId w:val="6"/>
        </w:numPr>
        <w:adjustRightInd w:val="0"/>
        <w:snapToGrid w:val="0"/>
        <w:spacing w:line="600"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项目管理情况。</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102" w:name="_Toc83802836"/>
      <w:r>
        <w:rPr>
          <w:rFonts w:hint="eastAsia" w:ascii="仿宋_GB2312" w:hAnsi="宋体" w:eastAsia="仿宋_GB2312"/>
          <w:color w:val="000000" w:themeColor="text1"/>
          <w:sz w:val="32"/>
          <w:szCs w:val="32"/>
          <w:lang w:val="zh-CN"/>
          <w14:textFill>
            <w14:solidFill>
              <w14:schemeClr w14:val="tx1"/>
            </w14:solidFill>
          </w14:textFill>
        </w:rPr>
        <w:t>项目目标设定依据充分、明确、合理，项目开展符合我院工作实际。项目开展过程中，以深入调查为依据，通过研究，再根据实际情况予以实施。</w:t>
      </w:r>
      <w:bookmarkEnd w:id="102"/>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p>
    <w:p>
      <w:pPr>
        <w:spacing w:line="570" w:lineRule="exact"/>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 xml:space="preserve">    该项目所有资金实行专款专用。项目支出均有相关的审批流程，资金拨付严格审批程序，使用规范。没有截留、挤占和挪用项目资金情况。</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1、数量指标：全年实现聘任陪审员123人参与庭审，并组织开展陪审员集中或不定期培训3次 。</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 质量指标：提升陪审员业务技能，保障123人陪审员工作经费。</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3、时效指标：截止2020年12月31日，完成2020年案件审判、执行案件数。</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1、社会效益指标：陪审员参审案件，能弥补法官员额不足，充分发挥各自的优势和不足，使审判更加贴近民情民意，增强法院审判的社会公信力和认同感，更好实现办案的法律效果和社会效果的统一。</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人民陪审员可以协助法院宣传法律法规，以其特殊身份教育指导人民群众学法用法，完善法院的法制宣传工作，形成一个人人学法、用法、懂法的良好局面。</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司法改革过程中按陪审员相关规定，为保障人员配比，我院陪审员人数为123人，导致年初预算经费不足。</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ind w:firstLine="640" w:firstLineChars="200"/>
        <w:jc w:val="left"/>
        <w:rPr>
          <w:rFonts w:ascii="黑体" w:hAnsi="黑体" w:eastAsia="黑体"/>
          <w:color w:val="000000"/>
          <w:sz w:val="44"/>
          <w:szCs w:val="44"/>
        </w:rPr>
      </w:pPr>
      <w:r>
        <w:rPr>
          <w:rFonts w:hint="eastAsia" w:ascii="仿宋_GB2312" w:hAnsi="仿宋_GB2312" w:eastAsia="仿宋_GB2312" w:cs="仿宋_GB2312"/>
          <w:sz w:val="32"/>
          <w:szCs w:val="32"/>
        </w:rPr>
        <w:t>下一步改进措施为调整年初预算数，做到合理预算，保障经费使用。</w:t>
      </w:r>
      <w:r>
        <w:rPr>
          <w:rFonts w:ascii="仿宋_GB2312" w:hAnsi="宋体" w:eastAsia="仿宋_GB2312"/>
          <w:sz w:val="32"/>
          <w:szCs w:val="32"/>
          <w:lang w:val="zh-CN"/>
        </w:rPr>
        <w:br w:type="page"/>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rPr>
        <w:t>购买社会劳动力</w:t>
      </w:r>
      <w:r>
        <w:rPr>
          <w:rFonts w:hint="eastAsia" w:ascii="方正小标宋简体" w:hAnsi="宋体" w:eastAsia="方正小标宋简体"/>
          <w:kern w:val="0"/>
          <w:sz w:val="44"/>
          <w:szCs w:val="44"/>
          <w:lang w:val="zh-CN"/>
        </w:rPr>
        <w:t>项目</w:t>
      </w:r>
      <w:r>
        <w:rPr>
          <w:rFonts w:ascii="方正小标宋简体" w:hAnsi="宋体" w:eastAsia="方正小标宋简体"/>
          <w:kern w:val="0"/>
          <w:sz w:val="44"/>
          <w:szCs w:val="44"/>
        </w:rPr>
        <w:t>2020</w:t>
      </w:r>
      <w:r>
        <w:rPr>
          <w:rFonts w:hint="eastAsia" w:ascii="方正小标宋简体" w:hAnsi="宋体" w:eastAsia="方正小标宋简体"/>
          <w:kern w:val="0"/>
          <w:sz w:val="44"/>
          <w:szCs w:val="44"/>
        </w:rPr>
        <w:t>年</w:t>
      </w:r>
      <w:r>
        <w:rPr>
          <w:rFonts w:hint="eastAsia" w:ascii="方正小标宋简体" w:hAnsi="宋体" w:eastAsia="方正小标宋简体"/>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近年来，法院案件数量剧增，特别是司法体制改革后，案多人少的矛盾更加突出。为缓解矛盾，需向社会购买劳动力，其中包含法官助理、书记员、法警及综合类人员。要求有良好的政治素质和道德品行，遵纪守法，作风正派，品行良好，无违法乱纪、具备服务意识、安全意识、保密意识等思想素质。</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通过第三方人资资源劳务派遣公司购买社会劳动力，实现法院司法服务人力保障。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采取自评与他评相结合，成立项目自评小组，结合评价内容，做到有计划，有安排，扎实开展本次自评工作。按照上级下达的项目支出绩效评价指据体系，自评小组针对项目内容，实施情况、项目目标、项目效益等做好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购买社会劳动力项目经费预算210万元，按年度进行申报，资金及时批复到位。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2019年申请2020年购买社会劳动力项目经费年初预算210万元。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截止2020年12月，所有计划资金全部到位，共计210万元。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截止2020年12月31日，该项目经费已全部支出，共计210万元。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2020年购买社会劳动力项目经费采取授权支付形式，由财政所年初拟定用款计划，分期严格按照项目资金管理办法对资金进行计划申请、划拨、使用，我院财务人员及时、规范对收支进行账务处理和会计核算。</w:t>
      </w:r>
    </w:p>
    <w:p>
      <w:pPr>
        <w:pStyle w:val="31"/>
        <w:numPr>
          <w:ilvl w:val="0"/>
          <w:numId w:val="3"/>
        </w:numPr>
        <w:adjustRightInd w:val="0"/>
        <w:snapToGrid w:val="0"/>
        <w:spacing w:line="600" w:lineRule="exact"/>
        <w:ind w:firstLineChars="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项目实施及管理情况</w:t>
      </w:r>
    </w:p>
    <w:p>
      <w:pPr>
        <w:pStyle w:val="31"/>
        <w:numPr>
          <w:ilvl w:val="0"/>
          <w:numId w:val="6"/>
        </w:numPr>
        <w:adjustRightInd w:val="0"/>
        <w:snapToGrid w:val="0"/>
        <w:spacing w:line="600"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103" w:name="_Toc83802837"/>
      <w:r>
        <w:rPr>
          <w:rFonts w:hint="eastAsia" w:ascii="仿宋_GB2312" w:hAnsi="宋体" w:eastAsia="仿宋_GB2312"/>
          <w:color w:val="000000" w:themeColor="text1"/>
          <w:sz w:val="32"/>
          <w:szCs w:val="32"/>
          <w:lang w:val="zh-CN"/>
          <w14:textFill>
            <w14:solidFill>
              <w14:schemeClr w14:val="tx1"/>
            </w14:solidFill>
          </w14:textFill>
        </w:rPr>
        <w:t>该项目属于经常性项目，由本单位自行组织实施。实施过程都是按照制定的管理制度来执行。</w:t>
      </w:r>
      <w:bookmarkEnd w:id="103"/>
    </w:p>
    <w:p>
      <w:pPr>
        <w:pStyle w:val="31"/>
        <w:numPr>
          <w:ilvl w:val="0"/>
          <w:numId w:val="6"/>
        </w:numPr>
        <w:adjustRightInd w:val="0"/>
        <w:snapToGrid w:val="0"/>
        <w:spacing w:line="600"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项目管理情况。</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104" w:name="_Toc83802838"/>
      <w:r>
        <w:rPr>
          <w:rFonts w:hint="eastAsia" w:ascii="仿宋_GB2312" w:hAnsi="宋体" w:eastAsia="仿宋_GB2312"/>
          <w:color w:val="000000" w:themeColor="text1"/>
          <w:sz w:val="32"/>
          <w:szCs w:val="32"/>
          <w:lang w:val="zh-CN"/>
          <w14:textFill>
            <w14:solidFill>
              <w14:schemeClr w14:val="tx1"/>
            </w14:solidFill>
          </w14:textFill>
        </w:rPr>
        <w:t>项目目标设定依据充分、明确、合理，项目开展符合我院工作实际。项目开展过程中，以深入调查为依据，通过研究，再根据实际情况予以实施。</w:t>
      </w:r>
      <w:bookmarkEnd w:id="104"/>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p>
    <w:p>
      <w:pPr>
        <w:spacing w:line="570" w:lineRule="exact"/>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 xml:space="preserve">    该项目所有资金实行专款专用。项目支出均有相关的审批流程，资金拨付严格审批程序，使用规范。没有截留、挤占和挪用项目资金情况。</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1、数量指标：确保司法辅助劳务人员60人，劳务人员工资待遇标准为3.5万元/人.年。</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 质量指标：确保工资薪金按月发放。</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3、时效指标：截止2020年12月31日，协助完成2020年案件审判、执行案件数及其他综合事项。</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1、社会效益指标：保障法院司改人力配比，协助完成法院审判、执行工作，确保办案质效。</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eastAsia="仿宋_GB2312" w:asciiTheme="minorHAnsi" w:hAnsiTheme="minorHAnsi"/>
          <w:sz w:val="32"/>
          <w:szCs w:val="32"/>
        </w:rPr>
      </w:pPr>
      <w:r>
        <w:rPr>
          <w:rFonts w:hint="eastAsia" w:ascii="仿宋_GB2312" w:hAnsi="宋体" w:eastAsia="仿宋_GB2312"/>
          <w:sz w:val="32"/>
          <w:szCs w:val="32"/>
          <w:lang w:val="zh-CN"/>
        </w:rPr>
        <w:t>通过购买社会劳动力项目，解决近年法院案件数量剧增，特别是司法体制改革后，案多人少的矛盾。</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发现的主要问题为司法改革过程中为保障人员配比，我院现有外包聘用人员132人，存在42人的经费未纳入预算，且年初预算按3.5万元/人.年核算，人员经费核算不足。导致年初预算经费不足。</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widowControl/>
        <w:ind w:firstLine="640" w:firstLineChars="200"/>
        <w:jc w:val="left"/>
        <w:rPr>
          <w:rFonts w:ascii="黑体" w:hAnsi="黑体" w:eastAsia="黑体"/>
          <w:color w:val="000000"/>
          <w:sz w:val="44"/>
          <w:szCs w:val="44"/>
        </w:rPr>
      </w:pPr>
      <w:r>
        <w:rPr>
          <w:rFonts w:hint="eastAsia" w:ascii="仿宋_GB2312" w:hAnsi="仿宋_GB2312" w:eastAsia="仿宋_GB2312" w:cs="仿宋_GB2312"/>
          <w:sz w:val="32"/>
          <w:szCs w:val="32"/>
        </w:rPr>
        <w:t>下一步改进措施为调整年初预算数，做到合理预算，保障经费使用。</w:t>
      </w:r>
      <w:r>
        <w:rPr>
          <w:rFonts w:ascii="黑体" w:hAnsi="黑体" w:eastAsia="黑体"/>
          <w:color w:val="000000"/>
          <w:sz w:val="44"/>
          <w:szCs w:val="44"/>
        </w:rPr>
        <w:br w:type="page"/>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大调解工作</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利州区是广元市管辖的一个市辖区，位于川陕甘三省交汇处，下辖7个街道、5个镇、3个乡，矛盾纠纷多元化且突出。我院设立了矛盾多元化解调解中心，着力解决辖区内的道路交通事故调解、婚姻家庭纠纷调解、物业纠纷调解、劳资纠纷调解、征地拆迁纠纷调解等纠纷。</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我院通过</w:t>
      </w:r>
      <w:r>
        <w:rPr>
          <w:rFonts w:hint="eastAsia" w:ascii="仿宋_GB2312" w:hAnsi="宋体" w:eastAsia="仿宋_GB2312"/>
          <w:sz w:val="32"/>
          <w:szCs w:val="32"/>
          <w:lang w:val="zh-CN"/>
        </w:rPr>
        <w:t>“大调解”工作，实行先调解再立案，着力减轻审判压力，快速化解纠纷，根据近三年案件数测算，预计“大调解”工作可调解结案案件数大于2000件。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采取自评与他评相结合，成立项目自评小组，结合评价内容，做到有计划，有安排，扎实开展本次自评工作。按照上级下达的项目支出绩效评价指据体系，自评小组针对项目内容，实施情况、项目目标、项目效益等做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“大调解”工作经费预算30万元，按年度进行申报，资金及时批复到位。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2019年申请2020年“大调解”工作经费年初预算30万元。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截止2020年12月，所有计划资金全部到位，共计30万元。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截止2020年12月31日，该项目经费已全部支出，共计30万元。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2020年“大调解”工作经费采取授权支付形式，由财政所年初拟定用款计划，分期严格按照项目资金管理办法对资金进行计划申请、划拨、使用，我院财务人员及时、规范对收支进行账务处理和会计核算。</w:t>
      </w:r>
    </w:p>
    <w:p>
      <w:pPr>
        <w:pStyle w:val="31"/>
        <w:numPr>
          <w:ilvl w:val="0"/>
          <w:numId w:val="3"/>
        </w:numPr>
        <w:adjustRightInd w:val="0"/>
        <w:snapToGrid w:val="0"/>
        <w:spacing w:line="600" w:lineRule="exact"/>
        <w:ind w:firstLineChars="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项目实施及管理情况</w:t>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（一）项目组织架构及实施流程。</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105" w:name="_Toc83802839"/>
      <w:r>
        <w:rPr>
          <w:rFonts w:hint="eastAsia" w:ascii="仿宋_GB2312" w:hAnsi="宋体" w:eastAsia="仿宋_GB2312"/>
          <w:color w:val="000000" w:themeColor="text1"/>
          <w:sz w:val="32"/>
          <w:szCs w:val="32"/>
          <w:lang w:val="zh-CN"/>
          <w14:textFill>
            <w14:solidFill>
              <w14:schemeClr w14:val="tx1"/>
            </w14:solidFill>
          </w14:textFill>
        </w:rPr>
        <w:t>该项目属于经常性项目，由本单位自行组织实施。实施过程都是按照制定的管理制度来执行。</w:t>
      </w:r>
      <w:bookmarkEnd w:id="105"/>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（二）项目管理情况。</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106" w:name="_Toc83802840"/>
      <w:r>
        <w:rPr>
          <w:rFonts w:hint="eastAsia" w:ascii="仿宋_GB2312" w:hAnsi="宋体" w:eastAsia="仿宋_GB2312"/>
          <w:color w:val="000000" w:themeColor="text1"/>
          <w:sz w:val="32"/>
          <w:szCs w:val="32"/>
          <w:lang w:val="zh-CN"/>
          <w14:textFill>
            <w14:solidFill>
              <w14:schemeClr w14:val="tx1"/>
            </w14:solidFill>
          </w14:textFill>
        </w:rPr>
        <w:t>项目目标设定依据充分、明确、合理，项目开展符合我院工作实际。项目开展过程中，以深入调查为依据，通过研究，再根据实际情况予以实施。</w:t>
      </w:r>
      <w:bookmarkEnd w:id="106"/>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p>
    <w:p>
      <w:pPr>
        <w:spacing w:line="570" w:lineRule="exact"/>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 xml:space="preserve">    该项目所有资金实行专款专用。项目支出均有相关的审批流程，资金拨付严格审批程序，使用规范。没有截留、挤占和挪用项目资金情况。</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1、数量指标：全年法院诉讼调解结案案件数为2919件。</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2、质量指标：矛盾纠纷化解，达到当事人意见统一。</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3、时效指标：截止2020年12月31日，完成2020年案件审判、执行案件数。</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4、成本指标：严格有效控制经费，厉行节约，严格按预算经费执行。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1、社会效益指标：巩固构建司法调解、行政调解、人民调解“大调解”工程，，让人民群众懂法、守法，保护当事人合法权益。</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2、可持续影响指标：体现法院调解职能，同时做到法制建设宣传。</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“大调解”工作通过多元化解矛盾纠纷，同时可以协助法院完善法院的法制宣传工作，形成一个人人学法、懂法、守法的良好局面。</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widowControl/>
        <w:jc w:val="center"/>
        <w:rPr>
          <w:rFonts w:ascii="方正小标宋简体" w:hAnsi="宋体" w:eastAsia="方正小标宋简体"/>
          <w:color w:val="000000"/>
          <w:kern w:val="0"/>
          <w:sz w:val="44"/>
          <w:szCs w:val="44"/>
          <w:lang w:val="zh-CN"/>
        </w:rPr>
      </w:pPr>
      <w:r>
        <w:rPr>
          <w:rFonts w:ascii="黑体" w:hAnsi="黑体" w:eastAsia="黑体"/>
          <w:color w:val="000000"/>
          <w:sz w:val="44"/>
          <w:szCs w:val="44"/>
        </w:rPr>
        <w:br w:type="page"/>
      </w:r>
      <w:r>
        <w:rPr>
          <w:rFonts w:hint="eastAsia" w:ascii="方正小标宋简体" w:hAnsi="宋体" w:eastAsia="方正小标宋简体"/>
          <w:color w:val="000000"/>
          <w:kern w:val="0"/>
          <w:sz w:val="44"/>
          <w:szCs w:val="44"/>
        </w:rPr>
        <w:t>涉诉维稳信访</w:t>
      </w:r>
      <w:r>
        <w:rPr>
          <w:rFonts w:hint="eastAsia" w:ascii="方正小标宋简体" w:hAnsi="宋体" w:eastAsia="方正小标宋简体"/>
          <w:color w:val="000000"/>
          <w:kern w:val="0"/>
          <w:sz w:val="44"/>
          <w:szCs w:val="44"/>
          <w:lang w:val="zh-CN"/>
        </w:rPr>
        <w:t>项目</w:t>
      </w: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为贯彻落实党的十九大及十九届二中、三中全会精神，牢固树立“四个意识”、坚定“四个自信”、坚决做到“两个维护”，紧紧围绕区委、区政府工作大局，维护国家政治安全、确保社会稳定、促进社会公平正义、保障人民安居乐业，向区财政局申请安排涉诉维稳信访专项资金30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pStyle w:val="12"/>
        <w:widowControl/>
        <w:shd w:val="clear" w:color="auto" w:fill="FFFFFF"/>
        <w:wordWrap w:val="0"/>
        <w:spacing w:before="0" w:beforeAutospacing="0" w:after="0" w:afterAutospacing="0"/>
        <w:ind w:firstLine="645"/>
        <w:rPr>
          <w:rFonts w:ascii="仿宋_GB2312" w:hAnsi="宋体" w:eastAsia="仿宋_GB2312"/>
          <w:kern w:val="2"/>
          <w:sz w:val="32"/>
          <w:szCs w:val="32"/>
          <w:lang w:val="zh-CN"/>
        </w:rPr>
      </w:pPr>
      <w:r>
        <w:rPr>
          <w:rFonts w:hint="eastAsia" w:ascii="仿宋_GB2312" w:hAnsi="宋体" w:eastAsia="仿宋_GB2312"/>
          <w:kern w:val="2"/>
          <w:sz w:val="32"/>
          <w:szCs w:val="32"/>
          <w:lang w:val="zh-CN"/>
        </w:rPr>
        <w:t>建立信访维稳专项资金，旨在合法、合理、合情的基础上，把信访维稳工作放在重中之重的位置，妥善处理群众来信来访，切实解决群众需求、诉求，集中力量化解信访积案，全力以赴维护重点时期社会稳定，为全区经济社会发展营造了和谐稳定的良好环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本项目采取自评与他评相结合，成立项目自评小组，结合评价内容，做到有计划，有安排，扎实开展本次自评工作。按照上级下达的项目支出绩效评价指据体系，自评小组针对项目内容，实施情况、项目目标、项目效益等做自评工作。</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涉诉维稳信访项目经费预算30万元，按年度进行申报，资金及时批复到位。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2019年申请2020年涉诉维稳信访项目经费年初预算30万元。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截止2020年12月，所有计划资金全部到位，共计30万元。</w:t>
      </w:r>
    </w:p>
    <w:p>
      <w:pPr>
        <w:adjustRightInd w:val="0"/>
        <w:snapToGrid w:val="0"/>
        <w:spacing w:line="6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截止2020年12月31日，该项目经费已全部支出，共计30万元。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2020年涉诉维稳信访项目经费采取授权支付形式，由财政所年初拟定用款计划，分期严格按照项目资金管理办法对资金进行计划申请、划拨、使用，我院财务人员及时、规范对收支进行账务处理和会计核算。</w:t>
      </w:r>
    </w:p>
    <w:p>
      <w:pPr>
        <w:pStyle w:val="31"/>
        <w:numPr>
          <w:ilvl w:val="0"/>
          <w:numId w:val="3"/>
        </w:numPr>
        <w:adjustRightInd w:val="0"/>
        <w:snapToGrid w:val="0"/>
        <w:spacing w:line="600" w:lineRule="exact"/>
        <w:ind w:firstLineChars="0"/>
        <w:rPr>
          <w:rFonts w:ascii="黑体" w:hAnsi="宋体" w:eastAsia="黑体"/>
          <w:color w:val="000000" w:themeColor="text1"/>
          <w:sz w:val="32"/>
          <w:szCs w:val="32"/>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项目实施及管理情况</w:t>
      </w:r>
    </w:p>
    <w:p>
      <w:pPr>
        <w:pStyle w:val="31"/>
        <w:numPr>
          <w:ilvl w:val="0"/>
          <w:numId w:val="6"/>
        </w:numPr>
        <w:adjustRightInd w:val="0"/>
        <w:snapToGrid w:val="0"/>
        <w:spacing w:line="600"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项目组织架构及实施流程。</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107" w:name="_Toc83802841"/>
      <w:r>
        <w:rPr>
          <w:rFonts w:hint="eastAsia" w:ascii="仿宋_GB2312" w:hAnsi="宋体" w:eastAsia="仿宋_GB2312"/>
          <w:color w:val="000000" w:themeColor="text1"/>
          <w:sz w:val="32"/>
          <w:szCs w:val="32"/>
          <w:lang w:val="zh-CN"/>
          <w14:textFill>
            <w14:solidFill>
              <w14:schemeClr w14:val="tx1"/>
            </w14:solidFill>
          </w14:textFill>
        </w:rPr>
        <w:t>该项目属于经常性项目，由本单位自行组织实施。实施过程都是按照制定的管理制度来执行。</w:t>
      </w:r>
      <w:bookmarkEnd w:id="107"/>
    </w:p>
    <w:p>
      <w:pPr>
        <w:pStyle w:val="31"/>
        <w:numPr>
          <w:ilvl w:val="0"/>
          <w:numId w:val="6"/>
        </w:numPr>
        <w:adjustRightInd w:val="0"/>
        <w:snapToGrid w:val="0"/>
        <w:spacing w:line="600" w:lineRule="exact"/>
        <w:ind w:firstLineChars="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项目管理情况。</w:t>
      </w:r>
    </w:p>
    <w:p>
      <w:pPr>
        <w:spacing w:line="570" w:lineRule="exact"/>
        <w:ind w:firstLine="640" w:firstLineChars="200"/>
        <w:outlineLvl w:val="0"/>
        <w:rPr>
          <w:rFonts w:ascii="仿宋_GB2312" w:hAnsi="宋体" w:eastAsia="仿宋_GB2312"/>
          <w:color w:val="000000" w:themeColor="text1"/>
          <w:sz w:val="32"/>
          <w:szCs w:val="32"/>
          <w:lang w:val="zh-CN"/>
          <w14:textFill>
            <w14:solidFill>
              <w14:schemeClr w14:val="tx1"/>
            </w14:solidFill>
          </w14:textFill>
        </w:rPr>
      </w:pPr>
      <w:bookmarkStart w:id="108" w:name="_Toc83802842"/>
      <w:r>
        <w:rPr>
          <w:rFonts w:hint="eastAsia" w:ascii="仿宋_GB2312" w:hAnsi="宋体" w:eastAsia="仿宋_GB2312"/>
          <w:color w:val="000000" w:themeColor="text1"/>
          <w:sz w:val="32"/>
          <w:szCs w:val="32"/>
          <w:lang w:val="zh-CN"/>
          <w14:textFill>
            <w14:solidFill>
              <w14:schemeClr w14:val="tx1"/>
            </w14:solidFill>
          </w14:textFill>
        </w:rPr>
        <w:t>项目目标设定依据充分、明确、合理，项目开展符合我院工作实际。项目开展过程中，以深入调查为依据，通过研究，再根据实际情况予以实施。</w:t>
      </w:r>
      <w:bookmarkEnd w:id="108"/>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（三）项目监管情况。</w:t>
      </w:r>
    </w:p>
    <w:p>
      <w:pPr>
        <w:spacing w:line="570" w:lineRule="exact"/>
        <w:rPr>
          <w:rFonts w:ascii="仿宋_GB2312" w:hAnsi="宋体" w:eastAsia="仿宋_GB2312"/>
          <w:color w:val="000000" w:themeColor="text1"/>
          <w:sz w:val="32"/>
          <w:szCs w:val="32"/>
          <w:lang w:val="zh-CN"/>
          <w14:textFill>
            <w14:solidFill>
              <w14:schemeClr w14:val="tx1"/>
            </w14:solidFill>
          </w14:textFill>
        </w:rPr>
      </w:pPr>
      <w:r>
        <w:rPr>
          <w:rFonts w:hint="eastAsia" w:ascii="仿宋_GB2312" w:hAnsi="宋体" w:eastAsia="仿宋_GB2312"/>
          <w:color w:val="000000" w:themeColor="text1"/>
          <w:sz w:val="32"/>
          <w:szCs w:val="32"/>
          <w:lang w:val="zh-CN"/>
          <w14:textFill>
            <w14:solidFill>
              <w14:schemeClr w14:val="tx1"/>
            </w14:solidFill>
          </w14:textFill>
        </w:rPr>
        <w:t xml:space="preserve">    该项目所有资金实行专款专用。项目支出均有相关的审批流程，资金拨付严格审批程序，使用规范。没有截留、挤占和挪用项目资金情况。</w:t>
      </w:r>
    </w:p>
    <w:p>
      <w:pPr>
        <w:adjustRightInd w:val="0"/>
        <w:snapToGrid w:val="0"/>
        <w:spacing w:line="600" w:lineRule="exact"/>
        <w:ind w:firstLine="720"/>
        <w:rPr>
          <w:rFonts w:ascii="仿宋_GB2312" w:hAnsi="宋体" w:eastAsia="仿宋_GB2312"/>
          <w:color w:val="000000" w:themeColor="text1"/>
          <w:sz w:val="32"/>
          <w:szCs w:val="32"/>
          <w:lang w:val="zh-CN"/>
          <w14:textFill>
            <w14:solidFill>
              <w14:schemeClr w14:val="tx1"/>
            </w14:solidFill>
          </w14:textFill>
        </w:rPr>
      </w:pPr>
      <w:r>
        <w:rPr>
          <w:rFonts w:hint="eastAsia" w:ascii="黑体" w:hAnsi="宋体" w:eastAsia="黑体"/>
          <w:color w:val="000000" w:themeColor="text1"/>
          <w:sz w:val="32"/>
          <w:szCs w:val="32"/>
          <w14:textFill>
            <w14:solidFill>
              <w14:schemeClr w14:val="tx1"/>
            </w14:solidFill>
          </w14:textFill>
        </w:rPr>
        <w:t>四、项目绩效情况</w:t>
      </w:r>
      <w:r>
        <w:rPr>
          <w:rFonts w:ascii="仿宋_GB2312" w:hAnsi="宋体" w:eastAsia="仿宋_GB2312"/>
          <w:color w:val="000000" w:themeColor="text1"/>
          <w:sz w:val="32"/>
          <w:szCs w:val="32"/>
          <w:lang w:val="zh-CN"/>
          <w14:textFill>
            <w14:solidFill>
              <w14:schemeClr w14:val="tx1"/>
            </w14:solidFill>
          </w14:textFill>
        </w:rPr>
        <w:tab/>
      </w:r>
    </w:p>
    <w:p>
      <w:pPr>
        <w:adjustRightInd w:val="0"/>
        <w:snapToGrid w:val="0"/>
        <w:spacing w:line="600" w:lineRule="exact"/>
        <w:ind w:firstLine="720"/>
        <w:rPr>
          <w:rFonts w:ascii="楷体_GB2312" w:hAnsi="宋体" w:eastAsia="楷体_GB2312"/>
          <w:b/>
          <w:color w:val="000000" w:themeColor="text1"/>
          <w:sz w:val="32"/>
          <w:szCs w:val="32"/>
          <w:lang w:val="zh-CN"/>
          <w14:textFill>
            <w14:solidFill>
              <w14:schemeClr w14:val="tx1"/>
            </w14:solidFill>
          </w14:textFill>
        </w:rPr>
      </w:pPr>
      <w:r>
        <w:rPr>
          <w:rFonts w:hint="eastAsia" w:ascii="楷体_GB2312" w:hAnsi="宋体" w:eastAsia="楷体_GB2312"/>
          <w:b/>
          <w:color w:val="000000" w:themeColor="text1"/>
          <w:sz w:val="32"/>
          <w:szCs w:val="32"/>
          <w:lang w:val="zh-CN"/>
          <w14:textFill>
            <w14:solidFill>
              <w14:schemeClr w14:val="tx1"/>
            </w14:solidFill>
          </w14:textFill>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1、数量指标：全年法院涉诉维稳信访排查案件数为200件。</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2、质量指标：信访案件化解，保障辖区内重大涉诉维稳信访件及时办理。</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3、成本指标：严格有效控制经费，厉行节约，严格按预算经费执行。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1、社会效益指标：维护社会稳定，保护当事人合法权益。</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2、可持续影响指标：维护法律尊严。</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70" w:lineRule="exact"/>
        <w:outlineLvl w:val="0"/>
        <w:rPr>
          <w:rFonts w:ascii="仿宋_GB2312" w:hAnsi="仿宋_GB2312" w:eastAsia="仿宋_GB2312" w:cs="仿宋_GB2312"/>
          <w:bCs/>
          <w:spacing w:val="-8"/>
          <w:sz w:val="32"/>
          <w:szCs w:val="32"/>
        </w:rPr>
      </w:pPr>
      <w:r>
        <w:rPr>
          <w:rFonts w:hint="eastAsia" w:ascii="仿宋_GB2312" w:hAnsi="仿宋_GB2312" w:eastAsia="仿宋_GB2312" w:cs="仿宋_GB2312"/>
          <w:bCs/>
          <w:spacing w:val="-8"/>
          <w:sz w:val="32"/>
          <w:szCs w:val="32"/>
        </w:rPr>
        <w:t xml:space="preserve">    </w:t>
      </w:r>
      <w:bookmarkStart w:id="109" w:name="_Toc83802843"/>
      <w:r>
        <w:rPr>
          <w:rFonts w:hint="eastAsia" w:ascii="仿宋_GB2312" w:hAnsi="仿宋_GB2312" w:eastAsia="仿宋_GB2312" w:cs="仿宋_GB2312"/>
          <w:bCs/>
          <w:spacing w:val="-8"/>
          <w:sz w:val="32"/>
          <w:szCs w:val="32"/>
        </w:rPr>
        <w:t>该项目从可持续发展角度而言，整体发挥的社会效益明显，从根本上解决了群众的信访问题。</w:t>
      </w:r>
      <w:bookmarkEnd w:id="109"/>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widowControl/>
        <w:jc w:val="center"/>
        <w:rPr>
          <w:rStyle w:val="22"/>
          <w:rFonts w:ascii="黑体" w:hAnsi="黑体" w:eastAsia="黑体"/>
          <w:b w:val="0"/>
        </w:rPr>
      </w:pPr>
      <w:r>
        <w:rPr>
          <w:rFonts w:ascii="黑体" w:hAnsi="黑体" w:eastAsia="黑体"/>
          <w:color w:val="000000"/>
          <w:sz w:val="44"/>
          <w:szCs w:val="44"/>
        </w:rPr>
        <w:br w:type="page"/>
      </w:r>
      <w:r>
        <w:rPr>
          <w:rFonts w:hint="eastAsia" w:ascii="黑体" w:hAnsi="黑体" w:eastAsia="黑体"/>
          <w:color w:val="000000"/>
          <w:sz w:val="44"/>
          <w:szCs w:val="44"/>
        </w:rPr>
        <w:t>第</w:t>
      </w:r>
      <w:r>
        <w:rPr>
          <w:rStyle w:val="22"/>
          <w:rFonts w:hint="eastAsia" w:ascii="黑体" w:hAnsi="黑体" w:eastAsia="黑体"/>
          <w:b w:val="0"/>
        </w:rPr>
        <w:t>五部分</w:t>
      </w:r>
      <w:r>
        <w:rPr>
          <w:rStyle w:val="22"/>
          <w:rFonts w:ascii="黑体" w:hAnsi="黑体" w:eastAsia="黑体"/>
          <w:b w:val="0"/>
        </w:rPr>
        <w:t xml:space="preserve"> </w:t>
      </w:r>
      <w:r>
        <w:rPr>
          <w:rStyle w:val="22"/>
          <w:rFonts w:hint="eastAsia" w:ascii="黑体" w:hAnsi="黑体" w:eastAsia="黑体"/>
          <w:b w:val="0"/>
        </w:rPr>
        <w:t>附表</w:t>
      </w:r>
      <w:bookmarkEnd w:id="93"/>
      <w:bookmarkEnd w:id="100"/>
    </w:p>
    <w:p>
      <w:pPr>
        <w:pStyle w:val="3"/>
        <w:rPr>
          <w:rFonts w:ascii="仿宋" w:hAnsi="仿宋" w:eastAsia="仿宋"/>
          <w:color w:val="000000"/>
        </w:rPr>
      </w:pPr>
      <w:bookmarkStart w:id="110" w:name="_Toc15396619"/>
      <w:bookmarkStart w:id="111" w:name="_Toc83802844"/>
      <w:r>
        <w:rPr>
          <w:rFonts w:hint="eastAsia" w:ascii="仿宋" w:hAnsi="仿宋" w:eastAsia="仿宋"/>
          <w:b w:val="0"/>
          <w:color w:val="000000"/>
        </w:rPr>
        <w:t>一、收</w:t>
      </w:r>
      <w:r>
        <w:rPr>
          <w:rStyle w:val="19"/>
          <w:rFonts w:hint="eastAsia" w:ascii="仿宋" w:hAnsi="仿宋" w:eastAsia="仿宋"/>
          <w:b w:val="0"/>
          <w:bCs w:val="0"/>
        </w:rPr>
        <w:t>入支出决算总表</w:t>
      </w:r>
      <w:bookmarkEnd w:id="110"/>
      <w:bookmarkEnd w:id="111"/>
    </w:p>
    <w:p>
      <w:pPr>
        <w:pStyle w:val="3"/>
        <w:rPr>
          <w:rFonts w:ascii="仿宋" w:hAnsi="仿宋" w:eastAsia="仿宋"/>
          <w:color w:val="000000"/>
        </w:rPr>
      </w:pPr>
      <w:bookmarkStart w:id="112" w:name="_Toc15396620"/>
      <w:bookmarkStart w:id="113" w:name="_Toc83802845"/>
      <w:r>
        <w:rPr>
          <w:rFonts w:hint="eastAsia" w:ascii="仿宋" w:hAnsi="仿宋" w:eastAsia="仿宋"/>
          <w:b w:val="0"/>
          <w:color w:val="000000"/>
        </w:rPr>
        <w:t>二、收</w:t>
      </w:r>
      <w:r>
        <w:rPr>
          <w:rStyle w:val="19"/>
          <w:rFonts w:hint="eastAsia" w:ascii="仿宋" w:hAnsi="仿宋" w:eastAsia="仿宋"/>
          <w:b w:val="0"/>
          <w:bCs w:val="0"/>
        </w:rPr>
        <w:t>入决算表</w:t>
      </w:r>
      <w:bookmarkEnd w:id="112"/>
      <w:bookmarkEnd w:id="113"/>
    </w:p>
    <w:p>
      <w:pPr>
        <w:pStyle w:val="3"/>
        <w:rPr>
          <w:rFonts w:ascii="仿宋" w:hAnsi="仿宋" w:eastAsia="仿宋"/>
          <w:color w:val="000000"/>
        </w:rPr>
      </w:pPr>
      <w:bookmarkStart w:id="114" w:name="_Toc15396621"/>
      <w:bookmarkStart w:id="115" w:name="_Toc83802846"/>
      <w:r>
        <w:rPr>
          <w:rStyle w:val="19"/>
          <w:rFonts w:hint="eastAsia" w:ascii="仿宋" w:hAnsi="仿宋" w:eastAsia="仿宋"/>
          <w:b w:val="0"/>
          <w:bCs w:val="0"/>
        </w:rPr>
        <w:t>三、</w:t>
      </w:r>
      <w:r>
        <w:rPr>
          <w:rFonts w:hint="eastAsia" w:ascii="仿宋" w:hAnsi="仿宋" w:eastAsia="仿宋"/>
          <w:b w:val="0"/>
          <w:color w:val="000000"/>
        </w:rPr>
        <w:t>支</w:t>
      </w:r>
      <w:r>
        <w:rPr>
          <w:rStyle w:val="19"/>
          <w:rFonts w:hint="eastAsia" w:ascii="仿宋" w:hAnsi="仿宋" w:eastAsia="仿宋"/>
          <w:b w:val="0"/>
          <w:bCs w:val="0"/>
        </w:rPr>
        <w:t>出决算表</w:t>
      </w:r>
      <w:bookmarkEnd w:id="114"/>
      <w:bookmarkEnd w:id="115"/>
    </w:p>
    <w:p>
      <w:pPr>
        <w:pStyle w:val="3"/>
        <w:rPr>
          <w:rFonts w:ascii="仿宋" w:hAnsi="仿宋" w:eastAsia="仿宋"/>
          <w:b w:val="0"/>
          <w:color w:val="000000"/>
        </w:rPr>
      </w:pPr>
      <w:bookmarkStart w:id="116" w:name="_Toc15396622"/>
      <w:bookmarkStart w:id="117" w:name="_Toc83802847"/>
      <w:r>
        <w:rPr>
          <w:rStyle w:val="19"/>
          <w:rFonts w:hint="eastAsia" w:ascii="仿宋" w:hAnsi="仿宋" w:eastAsia="仿宋"/>
          <w:b w:val="0"/>
          <w:bCs w:val="0"/>
        </w:rPr>
        <w:t>四、</w:t>
      </w:r>
      <w:r>
        <w:rPr>
          <w:rFonts w:hint="eastAsia" w:ascii="仿宋" w:hAnsi="仿宋" w:eastAsia="仿宋"/>
          <w:b w:val="0"/>
          <w:color w:val="000000"/>
        </w:rPr>
        <w:t>财</w:t>
      </w:r>
      <w:r>
        <w:rPr>
          <w:rStyle w:val="19"/>
          <w:rFonts w:hint="eastAsia" w:ascii="仿宋" w:hAnsi="仿宋" w:eastAsia="仿宋"/>
          <w:b w:val="0"/>
          <w:bCs w:val="0"/>
        </w:rPr>
        <w:t>政拨款收入支出决算总表</w:t>
      </w:r>
      <w:bookmarkEnd w:id="116"/>
      <w:bookmarkEnd w:id="117"/>
    </w:p>
    <w:p>
      <w:pPr>
        <w:pStyle w:val="3"/>
        <w:rPr>
          <w:rStyle w:val="19"/>
          <w:rFonts w:ascii="仿宋" w:hAnsi="仿宋" w:eastAsia="仿宋"/>
          <w:b w:val="0"/>
          <w:bCs w:val="0"/>
        </w:rPr>
      </w:pPr>
      <w:bookmarkStart w:id="118" w:name="_Toc15396623"/>
      <w:bookmarkStart w:id="119" w:name="_Toc83802848"/>
      <w:r>
        <w:rPr>
          <w:rStyle w:val="19"/>
          <w:rFonts w:hint="eastAsia" w:ascii="仿宋" w:hAnsi="仿宋" w:eastAsia="仿宋"/>
          <w:b w:val="0"/>
          <w:bCs w:val="0"/>
        </w:rPr>
        <w:t>五、</w:t>
      </w:r>
      <w:r>
        <w:rPr>
          <w:rFonts w:hint="eastAsia" w:ascii="仿宋" w:hAnsi="仿宋" w:eastAsia="仿宋"/>
          <w:b w:val="0"/>
          <w:color w:val="000000"/>
        </w:rPr>
        <w:t>财</w:t>
      </w:r>
      <w:r>
        <w:rPr>
          <w:rStyle w:val="19"/>
          <w:rFonts w:hint="eastAsia" w:ascii="仿宋" w:hAnsi="仿宋" w:eastAsia="仿宋"/>
          <w:b w:val="0"/>
          <w:bCs w:val="0"/>
        </w:rPr>
        <w:t>政拨款支出决算明细表</w:t>
      </w:r>
      <w:bookmarkEnd w:id="118"/>
      <w:bookmarkEnd w:id="119"/>
      <w:bookmarkStart w:id="120" w:name="_Toc15396624"/>
    </w:p>
    <w:p>
      <w:pPr>
        <w:pStyle w:val="3"/>
        <w:rPr>
          <w:rFonts w:ascii="仿宋" w:hAnsi="仿宋" w:eastAsia="仿宋"/>
          <w:color w:val="000000"/>
        </w:rPr>
      </w:pPr>
      <w:bookmarkStart w:id="121" w:name="_Toc83802849"/>
      <w:r>
        <w:rPr>
          <w:rStyle w:val="19"/>
          <w:rFonts w:hint="eastAsia" w:ascii="仿宋" w:hAnsi="仿宋" w:eastAsia="仿宋"/>
          <w:b w:val="0"/>
          <w:bCs w:val="0"/>
        </w:rPr>
        <w:t>六、</w:t>
      </w:r>
      <w:r>
        <w:rPr>
          <w:rFonts w:hint="eastAsia" w:ascii="仿宋" w:hAnsi="仿宋" w:eastAsia="仿宋"/>
          <w:b w:val="0"/>
          <w:color w:val="000000"/>
        </w:rPr>
        <w:t>一</w:t>
      </w:r>
      <w:r>
        <w:rPr>
          <w:rStyle w:val="19"/>
          <w:rFonts w:hint="eastAsia" w:ascii="仿宋" w:hAnsi="仿宋" w:eastAsia="仿宋"/>
          <w:b w:val="0"/>
          <w:bCs w:val="0"/>
        </w:rPr>
        <w:t>般公共预算财政拨款支出决算表</w:t>
      </w:r>
      <w:bookmarkEnd w:id="120"/>
      <w:bookmarkEnd w:id="121"/>
    </w:p>
    <w:p>
      <w:pPr>
        <w:pStyle w:val="3"/>
        <w:rPr>
          <w:rFonts w:ascii="仿宋" w:hAnsi="仿宋" w:eastAsia="仿宋"/>
          <w:color w:val="000000"/>
        </w:rPr>
      </w:pPr>
      <w:bookmarkStart w:id="122" w:name="_Toc15396625"/>
      <w:bookmarkStart w:id="123" w:name="_Toc83802850"/>
      <w:r>
        <w:rPr>
          <w:rStyle w:val="19"/>
          <w:rFonts w:hint="eastAsia" w:ascii="仿宋" w:hAnsi="仿宋" w:eastAsia="仿宋"/>
          <w:b w:val="0"/>
          <w:bCs w:val="0"/>
        </w:rPr>
        <w:t>七、</w:t>
      </w:r>
      <w:r>
        <w:rPr>
          <w:rFonts w:hint="eastAsia" w:ascii="仿宋" w:hAnsi="仿宋" w:eastAsia="仿宋"/>
          <w:b w:val="0"/>
          <w:color w:val="000000"/>
        </w:rPr>
        <w:t>一</w:t>
      </w:r>
      <w:r>
        <w:rPr>
          <w:rStyle w:val="19"/>
          <w:rFonts w:hint="eastAsia" w:ascii="仿宋" w:hAnsi="仿宋" w:eastAsia="仿宋"/>
          <w:b w:val="0"/>
          <w:bCs w:val="0"/>
        </w:rPr>
        <w:t>般公共预算财政拨款支出决算明细表</w:t>
      </w:r>
      <w:bookmarkEnd w:id="122"/>
      <w:bookmarkEnd w:id="123"/>
    </w:p>
    <w:p>
      <w:pPr>
        <w:pStyle w:val="3"/>
        <w:rPr>
          <w:rFonts w:ascii="仿宋" w:hAnsi="仿宋" w:eastAsia="仿宋"/>
          <w:color w:val="000000"/>
        </w:rPr>
      </w:pPr>
      <w:bookmarkStart w:id="124" w:name="_Toc15396626"/>
      <w:bookmarkStart w:id="125" w:name="_Toc83802851"/>
      <w:r>
        <w:rPr>
          <w:rStyle w:val="19"/>
          <w:rFonts w:hint="eastAsia" w:ascii="仿宋" w:hAnsi="仿宋" w:eastAsia="仿宋"/>
          <w:b w:val="0"/>
          <w:bCs w:val="0"/>
        </w:rPr>
        <w:t>八、</w:t>
      </w:r>
      <w:r>
        <w:rPr>
          <w:rFonts w:hint="eastAsia" w:ascii="仿宋" w:hAnsi="仿宋" w:eastAsia="仿宋"/>
          <w:b w:val="0"/>
          <w:color w:val="000000"/>
        </w:rPr>
        <w:t>一</w:t>
      </w:r>
      <w:r>
        <w:rPr>
          <w:rStyle w:val="19"/>
          <w:rFonts w:hint="eastAsia" w:ascii="仿宋" w:hAnsi="仿宋" w:eastAsia="仿宋"/>
          <w:b w:val="0"/>
          <w:bCs w:val="0"/>
        </w:rPr>
        <w:t>般公共预算财政拨款基本支出决算表</w:t>
      </w:r>
      <w:bookmarkEnd w:id="124"/>
      <w:bookmarkEnd w:id="125"/>
    </w:p>
    <w:p>
      <w:pPr>
        <w:pStyle w:val="3"/>
        <w:rPr>
          <w:rFonts w:ascii="仿宋" w:hAnsi="仿宋" w:eastAsia="仿宋"/>
          <w:color w:val="000000"/>
        </w:rPr>
      </w:pPr>
      <w:bookmarkStart w:id="126" w:name="_Toc15396627"/>
      <w:bookmarkStart w:id="127" w:name="_Toc83802852"/>
      <w:r>
        <w:rPr>
          <w:rStyle w:val="19"/>
          <w:rFonts w:hint="eastAsia" w:ascii="仿宋" w:hAnsi="仿宋" w:eastAsia="仿宋"/>
          <w:b w:val="0"/>
          <w:bCs w:val="0"/>
        </w:rPr>
        <w:t>九、</w:t>
      </w:r>
      <w:r>
        <w:rPr>
          <w:rFonts w:hint="eastAsia" w:ascii="仿宋" w:hAnsi="仿宋" w:eastAsia="仿宋"/>
          <w:b w:val="0"/>
          <w:color w:val="000000"/>
        </w:rPr>
        <w:t>一</w:t>
      </w:r>
      <w:r>
        <w:rPr>
          <w:rStyle w:val="19"/>
          <w:rFonts w:hint="eastAsia" w:ascii="仿宋" w:hAnsi="仿宋" w:eastAsia="仿宋"/>
          <w:b w:val="0"/>
          <w:bCs w:val="0"/>
        </w:rPr>
        <w:t>般公共预算财政拨款项目支出决算表</w:t>
      </w:r>
      <w:bookmarkEnd w:id="126"/>
      <w:bookmarkEnd w:id="127"/>
    </w:p>
    <w:p>
      <w:pPr>
        <w:pStyle w:val="3"/>
        <w:rPr>
          <w:rFonts w:ascii="仿宋" w:hAnsi="仿宋" w:eastAsia="仿宋"/>
          <w:color w:val="000000"/>
        </w:rPr>
      </w:pPr>
      <w:bookmarkStart w:id="128" w:name="_Toc15396628"/>
      <w:bookmarkStart w:id="129" w:name="_Toc83802853"/>
      <w:r>
        <w:rPr>
          <w:rStyle w:val="19"/>
          <w:rFonts w:hint="eastAsia" w:ascii="仿宋" w:hAnsi="仿宋" w:eastAsia="仿宋"/>
          <w:b w:val="0"/>
          <w:bCs w:val="0"/>
        </w:rPr>
        <w:t>十、</w:t>
      </w:r>
      <w:r>
        <w:rPr>
          <w:rFonts w:hint="eastAsia" w:ascii="仿宋" w:hAnsi="仿宋" w:eastAsia="仿宋"/>
          <w:b w:val="0"/>
          <w:color w:val="000000"/>
        </w:rPr>
        <w:t>一</w:t>
      </w:r>
      <w:r>
        <w:rPr>
          <w:rStyle w:val="19"/>
          <w:rFonts w:hint="eastAsia" w:ascii="仿宋" w:hAnsi="仿宋" w:eastAsia="仿宋"/>
          <w:b w:val="0"/>
          <w:bCs w:val="0"/>
        </w:rPr>
        <w:t>般公共预算财政拨款“三公”经费支出决算表</w:t>
      </w:r>
      <w:bookmarkEnd w:id="128"/>
      <w:bookmarkEnd w:id="129"/>
    </w:p>
    <w:p>
      <w:pPr>
        <w:pStyle w:val="3"/>
        <w:rPr>
          <w:rFonts w:ascii="仿宋" w:hAnsi="仿宋" w:eastAsia="仿宋"/>
          <w:color w:val="000000"/>
        </w:rPr>
      </w:pPr>
      <w:bookmarkStart w:id="130" w:name="_Toc15396629"/>
      <w:bookmarkStart w:id="131" w:name="_Toc83802854"/>
      <w:r>
        <w:rPr>
          <w:rStyle w:val="19"/>
          <w:rFonts w:hint="eastAsia" w:ascii="仿宋" w:hAnsi="仿宋" w:eastAsia="仿宋"/>
          <w:b w:val="0"/>
          <w:bCs w:val="0"/>
        </w:rPr>
        <w:t>十一、</w:t>
      </w:r>
      <w:r>
        <w:rPr>
          <w:rFonts w:hint="eastAsia" w:ascii="仿宋" w:hAnsi="仿宋" w:eastAsia="仿宋"/>
          <w:b w:val="0"/>
          <w:color w:val="000000"/>
        </w:rPr>
        <w:t>政</w:t>
      </w:r>
      <w:r>
        <w:rPr>
          <w:rStyle w:val="19"/>
          <w:rFonts w:hint="eastAsia" w:ascii="仿宋" w:hAnsi="仿宋" w:eastAsia="仿宋"/>
          <w:b w:val="0"/>
          <w:bCs w:val="0"/>
        </w:rPr>
        <w:t>府性基金预算财政拨款收入支出决算表</w:t>
      </w:r>
      <w:bookmarkEnd w:id="130"/>
      <w:bookmarkEnd w:id="131"/>
    </w:p>
    <w:p>
      <w:pPr>
        <w:pStyle w:val="3"/>
        <w:rPr>
          <w:rStyle w:val="19"/>
          <w:rFonts w:ascii="仿宋" w:hAnsi="仿宋" w:eastAsia="仿宋"/>
          <w:b w:val="0"/>
          <w:bCs w:val="0"/>
        </w:rPr>
      </w:pPr>
      <w:bookmarkStart w:id="132" w:name="_Toc15396630"/>
      <w:bookmarkStart w:id="133" w:name="_Toc83802855"/>
      <w:r>
        <w:rPr>
          <w:rStyle w:val="19"/>
          <w:rFonts w:hint="eastAsia" w:ascii="仿宋" w:hAnsi="仿宋" w:eastAsia="仿宋"/>
          <w:b w:val="0"/>
          <w:bCs w:val="0"/>
        </w:rPr>
        <w:t>十二、</w:t>
      </w:r>
      <w:r>
        <w:rPr>
          <w:rFonts w:hint="eastAsia" w:ascii="仿宋" w:hAnsi="仿宋" w:eastAsia="仿宋"/>
          <w:b w:val="0"/>
          <w:color w:val="000000"/>
        </w:rPr>
        <w:t>政</w:t>
      </w:r>
      <w:r>
        <w:rPr>
          <w:rStyle w:val="19"/>
          <w:rFonts w:hint="eastAsia" w:ascii="仿宋" w:hAnsi="仿宋" w:eastAsia="仿宋"/>
          <w:b w:val="0"/>
          <w:bCs w:val="0"/>
        </w:rPr>
        <w:t>府性基金预算财政拨款“三公”经费支出决算表</w:t>
      </w:r>
      <w:bookmarkEnd w:id="132"/>
      <w:bookmarkEnd w:id="133"/>
    </w:p>
    <w:p>
      <w:pPr>
        <w:pStyle w:val="3"/>
        <w:rPr>
          <w:rStyle w:val="19"/>
          <w:rFonts w:ascii="仿宋" w:hAnsi="仿宋" w:eastAsia="仿宋"/>
          <w:b w:val="0"/>
          <w:bCs w:val="0"/>
        </w:rPr>
      </w:pPr>
      <w:bookmarkStart w:id="134" w:name="_Toc83802856"/>
      <w:r>
        <w:rPr>
          <w:rStyle w:val="19"/>
          <w:rFonts w:hint="eastAsia" w:ascii="仿宋" w:hAnsi="仿宋" w:eastAsia="仿宋"/>
          <w:b w:val="0"/>
          <w:bCs w:val="0"/>
        </w:rPr>
        <w:t>十三、国有资本经营预算财政拨款收入支出决算表</w:t>
      </w:r>
      <w:bookmarkEnd w:id="134"/>
    </w:p>
    <w:p>
      <w:pPr>
        <w:pStyle w:val="3"/>
        <w:rPr>
          <w:rStyle w:val="19"/>
          <w:rFonts w:ascii="仿宋" w:hAnsi="仿宋" w:eastAsia="仿宋"/>
          <w:b/>
          <w:bCs/>
          <w:color w:val="000000"/>
        </w:rPr>
      </w:pPr>
      <w:bookmarkStart w:id="135" w:name="_Toc15396631"/>
      <w:bookmarkStart w:id="136" w:name="_Toc83802857"/>
      <w:r>
        <w:rPr>
          <w:rStyle w:val="19"/>
          <w:rFonts w:hint="eastAsia" w:ascii="仿宋" w:hAnsi="仿宋" w:eastAsia="仿宋"/>
          <w:b w:val="0"/>
          <w:bCs w:val="0"/>
        </w:rPr>
        <w:t>十四、</w:t>
      </w:r>
      <w:r>
        <w:rPr>
          <w:rFonts w:hint="eastAsia" w:ascii="仿宋" w:hAnsi="仿宋" w:eastAsia="仿宋"/>
          <w:b w:val="0"/>
          <w:color w:val="000000"/>
        </w:rPr>
        <w:t>国</w:t>
      </w:r>
      <w:r>
        <w:rPr>
          <w:rStyle w:val="19"/>
          <w:rFonts w:hint="eastAsia" w:ascii="仿宋" w:hAnsi="仿宋" w:eastAsia="仿宋"/>
          <w:b w:val="0"/>
          <w:bCs w:val="0"/>
        </w:rPr>
        <w:t>有资本经营预算财政拨款支出决算表</w:t>
      </w:r>
      <w:bookmarkEnd w:id="135"/>
      <w:bookmarkEnd w:id="136"/>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新宋体">
    <w:panose1 w:val="02010609030101010101"/>
    <w:charset w:val="86"/>
    <w:family w:val="modern"/>
    <w:pitch w:val="default"/>
    <w:sig w:usb0="00000003" w:usb1="080E0000" w:usb2="00000000" w:usb3="00000000" w:csb0="00040001" w:csb1="00000000"/>
  </w:font>
  <w:font w:name="方正小标宋简体">
    <w:altName w:val="仿宋_GB2312"/>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eastAsia="zh-CN"/>
      </w:rPr>
      <w:t>15</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lang w:val="en-US"/>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2F812B4F"/>
    <w:multiLevelType w:val="multilevel"/>
    <w:tmpl w:val="2F812B4F"/>
    <w:lvl w:ilvl="0" w:tentative="0">
      <w:start w:val="1"/>
      <w:numFmt w:val="japaneseCounting"/>
      <w:lvlText w:val="（%1）"/>
      <w:lvlJc w:val="left"/>
      <w:pPr>
        <w:ind w:left="1725" w:hanging="100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35CB6064"/>
    <w:multiLevelType w:val="multilevel"/>
    <w:tmpl w:val="35CB6064"/>
    <w:lvl w:ilvl="0" w:tentative="0">
      <w:start w:val="1"/>
      <w:numFmt w:val="japaneseCounting"/>
      <w:lvlText w:val="%1、"/>
      <w:lvlJc w:val="left"/>
      <w:pPr>
        <w:ind w:left="720" w:hanging="720"/>
      </w:pPr>
      <w:rPr>
        <w:rFonts w:hint="default" w:ascii="黑体" w:hAnsi="黑体" w:eastAsia="黑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B82D56"/>
    <w:multiLevelType w:val="singleLevel"/>
    <w:tmpl w:val="62B82D56"/>
    <w:lvl w:ilvl="0" w:tentative="0">
      <w:start w:val="2"/>
      <w:numFmt w:val="chineseCounting"/>
      <w:suff w:val="nothing"/>
      <w:lvlText w:val="%1、"/>
      <w:lvlJc w:val="left"/>
      <w:rPr>
        <w:rFonts w:hint="eastAsia"/>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291C"/>
    <w:rsid w:val="00073F4E"/>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7E2"/>
    <w:rsid w:val="000E6613"/>
    <w:rsid w:val="000E7119"/>
    <w:rsid w:val="00101467"/>
    <w:rsid w:val="00102E2C"/>
    <w:rsid w:val="00114E9B"/>
    <w:rsid w:val="00115301"/>
    <w:rsid w:val="001319E1"/>
    <w:rsid w:val="00142216"/>
    <w:rsid w:val="00144D6A"/>
    <w:rsid w:val="0014729F"/>
    <w:rsid w:val="0015262A"/>
    <w:rsid w:val="00157BAB"/>
    <w:rsid w:val="0016278F"/>
    <w:rsid w:val="001654D1"/>
    <w:rsid w:val="00174518"/>
    <w:rsid w:val="0018106D"/>
    <w:rsid w:val="001877A7"/>
    <w:rsid w:val="00191536"/>
    <w:rsid w:val="00196687"/>
    <w:rsid w:val="001975BA"/>
    <w:rsid w:val="001C0962"/>
    <w:rsid w:val="001C1D1A"/>
    <w:rsid w:val="001D49F7"/>
    <w:rsid w:val="001D7531"/>
    <w:rsid w:val="001E737D"/>
    <w:rsid w:val="001F0592"/>
    <w:rsid w:val="001F7506"/>
    <w:rsid w:val="002006CD"/>
    <w:rsid w:val="00202B36"/>
    <w:rsid w:val="00204B7A"/>
    <w:rsid w:val="00204CDE"/>
    <w:rsid w:val="0021101A"/>
    <w:rsid w:val="00220536"/>
    <w:rsid w:val="00224A49"/>
    <w:rsid w:val="00235629"/>
    <w:rsid w:val="002467A6"/>
    <w:rsid w:val="00256262"/>
    <w:rsid w:val="00260C38"/>
    <w:rsid w:val="00261081"/>
    <w:rsid w:val="002616C0"/>
    <w:rsid w:val="002648FC"/>
    <w:rsid w:val="00265372"/>
    <w:rsid w:val="002662AA"/>
    <w:rsid w:val="00280496"/>
    <w:rsid w:val="00283457"/>
    <w:rsid w:val="00294DC9"/>
    <w:rsid w:val="00295495"/>
    <w:rsid w:val="00296552"/>
    <w:rsid w:val="002A31DE"/>
    <w:rsid w:val="002B2613"/>
    <w:rsid w:val="002C2A25"/>
    <w:rsid w:val="002D6D05"/>
    <w:rsid w:val="002E2849"/>
    <w:rsid w:val="002F1818"/>
    <w:rsid w:val="002F567B"/>
    <w:rsid w:val="002F688C"/>
    <w:rsid w:val="00300E3B"/>
    <w:rsid w:val="003216A9"/>
    <w:rsid w:val="00335275"/>
    <w:rsid w:val="00335A74"/>
    <w:rsid w:val="0036561B"/>
    <w:rsid w:val="0037013F"/>
    <w:rsid w:val="00380C92"/>
    <w:rsid w:val="00393C21"/>
    <w:rsid w:val="003A484F"/>
    <w:rsid w:val="003A4883"/>
    <w:rsid w:val="003B0BE0"/>
    <w:rsid w:val="003B0C1B"/>
    <w:rsid w:val="003B18BB"/>
    <w:rsid w:val="003B688C"/>
    <w:rsid w:val="003C0291"/>
    <w:rsid w:val="003C14EE"/>
    <w:rsid w:val="003C39AE"/>
    <w:rsid w:val="003C514E"/>
    <w:rsid w:val="003C7B60"/>
    <w:rsid w:val="003D0C0F"/>
    <w:rsid w:val="003D1FB2"/>
    <w:rsid w:val="003D66DA"/>
    <w:rsid w:val="003D6907"/>
    <w:rsid w:val="003E1310"/>
    <w:rsid w:val="003E6F55"/>
    <w:rsid w:val="00406254"/>
    <w:rsid w:val="004135E1"/>
    <w:rsid w:val="0041493F"/>
    <w:rsid w:val="004223DE"/>
    <w:rsid w:val="00423F94"/>
    <w:rsid w:val="004271B1"/>
    <w:rsid w:val="00434489"/>
    <w:rsid w:val="00437085"/>
    <w:rsid w:val="00443880"/>
    <w:rsid w:val="004464F4"/>
    <w:rsid w:val="00471401"/>
    <w:rsid w:val="00473F31"/>
    <w:rsid w:val="0047435F"/>
    <w:rsid w:val="004805A5"/>
    <w:rsid w:val="0048263A"/>
    <w:rsid w:val="00487E5D"/>
    <w:rsid w:val="004A711F"/>
    <w:rsid w:val="004A7DB1"/>
    <w:rsid w:val="004B199D"/>
    <w:rsid w:val="004B4690"/>
    <w:rsid w:val="004B7D8F"/>
    <w:rsid w:val="004E0A2D"/>
    <w:rsid w:val="004E206B"/>
    <w:rsid w:val="004E6DF7"/>
    <w:rsid w:val="004F0FBD"/>
    <w:rsid w:val="004F487F"/>
    <w:rsid w:val="00505A47"/>
    <w:rsid w:val="00512FDA"/>
    <w:rsid w:val="0051775B"/>
    <w:rsid w:val="00520DA0"/>
    <w:rsid w:val="005269D7"/>
    <w:rsid w:val="00547168"/>
    <w:rsid w:val="005508B7"/>
    <w:rsid w:val="00557664"/>
    <w:rsid w:val="00564A7F"/>
    <w:rsid w:val="00565A59"/>
    <w:rsid w:val="005664BB"/>
    <w:rsid w:val="00566FFA"/>
    <w:rsid w:val="0057481D"/>
    <w:rsid w:val="0058486E"/>
    <w:rsid w:val="00585B33"/>
    <w:rsid w:val="0059014D"/>
    <w:rsid w:val="005B5C64"/>
    <w:rsid w:val="005C1FDE"/>
    <w:rsid w:val="005C5337"/>
    <w:rsid w:val="005C6BD0"/>
    <w:rsid w:val="005D04F1"/>
    <w:rsid w:val="005D1C8B"/>
    <w:rsid w:val="005D3789"/>
    <w:rsid w:val="005D468D"/>
    <w:rsid w:val="005D5CED"/>
    <w:rsid w:val="005F1A4C"/>
    <w:rsid w:val="005F3241"/>
    <w:rsid w:val="0060004B"/>
    <w:rsid w:val="00601820"/>
    <w:rsid w:val="00605688"/>
    <w:rsid w:val="006070AF"/>
    <w:rsid w:val="00607E6C"/>
    <w:rsid w:val="006101B1"/>
    <w:rsid w:val="00614709"/>
    <w:rsid w:val="00614E44"/>
    <w:rsid w:val="00615789"/>
    <w:rsid w:val="00620D17"/>
    <w:rsid w:val="0062270A"/>
    <w:rsid w:val="00622830"/>
    <w:rsid w:val="00623DA0"/>
    <w:rsid w:val="00630AEF"/>
    <w:rsid w:val="006325F8"/>
    <w:rsid w:val="00633463"/>
    <w:rsid w:val="00634C9A"/>
    <w:rsid w:val="006440E4"/>
    <w:rsid w:val="006546D3"/>
    <w:rsid w:val="00654E29"/>
    <w:rsid w:val="0066343B"/>
    <w:rsid w:val="00664777"/>
    <w:rsid w:val="00666422"/>
    <w:rsid w:val="006748A4"/>
    <w:rsid w:val="00681A31"/>
    <w:rsid w:val="0068232C"/>
    <w:rsid w:val="00682FBF"/>
    <w:rsid w:val="00683E73"/>
    <w:rsid w:val="006863BD"/>
    <w:rsid w:val="006A3141"/>
    <w:rsid w:val="006A3B06"/>
    <w:rsid w:val="006A5E34"/>
    <w:rsid w:val="006B05FC"/>
    <w:rsid w:val="006B2422"/>
    <w:rsid w:val="006B2B9A"/>
    <w:rsid w:val="006C0E87"/>
    <w:rsid w:val="006C1937"/>
    <w:rsid w:val="006C2F39"/>
    <w:rsid w:val="006D7472"/>
    <w:rsid w:val="006D7B62"/>
    <w:rsid w:val="006E4994"/>
    <w:rsid w:val="006F020C"/>
    <w:rsid w:val="006F14AC"/>
    <w:rsid w:val="00710612"/>
    <w:rsid w:val="007127B7"/>
    <w:rsid w:val="00712D93"/>
    <w:rsid w:val="0071798E"/>
    <w:rsid w:val="00730494"/>
    <w:rsid w:val="007416B6"/>
    <w:rsid w:val="00746F48"/>
    <w:rsid w:val="0075404D"/>
    <w:rsid w:val="0076182A"/>
    <w:rsid w:val="00767B7E"/>
    <w:rsid w:val="00775204"/>
    <w:rsid w:val="007770C3"/>
    <w:rsid w:val="00784D24"/>
    <w:rsid w:val="00785FBA"/>
    <w:rsid w:val="00786E4A"/>
    <w:rsid w:val="007875EB"/>
    <w:rsid w:val="00791346"/>
    <w:rsid w:val="0079426B"/>
    <w:rsid w:val="007D017A"/>
    <w:rsid w:val="007D1682"/>
    <w:rsid w:val="007D312A"/>
    <w:rsid w:val="007D3F19"/>
    <w:rsid w:val="007E23B0"/>
    <w:rsid w:val="007E23E5"/>
    <w:rsid w:val="007F1991"/>
    <w:rsid w:val="007F2C2F"/>
    <w:rsid w:val="007F55FC"/>
    <w:rsid w:val="007F5665"/>
    <w:rsid w:val="00800112"/>
    <w:rsid w:val="00805427"/>
    <w:rsid w:val="00813348"/>
    <w:rsid w:val="00820DA8"/>
    <w:rsid w:val="008253BB"/>
    <w:rsid w:val="00826523"/>
    <w:rsid w:val="00835C47"/>
    <w:rsid w:val="008366DD"/>
    <w:rsid w:val="0083706E"/>
    <w:rsid w:val="008408F6"/>
    <w:rsid w:val="008423A5"/>
    <w:rsid w:val="00850625"/>
    <w:rsid w:val="00853718"/>
    <w:rsid w:val="00855221"/>
    <w:rsid w:val="00860645"/>
    <w:rsid w:val="00863299"/>
    <w:rsid w:val="00870928"/>
    <w:rsid w:val="00871F71"/>
    <w:rsid w:val="00872FD8"/>
    <w:rsid w:val="008818EA"/>
    <w:rsid w:val="00885AF4"/>
    <w:rsid w:val="008939CD"/>
    <w:rsid w:val="008A5D73"/>
    <w:rsid w:val="008B158B"/>
    <w:rsid w:val="008B3537"/>
    <w:rsid w:val="008B768C"/>
    <w:rsid w:val="008C4187"/>
    <w:rsid w:val="008C4DB1"/>
    <w:rsid w:val="008C4EAF"/>
    <w:rsid w:val="008C5176"/>
    <w:rsid w:val="008C7FD0"/>
    <w:rsid w:val="008D69A4"/>
    <w:rsid w:val="008E1DE7"/>
    <w:rsid w:val="008E5A9D"/>
    <w:rsid w:val="008E707C"/>
    <w:rsid w:val="00900B08"/>
    <w:rsid w:val="00902155"/>
    <w:rsid w:val="00902FA3"/>
    <w:rsid w:val="00905567"/>
    <w:rsid w:val="00907D16"/>
    <w:rsid w:val="00923564"/>
    <w:rsid w:val="0092392E"/>
    <w:rsid w:val="009315F9"/>
    <w:rsid w:val="00933499"/>
    <w:rsid w:val="009334D8"/>
    <w:rsid w:val="00935C98"/>
    <w:rsid w:val="00936B6A"/>
    <w:rsid w:val="00946945"/>
    <w:rsid w:val="00947B59"/>
    <w:rsid w:val="00951248"/>
    <w:rsid w:val="0095152F"/>
    <w:rsid w:val="00954C49"/>
    <w:rsid w:val="00955E37"/>
    <w:rsid w:val="0095706C"/>
    <w:rsid w:val="0097099F"/>
    <w:rsid w:val="00971997"/>
    <w:rsid w:val="00971FFC"/>
    <w:rsid w:val="0097521C"/>
    <w:rsid w:val="0098660A"/>
    <w:rsid w:val="009931C3"/>
    <w:rsid w:val="009B2C43"/>
    <w:rsid w:val="009B4EAE"/>
    <w:rsid w:val="009B7573"/>
    <w:rsid w:val="009C22F4"/>
    <w:rsid w:val="009C2A4B"/>
    <w:rsid w:val="009C2E98"/>
    <w:rsid w:val="009D3447"/>
    <w:rsid w:val="009D4711"/>
    <w:rsid w:val="009F1185"/>
    <w:rsid w:val="009F18CD"/>
    <w:rsid w:val="009F2A13"/>
    <w:rsid w:val="009F4BAD"/>
    <w:rsid w:val="009F7527"/>
    <w:rsid w:val="009F794A"/>
    <w:rsid w:val="00A04EB0"/>
    <w:rsid w:val="00A07BC1"/>
    <w:rsid w:val="00A10651"/>
    <w:rsid w:val="00A13CC1"/>
    <w:rsid w:val="00A15908"/>
    <w:rsid w:val="00A16847"/>
    <w:rsid w:val="00A237D8"/>
    <w:rsid w:val="00A257D9"/>
    <w:rsid w:val="00A268C4"/>
    <w:rsid w:val="00A307CD"/>
    <w:rsid w:val="00A316A2"/>
    <w:rsid w:val="00A3224F"/>
    <w:rsid w:val="00A331C8"/>
    <w:rsid w:val="00A35F64"/>
    <w:rsid w:val="00A40A00"/>
    <w:rsid w:val="00A4142F"/>
    <w:rsid w:val="00A422EB"/>
    <w:rsid w:val="00A45BB7"/>
    <w:rsid w:val="00A55A4D"/>
    <w:rsid w:val="00A56DF2"/>
    <w:rsid w:val="00A56E6E"/>
    <w:rsid w:val="00A6672C"/>
    <w:rsid w:val="00A67AB5"/>
    <w:rsid w:val="00A733B2"/>
    <w:rsid w:val="00A741C2"/>
    <w:rsid w:val="00A91760"/>
    <w:rsid w:val="00A93B00"/>
    <w:rsid w:val="00A93C21"/>
    <w:rsid w:val="00AB64C9"/>
    <w:rsid w:val="00AB7A3B"/>
    <w:rsid w:val="00AC3C6A"/>
    <w:rsid w:val="00AD5620"/>
    <w:rsid w:val="00AD656B"/>
    <w:rsid w:val="00AD7C1B"/>
    <w:rsid w:val="00AE16BA"/>
    <w:rsid w:val="00AE18BD"/>
    <w:rsid w:val="00AE1EBE"/>
    <w:rsid w:val="00AF4F88"/>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004C"/>
    <w:rsid w:val="00B712B8"/>
    <w:rsid w:val="00B73BC9"/>
    <w:rsid w:val="00B77EA6"/>
    <w:rsid w:val="00B81598"/>
    <w:rsid w:val="00B841F1"/>
    <w:rsid w:val="00B90E4E"/>
    <w:rsid w:val="00B91BA3"/>
    <w:rsid w:val="00B944D6"/>
    <w:rsid w:val="00B965DC"/>
    <w:rsid w:val="00BB2BF9"/>
    <w:rsid w:val="00BB4DF0"/>
    <w:rsid w:val="00BC289F"/>
    <w:rsid w:val="00BC2D50"/>
    <w:rsid w:val="00BC5361"/>
    <w:rsid w:val="00BC5460"/>
    <w:rsid w:val="00BC6B50"/>
    <w:rsid w:val="00BD0E25"/>
    <w:rsid w:val="00BD2676"/>
    <w:rsid w:val="00BF286C"/>
    <w:rsid w:val="00BF5BD6"/>
    <w:rsid w:val="00BF67D5"/>
    <w:rsid w:val="00C03E31"/>
    <w:rsid w:val="00C33E72"/>
    <w:rsid w:val="00C354B2"/>
    <w:rsid w:val="00C35554"/>
    <w:rsid w:val="00C42709"/>
    <w:rsid w:val="00C50863"/>
    <w:rsid w:val="00C533CC"/>
    <w:rsid w:val="00C5751C"/>
    <w:rsid w:val="00C61BFC"/>
    <w:rsid w:val="00C62B85"/>
    <w:rsid w:val="00C65438"/>
    <w:rsid w:val="00C65FE0"/>
    <w:rsid w:val="00C83912"/>
    <w:rsid w:val="00C87FD8"/>
    <w:rsid w:val="00C91381"/>
    <w:rsid w:val="00C91CBB"/>
    <w:rsid w:val="00CB4E70"/>
    <w:rsid w:val="00CC09B6"/>
    <w:rsid w:val="00CC666F"/>
    <w:rsid w:val="00CD1E3F"/>
    <w:rsid w:val="00CE3BF6"/>
    <w:rsid w:val="00CE44F6"/>
    <w:rsid w:val="00CE49DA"/>
    <w:rsid w:val="00CE7B61"/>
    <w:rsid w:val="00D00095"/>
    <w:rsid w:val="00D0410F"/>
    <w:rsid w:val="00D04CE8"/>
    <w:rsid w:val="00D114F0"/>
    <w:rsid w:val="00D20620"/>
    <w:rsid w:val="00D254F7"/>
    <w:rsid w:val="00D26091"/>
    <w:rsid w:val="00D2685C"/>
    <w:rsid w:val="00D30604"/>
    <w:rsid w:val="00D346F4"/>
    <w:rsid w:val="00D34E7C"/>
    <w:rsid w:val="00D35489"/>
    <w:rsid w:val="00D36AFE"/>
    <w:rsid w:val="00D42708"/>
    <w:rsid w:val="00D43E38"/>
    <w:rsid w:val="00D51276"/>
    <w:rsid w:val="00D602D8"/>
    <w:rsid w:val="00D657C1"/>
    <w:rsid w:val="00D7035F"/>
    <w:rsid w:val="00D70DA3"/>
    <w:rsid w:val="00D9399A"/>
    <w:rsid w:val="00D952BA"/>
    <w:rsid w:val="00DA634F"/>
    <w:rsid w:val="00DA65AC"/>
    <w:rsid w:val="00DB1913"/>
    <w:rsid w:val="00DB2075"/>
    <w:rsid w:val="00DB72C4"/>
    <w:rsid w:val="00DC410D"/>
    <w:rsid w:val="00DC5A81"/>
    <w:rsid w:val="00DC68CA"/>
    <w:rsid w:val="00DC7CBA"/>
    <w:rsid w:val="00DD73B7"/>
    <w:rsid w:val="00DE1CD0"/>
    <w:rsid w:val="00DE3B59"/>
    <w:rsid w:val="00DF28BC"/>
    <w:rsid w:val="00DF34B9"/>
    <w:rsid w:val="00E01053"/>
    <w:rsid w:val="00E07ACF"/>
    <w:rsid w:val="00E32CAD"/>
    <w:rsid w:val="00E331A1"/>
    <w:rsid w:val="00E33202"/>
    <w:rsid w:val="00E336A9"/>
    <w:rsid w:val="00E45E42"/>
    <w:rsid w:val="00E472B1"/>
    <w:rsid w:val="00E50624"/>
    <w:rsid w:val="00E568DF"/>
    <w:rsid w:val="00E56B3A"/>
    <w:rsid w:val="00E64269"/>
    <w:rsid w:val="00E73E76"/>
    <w:rsid w:val="00E74DE9"/>
    <w:rsid w:val="00E82267"/>
    <w:rsid w:val="00E853CE"/>
    <w:rsid w:val="00E867B6"/>
    <w:rsid w:val="00EA010F"/>
    <w:rsid w:val="00EB14CC"/>
    <w:rsid w:val="00EC5DF2"/>
    <w:rsid w:val="00ED1B63"/>
    <w:rsid w:val="00ED3C1F"/>
    <w:rsid w:val="00ED4085"/>
    <w:rsid w:val="00ED420E"/>
    <w:rsid w:val="00ED5D4B"/>
    <w:rsid w:val="00ED6FBE"/>
    <w:rsid w:val="00EE2F57"/>
    <w:rsid w:val="00EF4249"/>
    <w:rsid w:val="00EF4C34"/>
    <w:rsid w:val="00EF60EF"/>
    <w:rsid w:val="00EF77C6"/>
    <w:rsid w:val="00F05438"/>
    <w:rsid w:val="00F1361C"/>
    <w:rsid w:val="00F14D3B"/>
    <w:rsid w:val="00F156F0"/>
    <w:rsid w:val="00F15F16"/>
    <w:rsid w:val="00F160C7"/>
    <w:rsid w:val="00F2408F"/>
    <w:rsid w:val="00F240E9"/>
    <w:rsid w:val="00F3033E"/>
    <w:rsid w:val="00F33777"/>
    <w:rsid w:val="00F36D8F"/>
    <w:rsid w:val="00F417B1"/>
    <w:rsid w:val="00F45853"/>
    <w:rsid w:val="00F602DF"/>
    <w:rsid w:val="00F754A1"/>
    <w:rsid w:val="00F770A8"/>
    <w:rsid w:val="00F81660"/>
    <w:rsid w:val="00F81FD9"/>
    <w:rsid w:val="00F83BF9"/>
    <w:rsid w:val="00F841AA"/>
    <w:rsid w:val="00F84A94"/>
    <w:rsid w:val="00F87E96"/>
    <w:rsid w:val="00F96BDA"/>
    <w:rsid w:val="00FA0850"/>
    <w:rsid w:val="00FA23E8"/>
    <w:rsid w:val="00FD3CC1"/>
    <w:rsid w:val="00FD7C25"/>
    <w:rsid w:val="00FF1E02"/>
    <w:rsid w:val="00FF30B4"/>
    <w:rsid w:val="0218207E"/>
    <w:rsid w:val="05E374FF"/>
    <w:rsid w:val="082B7785"/>
    <w:rsid w:val="0A2032A3"/>
    <w:rsid w:val="10C055FF"/>
    <w:rsid w:val="118107EC"/>
    <w:rsid w:val="12755561"/>
    <w:rsid w:val="161E34A6"/>
    <w:rsid w:val="16BB723D"/>
    <w:rsid w:val="1D155CEE"/>
    <w:rsid w:val="240371BF"/>
    <w:rsid w:val="27F308E8"/>
    <w:rsid w:val="29FD04D3"/>
    <w:rsid w:val="2C3C6128"/>
    <w:rsid w:val="2C477600"/>
    <w:rsid w:val="319F7F4E"/>
    <w:rsid w:val="363173B0"/>
    <w:rsid w:val="3EB43901"/>
    <w:rsid w:val="45703A5D"/>
    <w:rsid w:val="4E595859"/>
    <w:rsid w:val="4ECE2238"/>
    <w:rsid w:val="56337DFF"/>
    <w:rsid w:val="56B709A2"/>
    <w:rsid w:val="58762811"/>
    <w:rsid w:val="5D417159"/>
    <w:rsid w:val="636B2B91"/>
    <w:rsid w:val="6C4A05C8"/>
    <w:rsid w:val="72734D90"/>
    <w:rsid w:val="750E55CD"/>
    <w:rsid w:val="7A447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3"/>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lang w:val="zh-CN" w:eastAsia="zh-CN"/>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17"/>
    <w:unhideWhenUsed/>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lang w:val="zh-CN" w:eastAsia="zh-CN"/>
    </w:rPr>
  </w:style>
  <w:style w:type="paragraph" w:styleId="9">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20"/>
      <w:lang w:val="zh-CN" w:eastAsia="zh-CN"/>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iPriority w:val="0"/>
    <w:pPr>
      <w:spacing w:before="100" w:beforeAutospacing="1" w:after="100" w:afterAutospacing="1"/>
      <w:jc w:val="left"/>
    </w:pPr>
    <w:rPr>
      <w:kern w:val="0"/>
      <w:sz w:val="24"/>
      <w:szCs w:val="20"/>
    </w:rPr>
  </w:style>
  <w:style w:type="character" w:styleId="15">
    <w:name w:val="Strong"/>
    <w:basedOn w:val="14"/>
    <w:qFormat/>
    <w:uiPriority w:val="99"/>
    <w:rPr>
      <w:rFonts w:cs="Times New Roman"/>
      <w:b/>
    </w:rPr>
  </w:style>
  <w:style w:type="character" w:styleId="16">
    <w:name w:val="Hyperlink"/>
    <w:basedOn w:val="14"/>
    <w:unhideWhenUsed/>
    <w:qFormat/>
    <w:uiPriority w:val="99"/>
    <w:rPr>
      <w:rFonts w:cs="Times New Roman"/>
      <w:color w:val="0000FF"/>
      <w:u w:val="single"/>
    </w:rPr>
  </w:style>
  <w:style w:type="character" w:customStyle="1" w:styleId="17">
    <w:name w:val="批注框文本 Char"/>
    <w:basedOn w:val="14"/>
    <w:link w:val="7"/>
    <w:semiHidden/>
    <w:qFormat/>
    <w:locked/>
    <w:uiPriority w:val="99"/>
    <w:rPr>
      <w:rFonts w:ascii="Times New Roman" w:hAnsi="Times New Roman" w:cs="Times New Roman"/>
      <w:kern w:val="2"/>
      <w:sz w:val="18"/>
      <w:szCs w:val="18"/>
    </w:rPr>
  </w:style>
  <w:style w:type="character" w:customStyle="1" w:styleId="18">
    <w:name w:val="Header Char"/>
    <w:basedOn w:val="14"/>
    <w:semiHidden/>
    <w:qFormat/>
    <w:uiPriority w:val="99"/>
    <w:rPr>
      <w:rFonts w:ascii="Times New Roman" w:hAnsi="Times New Roman" w:cs="Times New Roman"/>
      <w:sz w:val="18"/>
      <w:szCs w:val="18"/>
    </w:rPr>
  </w:style>
  <w:style w:type="character" w:customStyle="1" w:styleId="19">
    <w:name w:val="标题 2 Char"/>
    <w:basedOn w:val="14"/>
    <w:link w:val="3"/>
    <w:qFormat/>
    <w:locked/>
    <w:uiPriority w:val="9"/>
    <w:rPr>
      <w:rFonts w:ascii="Cambria" w:hAnsi="Cambria" w:eastAsia="宋体" w:cs="Times New Roman"/>
      <w:b/>
      <w:bCs/>
      <w:kern w:val="2"/>
      <w:sz w:val="32"/>
      <w:szCs w:val="32"/>
    </w:rPr>
  </w:style>
  <w:style w:type="character" w:customStyle="1" w:styleId="20">
    <w:name w:val="Body Text Char"/>
    <w:basedOn w:val="14"/>
    <w:semiHidden/>
    <w:qFormat/>
    <w:uiPriority w:val="99"/>
    <w:rPr>
      <w:rFonts w:ascii="Times New Roman" w:hAnsi="Times New Roman" w:cs="Times New Roman"/>
      <w:sz w:val="24"/>
      <w:szCs w:val="24"/>
    </w:rPr>
  </w:style>
  <w:style w:type="character" w:customStyle="1" w:styleId="21">
    <w:name w:val="页脚 Char"/>
    <w:qFormat/>
    <w:locked/>
    <w:uiPriority w:val="99"/>
    <w:rPr>
      <w:sz w:val="18"/>
    </w:rPr>
  </w:style>
  <w:style w:type="character" w:customStyle="1" w:styleId="22">
    <w:name w:val="标题 1 Char"/>
    <w:basedOn w:val="14"/>
    <w:link w:val="2"/>
    <w:qFormat/>
    <w:locked/>
    <w:uiPriority w:val="9"/>
    <w:rPr>
      <w:rFonts w:ascii="Times New Roman" w:hAnsi="Times New Roman" w:cs="Times New Roman"/>
      <w:b/>
      <w:bCs/>
      <w:kern w:val="44"/>
      <w:sz w:val="44"/>
      <w:szCs w:val="44"/>
    </w:rPr>
  </w:style>
  <w:style w:type="character" w:customStyle="1" w:styleId="23">
    <w:name w:val="标题 3 Char"/>
    <w:basedOn w:val="14"/>
    <w:link w:val="4"/>
    <w:qFormat/>
    <w:locked/>
    <w:uiPriority w:val="9"/>
    <w:rPr>
      <w:rFonts w:ascii="Times New Roman" w:hAnsi="Times New Roman" w:cs="Times New Roman"/>
      <w:b/>
      <w:bCs/>
      <w:kern w:val="2"/>
      <w:sz w:val="32"/>
      <w:szCs w:val="32"/>
    </w:rPr>
  </w:style>
  <w:style w:type="character" w:customStyle="1" w:styleId="24">
    <w:name w:val="页脚 Char1"/>
    <w:basedOn w:val="14"/>
    <w:link w:val="8"/>
    <w:semiHidden/>
    <w:qFormat/>
    <w:uiPriority w:val="99"/>
    <w:rPr>
      <w:rFonts w:ascii="Times New Roman" w:hAnsi="Times New Roman" w:cs="Times New Roman"/>
      <w:sz w:val="18"/>
      <w:szCs w:val="18"/>
    </w:rPr>
  </w:style>
  <w:style w:type="character" w:customStyle="1" w:styleId="25">
    <w:name w:val="页眉 Char"/>
    <w:link w:val="9"/>
    <w:semiHidden/>
    <w:qFormat/>
    <w:locked/>
    <w:uiPriority w:val="99"/>
    <w:rPr>
      <w:sz w:val="18"/>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9">
    <w:name w:val="列出段落1"/>
    <w:basedOn w:val="1"/>
    <w:qFormat/>
    <w:uiPriority w:val="34"/>
    <w:pPr>
      <w:ind w:firstLine="420" w:firstLineChars="200"/>
    </w:pPr>
  </w:style>
  <w:style w:type="paragraph" w:customStyle="1" w:styleId="30">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31">
    <w:name w:val="List Paragraph"/>
    <w:basedOn w:val="1"/>
    <w:qFormat/>
    <w:uiPriority w:val="99"/>
    <w:pPr>
      <w:ind w:firstLine="420" w:firstLineChars="200"/>
    </w:pPr>
  </w:style>
  <w:style w:type="paragraph" w:customStyle="1" w:styleId="32">
    <w:name w:val="正文1 Char Char Char"/>
    <w:basedOn w:val="1"/>
    <w:uiPriority w:val="0"/>
    <w:pPr>
      <w:spacing w:line="360" w:lineRule="auto"/>
      <w:ind w:firstLine="200" w:firstLineChars="200"/>
    </w:pPr>
    <w:rPr>
      <w:rFonts w:ascii="仿宋_GB2312" w:hAnsi="新宋体" w:eastAsia="仿宋_GB2312"/>
      <w:sz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1</a:t>
            </a:r>
            <a:r>
              <a:rPr lang="zh-CN" altLang="zh-CN" sz="1800" b="1" i="0" u="none" strike="noStrike" baseline="0">
                <a:effectLst/>
              </a:rPr>
              <a:t>：收、支决算总计变动情况图</a:t>
            </a:r>
            <a:endParaRPr lang="zh-CN" altLang="en-US"/>
          </a:p>
        </c:rich>
      </c:tx>
      <c:layout/>
      <c:overlay val="0"/>
    </c:title>
    <c:autoTitleDeleted val="0"/>
    <c:plotArea>
      <c:layout>
        <c:manualLayout>
          <c:layoutTarget val="inner"/>
          <c:xMode val="edge"/>
          <c:yMode val="edge"/>
          <c:x val="0.0868187497511523"/>
          <c:y val="0.167193063715333"/>
          <c:w val="0.734487809962383"/>
          <c:h val="0.713729065600546"/>
        </c:manualLayout>
      </c:layout>
      <c:barChart>
        <c:barDir val="col"/>
        <c:grouping val="clustered"/>
        <c:varyColors val="0"/>
        <c:ser>
          <c:idx val="0"/>
          <c:order val="0"/>
          <c:tx>
            <c:strRef>
              <c:f>Sheet1!$B$1</c:f>
              <c:strCache>
                <c:ptCount val="1"/>
                <c:pt idx="0">
                  <c:v>2019年度</c:v>
                </c:pt>
              </c:strCache>
            </c:strRef>
          </c:tx>
          <c:invertIfNegative val="0"/>
          <c:dLbls>
            <c:dLbl>
              <c:idx val="0"/>
              <c:layout>
                <c:manualLayout>
                  <c:x val="-0.00481347773766546"/>
                  <c:y val="0.004127966976264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2019</a:t>
                    </a:r>
                    <a:r>
                      <a:rPr lang="zh-CN" altLang="en-US"/>
                      <a:t>年度</a:t>
                    </a:r>
                    <a:endParaRPr lang="en-US" altLang="zh-CN"/>
                  </a:p>
                  <a:p>
                    <a:pPr>
                      <a:defRPr lang="zh-CN" sz="1000" b="0" i="0" u="none" strike="noStrike" kern="1200" baseline="0">
                        <a:solidFill>
                          <a:schemeClr val="tx1"/>
                        </a:solidFill>
                        <a:latin typeface="+mn-lt"/>
                        <a:ea typeface="+mn-ea"/>
                        <a:cs typeface="+mn-cs"/>
                      </a:defRPr>
                    </a:pPr>
                    <a:r>
                      <a:rPr lang="en-US" altLang="en-US"/>
                      <a:t>3479.6</a:t>
                    </a:r>
                    <a:r>
                      <a:rPr lang="zh-CN" altLang="en-US"/>
                      <a:t>万元</a:t>
                    </a:r>
                    <a:endParaRPr lang="en-US" altLang="en-US"/>
                  </a:p>
                </c:rich>
              </c:tx>
              <c:dLblPos val="outEnd"/>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192539109506619"/>
                  <c:y val="-0.004127966976264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2019</a:t>
                    </a:r>
                    <a:r>
                      <a:rPr lang="zh-CN" altLang="en-US"/>
                      <a:t>年度</a:t>
                    </a:r>
                    <a:endParaRPr lang="en-US" altLang="zh-CN"/>
                  </a:p>
                  <a:p>
                    <a:pPr>
                      <a:defRPr lang="zh-CN" sz="1000" b="0" i="0" u="none" strike="noStrike" kern="1200" baseline="0">
                        <a:solidFill>
                          <a:schemeClr val="tx1"/>
                        </a:solidFill>
                        <a:latin typeface="+mn-lt"/>
                        <a:ea typeface="+mn-ea"/>
                        <a:cs typeface="+mn-cs"/>
                      </a:defRPr>
                    </a:pPr>
                    <a:r>
                      <a:rPr lang="en-US" altLang="en-US"/>
                      <a:t>4225.27</a:t>
                    </a:r>
                    <a:r>
                      <a:rPr lang="zh-CN" altLang="en-US"/>
                      <a:t>万元</a:t>
                    </a:r>
                    <a:endParaRPr lang="en-US" altLang="en-US"/>
                  </a:p>
                </c:rich>
              </c:tx>
              <c:dLblPos val="outEnd"/>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1"/>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3479.6</c:v>
                </c:pt>
                <c:pt idx="1">
                  <c:v>4225.27</c:v>
                </c:pt>
              </c:numCache>
            </c:numRef>
          </c:val>
        </c:ser>
        <c:ser>
          <c:idx val="1"/>
          <c:order val="1"/>
          <c:tx>
            <c:strRef>
              <c:f>Sheet1!$C$1</c:f>
              <c:strCache>
                <c:ptCount val="1"/>
                <c:pt idx="0">
                  <c:v>2020年度</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2020</a:t>
                    </a:r>
                    <a:r>
                      <a:rPr lang="zh-CN" altLang="en-US"/>
                      <a:t>年度</a:t>
                    </a:r>
                    <a:endParaRPr lang="en-US" altLang="zh-CN"/>
                  </a:p>
                  <a:p>
                    <a:pPr>
                      <a:defRPr lang="zh-CN" sz="1000" b="0" i="0" u="none" strike="noStrike" kern="1200" baseline="0">
                        <a:solidFill>
                          <a:schemeClr val="tx1"/>
                        </a:solidFill>
                        <a:latin typeface="+mn-lt"/>
                        <a:ea typeface="+mn-ea"/>
                        <a:cs typeface="+mn-cs"/>
                      </a:defRPr>
                    </a:pPr>
                    <a:r>
                      <a:rPr lang="en-US" altLang="en-US"/>
                      <a:t>4825.30</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240673886883274"/>
                  <c:y val="0.0082559339525283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2020</a:t>
                    </a:r>
                    <a:r>
                      <a:rPr lang="zh-CN" altLang="en-US"/>
                      <a:t>年度</a:t>
                    </a:r>
                    <a:endParaRPr lang="en-US" altLang="zh-CN"/>
                  </a:p>
                  <a:p>
                    <a:pPr>
                      <a:defRPr lang="zh-CN" sz="1000" b="0" i="0" u="none" strike="noStrike" kern="1200" baseline="0">
                        <a:solidFill>
                          <a:schemeClr val="tx1"/>
                        </a:solidFill>
                        <a:latin typeface="+mn-lt"/>
                        <a:ea typeface="+mn-ea"/>
                        <a:cs typeface="+mn-cs"/>
                      </a:defRPr>
                    </a:pPr>
                    <a:r>
                      <a:rPr lang="en-US" altLang="en-US"/>
                      <a:t>4086.95</a:t>
                    </a:r>
                    <a:r>
                      <a:rPr lang="zh-CN" altLang="en-US"/>
                      <a:t>万元</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4825.31</c:v>
                </c:pt>
                <c:pt idx="1">
                  <c:v>4086.95</c:v>
                </c:pt>
              </c:numCache>
            </c:numRef>
          </c:val>
        </c:ser>
        <c:dLbls>
          <c:showLegendKey val="0"/>
          <c:showVal val="0"/>
          <c:showCatName val="0"/>
          <c:showSerName val="0"/>
          <c:showPercent val="0"/>
          <c:showBubbleSize val="0"/>
        </c:dLbls>
        <c:gapWidth val="150"/>
        <c:axId val="124446592"/>
        <c:axId val="124447744"/>
      </c:barChart>
      <c:catAx>
        <c:axId val="1244465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447744"/>
        <c:crosses val="autoZero"/>
        <c:auto val="1"/>
        <c:lblAlgn val="ctr"/>
        <c:lblOffset val="100"/>
        <c:noMultiLvlLbl val="0"/>
      </c:catAx>
      <c:valAx>
        <c:axId val="124447744"/>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444659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2</a:t>
            </a:r>
            <a:r>
              <a:rPr lang="zh-CN" altLang="zh-CN" sz="1800" b="1" i="0" u="none" strike="noStrike" baseline="0">
                <a:effectLst/>
              </a:rPr>
              <a:t>：收入决算结构图</a:t>
            </a:r>
            <a:endParaRPr lang="zh-CN" altLang="en-US"/>
          </a:p>
        </c:rich>
      </c:tx>
      <c:layout/>
      <c:overlay val="0"/>
    </c:title>
    <c:autoTitleDeleted val="0"/>
    <c:plotArea>
      <c:layout>
        <c:manualLayout>
          <c:layoutTarget val="inner"/>
          <c:xMode val="edge"/>
          <c:yMode val="edge"/>
          <c:x val="0.167154836692345"/>
          <c:y val="0.249806359344401"/>
          <c:w val="0.389161615453017"/>
          <c:h val="0.667157147152272"/>
        </c:manualLayout>
      </c:layout>
      <c:pieChart>
        <c:varyColors val="1"/>
        <c:ser>
          <c:idx val="0"/>
          <c:order val="0"/>
          <c:tx>
            <c:strRef>
              <c:f>Sheet1!$B$1</c:f>
              <c:strCache>
                <c:ptCount val="1"/>
                <c:pt idx="0">
                  <c:v>2020年度收入</c:v>
                </c:pt>
              </c:strCache>
            </c:strRef>
          </c:tx>
          <c:explosion val="0"/>
          <c:dPt>
            <c:idx val="0"/>
            <c:bubble3D val="0"/>
            <c:explosion val="16"/>
          </c:dPt>
          <c:dPt>
            <c:idx val="1"/>
            <c:bubble3D val="0"/>
          </c:dPt>
          <c:dLbls>
            <c:dLbl>
              <c:idx val="0"/>
              <c:layout>
                <c:manualLayout>
                  <c:x val="0.00402835024683286"/>
                  <c:y val="-0.091000869473359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4824.78</a:t>
                    </a:r>
                    <a:r>
                      <a:rPr lang="zh-CN" altLang="en-US"/>
                      <a:t>万元，</a:t>
                    </a:r>
                    <a:endParaRPr lang="en-US" altLang="zh-CN"/>
                  </a:p>
                  <a:p>
                    <a:pPr>
                      <a:defRPr lang="zh-CN" sz="1000" b="0" i="0" u="none" strike="noStrike" kern="1200" baseline="0">
                        <a:solidFill>
                          <a:schemeClr val="tx1"/>
                        </a:solidFill>
                        <a:latin typeface="+mn-lt"/>
                        <a:ea typeface="+mn-ea"/>
                        <a:cs typeface="+mn-cs"/>
                      </a:defRPr>
                    </a:pPr>
                    <a:r>
                      <a:rPr lang="zh-CN" altLang="en-US"/>
                      <a:t>占比</a:t>
                    </a:r>
                    <a:r>
                      <a:rPr lang="en-US" altLang="zh-CN"/>
                      <a:t>99.99%</a:t>
                    </a:r>
                    <a:endParaRPr lang="en-US" altLang="zh-CN"/>
                  </a:p>
                </c:rich>
              </c:tx>
              <c:dLblPos val="bestFit"/>
              <c:showLegendKey val="0"/>
              <c:showVal val="1"/>
              <c:showCatName val="0"/>
              <c:showSerName val="1"/>
              <c:showPercent val="1"/>
              <c:showBubbleSize val="0"/>
              <c:extLst>
                <c:ext xmlns:c15="http://schemas.microsoft.com/office/drawing/2012/chart" uri="{CE6537A1-D6FC-4f65-9D91-7224C49458BB}">
                  <c15:layout/>
                </c:ext>
              </c:extLst>
            </c:dLbl>
            <c:dLbl>
              <c:idx val="1"/>
              <c:layout>
                <c:manualLayout>
                  <c:x val="-0.199154988297943"/>
                  <c:y val="0.06675670185189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其他收入
</a:t>
                    </a:r>
                    <a:r>
                      <a:rPr lang="en-US" altLang="zh-CN"/>
                      <a:t>0.52</a:t>
                    </a:r>
                    <a:r>
                      <a:rPr lang="zh-CN" altLang="en-US"/>
                      <a:t>万元，占比</a:t>
                    </a:r>
                    <a:r>
                      <a:rPr lang="en-US" altLang="zh-CN"/>
                      <a:t>0.01%</a:t>
                    </a:r>
                    <a:endParaRPr lang="en-US" altLang="zh-CN"/>
                  </a:p>
                </c:rich>
              </c:tx>
              <c:dLblPos val="bestFit"/>
              <c:showLegendKey val="0"/>
              <c:showVal val="1"/>
              <c:showCatName val="0"/>
              <c:showSerName val="1"/>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1"/>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4824.78</c:v>
                </c:pt>
                <c:pt idx="1">
                  <c:v>0.52</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3</a:t>
            </a:r>
            <a:r>
              <a:rPr lang="zh-CN" altLang="zh-CN" sz="1800" b="1" i="0" u="none" strike="noStrike" baseline="0">
                <a:effectLst/>
              </a:rPr>
              <a:t>：支出决算结构图</a:t>
            </a:r>
            <a:endParaRPr lang="zh-CN" altLang="en-US"/>
          </a:p>
        </c:rich>
      </c:tx>
      <c:layout/>
      <c:overlay val="0"/>
    </c:title>
    <c:autoTitleDeleted val="0"/>
    <c:plotArea>
      <c:layout/>
      <c:pieChart>
        <c:varyColors val="1"/>
        <c:ser>
          <c:idx val="0"/>
          <c:order val="0"/>
          <c:tx>
            <c:strRef>
              <c:f>Sheet1!$B$1</c:f>
              <c:strCache>
                <c:ptCount val="1"/>
                <c:pt idx="0">
                  <c:v>2020年度支出决算结构图</c:v>
                </c:pt>
              </c:strCache>
            </c:strRef>
          </c:tx>
          <c:explosion val="0"/>
          <c:dPt>
            <c:idx val="0"/>
            <c:bubble3D val="0"/>
          </c:dPt>
          <c:dPt>
            <c:idx val="1"/>
            <c:bubble3D val="0"/>
            <c:explosion val="15"/>
          </c:dPt>
          <c:dLbls>
            <c:dLbl>
              <c:idx val="0"/>
              <c:layout>
                <c:manualLayout>
                  <c:x val="0.0103927532524138"/>
                  <c:y val="0.10387947636576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基本支出</a:t>
                    </a:r>
                    <a:r>
                      <a:rPr lang="en-US" altLang="zh-CN"/>
                      <a:t>2346.73</a:t>
                    </a:r>
                    <a:r>
                      <a:rPr lang="zh-CN" altLang="en-US"/>
                      <a:t>万元</a:t>
                    </a:r>
                    <a:r>
                      <a:rPr lang="en-US" altLang="zh-CN"/>
                      <a:t>,</a:t>
                    </a:r>
                    <a:r>
                      <a:rPr lang="zh-CN" altLang="en-US"/>
                      <a:t>占比</a:t>
                    </a:r>
                    <a:r>
                      <a:rPr lang="en-US" altLang="zh-CN"/>
                      <a:t> 57.42%</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19927797833935"/>
                  <c:y val="-0.18435565523349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项目支出</a:t>
                    </a:r>
                    <a:r>
                      <a:rPr lang="en-US" altLang="zh-CN"/>
                      <a:t>1740.22</a:t>
                    </a:r>
                    <a:r>
                      <a:rPr lang="zh-CN" altLang="en-US"/>
                      <a:t>万元</a:t>
                    </a:r>
                    <a:r>
                      <a:rPr lang="en-US" altLang="zh-CN"/>
                      <a:t>,</a:t>
                    </a:r>
                    <a:r>
                      <a:rPr lang="zh-CN" altLang="en-US"/>
                      <a:t>占比</a:t>
                    </a:r>
                    <a:r>
                      <a:rPr lang="en-US" altLang="zh-CN"/>
                      <a:t> 42.58%</a:t>
                    </a:r>
                    <a:endParaRPr lang="zh-CN" altLang="en-US"/>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2346.73</c:v>
                </c:pt>
                <c:pt idx="1">
                  <c:v>1740.22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4</a:t>
            </a:r>
            <a:r>
              <a:rPr lang="zh-CN" altLang="zh-CN" sz="1800" b="1" i="0" u="none" strike="noStrike" baseline="0">
                <a:effectLst/>
              </a:rPr>
              <a:t>：财政拨款收、支决算总计变动情况</a:t>
            </a:r>
            <a:endParaRPr lang="zh-CN" altLang="en-US"/>
          </a:p>
        </c:rich>
      </c:tx>
      <c:layout/>
      <c:overlay val="0"/>
    </c:title>
    <c:autoTitleDeleted val="0"/>
    <c:plotArea>
      <c:layout/>
      <c:barChart>
        <c:barDir val="col"/>
        <c:grouping val="clustered"/>
        <c:varyColors val="0"/>
        <c:ser>
          <c:idx val="0"/>
          <c:order val="0"/>
          <c:tx>
            <c:strRef>
              <c:f>Sheet1!$B$1</c:f>
              <c:strCache>
                <c:ptCount val="1"/>
                <c:pt idx="0">
                  <c:v>2019年度</c:v>
                </c:pt>
              </c:strCache>
            </c:strRef>
          </c:tx>
          <c:invertIfNegative val="0"/>
          <c:dLbls>
            <c:dLbl>
              <c:idx val="0"/>
              <c:layout>
                <c:manualLayout>
                  <c:x val="-0.0240673886883273"/>
                  <c:y val="0.024767801857585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0481347773766546"/>
                  <c:y val="0.00825593395252838"/>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3479.16</c:v>
                </c:pt>
                <c:pt idx="1">
                  <c:v>4224.82</c:v>
                </c:pt>
              </c:numCache>
            </c:numRef>
          </c:val>
        </c:ser>
        <c:ser>
          <c:idx val="1"/>
          <c:order val="1"/>
          <c:tx>
            <c:strRef>
              <c:f>Sheet1!$C$1</c:f>
              <c:strCache>
                <c:ptCount val="1"/>
                <c:pt idx="0">
                  <c:v>2020年度</c:v>
                </c:pt>
              </c:strCache>
            </c:strRef>
          </c:tx>
          <c:invertIfNegative val="0"/>
          <c:dLbls>
            <c:dLbl>
              <c:idx val="1"/>
              <c:layout>
                <c:manualLayout>
                  <c:x val="0.0336943441636582"/>
                  <c:y val="0.0165118679050568"/>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4824.78</c:v>
                </c:pt>
                <c:pt idx="1">
                  <c:v>4086.43</c:v>
                </c:pt>
              </c:numCache>
            </c:numRef>
          </c:val>
        </c:ser>
        <c:dLbls>
          <c:showLegendKey val="0"/>
          <c:showVal val="0"/>
          <c:showCatName val="0"/>
          <c:showSerName val="0"/>
          <c:showPercent val="0"/>
          <c:showBubbleSize val="0"/>
        </c:dLbls>
        <c:gapWidth val="150"/>
        <c:axId val="127035264"/>
        <c:axId val="127036800"/>
      </c:barChart>
      <c:catAx>
        <c:axId val="1270352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7036800"/>
        <c:crosses val="autoZero"/>
        <c:auto val="1"/>
        <c:lblAlgn val="ctr"/>
        <c:lblOffset val="100"/>
        <c:noMultiLvlLbl val="0"/>
      </c:catAx>
      <c:valAx>
        <c:axId val="127036800"/>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70352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5</a:t>
            </a:r>
            <a:r>
              <a:rPr lang="zh-CN" altLang="zh-CN" sz="1800" b="1" i="0" u="none" strike="noStrike" baseline="0">
                <a:effectLst/>
              </a:rPr>
              <a:t>：一般公共预算财政拨款支出决算</a:t>
            </a:r>
            <a:endParaRPr lang="en-US" altLang="zh-CN" sz="1800" b="1" i="0" u="none" strike="noStrike" baseline="0">
              <a:effectLst/>
            </a:endParaRPr>
          </a:p>
          <a:p>
            <a:pPr>
              <a:defRPr lang="zh-CN" sz="1800" b="1" i="0" u="none" strike="noStrike" kern="1200" baseline="0">
                <a:solidFill>
                  <a:schemeClr val="tx1"/>
                </a:solidFill>
                <a:latin typeface="+mn-lt"/>
                <a:ea typeface="+mn-ea"/>
                <a:cs typeface="+mn-cs"/>
              </a:defRPr>
            </a:pPr>
            <a:r>
              <a:rPr lang="zh-CN" altLang="zh-CN" sz="1800" b="1" i="0" u="none" strike="noStrike" baseline="0">
                <a:effectLst/>
              </a:rPr>
              <a:t>变动情况</a:t>
            </a:r>
            <a:endParaRPr lang="zh-CN" altLang="en-US"/>
          </a:p>
        </c:rich>
      </c:tx>
      <c:layout>
        <c:manualLayout>
          <c:xMode val="edge"/>
          <c:yMode val="edge"/>
          <c:x val="0.133796677942333"/>
          <c:y val="0"/>
        </c:manualLayout>
      </c:layout>
      <c:overlay val="0"/>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
                  <c:y val="0.031837572027634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一般公共预算财政拨款支出</a:t>
                    </a:r>
                    <a:r>
                      <a:rPr lang="en-US" altLang="zh-CN"/>
                      <a:t> 4224.82</a:t>
                    </a:r>
                    <a:r>
                      <a:rPr lang="zh-CN" altLang="en-US"/>
                      <a:t>万元</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一般公共预算财政拨款支出</a:t>
                    </a:r>
                    <a:r>
                      <a:rPr lang="en-US" altLang="zh-CN"/>
                      <a:t> 4086.43</a:t>
                    </a:r>
                    <a:r>
                      <a:rPr lang="zh-CN" altLang="en-US"/>
                      <a:t>万元</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name>2020年下降3.27%</c:name>
            <c:trendlineType val="linear"/>
            <c:dispRSqr val="0"/>
            <c:dispEq val="0"/>
          </c:trendline>
          <c:cat>
            <c:strRef>
              <c:f>Sheet1!$A$2:$A$3</c:f>
              <c:strCache>
                <c:ptCount val="2"/>
                <c:pt idx="0">
                  <c:v>2019年度</c:v>
                </c:pt>
                <c:pt idx="1">
                  <c:v>2020年度</c:v>
                </c:pt>
              </c:strCache>
            </c:strRef>
          </c:cat>
          <c:val>
            <c:numRef>
              <c:f>Sheet1!$B$2:$B$3</c:f>
              <c:numCache>
                <c:formatCode>General</c:formatCode>
                <c:ptCount val="2"/>
                <c:pt idx="0">
                  <c:v>4224.82</c:v>
                </c:pt>
                <c:pt idx="1">
                  <c:v>4086.43</c:v>
                </c:pt>
              </c:numCache>
            </c:numRef>
          </c:val>
        </c:ser>
        <c:dLbls>
          <c:showLegendKey val="0"/>
          <c:showVal val="0"/>
          <c:showCatName val="0"/>
          <c:showSerName val="0"/>
          <c:showPercent val="0"/>
          <c:showBubbleSize val="0"/>
        </c:dLbls>
        <c:gapWidth val="150"/>
        <c:axId val="127070976"/>
        <c:axId val="127072512"/>
      </c:barChart>
      <c:catAx>
        <c:axId val="12707097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7072512"/>
        <c:crosses val="autoZero"/>
        <c:auto val="1"/>
        <c:lblAlgn val="ctr"/>
        <c:lblOffset val="100"/>
        <c:noMultiLvlLbl val="0"/>
      </c:catAx>
      <c:valAx>
        <c:axId val="127072512"/>
        <c:scaling>
          <c:orientation val="minMax"/>
        </c:scaling>
        <c:delete val="0"/>
        <c:axPos val="l"/>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2707097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zh-CN" sz="1800" b="1" i="0" u="none" strike="noStrike" baseline="0">
                <a:effectLst/>
              </a:rPr>
              <a:t>图</a:t>
            </a:r>
            <a:r>
              <a:rPr lang="en-US" altLang="zh-CN" sz="1800" b="1" i="0" u="none" strike="noStrike" baseline="0">
                <a:effectLst/>
              </a:rPr>
              <a:t>6</a:t>
            </a:r>
            <a:r>
              <a:rPr lang="zh-CN" altLang="en-US" sz="1800" b="1" i="0" u="none" strike="noStrike" baseline="0">
                <a:effectLst/>
              </a:rPr>
              <a:t>：</a:t>
            </a:r>
            <a:r>
              <a:rPr lang="zh-CN" altLang="zh-CN" sz="1800" b="1" i="0" u="none" strike="noStrike" baseline="0">
                <a:effectLst/>
              </a:rPr>
              <a:t>一般公共预算财政拨款支出决算结构</a:t>
            </a:r>
            <a:endParaRPr lang="zh-CN" altLang="en-US"/>
          </a:p>
        </c:rich>
      </c:tx>
      <c:layout>
        <c:manualLayout>
          <c:xMode val="edge"/>
          <c:yMode val="edge"/>
          <c:x val="0.116975591954749"/>
          <c:y val="0"/>
        </c:manualLayout>
      </c:layout>
      <c:overlay val="0"/>
    </c:title>
    <c:autoTitleDeleted val="0"/>
    <c:plotArea>
      <c:layout>
        <c:manualLayout>
          <c:layoutTarget val="inner"/>
          <c:xMode val="edge"/>
          <c:yMode val="edge"/>
          <c:x val="0.152358040806397"/>
          <c:y val="0.327444175860996"/>
          <c:w val="0.39347902367819"/>
          <c:h val="0.670947514539406"/>
        </c:manualLayout>
      </c:layout>
      <c:pieChart>
        <c:varyColors val="1"/>
        <c:ser>
          <c:idx val="0"/>
          <c:order val="0"/>
          <c:tx>
            <c:strRef>
              <c:f>Sheet1!$B$1</c:f>
              <c:strCache>
                <c:ptCount val="1"/>
                <c:pt idx="0">
                  <c:v>一般公共预算财政拨款支出</c:v>
                </c:pt>
              </c:strCache>
            </c:strRef>
          </c:tx>
          <c:explosion val="50"/>
          <c:dPt>
            <c:idx val="0"/>
            <c:bubble3D val="0"/>
            <c:explosion val="3"/>
          </c:dPt>
          <c:dPt>
            <c:idx val="1"/>
            <c:bubble3D val="0"/>
            <c:explosion val="0"/>
          </c:dPt>
          <c:dPt>
            <c:idx val="2"/>
            <c:bubble3D val="0"/>
            <c:explosion val="17"/>
          </c:dPt>
          <c:dPt>
            <c:idx val="3"/>
            <c:bubble3D val="0"/>
            <c:explosion val="33"/>
          </c:dPt>
          <c:dPt>
            <c:idx val="4"/>
            <c:bubble3D val="0"/>
          </c:dPt>
          <c:dLbls>
            <c:dLbl>
              <c:idx val="0"/>
              <c:layout>
                <c:manualLayout>
                  <c:x val="0.148564103283881"/>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一般公共安全支出</a:t>
                    </a:r>
                    <a:r>
                      <a:rPr lang="en-US" altLang="zh-CN"/>
                      <a:t>,3751.71</a:t>
                    </a:r>
                    <a:r>
                      <a:rPr lang="zh-CN" altLang="en-US"/>
                      <a:t>万元，占比</a:t>
                    </a:r>
                    <a:r>
                      <a:rPr lang="en-US" altLang="zh-CN"/>
                      <a:t> 91.81%</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647396615530011"/>
                  <c:y val="0.079934263536206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社会保障和就业支出</a:t>
                    </a:r>
                    <a:r>
                      <a:rPr lang="en-US" altLang="zh-CN"/>
                      <a:t> 175.16</a:t>
                    </a:r>
                    <a:r>
                      <a:rPr lang="zh-CN" altLang="en-US"/>
                      <a:t>万元，占比</a:t>
                    </a:r>
                    <a:r>
                      <a:rPr lang="en-US" altLang="zh-CN"/>
                      <a:t>, 4.29%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25801975287848"/>
                  <c:y val="-0.069368562972181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 64.92</a:t>
                    </a:r>
                    <a:r>
                      <a:rPr lang="zh-CN" altLang="en-US"/>
                      <a:t>万元，占比</a:t>
                    </a:r>
                    <a:r>
                      <a:rPr lang="en-US" altLang="zh-CN"/>
                      <a:t> 1.59%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0249296110713434"/>
                  <c:y val="-0.0626873768438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住房保障支出</a:t>
                    </a:r>
                    <a:r>
                      <a:rPr lang="en-US" altLang="zh-CN"/>
                      <a:t> 94.14</a:t>
                    </a:r>
                    <a:r>
                      <a:rPr lang="zh-CN" altLang="en-US"/>
                      <a:t>万元</a:t>
                    </a:r>
                    <a:r>
                      <a:rPr lang="en-US" altLang="zh-CN"/>
                      <a:t>, </a:t>
                    </a:r>
                    <a:r>
                      <a:rPr lang="zh-CN" altLang="en-US"/>
                      <a:t>占比</a:t>
                    </a:r>
                    <a:r>
                      <a:rPr lang="en-US" altLang="zh-CN"/>
                      <a:t>2.30%</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222981458868444"/>
                  <c:y val="0.068350286001483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农业水（扶贫）支出</a:t>
                    </a:r>
                    <a:r>
                      <a:rPr lang="en-US" altLang="zh-CN"/>
                      <a:t>, 0.5</a:t>
                    </a:r>
                    <a:r>
                      <a:rPr lang="zh-CN" altLang="en-US"/>
                      <a:t>万元</a:t>
                    </a:r>
                    <a:r>
                      <a:rPr lang="en-US" altLang="zh-CN"/>
                      <a:t>,</a:t>
                    </a:r>
                    <a:r>
                      <a:rPr lang="zh-CN" altLang="en-US"/>
                      <a:t>占比</a:t>
                    </a:r>
                    <a:r>
                      <a:rPr lang="en-US" altLang="zh-CN"/>
                      <a:t>0.01%</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一般公共安全支出</c:v>
                </c:pt>
                <c:pt idx="1">
                  <c:v>社会保障和就业支出</c:v>
                </c:pt>
                <c:pt idx="2">
                  <c:v>卫生健康支出</c:v>
                </c:pt>
                <c:pt idx="3">
                  <c:v>住房保障支出</c:v>
                </c:pt>
                <c:pt idx="4">
                  <c:v>农业水支出（扶贫）</c:v>
                </c:pt>
              </c:strCache>
            </c:strRef>
          </c:cat>
          <c:val>
            <c:numRef>
              <c:f>Sheet1!$B$2:$B$6</c:f>
              <c:numCache>
                <c:formatCode>General</c:formatCode>
                <c:ptCount val="5"/>
                <c:pt idx="0">
                  <c:v>3751.71</c:v>
                </c:pt>
                <c:pt idx="1">
                  <c:v>175.16</c:v>
                </c:pt>
                <c:pt idx="2">
                  <c:v>64.92</c:v>
                </c:pt>
                <c:pt idx="3">
                  <c:v>94.14</c:v>
                </c:pt>
                <c:pt idx="4">
                  <c:v>0.5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effectLst/>
              </a:rPr>
              <a:t>图</a:t>
            </a:r>
            <a:r>
              <a:rPr lang="en-US" altLang="zh-CN" sz="1800" b="1" i="0" u="none" strike="noStrike" baseline="0">
                <a:effectLst/>
              </a:rPr>
              <a:t>7</a:t>
            </a:r>
            <a:r>
              <a:rPr lang="zh-CN" altLang="en-US" sz="1800" b="1" i="0" u="none" strike="noStrike" baseline="0">
                <a:effectLst/>
              </a:rPr>
              <a:t>：</a:t>
            </a:r>
            <a:r>
              <a:rPr lang="zh-CN" altLang="zh-CN" sz="1800" b="1" i="0" u="none" strike="noStrike" baseline="0">
                <a:effectLst/>
              </a:rPr>
              <a:t>“三公”经费财政拨款支出结构</a:t>
            </a:r>
            <a:endParaRPr lang="zh-CN" altLang="en-US"/>
          </a:p>
        </c:rich>
      </c:tx>
      <c:layout/>
      <c:overlay val="0"/>
    </c:title>
    <c:autoTitleDeleted val="0"/>
    <c:plotArea>
      <c:layout>
        <c:manualLayout>
          <c:layoutTarget val="inner"/>
          <c:xMode val="edge"/>
          <c:yMode val="edge"/>
          <c:x val="0.138329753086186"/>
          <c:y val="0.291086029107043"/>
          <c:w val="0.388974293375783"/>
          <c:h val="0.667157147152272"/>
        </c:manualLayout>
      </c:layout>
      <c:pieChart>
        <c:varyColors val="1"/>
        <c:ser>
          <c:idx val="0"/>
          <c:order val="0"/>
          <c:tx>
            <c:strRef>
              <c:f>Sheet1!$B$1</c:f>
              <c:strCache>
                <c:ptCount val="1"/>
                <c:pt idx="0">
                  <c:v>三公经费</c:v>
                </c:pt>
              </c:strCache>
            </c:strRef>
          </c:tx>
          <c:explosion val="25"/>
          <c:dPt>
            <c:idx val="0"/>
            <c:bubble3D val="0"/>
          </c:dPt>
          <c:dPt>
            <c:idx val="1"/>
            <c:bubble3D val="0"/>
            <c:explosion val="7"/>
          </c:dPt>
          <c:dPt>
            <c:idx val="2"/>
            <c:bubble3D val="0"/>
            <c:explosion val="0"/>
          </c:dPt>
          <c:dLbls>
            <c:dLbl>
              <c:idx val="0"/>
              <c:layout>
                <c:manualLayout>
                  <c:x val="0.191851388612525"/>
                  <c:y val="0.044665577793487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881933350388963"/>
                  <c:y val="-0.00017129437767647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公务用车及运行维护费支出</a:t>
                    </a:r>
                    <a:r>
                      <a:rPr lang="en-US" altLang="zh-CN"/>
                      <a:t>21.4</a:t>
                    </a:r>
                    <a:r>
                      <a:rPr lang="zh-CN" altLang="en-US"/>
                      <a:t>万元</a:t>
                    </a:r>
                    <a:r>
                      <a:rPr lang="en-US" altLang="zh-CN"/>
                      <a:t>,</a:t>
                    </a:r>
                    <a:r>
                      <a:rPr lang="zh-CN" altLang="en-US"/>
                      <a:t>占比</a:t>
                    </a:r>
                    <a:r>
                      <a:rPr lang="en-US" altLang="zh-CN"/>
                      <a:t>83.14%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0434514909463032"/>
                  <c:y val="0.062537399543323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公务接待费支出</a:t>
                    </a:r>
                    <a:r>
                      <a:rPr lang="en-US" altLang="zh-CN"/>
                      <a:t>4.34</a:t>
                    </a:r>
                    <a:r>
                      <a:rPr lang="zh-CN" altLang="en-US"/>
                      <a:t>万元</a:t>
                    </a:r>
                    <a:r>
                      <a:rPr lang="en-US" altLang="zh-CN"/>
                      <a:t>,</a:t>
                    </a:r>
                    <a:r>
                      <a:rPr lang="zh-CN" altLang="en-US"/>
                      <a:t>占比</a:t>
                    </a:r>
                    <a:r>
                      <a:rPr lang="en-US" altLang="zh-CN"/>
                      <a:t>16.86%</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因公出国（境）费支出</c:v>
                </c:pt>
                <c:pt idx="1">
                  <c:v>公务用车及运行维护费支出</c:v>
                </c:pt>
                <c:pt idx="2">
                  <c:v>公务接待费支出</c:v>
                </c:pt>
              </c:strCache>
            </c:strRef>
          </c:cat>
          <c:val>
            <c:numRef>
              <c:f>Sheet1!$B$2:$B$4</c:f>
              <c:numCache>
                <c:formatCode>General</c:formatCode>
                <c:ptCount val="3"/>
                <c:pt idx="0">
                  <c:v>0</c:v>
                </c:pt>
                <c:pt idx="1">
                  <c:v>21.4</c:v>
                </c:pt>
                <c:pt idx="2">
                  <c:v>4.34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90F969-B0EB-4DB8-A22E-DB844229B06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47</Pages>
  <Words>17067</Words>
  <Characters>4638</Characters>
  <Lines>38</Lines>
  <Paragraphs>43</Paragraphs>
  <TotalTime>1542</TotalTime>
  <ScaleCrop>false</ScaleCrop>
  <LinksUpToDate>false</LinksUpToDate>
  <CharactersWithSpaces>21662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2021-09-22T08:55:00Z</dcterms:created>
  <dc:creator>曹颖</dc:creator>
  <cp:lastModifiedBy>风语</cp:lastModifiedBy>
  <cp:lastPrinted>2021-09-26T03:08:00Z</cp:lastPrinted>
  <dcterms:modified xsi:type="dcterms:W3CDTF">2021-09-30T01:15:47Z</dcterms:modified>
  <dc:title>四川省***</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