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Theme="minorEastAsia" w:hAnsiTheme="minorEastAsia" w:eastAsiaTheme="minorEastAsia" w:cstheme="minorEastAsia"/>
          <w:color w:val="auto"/>
          <w:sz w:val="72"/>
          <w:szCs w:val="72"/>
        </w:rPr>
      </w:pPr>
      <w:bookmarkStart w:id="0" w:name="_Toc15377193"/>
      <w:bookmarkStart w:id="1" w:name="_Toc15396597"/>
      <w:bookmarkStart w:id="2" w:name="_Toc15377425"/>
      <w:bookmarkStart w:id="3" w:name="_Toc15396475"/>
      <w:bookmarkStart w:id="4" w:name="_Toc15378441"/>
      <w:bookmarkStart w:id="5" w:name="_Toc15306267"/>
    </w:p>
    <w:p>
      <w:pPr>
        <w:spacing w:line="600" w:lineRule="exact"/>
        <w:jc w:val="center"/>
        <w:outlineLvl w:val="0"/>
        <w:rPr>
          <w:rFonts w:hint="eastAsia" w:asciiTheme="minorEastAsia" w:hAnsiTheme="minorEastAsia" w:eastAsiaTheme="minorEastAsia" w:cstheme="minorEastAsia"/>
          <w:color w:val="auto"/>
          <w:sz w:val="72"/>
          <w:szCs w:val="72"/>
        </w:rPr>
      </w:pPr>
    </w:p>
    <w:p>
      <w:pPr>
        <w:spacing w:line="600" w:lineRule="exact"/>
        <w:jc w:val="center"/>
        <w:outlineLvl w:val="0"/>
        <w:rPr>
          <w:rFonts w:hint="eastAsia" w:asciiTheme="minorEastAsia" w:hAnsiTheme="minorEastAsia" w:eastAsiaTheme="minorEastAsia" w:cstheme="minorEastAsia"/>
          <w:color w:val="auto"/>
          <w:sz w:val="72"/>
          <w:szCs w:val="72"/>
        </w:rPr>
      </w:pPr>
    </w:p>
    <w:p>
      <w:pPr>
        <w:adjustRightInd w:val="0"/>
        <w:snapToGrid w:val="0"/>
        <w:spacing w:line="360" w:lineRule="auto"/>
        <w:jc w:val="center"/>
        <w:outlineLvl w:val="0"/>
        <w:rPr>
          <w:rFonts w:hint="eastAsia" w:asciiTheme="minorEastAsia" w:hAnsiTheme="minorEastAsia" w:eastAsiaTheme="minorEastAsia" w:cstheme="minorEastAsia"/>
          <w:color w:val="auto"/>
          <w:sz w:val="72"/>
          <w:szCs w:val="72"/>
        </w:rPr>
      </w:pPr>
      <w:r>
        <w:rPr>
          <w:rFonts w:hint="eastAsia" w:asciiTheme="minorEastAsia" w:hAnsiTheme="minorEastAsia" w:eastAsiaTheme="minorEastAsia" w:cstheme="minorEastAsia"/>
          <w:color w:val="auto"/>
          <w:sz w:val="72"/>
          <w:szCs w:val="72"/>
        </w:rPr>
        <w:t>2022年度</w:t>
      </w:r>
      <w:bookmarkEnd w:id="0"/>
      <w:bookmarkEnd w:id="1"/>
      <w:bookmarkEnd w:id="2"/>
      <w:bookmarkEnd w:id="3"/>
      <w:bookmarkEnd w:id="4"/>
    </w:p>
    <w:p>
      <w:pPr>
        <w:adjustRightInd w:val="0"/>
        <w:snapToGrid w:val="0"/>
        <w:spacing w:line="360" w:lineRule="auto"/>
        <w:jc w:val="center"/>
        <w:outlineLvl w:val="0"/>
        <w:rPr>
          <w:rFonts w:hint="eastAsia" w:asciiTheme="minorEastAsia" w:hAnsiTheme="minorEastAsia" w:eastAsiaTheme="minorEastAsia" w:cstheme="minorEastAsia"/>
          <w:color w:val="auto"/>
          <w:sz w:val="72"/>
          <w:szCs w:val="72"/>
        </w:rPr>
      </w:pPr>
      <w:bookmarkStart w:id="6" w:name="_Toc15396598"/>
      <w:bookmarkStart w:id="7" w:name="_Toc15378442"/>
      <w:bookmarkStart w:id="8" w:name="_Toc15377426"/>
      <w:bookmarkStart w:id="9" w:name="_Toc15396476"/>
      <w:bookmarkStart w:id="10" w:name="_Toc15377194"/>
      <w:r>
        <w:rPr>
          <w:rFonts w:hint="eastAsia" w:asciiTheme="minorEastAsia" w:hAnsiTheme="minorEastAsia" w:eastAsiaTheme="minorEastAsia" w:cstheme="minorEastAsia"/>
          <w:color w:val="auto"/>
          <w:sz w:val="72"/>
          <w:szCs w:val="72"/>
        </w:rPr>
        <w:t>四川省</w:t>
      </w:r>
      <w:bookmarkEnd w:id="5"/>
      <w:bookmarkStart w:id="11" w:name="_Toc15306268"/>
      <w:r>
        <w:rPr>
          <w:rFonts w:hint="eastAsia" w:asciiTheme="minorEastAsia" w:hAnsiTheme="minorEastAsia" w:eastAsiaTheme="minorEastAsia" w:cstheme="minorEastAsia"/>
          <w:color w:val="auto"/>
          <w:sz w:val="72"/>
          <w:szCs w:val="72"/>
        </w:rPr>
        <w:t>广元市利州区财政局部门决算</w:t>
      </w:r>
      <w:bookmarkEnd w:id="6"/>
      <w:bookmarkEnd w:id="7"/>
      <w:bookmarkEnd w:id="8"/>
      <w:bookmarkEnd w:id="9"/>
      <w:bookmarkEnd w:id="10"/>
      <w:bookmarkEnd w:id="11"/>
    </w:p>
    <w:p>
      <w:pPr>
        <w:widowControl/>
        <w:jc w:val="center"/>
        <w:rPr>
          <w:rFonts w:hint="eastAsia" w:asciiTheme="minorEastAsia" w:hAnsiTheme="minorEastAsia" w:eastAsiaTheme="minorEastAsia" w:cstheme="minorEastAsia"/>
          <w:color w:val="auto"/>
          <w:sz w:val="36"/>
          <w:szCs w:val="36"/>
        </w:rPr>
      </w:pPr>
    </w:p>
    <w:p>
      <w:pPr>
        <w:widowControl/>
        <w:jc w:val="center"/>
        <w:rPr>
          <w:rFonts w:hint="eastAsia" w:asciiTheme="minorEastAsia" w:hAnsiTheme="minorEastAsia" w:eastAsiaTheme="minorEastAsia" w:cstheme="minorEastAsia"/>
          <w:color w:val="auto"/>
          <w:sz w:val="48"/>
          <w:szCs w:val="48"/>
        </w:rPr>
      </w:pPr>
      <w:r>
        <w:rPr>
          <w:rFonts w:hint="eastAsia" w:asciiTheme="minorEastAsia" w:hAnsiTheme="minorEastAsia" w:eastAsiaTheme="minorEastAsia" w:cstheme="minorEastAsia"/>
          <w:color w:val="auto"/>
          <w:sz w:val="36"/>
          <w:szCs w:val="36"/>
        </w:rPr>
        <w:br w:type="page"/>
      </w:r>
      <w:r>
        <w:rPr>
          <w:rFonts w:hint="eastAsia" w:asciiTheme="minorEastAsia" w:hAnsiTheme="minorEastAsia" w:eastAsiaTheme="minorEastAsia" w:cstheme="minorEastAsia"/>
          <w:color w:val="auto"/>
          <w:sz w:val="48"/>
          <w:szCs w:val="48"/>
        </w:rPr>
        <w:t>目录</w:t>
      </w:r>
    </w:p>
    <w:p>
      <w:pPr>
        <w:widowControl/>
        <w:jc w:val="center"/>
        <w:rPr>
          <w:rFonts w:hint="eastAsia" w:asciiTheme="minorEastAsia" w:hAnsiTheme="minorEastAsia" w:eastAsiaTheme="minorEastAsia" w:cstheme="minorEastAsia"/>
          <w:color w:val="auto"/>
          <w:sz w:val="28"/>
          <w:szCs w:val="28"/>
        </w:rPr>
      </w:pPr>
    </w:p>
    <w:p>
      <w:pPr>
        <w:pStyle w:val="1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公开时间：2023年</w:t>
      </w:r>
      <w:r>
        <w:rPr>
          <w:rFonts w:hint="default" w:asciiTheme="minorEastAsia" w:hAnsiTheme="minorEastAsia" w:eastAsiaTheme="minorEastAsia" w:cstheme="minorEastAsia"/>
          <w:color w:val="auto"/>
          <w:sz w:val="28"/>
          <w:szCs w:val="28"/>
          <w:lang w:val="en" w:eastAsia="zh-CN"/>
        </w:rPr>
        <w:t>9</w:t>
      </w:r>
      <w:r>
        <w:rPr>
          <w:rFonts w:hint="eastAsia" w:asciiTheme="minorEastAsia" w:hAnsiTheme="minorEastAsia" w:eastAsiaTheme="minorEastAsia" w:cstheme="minorEastAsia"/>
          <w:color w:val="auto"/>
          <w:sz w:val="28"/>
          <w:szCs w:val="28"/>
        </w:rPr>
        <w:t>月</w:t>
      </w:r>
      <w:r>
        <w:rPr>
          <w:rFonts w:hint="default" w:asciiTheme="minorEastAsia" w:hAnsiTheme="minorEastAsia" w:eastAsiaTheme="minorEastAsia" w:cstheme="minorEastAsia"/>
          <w:color w:val="auto"/>
          <w:sz w:val="28"/>
          <w:szCs w:val="28"/>
          <w:lang w:val="en"/>
        </w:rPr>
        <w:t>28</w:t>
      </w:r>
      <w:r>
        <w:rPr>
          <w:rFonts w:hint="eastAsia" w:asciiTheme="minorEastAsia" w:hAnsiTheme="minorEastAsia" w:eastAsiaTheme="minorEastAsia" w:cstheme="minorEastAsia"/>
          <w:color w:val="auto"/>
          <w:sz w:val="28"/>
          <w:szCs w:val="28"/>
        </w:rPr>
        <w:t>日</w:t>
      </w:r>
    </w:p>
    <w:p>
      <w:pPr>
        <w:rPr>
          <w:rFonts w:hint="eastAsia" w:asciiTheme="minorEastAsia" w:hAnsiTheme="minorEastAsia" w:eastAsiaTheme="minorEastAsia" w:cstheme="minorEastAsia"/>
          <w:color w:val="auto"/>
          <w:sz w:val="28"/>
          <w:szCs w:val="28"/>
        </w:rPr>
      </w:pP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right="0" w:rightChars="0"/>
        <w:jc w:val="both"/>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第一部分 部门概况</w:t>
      </w:r>
      <w:r>
        <w:rPr>
          <w:rFonts w:hint="eastAsia" w:asciiTheme="minorEastAsia" w:hAnsiTheme="minorEastAsia" w:eastAsiaTheme="minorEastAsia" w:cstheme="minorEastAsia"/>
          <w:color w:val="auto"/>
          <w:sz w:val="28"/>
          <w:szCs w:val="28"/>
          <w:lang w:val="en-US" w:eastAsia="zh-CN"/>
        </w:rPr>
        <w:t xml:space="preserve"> ...................................4                                 </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一、部门职责</w:t>
      </w:r>
      <w:r>
        <w:rPr>
          <w:rFonts w:hint="eastAsia" w:asciiTheme="minorEastAsia" w:hAnsiTheme="minorEastAsia" w:eastAsiaTheme="minorEastAsia" w:cstheme="minorEastAsia"/>
          <w:color w:val="auto"/>
          <w:sz w:val="28"/>
          <w:szCs w:val="28"/>
          <w:lang w:val="en-US" w:eastAsia="zh-CN"/>
        </w:rPr>
        <w:t>......................................4</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both"/>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二、机构设置</w:t>
      </w:r>
      <w:r>
        <w:rPr>
          <w:rFonts w:hint="eastAsia" w:asciiTheme="minorEastAsia" w:hAnsiTheme="minorEastAsia" w:eastAsiaTheme="minorEastAsia" w:cstheme="minorEastAsia"/>
          <w:color w:val="auto"/>
          <w:sz w:val="28"/>
          <w:szCs w:val="28"/>
          <w:lang w:val="en-US" w:eastAsia="zh-CN"/>
        </w:rPr>
        <w:t>......................................6</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 xml:space="preserve">第二部分 </w:t>
      </w:r>
      <w:bookmarkStart w:id="67" w:name="_GoBack"/>
      <w:bookmarkEnd w:id="67"/>
      <w:r>
        <w:rPr>
          <w:rFonts w:hint="eastAsia" w:asciiTheme="minorEastAsia" w:hAnsiTheme="minorEastAsia" w:eastAsiaTheme="minorEastAsia" w:cstheme="minorEastAsia"/>
          <w:color w:val="auto"/>
          <w:sz w:val="28"/>
          <w:szCs w:val="28"/>
        </w:rPr>
        <w:t>2022年度部门决算情况说明</w:t>
      </w:r>
      <w:r>
        <w:rPr>
          <w:rFonts w:hint="eastAsia" w:asciiTheme="minorEastAsia" w:hAnsiTheme="minorEastAsia" w:eastAsiaTheme="minorEastAsia" w:cstheme="minorEastAsia"/>
          <w:color w:val="auto"/>
          <w:sz w:val="28"/>
          <w:szCs w:val="28"/>
          <w:lang w:val="en-US" w:eastAsia="zh-CN"/>
        </w:rPr>
        <w:t>........</w:t>
      </w:r>
      <w:r>
        <w:rPr>
          <w:rFonts w:hint="default" w:asciiTheme="minorEastAsia" w:hAnsiTheme="minorEastAsia" w:eastAsiaTheme="minorEastAsia" w:cstheme="minorEastAsia"/>
          <w:color w:val="auto"/>
          <w:sz w:val="28"/>
          <w:szCs w:val="28"/>
          <w:lang w:val="en" w:eastAsia="zh-CN"/>
        </w:rPr>
        <w:t>.</w:t>
      </w:r>
      <w:r>
        <w:rPr>
          <w:rFonts w:hint="eastAsia" w:asciiTheme="minorEastAsia" w:hAnsiTheme="minorEastAsia" w:eastAsiaTheme="minorEastAsia" w:cstheme="minorEastAsia"/>
          <w:color w:val="auto"/>
          <w:sz w:val="28"/>
          <w:szCs w:val="28"/>
          <w:lang w:val="en-US" w:eastAsia="zh-CN"/>
        </w:rPr>
        <w:t>..........</w:t>
      </w:r>
      <w:r>
        <w:rPr>
          <w:rFonts w:hint="default" w:asciiTheme="minorEastAsia" w:hAnsiTheme="minorEastAsia" w:eastAsiaTheme="minorEastAsia" w:cstheme="minorEastAsia"/>
          <w:color w:val="auto"/>
          <w:sz w:val="28"/>
          <w:szCs w:val="28"/>
          <w:lang w:val="en" w:eastAsia="zh-CN"/>
        </w:rPr>
        <w:t>.</w:t>
      </w:r>
      <w:r>
        <w:rPr>
          <w:rFonts w:hint="eastAsia" w:asciiTheme="minorEastAsia" w:hAnsiTheme="minorEastAsia" w:eastAsiaTheme="minorEastAsia" w:cstheme="minorEastAsia"/>
          <w:color w:val="auto"/>
          <w:sz w:val="28"/>
          <w:szCs w:val="28"/>
          <w:lang w:val="en-US" w:eastAsia="zh-CN"/>
        </w:rPr>
        <w:t>7</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一、收入支出决算总体情况说明</w:t>
      </w:r>
      <w:r>
        <w:rPr>
          <w:rFonts w:hint="eastAsia" w:asciiTheme="minorEastAsia" w:hAnsiTheme="minorEastAsia" w:eastAsiaTheme="minorEastAsia" w:cstheme="minorEastAsia"/>
          <w:color w:val="auto"/>
          <w:sz w:val="28"/>
          <w:szCs w:val="28"/>
          <w:lang w:val="en-US" w:eastAsia="zh-CN"/>
        </w:rPr>
        <w:t>......................7</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二、收入决算情况说明</w:t>
      </w:r>
      <w:r>
        <w:rPr>
          <w:rFonts w:hint="eastAsia" w:asciiTheme="minorEastAsia" w:hAnsiTheme="minorEastAsia" w:eastAsiaTheme="minorEastAsia" w:cstheme="minorEastAsia"/>
          <w:color w:val="auto"/>
          <w:sz w:val="28"/>
          <w:szCs w:val="28"/>
          <w:lang w:val="en-US" w:eastAsia="zh-CN"/>
        </w:rPr>
        <w:t>..............................7</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三、支出决算情况说明</w:t>
      </w:r>
      <w:r>
        <w:rPr>
          <w:rFonts w:hint="eastAsia" w:asciiTheme="minorEastAsia" w:hAnsiTheme="minorEastAsia" w:eastAsiaTheme="minorEastAsia" w:cstheme="minorEastAsia"/>
          <w:color w:val="auto"/>
          <w:sz w:val="28"/>
          <w:szCs w:val="28"/>
          <w:lang w:val="en-US" w:eastAsia="zh-CN"/>
        </w:rPr>
        <w:t>..............................8</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四、财政拨款收入支出决算总体情况说明</w:t>
      </w:r>
      <w:r>
        <w:rPr>
          <w:rFonts w:hint="eastAsia" w:asciiTheme="minorEastAsia" w:hAnsiTheme="minorEastAsia" w:eastAsiaTheme="minorEastAsia" w:cstheme="minorEastAsia"/>
          <w:color w:val="auto"/>
          <w:sz w:val="28"/>
          <w:szCs w:val="28"/>
          <w:lang w:val="en-US" w:eastAsia="zh-CN"/>
        </w:rPr>
        <w:t>..............8</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五、一般公共预算财政拨款支出决算情况说明</w:t>
      </w:r>
      <w:r>
        <w:rPr>
          <w:rFonts w:hint="eastAsia" w:asciiTheme="minorEastAsia" w:hAnsiTheme="minorEastAsia" w:eastAsiaTheme="minorEastAsia" w:cstheme="minorEastAsia"/>
          <w:color w:val="auto"/>
          <w:sz w:val="28"/>
          <w:szCs w:val="28"/>
          <w:lang w:val="en-US" w:eastAsia="zh-CN"/>
        </w:rPr>
        <w:t>..........9</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六、一般公共预算财政拨款基本支出决算情况说明</w:t>
      </w:r>
      <w:r>
        <w:rPr>
          <w:rFonts w:hint="eastAsia" w:asciiTheme="minorEastAsia" w:hAnsiTheme="minorEastAsia" w:eastAsiaTheme="minorEastAsia" w:cstheme="minorEastAsia"/>
          <w:color w:val="auto"/>
          <w:sz w:val="28"/>
          <w:szCs w:val="28"/>
          <w:lang w:val="en-US" w:eastAsia="zh-CN"/>
        </w:rPr>
        <w:t>.....12</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七、财政拨款“三公”经费支出决算情况说明</w:t>
      </w:r>
      <w:r>
        <w:rPr>
          <w:rFonts w:hint="eastAsia" w:asciiTheme="minorEastAsia" w:hAnsiTheme="minorEastAsia" w:eastAsiaTheme="minorEastAsia" w:cstheme="minorEastAsia"/>
          <w:color w:val="auto"/>
          <w:sz w:val="28"/>
          <w:szCs w:val="28"/>
          <w:lang w:val="en-US" w:eastAsia="zh-CN"/>
        </w:rPr>
        <w:t>.........12</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八、政府性基金预算支出决算情况说明</w:t>
      </w:r>
      <w:r>
        <w:rPr>
          <w:rFonts w:hint="eastAsia" w:asciiTheme="minorEastAsia" w:hAnsiTheme="minorEastAsia" w:eastAsiaTheme="minorEastAsia" w:cstheme="minorEastAsia"/>
          <w:color w:val="auto"/>
          <w:sz w:val="28"/>
          <w:szCs w:val="28"/>
          <w:lang w:val="en-US" w:eastAsia="zh-CN"/>
        </w:rPr>
        <w:t>...............14</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九、国有资本经营预算支出决算情况说明</w:t>
      </w:r>
      <w:r>
        <w:rPr>
          <w:rFonts w:hint="eastAsia" w:asciiTheme="minorEastAsia" w:hAnsiTheme="minorEastAsia" w:eastAsiaTheme="minorEastAsia" w:cstheme="minorEastAsia"/>
          <w:color w:val="auto"/>
          <w:sz w:val="28"/>
          <w:szCs w:val="28"/>
          <w:lang w:val="en-US" w:eastAsia="zh-CN"/>
        </w:rPr>
        <w:t>.............14</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Chars="0" w:right="0" w:rightChars="0"/>
        <w:jc w:val="left"/>
        <w:textAlignment w:val="auto"/>
        <w:outlineLvl w:val="9"/>
        <w:rPr>
          <w:rFonts w:hint="eastAsia" w:asciiTheme="minorEastAsia" w:hAnsiTheme="minorEastAsia" w:eastAsiaTheme="minorEastAsia" w:cstheme="minorEastAsia"/>
          <w:color w:val="auto"/>
          <w:sz w:val="28"/>
          <w:szCs w:val="28"/>
        </w:rPr>
      </w:pPr>
      <w:r>
        <w:rPr>
          <w:rStyle w:val="17"/>
          <w:rFonts w:hint="eastAsia" w:asciiTheme="minorEastAsia" w:hAnsiTheme="minorEastAsia" w:eastAsiaTheme="minorEastAsia" w:cstheme="minorEastAsia"/>
          <w:color w:val="auto"/>
          <w:sz w:val="28"/>
          <w:szCs w:val="28"/>
          <w:u w:val="none"/>
        </w:rPr>
        <w:t>十、</w:t>
      </w:r>
      <w:r>
        <w:rPr>
          <w:rFonts w:hint="eastAsia" w:asciiTheme="minorEastAsia" w:hAnsiTheme="minorEastAsia" w:eastAsiaTheme="minorEastAsia" w:cstheme="minorEastAsia"/>
          <w:color w:val="auto"/>
          <w:sz w:val="28"/>
          <w:szCs w:val="28"/>
        </w:rPr>
        <w:t>其他重要事项的情况说明</w:t>
      </w:r>
      <w:r>
        <w:rPr>
          <w:rFonts w:hint="eastAsia" w:asciiTheme="minorEastAsia" w:hAnsiTheme="minorEastAsia" w:eastAsiaTheme="minorEastAsia" w:cstheme="minorEastAsia"/>
          <w:color w:val="auto"/>
          <w:sz w:val="28"/>
          <w:szCs w:val="28"/>
          <w:lang w:val="en-US" w:eastAsia="zh-CN"/>
        </w:rPr>
        <w:t>.......................14</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第三部分 名词解释</w:t>
      </w:r>
      <w:r>
        <w:rPr>
          <w:rFonts w:hint="eastAsia" w:asciiTheme="minorEastAsia" w:hAnsiTheme="minorEastAsia" w:eastAsiaTheme="minorEastAsia" w:cstheme="minorEastAsia"/>
          <w:color w:val="auto"/>
          <w:sz w:val="28"/>
          <w:szCs w:val="28"/>
          <w:lang w:val="en-US" w:eastAsia="zh-CN"/>
        </w:rPr>
        <w:t>...................................16</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第四部分 附件</w:t>
      </w:r>
      <w:r>
        <w:rPr>
          <w:rFonts w:hint="eastAsia" w:asciiTheme="minorEastAsia" w:hAnsiTheme="minorEastAsia" w:eastAsiaTheme="minorEastAsia" w:cstheme="minorEastAsia"/>
          <w:color w:val="auto"/>
          <w:sz w:val="28"/>
          <w:szCs w:val="28"/>
          <w:lang w:val="en-US" w:eastAsia="zh-CN"/>
        </w:rPr>
        <w:t>.......................................18</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rPr>
        <w:t>第五部分 附表</w:t>
      </w:r>
      <w:r>
        <w:rPr>
          <w:rFonts w:hint="eastAsia" w:asciiTheme="minorEastAsia" w:hAnsiTheme="minorEastAsia" w:eastAsiaTheme="minorEastAsia" w:cstheme="minorEastAsia"/>
          <w:color w:val="auto"/>
          <w:sz w:val="28"/>
          <w:szCs w:val="28"/>
          <w:lang w:val="en-US" w:eastAsia="zh-CN"/>
        </w:rPr>
        <w:t>.......................................43</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一、收入支出决算总表</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二、收入决算表</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三、支出决算表</w:t>
      </w:r>
      <w:r>
        <w:rPr>
          <w:rFonts w:hint="eastAsia" w:asciiTheme="minorEastAsia" w:hAnsiTheme="minorEastAsia" w:eastAsiaTheme="minorEastAsia" w:cstheme="minorEastAsia"/>
          <w:color w:val="auto"/>
          <w:sz w:val="28"/>
          <w:szCs w:val="28"/>
          <w:lang w:val="en-US" w:eastAsia="zh-CN"/>
        </w:rPr>
        <w:t xml:space="preserve"> </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四、财政拨款收入支出决算总表</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五、财政拨款支出决算明细表</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六、一般公共预算财政拨款支出决算表</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七、一般公共预算财政拨款支出决算明细表</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八、一般公共预算财政拨款基本支出决算明细表</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九、一般公共预算财政拨款项目支出决算表</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十、政府性基金预算财政拨款收入支出决算表</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十一、国有资本经营预算财政拨款收入支出决算表</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十二、国有资本经营预算财政拨款支出决算表</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3168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十三、财政拨款“三公”经费支出决算表</w:t>
      </w:r>
    </w:p>
    <w:p>
      <w:pPr>
        <w:widowControl/>
        <w:spacing w:line="440" w:lineRule="exact"/>
        <w:jc w:val="left"/>
        <w:rPr>
          <w:rFonts w:hint="eastAsia" w:asciiTheme="minorEastAsia" w:hAnsiTheme="minorEastAsia" w:eastAsiaTheme="minorEastAsia" w:cstheme="minorEastAsia"/>
          <w:bCs/>
          <w:color w:val="auto"/>
          <w:kern w:val="44"/>
          <w:sz w:val="24"/>
        </w:rPr>
      </w:pPr>
      <w:bookmarkStart w:id="12" w:name="_Toc15377196"/>
      <w:bookmarkStart w:id="13" w:name="_Toc15396599"/>
    </w:p>
    <w:p>
      <w:pPr>
        <w:pStyle w:val="2"/>
        <w:rPr>
          <w:rFonts w:hint="eastAsia" w:asciiTheme="minorEastAsia" w:hAnsiTheme="minorEastAsia" w:eastAsiaTheme="minorEastAsia" w:cstheme="minorEastAsia"/>
          <w:bCs/>
          <w:color w:val="auto"/>
          <w:kern w:val="44"/>
          <w:sz w:val="24"/>
        </w:rPr>
      </w:pPr>
    </w:p>
    <w:p>
      <w:pPr>
        <w:rPr>
          <w:rFonts w:hint="eastAsia" w:asciiTheme="minorEastAsia" w:hAnsiTheme="minorEastAsia" w:eastAsiaTheme="minorEastAsia" w:cstheme="minorEastAsia"/>
          <w:bCs/>
          <w:color w:val="auto"/>
          <w:kern w:val="44"/>
          <w:sz w:val="24"/>
        </w:rPr>
      </w:pPr>
    </w:p>
    <w:p>
      <w:pPr>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2"/>
        <w:ind w:left="0" w:leftChars="0" w:firstLine="0" w:firstLineChars="0"/>
        <w:rPr>
          <w:rFonts w:hint="eastAsia"/>
        </w:rPr>
      </w:pPr>
    </w:p>
    <w:p>
      <w:pPr>
        <w:pStyle w:val="4"/>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color w:val="auto"/>
        </w:rPr>
        <w:t xml:space="preserve">第一部分 </w:t>
      </w:r>
      <w:r>
        <w:rPr>
          <w:rStyle w:val="18"/>
          <w:rFonts w:hint="eastAsia" w:asciiTheme="minorEastAsia" w:hAnsiTheme="minorEastAsia" w:eastAsiaTheme="minorEastAsia" w:cstheme="minorEastAsia"/>
          <w:b w:val="0"/>
          <w:bCs w:val="0"/>
          <w:color w:val="auto"/>
        </w:rPr>
        <w:t>部门概况</w:t>
      </w:r>
      <w:bookmarkEnd w:id="12"/>
      <w:bookmarkEnd w:id="13"/>
    </w:p>
    <w:p>
      <w:pPr>
        <w:pStyle w:val="5"/>
        <w:numPr>
          <w:ilvl w:val="0"/>
          <w:numId w:val="1"/>
        </w:numPr>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部门职责</w:t>
      </w:r>
    </w:p>
    <w:p>
      <w:pPr>
        <w:spacing w:line="58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拟订全区财税发展战略、规划、政策和改革方案并组织实施。分析预测宏观经济形势，参与制定宏观经济政策，提出运用财税政策实施宏观调控和综合平衡社会财力的建议。拟定有关的分配政策，完善鼓励公益事业发展的财税政策。负责公共服务领域政府和社会资本合作工作。</w:t>
      </w:r>
    </w:p>
    <w:p>
      <w:pPr>
        <w:spacing w:line="58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（二）贯彻执行财政、税收、财务、会计管理的法律法规和规章。参与起草财政、税收、财务、会计管理方面的地方性法律和规章，并指导、监督执行。按照管理权限管理全区税政事项。</w:t>
      </w:r>
    </w:p>
    <w:p>
      <w:pPr>
        <w:spacing w:line="58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负责管理各项财政收支。编制年度区级预决算草案并组织执行。组织制定经费开支标准、定额，审核批复部门（单位）年度预决算。受区政府委托，向区人大及其常委会报告全区财政预算、执行和决算情况。负责政府投资基金财政出资的资产管理。负责预决算公开。负责全面实施预算绩效管理。</w:t>
      </w:r>
    </w:p>
    <w:p>
      <w:pPr>
        <w:spacing w:line="58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按分工负责政府非税收入管理。负责政府性基金管理，按规定管理行政事业性收费等其他非税收入。管理财政票据。制定彩票管理政策和有关办法，监管彩票市场，按规定管理彩票资金。协助履行住房公积金的行政监督职能。</w:t>
      </w:r>
    </w:p>
    <w:p>
      <w:pPr>
        <w:spacing w:line="58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（五）组织制定全区国库管理制度、国库集中收付制度，指导和监督国库业务，开展国库现金管理工作。贯彻执行政府财务报告编制办法并组织实施。贯彻执行政府采购政策，负责制定政府采购制度并监督管理。</w:t>
      </w:r>
    </w:p>
    <w:p>
      <w:pPr>
        <w:spacing w:line="58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（六）贯彻执行地方政府债务管理制度和政策，制定具体管理办法，编制地方政府债余额限额计划，统一管理政府外债，防范财政风险。</w:t>
      </w:r>
    </w:p>
    <w:p>
      <w:pPr>
        <w:spacing w:line="58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牵头编制全区国有资产管理情况报告。根据区政府授权，集中统一履行区级国有金融资本出资人职责。制定区级国有金融资本管理制度。拟订全区行政事业单位国有资产管理制度规定并组织实施。制定需要全区统一规定的开支标准和支出政策。</w:t>
      </w:r>
    </w:p>
    <w:p>
      <w:pPr>
        <w:spacing w:line="58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负责审核并汇总编制全区国有资本经营预决算草案。制订国有资本经营预算制度和办法，收取区本级企业国有资本收益。组织实施企业财务制度，负责财政预算内行政事业单位和社会团体的非贸易外汇和财政预算内的国际收支管理。</w:t>
      </w:r>
    </w:p>
    <w:p>
      <w:pPr>
        <w:spacing w:line="58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（九）负责审核并汇总编制全区社会保险基金预决算草案，会同有关部门拟订有关资金（基金）的财务管理制度，承担社会保险基金财政监管工作。</w:t>
      </w:r>
    </w:p>
    <w:p>
      <w:pPr>
        <w:spacing w:line="58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（十）负责办理和监督区级财政的经济发展支出、区级政府性投资项目的财政拨款，负责投资评审管理工作，参与拟订区级基建投资有关政策，制定基建财务管理制度。</w:t>
      </w:r>
    </w:p>
    <w:p>
      <w:pPr>
        <w:spacing w:line="58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（十一）管理外国政府和国际金融机构贷（赠）款项目的有关业务，参与财经领域的国际交流合作。</w:t>
      </w:r>
    </w:p>
    <w:p>
      <w:pPr>
        <w:spacing w:line="58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（十二）负责管理全区会计工作，监督和规范会计行为，组织实施国家统一的会计制度。</w:t>
      </w:r>
    </w:p>
    <w:p>
      <w:pPr>
        <w:spacing w:line="58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（十三）负责职责范围内的安全生产和职业健康、生态环境保护、审批服务便民化等工作。</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（十四）完成区委、区政府交办的其他任务。</w:t>
      </w:r>
    </w:p>
    <w:p>
      <w:pPr>
        <w:pStyle w:val="5"/>
        <w:rPr>
          <w:rStyle w:val="19"/>
          <w:rFonts w:hint="eastAsia" w:asciiTheme="minorEastAsia" w:hAnsiTheme="minorEastAsia" w:eastAsiaTheme="minorEastAsia" w:cstheme="minorEastAsia"/>
          <w:b/>
          <w:bCs w:val="0"/>
          <w:color w:val="auto"/>
          <w:sz w:val="28"/>
          <w:szCs w:val="28"/>
        </w:rPr>
      </w:pPr>
      <w:bookmarkStart w:id="14" w:name="_Toc15377200"/>
      <w:bookmarkStart w:id="15" w:name="_Toc15396601"/>
      <w:r>
        <w:rPr>
          <w:rFonts w:hint="eastAsia" w:asciiTheme="minorEastAsia" w:hAnsiTheme="minorEastAsia" w:eastAsiaTheme="minorEastAsia" w:cstheme="minorEastAsia"/>
          <w:b/>
          <w:bCs w:val="0"/>
          <w:color w:val="auto"/>
          <w:sz w:val="28"/>
          <w:szCs w:val="28"/>
        </w:rPr>
        <w:t>二、机</w:t>
      </w:r>
      <w:r>
        <w:rPr>
          <w:rStyle w:val="19"/>
          <w:rFonts w:hint="eastAsia" w:asciiTheme="minorEastAsia" w:hAnsiTheme="minorEastAsia" w:eastAsiaTheme="minorEastAsia" w:cstheme="minorEastAsia"/>
          <w:b/>
          <w:bCs w:val="0"/>
          <w:color w:val="auto"/>
          <w:sz w:val="28"/>
          <w:szCs w:val="28"/>
        </w:rPr>
        <w:t>构设置</w:t>
      </w:r>
      <w:bookmarkEnd w:id="14"/>
      <w:bookmarkEnd w:id="15"/>
    </w:p>
    <w:p>
      <w:pPr>
        <w:pStyle w:val="7"/>
        <w:spacing w:before="93"/>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广元市利州区财政局下属二级单位4个，其中行政单位0个，参照公务员法管理的事业单位1个，其他事业单位3个。</w:t>
      </w:r>
    </w:p>
    <w:p>
      <w:pPr>
        <w:widowControl/>
        <w:jc w:val="left"/>
        <w:rPr>
          <w:rFonts w:hint="eastAsia" w:asciiTheme="minorEastAsia" w:hAnsiTheme="minorEastAsia" w:eastAsiaTheme="minorEastAsia" w:cstheme="minorEastAsia"/>
          <w:color w:val="auto"/>
          <w:kern w:val="0"/>
          <w:sz w:val="32"/>
          <w:szCs w:val="32"/>
        </w:rPr>
      </w:pPr>
    </w:p>
    <w:p>
      <w:pPr>
        <w:pStyle w:val="2"/>
        <w:rPr>
          <w:rFonts w:hint="eastAsia" w:asciiTheme="minorEastAsia" w:hAnsiTheme="minorEastAsia" w:eastAsiaTheme="minorEastAsia" w:cstheme="minorEastAsia"/>
          <w:color w:val="auto"/>
          <w:kern w:val="0"/>
          <w:sz w:val="32"/>
          <w:szCs w:val="32"/>
        </w:rPr>
      </w:pPr>
    </w:p>
    <w:p>
      <w:pPr>
        <w:rPr>
          <w:rFonts w:hint="eastAsia" w:asciiTheme="minorEastAsia" w:hAnsiTheme="minorEastAsia" w:eastAsiaTheme="minorEastAsia" w:cstheme="minorEastAsia"/>
          <w:color w:val="auto"/>
          <w:kern w:val="0"/>
          <w:sz w:val="32"/>
          <w:szCs w:val="32"/>
        </w:rPr>
      </w:pPr>
    </w:p>
    <w:p>
      <w:pPr>
        <w:pStyle w:val="2"/>
        <w:rPr>
          <w:rFonts w:hint="eastAsia" w:asciiTheme="minorEastAsia" w:hAnsiTheme="minorEastAsia" w:eastAsiaTheme="minorEastAsia" w:cstheme="minorEastAsia"/>
          <w:color w:val="auto"/>
          <w:kern w:val="0"/>
          <w:sz w:val="32"/>
          <w:szCs w:val="32"/>
        </w:rPr>
      </w:pPr>
    </w:p>
    <w:p>
      <w:pPr>
        <w:rPr>
          <w:rFonts w:hint="eastAsia" w:asciiTheme="minorEastAsia" w:hAnsiTheme="minorEastAsia" w:eastAsiaTheme="minorEastAsia" w:cstheme="minorEastAsia"/>
          <w:color w:val="auto"/>
          <w:kern w:val="0"/>
          <w:sz w:val="32"/>
          <w:szCs w:val="32"/>
        </w:rPr>
      </w:pPr>
    </w:p>
    <w:p>
      <w:pPr>
        <w:pStyle w:val="2"/>
        <w:rPr>
          <w:rFonts w:hint="eastAsia" w:asciiTheme="minorEastAsia" w:hAnsiTheme="minorEastAsia" w:eastAsiaTheme="minorEastAsia" w:cstheme="minorEastAsia"/>
          <w:color w:val="auto"/>
          <w:kern w:val="0"/>
          <w:sz w:val="32"/>
          <w:szCs w:val="32"/>
        </w:rPr>
      </w:pPr>
    </w:p>
    <w:p>
      <w:pPr>
        <w:rPr>
          <w:rFonts w:hint="eastAsia" w:asciiTheme="minorEastAsia" w:hAnsiTheme="minorEastAsia" w:eastAsiaTheme="minorEastAsia" w:cstheme="minorEastAsia"/>
          <w:color w:val="auto"/>
          <w:kern w:val="0"/>
          <w:sz w:val="32"/>
          <w:szCs w:val="32"/>
        </w:rPr>
      </w:pPr>
    </w:p>
    <w:p>
      <w:pPr>
        <w:pStyle w:val="2"/>
        <w:rPr>
          <w:rFonts w:hint="eastAsia" w:asciiTheme="minorEastAsia" w:hAnsiTheme="minorEastAsia" w:eastAsiaTheme="minorEastAsia" w:cstheme="minorEastAsia"/>
          <w:color w:val="auto"/>
          <w:kern w:val="0"/>
          <w:sz w:val="32"/>
          <w:szCs w:val="32"/>
        </w:rPr>
      </w:pPr>
    </w:p>
    <w:p>
      <w:pPr>
        <w:rPr>
          <w:rFonts w:hint="eastAsia" w:asciiTheme="minorEastAsia" w:hAnsiTheme="minorEastAsia" w:eastAsiaTheme="minorEastAsia" w:cstheme="minorEastAsia"/>
          <w:color w:val="auto"/>
          <w:kern w:val="0"/>
          <w:sz w:val="32"/>
          <w:szCs w:val="32"/>
        </w:rPr>
      </w:pPr>
    </w:p>
    <w:p>
      <w:pPr>
        <w:pStyle w:val="2"/>
        <w:rPr>
          <w:rFonts w:hint="eastAsia" w:asciiTheme="minorEastAsia" w:hAnsiTheme="minorEastAsia" w:eastAsiaTheme="minorEastAsia" w:cstheme="minorEastAsia"/>
          <w:color w:val="auto"/>
          <w:kern w:val="0"/>
          <w:sz w:val="32"/>
          <w:szCs w:val="32"/>
        </w:rPr>
      </w:pPr>
    </w:p>
    <w:p>
      <w:pPr>
        <w:rPr>
          <w:rFonts w:hint="eastAsia" w:asciiTheme="minorEastAsia" w:hAnsiTheme="minorEastAsia" w:eastAsiaTheme="minorEastAsia" w:cstheme="minorEastAsia"/>
          <w:color w:val="auto"/>
          <w:kern w:val="0"/>
          <w:sz w:val="32"/>
          <w:szCs w:val="32"/>
        </w:rPr>
      </w:pPr>
    </w:p>
    <w:p>
      <w:pPr>
        <w:pStyle w:val="2"/>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2"/>
        <w:rPr>
          <w:rFonts w:hint="eastAsia"/>
        </w:rPr>
      </w:pPr>
    </w:p>
    <w:p>
      <w:pPr>
        <w:pStyle w:val="4"/>
        <w:ind w:right="440"/>
        <w:jc w:val="center"/>
        <w:rPr>
          <w:rStyle w:val="18"/>
          <w:rFonts w:hint="eastAsia" w:asciiTheme="minorEastAsia" w:hAnsiTheme="minorEastAsia" w:eastAsiaTheme="minorEastAsia" w:cstheme="minorEastAsia"/>
          <w:b w:val="0"/>
          <w:bCs/>
          <w:color w:val="auto"/>
        </w:rPr>
      </w:pPr>
      <w:bookmarkStart w:id="16" w:name="_Toc15396602"/>
      <w:bookmarkStart w:id="17" w:name="_Toc15377204"/>
      <w:r>
        <w:rPr>
          <w:rFonts w:hint="eastAsia" w:asciiTheme="minorEastAsia" w:hAnsiTheme="minorEastAsia" w:eastAsiaTheme="minorEastAsia" w:cstheme="minorEastAsia"/>
          <w:b w:val="0"/>
          <w:color w:val="auto"/>
        </w:rPr>
        <w:t>第二部分 2022年度</w:t>
      </w:r>
      <w:r>
        <w:rPr>
          <w:rStyle w:val="18"/>
          <w:rFonts w:hint="eastAsia" w:asciiTheme="minorEastAsia" w:hAnsiTheme="minorEastAsia" w:eastAsiaTheme="minorEastAsia" w:cstheme="minorEastAsia"/>
          <w:b w:val="0"/>
          <w:bCs/>
          <w:color w:val="auto"/>
        </w:rPr>
        <w:t>部门决算情况说明</w:t>
      </w:r>
      <w:bookmarkEnd w:id="16"/>
      <w:bookmarkEnd w:id="17"/>
    </w:p>
    <w:p>
      <w:pPr>
        <w:rPr>
          <w:rFonts w:hint="eastAsia" w:asciiTheme="minorEastAsia" w:hAnsiTheme="minorEastAsia" w:eastAsiaTheme="minorEastAsia" w:cstheme="minorEastAsia"/>
          <w:color w:val="auto"/>
        </w:rPr>
      </w:pPr>
    </w:p>
    <w:p>
      <w:pPr>
        <w:pStyle w:val="32"/>
        <w:numPr>
          <w:ilvl w:val="0"/>
          <w:numId w:val="2"/>
        </w:numPr>
        <w:spacing w:line="600" w:lineRule="exact"/>
        <w:ind w:firstLineChars="0"/>
        <w:outlineLvl w:val="1"/>
        <w:rPr>
          <w:rStyle w:val="19"/>
          <w:rFonts w:hint="eastAsia" w:asciiTheme="minorEastAsia" w:hAnsiTheme="minorEastAsia" w:eastAsiaTheme="minorEastAsia" w:cstheme="minorEastAsia"/>
          <w:b/>
          <w:bCs/>
          <w:color w:val="auto"/>
          <w:sz w:val="28"/>
          <w:szCs w:val="28"/>
        </w:rPr>
      </w:pPr>
      <w:bookmarkStart w:id="18" w:name="_Toc15377205"/>
      <w:bookmarkStart w:id="19" w:name="_Toc15396603"/>
      <w:r>
        <w:rPr>
          <w:rFonts w:hint="eastAsia" w:asciiTheme="minorEastAsia" w:hAnsiTheme="minorEastAsia" w:eastAsiaTheme="minorEastAsia" w:cstheme="minorEastAsia"/>
          <w:b/>
          <w:bCs/>
          <w:color w:val="auto"/>
          <w:sz w:val="28"/>
          <w:szCs w:val="28"/>
        </w:rPr>
        <w:t>收</w:t>
      </w:r>
      <w:r>
        <w:rPr>
          <w:rStyle w:val="19"/>
          <w:rFonts w:hint="eastAsia" w:asciiTheme="minorEastAsia" w:hAnsiTheme="minorEastAsia" w:eastAsiaTheme="minorEastAsia" w:cstheme="minorEastAsia"/>
          <w:b/>
          <w:bCs/>
          <w:color w:val="auto"/>
          <w:sz w:val="28"/>
          <w:szCs w:val="28"/>
        </w:rPr>
        <w:t>入支出决算总体情况说明</w:t>
      </w:r>
      <w:bookmarkEnd w:id="18"/>
      <w:bookmarkEnd w:id="19"/>
    </w:p>
    <w:p>
      <w:pPr>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2022年度收、支总计2099.69万元。与2021年相比，收、支总计各减少411.28万元，下降16.38%。主要变动原因是按政策规定压减项目支出。</w:t>
      </w:r>
    </w:p>
    <w:p>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object>
          <v:shape id="_x0000_i1025" o:spt="75" type="#_x0000_t75" style="height:155.7pt;width:394.5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pPr>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（图1：收、支决算总计变动情况图）</w:t>
      </w:r>
    </w:p>
    <w:p>
      <w:pPr>
        <w:pStyle w:val="32"/>
        <w:numPr>
          <w:ilvl w:val="0"/>
          <w:numId w:val="0"/>
        </w:numPr>
        <w:spacing w:line="600" w:lineRule="exact"/>
        <w:ind w:left="640" w:leftChars="0"/>
        <w:outlineLvl w:val="1"/>
        <w:rPr>
          <w:rStyle w:val="19"/>
          <w:rFonts w:hint="eastAsia" w:asciiTheme="minorEastAsia" w:hAnsiTheme="minorEastAsia" w:eastAsiaTheme="minorEastAsia" w:cstheme="minorEastAsia"/>
          <w:b/>
          <w:bCs/>
          <w:color w:val="auto"/>
          <w:sz w:val="28"/>
          <w:szCs w:val="28"/>
        </w:rPr>
      </w:pPr>
      <w:bookmarkStart w:id="20" w:name="_Toc15377206"/>
      <w:bookmarkStart w:id="21" w:name="_Toc15396604"/>
      <w:r>
        <w:rPr>
          <w:rFonts w:hint="eastAsia" w:asciiTheme="minorEastAsia" w:hAnsiTheme="minorEastAsia" w:eastAsiaTheme="minorEastAsia" w:cstheme="minorEastAsia"/>
          <w:b/>
          <w:bCs/>
          <w:color w:val="auto"/>
          <w:sz w:val="28"/>
          <w:szCs w:val="28"/>
          <w:lang w:eastAsia="zh-CN"/>
        </w:rPr>
        <w:t>二、</w:t>
      </w:r>
      <w:r>
        <w:rPr>
          <w:rFonts w:hint="eastAsia" w:asciiTheme="minorEastAsia" w:hAnsiTheme="minorEastAsia" w:eastAsiaTheme="minorEastAsia" w:cstheme="minorEastAsia"/>
          <w:b/>
          <w:bCs/>
          <w:color w:val="auto"/>
          <w:sz w:val="28"/>
          <w:szCs w:val="28"/>
        </w:rPr>
        <w:t>收</w:t>
      </w:r>
      <w:r>
        <w:rPr>
          <w:rStyle w:val="19"/>
          <w:rFonts w:hint="eastAsia" w:asciiTheme="minorEastAsia" w:hAnsiTheme="minorEastAsia" w:eastAsiaTheme="minorEastAsia" w:cstheme="minorEastAsia"/>
          <w:b/>
          <w:bCs/>
          <w:color w:val="auto"/>
          <w:sz w:val="28"/>
          <w:szCs w:val="28"/>
        </w:rPr>
        <w:t>入决算情况说明</w:t>
      </w:r>
      <w:bookmarkEnd w:id="20"/>
      <w:bookmarkEnd w:id="21"/>
    </w:p>
    <w:p>
      <w:pPr>
        <w:spacing w:line="600" w:lineRule="exact"/>
        <w:ind w:firstLine="560" w:firstLineChars="200"/>
        <w:outlineLvl w:val="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2022年本年收入合计</w:t>
      </w:r>
      <w:r>
        <w:rPr>
          <w:rFonts w:hint="eastAsia" w:asciiTheme="minorEastAsia" w:hAnsiTheme="minorEastAsia" w:eastAsiaTheme="minorEastAsia" w:cstheme="minorEastAsia"/>
          <w:color w:val="auto"/>
          <w:sz w:val="28"/>
          <w:szCs w:val="28"/>
          <w:lang w:val="en-US" w:eastAsia="zh-CN"/>
        </w:rPr>
        <w:t>1650.92</w:t>
      </w:r>
      <w:r>
        <w:rPr>
          <w:rFonts w:hint="eastAsia" w:asciiTheme="minorEastAsia" w:hAnsiTheme="minorEastAsia" w:eastAsiaTheme="minorEastAsia" w:cstheme="minorEastAsia"/>
          <w:color w:val="auto"/>
          <w:sz w:val="28"/>
          <w:szCs w:val="28"/>
        </w:rPr>
        <w:t>万元，其中：一般公共预算财政拨款收入</w:t>
      </w:r>
      <w:r>
        <w:rPr>
          <w:rFonts w:hint="eastAsia" w:asciiTheme="minorEastAsia" w:hAnsiTheme="minorEastAsia" w:eastAsiaTheme="minorEastAsia" w:cstheme="minorEastAsia"/>
          <w:color w:val="auto"/>
          <w:sz w:val="28"/>
          <w:szCs w:val="28"/>
          <w:lang w:val="en-US" w:eastAsia="zh-CN"/>
        </w:rPr>
        <w:t>1650.89</w:t>
      </w:r>
      <w:r>
        <w:rPr>
          <w:rFonts w:hint="eastAsia" w:asciiTheme="minorEastAsia" w:hAnsiTheme="minorEastAsia" w:eastAsiaTheme="minorEastAsia" w:cstheme="minorEastAsia"/>
          <w:color w:val="auto"/>
          <w:sz w:val="28"/>
          <w:szCs w:val="28"/>
        </w:rPr>
        <w:t>万元，占99.999%；其他收入0.03万元，占0.001%。</w:t>
      </w:r>
    </w:p>
    <w:p>
      <w:pPr>
        <w:spacing w:line="600" w:lineRule="exact"/>
        <w:ind w:firstLine="562" w:firstLineChars="200"/>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（注：数据来源于财决01表。）</w:t>
      </w:r>
    </w:p>
    <w:p>
      <w:pPr>
        <w:ind w:firstLine="640" w:firstLineChars="200"/>
        <w:outlineLvl w:val="1"/>
        <w:rPr>
          <w:rFonts w:hint="eastAsia" w:asciiTheme="minorEastAsia" w:hAnsiTheme="minorEastAsia" w:eastAsiaTheme="minorEastAsia" w:cstheme="minorEastAsia"/>
          <w:color w:val="auto"/>
          <w:sz w:val="32"/>
          <w:szCs w:val="32"/>
        </w:rPr>
      </w:pPr>
    </w:p>
    <w:p>
      <w:pPr>
        <w:pStyle w:val="36"/>
        <w:ind w:left="0" w:leftChars="0"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2"/>
          <w:szCs w:val="32"/>
        </w:rPr>
        <w:object>
          <v:shape id="_x0000_i1026" o:spt="75" type="#_x0000_t75" style="height:205.7pt;width:358.65pt;" o:ole="t" filled="f" o:preferrelative="t"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p>
    <w:p>
      <w:pPr>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（图2：收入决算结构图）</w:t>
      </w:r>
    </w:p>
    <w:p>
      <w:pPr>
        <w:pStyle w:val="32"/>
        <w:numPr>
          <w:ilvl w:val="0"/>
          <w:numId w:val="0"/>
        </w:numPr>
        <w:tabs>
          <w:tab w:val="left" w:pos="757"/>
        </w:tabs>
        <w:spacing w:line="600" w:lineRule="exact"/>
        <w:ind w:left="640" w:leftChars="0"/>
        <w:outlineLvl w:val="1"/>
        <w:rPr>
          <w:rStyle w:val="19"/>
          <w:rFonts w:hint="eastAsia" w:asciiTheme="minorEastAsia" w:hAnsiTheme="minorEastAsia" w:eastAsiaTheme="minorEastAsia" w:cstheme="minorEastAsia"/>
          <w:b/>
          <w:bCs/>
          <w:color w:val="auto"/>
          <w:sz w:val="28"/>
          <w:szCs w:val="28"/>
        </w:rPr>
      </w:pPr>
      <w:bookmarkStart w:id="22" w:name="_Toc15377207"/>
      <w:bookmarkStart w:id="23" w:name="_Toc15396605"/>
      <w:r>
        <w:rPr>
          <w:rFonts w:hint="eastAsia" w:asciiTheme="minorEastAsia" w:hAnsiTheme="minorEastAsia" w:eastAsiaTheme="minorEastAsia" w:cstheme="minorEastAsia"/>
          <w:b/>
          <w:bCs/>
          <w:color w:val="auto"/>
          <w:sz w:val="28"/>
          <w:szCs w:val="28"/>
          <w:lang w:eastAsia="zh-CN"/>
        </w:rPr>
        <w:t>三、</w:t>
      </w:r>
      <w:r>
        <w:rPr>
          <w:rFonts w:hint="eastAsia" w:asciiTheme="minorEastAsia" w:hAnsiTheme="minorEastAsia" w:eastAsiaTheme="minorEastAsia" w:cstheme="minorEastAsia"/>
          <w:b/>
          <w:bCs/>
          <w:color w:val="auto"/>
          <w:sz w:val="28"/>
          <w:szCs w:val="28"/>
        </w:rPr>
        <w:t>支</w:t>
      </w:r>
      <w:r>
        <w:rPr>
          <w:rStyle w:val="19"/>
          <w:rFonts w:hint="eastAsia" w:asciiTheme="minorEastAsia" w:hAnsiTheme="minorEastAsia" w:eastAsiaTheme="minorEastAsia" w:cstheme="minorEastAsia"/>
          <w:b/>
          <w:bCs/>
          <w:color w:val="auto"/>
          <w:sz w:val="28"/>
          <w:szCs w:val="28"/>
        </w:rPr>
        <w:t>出决算情况说明</w:t>
      </w:r>
      <w:bookmarkEnd w:id="22"/>
      <w:bookmarkEnd w:id="23"/>
    </w:p>
    <w:p>
      <w:pPr>
        <w:spacing w:line="600" w:lineRule="exact"/>
        <w:ind w:firstLine="560" w:firstLineChars="200"/>
        <w:outlineLvl w:val="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2022年本年支出合计2099.69万元，其中：基本支出1017.87万元，占48.48%；项目支出1081.78万元，占51.52%。</w:t>
      </w:r>
    </w:p>
    <w:p>
      <w:pPr>
        <w:spacing w:line="600" w:lineRule="exact"/>
        <w:ind w:firstLine="562" w:firstLineChars="200"/>
        <w:outlineLvl w:val="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（注：数据来源于财决04表）</w:t>
      </w:r>
    </w:p>
    <w:p>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object>
          <v:shape id="_x0000_i1027" o:spt="75" type="#_x0000_t75" style="height:195pt;width:402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rPr>
          <w:rFonts w:hint="eastAsia" w:asciiTheme="minorEastAsia" w:hAnsiTheme="minorEastAsia" w:eastAsiaTheme="minorEastAsia" w:cstheme="minorEastAsia"/>
          <w:color w:val="auto"/>
        </w:rPr>
      </w:pPr>
    </w:p>
    <w:p>
      <w:pPr>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（图3：支出决算结构图）</w:t>
      </w:r>
    </w:p>
    <w:p>
      <w:pPr>
        <w:spacing w:line="600" w:lineRule="exact"/>
        <w:ind w:firstLine="562" w:firstLineChars="200"/>
        <w:outlineLvl w:val="1"/>
        <w:rPr>
          <w:rStyle w:val="19"/>
          <w:rFonts w:hint="eastAsia" w:asciiTheme="minorEastAsia" w:hAnsiTheme="minorEastAsia" w:eastAsiaTheme="minorEastAsia" w:cstheme="minorEastAsia"/>
          <w:b/>
          <w:bCs/>
          <w:color w:val="auto"/>
          <w:sz w:val="28"/>
          <w:szCs w:val="28"/>
        </w:rPr>
      </w:pPr>
      <w:bookmarkStart w:id="24" w:name="_Toc15396606"/>
      <w:bookmarkStart w:id="25" w:name="_Toc15377208"/>
      <w:r>
        <w:rPr>
          <w:rFonts w:hint="eastAsia" w:asciiTheme="minorEastAsia" w:hAnsiTheme="minorEastAsia" w:eastAsiaTheme="minorEastAsia" w:cstheme="minorEastAsia"/>
          <w:b/>
          <w:bCs/>
          <w:color w:val="auto"/>
          <w:sz w:val="28"/>
          <w:szCs w:val="28"/>
        </w:rPr>
        <w:t>四、财</w:t>
      </w:r>
      <w:r>
        <w:rPr>
          <w:rStyle w:val="19"/>
          <w:rFonts w:hint="eastAsia" w:asciiTheme="minorEastAsia" w:hAnsiTheme="minorEastAsia" w:eastAsiaTheme="minorEastAsia" w:cstheme="minorEastAsia"/>
          <w:b/>
          <w:bCs/>
          <w:color w:val="auto"/>
          <w:sz w:val="28"/>
          <w:szCs w:val="28"/>
        </w:rPr>
        <w:t>政拨款收入支出决算总体情况说明</w:t>
      </w:r>
      <w:bookmarkEnd w:id="24"/>
      <w:bookmarkEnd w:id="25"/>
    </w:p>
    <w:p>
      <w:pPr>
        <w:spacing w:line="600" w:lineRule="exact"/>
        <w:ind w:firstLine="6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2022年财政拨款收、支总计2099.65万元。与2021年相比，财政拨款收、支总计各减少411.32万元，下降16.38%。主要变动原因是按政策规定压减项目支出。</w:t>
      </w:r>
    </w:p>
    <w:p>
      <w:pPr>
        <w:spacing w:line="600" w:lineRule="exact"/>
        <w:ind w:firstLine="64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（注：数据来源于财决01-1表）</w:t>
      </w:r>
    </w:p>
    <w:p>
      <w:pPr>
        <w:spacing w:line="600" w:lineRule="exact"/>
        <w:rPr>
          <w:rFonts w:hint="eastAsia" w:asciiTheme="minorEastAsia" w:hAnsiTheme="minorEastAsia" w:eastAsiaTheme="minorEastAsia" w:cstheme="minorEastAsia"/>
          <w:color w:val="auto"/>
          <w:sz w:val="32"/>
          <w:szCs w:val="32"/>
        </w:rPr>
      </w:pPr>
    </w:p>
    <w:p>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object>
          <v:shape id="_x0000_i1028" o:spt="75" type="#_x0000_t75" style="height:174.5pt;width:387.5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pStyle w:val="2"/>
        <w:ind w:left="31680" w:firstLine="31680"/>
        <w:rPr>
          <w:rFonts w:hint="eastAsia" w:asciiTheme="minorEastAsia" w:hAnsiTheme="minorEastAsia" w:eastAsiaTheme="minorEastAsia" w:cstheme="minorEastAsia"/>
          <w:color w:val="auto"/>
        </w:rPr>
      </w:pPr>
    </w:p>
    <w:p>
      <w:pPr>
        <w:spacing w:line="600" w:lineRule="exact"/>
        <w:ind w:firstLine="560"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28"/>
        </w:rPr>
        <w:t>（图4：财政拨款收、支决算总计变动情况）</w:t>
      </w:r>
    </w:p>
    <w:p>
      <w:pPr>
        <w:spacing w:line="600" w:lineRule="exact"/>
        <w:ind w:firstLine="562" w:firstLineChars="200"/>
        <w:outlineLvl w:val="1"/>
        <w:rPr>
          <w:rStyle w:val="19"/>
          <w:rFonts w:hint="eastAsia" w:asciiTheme="minorEastAsia" w:hAnsiTheme="minorEastAsia" w:eastAsiaTheme="minorEastAsia" w:cstheme="minorEastAsia"/>
          <w:b/>
          <w:bCs/>
          <w:color w:val="auto"/>
          <w:sz w:val="28"/>
          <w:szCs w:val="28"/>
        </w:rPr>
      </w:pPr>
      <w:bookmarkStart w:id="26" w:name="_Toc15377209"/>
      <w:bookmarkStart w:id="27" w:name="_Toc15396607"/>
      <w:r>
        <w:rPr>
          <w:rFonts w:hint="eastAsia" w:asciiTheme="minorEastAsia" w:hAnsiTheme="minorEastAsia" w:eastAsiaTheme="minorEastAsia" w:cstheme="minorEastAsia"/>
          <w:b/>
          <w:bCs/>
          <w:color w:val="auto"/>
          <w:sz w:val="28"/>
          <w:szCs w:val="28"/>
        </w:rPr>
        <w:t>五、一</w:t>
      </w:r>
      <w:r>
        <w:rPr>
          <w:rStyle w:val="19"/>
          <w:rFonts w:hint="eastAsia" w:asciiTheme="minorEastAsia" w:hAnsiTheme="minorEastAsia" w:eastAsiaTheme="minorEastAsia" w:cstheme="minorEastAsia"/>
          <w:b/>
          <w:bCs/>
          <w:color w:val="auto"/>
          <w:sz w:val="28"/>
          <w:szCs w:val="28"/>
        </w:rPr>
        <w:t>般公共预算财政拨款支出决算情况说明</w:t>
      </w:r>
      <w:bookmarkEnd w:id="26"/>
      <w:bookmarkEnd w:id="27"/>
    </w:p>
    <w:p>
      <w:pPr>
        <w:spacing w:line="600" w:lineRule="exact"/>
        <w:ind w:firstLine="562" w:firstLineChars="200"/>
        <w:outlineLvl w:val="2"/>
        <w:rPr>
          <w:rFonts w:hint="eastAsia" w:asciiTheme="minorEastAsia" w:hAnsiTheme="minorEastAsia" w:eastAsiaTheme="minorEastAsia" w:cstheme="minorEastAsia"/>
          <w:b/>
          <w:color w:val="auto"/>
          <w:sz w:val="28"/>
          <w:szCs w:val="28"/>
        </w:rPr>
      </w:pPr>
      <w:bookmarkStart w:id="28" w:name="_Toc15377210"/>
      <w:r>
        <w:rPr>
          <w:rFonts w:hint="eastAsia" w:asciiTheme="minorEastAsia" w:hAnsiTheme="minorEastAsia" w:eastAsiaTheme="minorEastAsia" w:cstheme="minorEastAsia"/>
          <w:b/>
          <w:color w:val="auto"/>
          <w:sz w:val="28"/>
          <w:szCs w:val="28"/>
        </w:rPr>
        <w:t>（一）一般公共预算财政拨款支出决算总体情况</w:t>
      </w:r>
      <w:bookmarkEnd w:id="28"/>
    </w:p>
    <w:p>
      <w:pPr>
        <w:spacing w:line="600" w:lineRule="exact"/>
        <w:ind w:firstLine="56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8"/>
          <w:szCs w:val="28"/>
        </w:rPr>
        <w:t>2022年一般公共预算财政拨款支出2099.65万元，占本年支出合计的99.999%。与2021年相比，一般公共预算财政拨款支出减少411.32万元，下降16.38%。主要变动原因是按政策规定压减项目支出。</w:t>
      </w:r>
    </w:p>
    <w:p>
      <w:pPr>
        <w:pStyle w:val="2"/>
        <w:ind w:left="0" w:leftChars="0" w:firstLine="0" w:firstLineChars="0"/>
        <w:rPr>
          <w:rFonts w:hint="eastAsia" w:asciiTheme="minorEastAsia" w:hAnsiTheme="minorEastAsia" w:eastAsiaTheme="minorEastAsia" w:cstheme="minorEastAsia"/>
          <w:color w:val="auto"/>
          <w:sz w:val="32"/>
        </w:rPr>
      </w:pPr>
    </w:p>
    <w:p>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object>
          <v:shape id="_x0000_i1029" o:spt="75" type="#_x0000_t75" style="height:182.35pt;width:394.5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rPr>
          <w:rFonts w:hint="eastAsia" w:asciiTheme="minorEastAsia" w:hAnsiTheme="minorEastAsia" w:eastAsiaTheme="minorEastAsia" w:cstheme="minorEastAsia"/>
          <w:color w:val="auto"/>
        </w:rPr>
      </w:pPr>
    </w:p>
    <w:p>
      <w:pPr>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（图5：一般公共预算财政拨款支出决算变动情况）</w:t>
      </w:r>
    </w:p>
    <w:p>
      <w:pPr>
        <w:spacing w:line="600" w:lineRule="exact"/>
        <w:ind w:firstLine="562" w:firstLineChars="200"/>
        <w:outlineLvl w:val="2"/>
        <w:rPr>
          <w:rFonts w:hint="eastAsia" w:asciiTheme="minorEastAsia" w:hAnsiTheme="minorEastAsia" w:eastAsiaTheme="minorEastAsia" w:cstheme="minorEastAsia"/>
          <w:b/>
          <w:color w:val="auto"/>
          <w:sz w:val="28"/>
          <w:szCs w:val="28"/>
        </w:rPr>
      </w:pPr>
      <w:bookmarkStart w:id="29" w:name="_Toc15377211"/>
      <w:r>
        <w:rPr>
          <w:rFonts w:hint="eastAsia" w:asciiTheme="minorEastAsia" w:hAnsiTheme="minorEastAsia" w:eastAsiaTheme="minorEastAsia" w:cstheme="minorEastAsia"/>
          <w:b/>
          <w:color w:val="auto"/>
          <w:sz w:val="28"/>
          <w:szCs w:val="28"/>
        </w:rPr>
        <w:t>（二）一般公共预算财政拨款支出决算结构情况</w:t>
      </w:r>
      <w:bookmarkEnd w:id="29"/>
    </w:p>
    <w:p>
      <w:pPr>
        <w:spacing w:line="600" w:lineRule="exact"/>
        <w:ind w:firstLine="6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2022年一般公共预算财政拨款支出2099.65万元，主要用于以下方面:一般公共服务支出1497.84万元，占71.34%；科学技术支出452.45万元，占21.55%；社会保障和就业支出67.07万元，占3.19%；卫生健康支出34.51万元，占1.64%；住房保障支出47.79万元，占2.28%。</w:t>
      </w:r>
    </w:p>
    <w:p>
      <w:pPr>
        <w:spacing w:line="600" w:lineRule="exact"/>
        <w:ind w:firstLine="64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（注：数据来源于财决01-1表）</w:t>
      </w:r>
    </w:p>
    <w:p>
      <w:pPr>
        <w:pStyle w:val="2"/>
        <w:ind w:left="0" w:leftChars="0" w:firstLine="0" w:firstLineChars="0"/>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2"/>
          <w:szCs w:val="32"/>
        </w:rPr>
        <w:object>
          <v:shape id="_x0000_i1030" o:spt="75" type="#_x0000_t75" style="height:195pt;width:402pt;" o:ole="t" filled="f" o:preferrelative="t" stroked="f" coordsize="21600,21600">
            <v:path/>
            <v:fill on="f" focussize="0,0"/>
            <v:stroke on="f"/>
            <v:imagedata r:id="rId17" o:title=""/>
            <o:lock v:ext="edit" aspectratio="t"/>
            <w10:wrap type="none"/>
            <w10:anchorlock/>
          </v:shape>
          <o:OLEObject Type="Embed" ProgID="Excel.Chart.8" ShapeID="_x0000_i1030" DrawAspect="Content" ObjectID="_1468075730" r:id="rId16">
            <o:LockedField>false</o:LockedField>
          </o:OLEObject>
        </w:object>
      </w:r>
    </w:p>
    <w:p>
      <w:pPr>
        <w:pStyle w:val="2"/>
        <w:ind w:left="0" w:leftChars="0" w:firstLine="0" w:firstLineChars="0"/>
        <w:rPr>
          <w:rFonts w:hint="eastAsia" w:asciiTheme="minorEastAsia" w:hAnsiTheme="minorEastAsia" w:eastAsiaTheme="minorEastAsia" w:cstheme="minorEastAsia"/>
          <w:color w:val="auto"/>
        </w:rPr>
      </w:pPr>
    </w:p>
    <w:p>
      <w:pPr>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（图6：一般公共预算财政拨款支出决算结构）</w:t>
      </w:r>
    </w:p>
    <w:p>
      <w:pPr>
        <w:spacing w:line="600" w:lineRule="exact"/>
        <w:ind w:firstLine="562" w:firstLineChars="200"/>
        <w:outlineLvl w:val="2"/>
        <w:rPr>
          <w:rFonts w:hint="eastAsia" w:asciiTheme="minorEastAsia" w:hAnsiTheme="minorEastAsia" w:eastAsiaTheme="minorEastAsia" w:cstheme="minorEastAsia"/>
          <w:b w:val="0"/>
          <w:bCs/>
          <w:color w:val="auto"/>
          <w:sz w:val="28"/>
          <w:szCs w:val="28"/>
        </w:rPr>
      </w:pPr>
      <w:bookmarkStart w:id="30" w:name="_Toc15377212"/>
      <w:r>
        <w:rPr>
          <w:rFonts w:hint="eastAsia" w:asciiTheme="minorEastAsia" w:hAnsiTheme="minorEastAsia" w:eastAsiaTheme="minorEastAsia" w:cstheme="minorEastAsia"/>
          <w:b/>
          <w:bCs w:val="0"/>
          <w:color w:val="auto"/>
          <w:sz w:val="28"/>
          <w:szCs w:val="28"/>
        </w:rPr>
        <w:t>（三）一般公共预算财政拨款支出决算具体情况</w:t>
      </w:r>
      <w:bookmarkEnd w:id="30"/>
    </w:p>
    <w:p>
      <w:pPr>
        <w:spacing w:line="600" w:lineRule="exact"/>
        <w:ind w:firstLine="560" w:firstLineChars="200"/>
        <w:outlineLvl w:val="2"/>
        <w:rPr>
          <w:rFonts w:hint="eastAsia" w:asciiTheme="minorEastAsia" w:hAnsiTheme="minorEastAsia" w:eastAsiaTheme="minorEastAsia" w:cstheme="minorEastAsia"/>
          <w:b w:val="0"/>
          <w:bCs/>
          <w:color w:val="auto"/>
          <w:sz w:val="28"/>
          <w:szCs w:val="28"/>
        </w:rPr>
      </w:pPr>
      <w:bookmarkStart w:id="31" w:name="_Toc15377213"/>
      <w:bookmarkStart w:id="32" w:name="_Toc15377444"/>
      <w:bookmarkStart w:id="33" w:name="_Toc15378460"/>
      <w:r>
        <w:rPr>
          <w:rFonts w:hint="eastAsia" w:asciiTheme="minorEastAsia" w:hAnsiTheme="minorEastAsia" w:eastAsiaTheme="minorEastAsia" w:cstheme="minorEastAsia"/>
          <w:b w:val="0"/>
          <w:bCs/>
          <w:color w:val="auto"/>
          <w:sz w:val="28"/>
          <w:szCs w:val="28"/>
        </w:rPr>
        <w:t>2022年一般公共预算支出决算数为2099.65</w:t>
      </w:r>
      <w:r>
        <w:rPr>
          <w:rFonts w:hint="eastAsia" w:asciiTheme="minorEastAsia" w:hAnsiTheme="minorEastAsia" w:eastAsiaTheme="minorEastAsia" w:cstheme="minorEastAsia"/>
          <w:b w:val="0"/>
          <w:bCs/>
          <w:color w:val="auto"/>
          <w:sz w:val="28"/>
          <w:szCs w:val="28"/>
          <w:highlight w:val="none"/>
          <w:lang w:eastAsia="zh-CN"/>
        </w:rPr>
        <w:t>万元</w:t>
      </w:r>
      <w:r>
        <w:rPr>
          <w:rFonts w:hint="eastAsia" w:asciiTheme="minorEastAsia" w:hAnsiTheme="minorEastAsia" w:eastAsiaTheme="minorEastAsia" w:cstheme="minorEastAsia"/>
          <w:b w:val="0"/>
          <w:bCs/>
          <w:color w:val="auto"/>
          <w:sz w:val="28"/>
          <w:szCs w:val="28"/>
          <w:highlight w:val="none"/>
        </w:rPr>
        <w:t>，</w:t>
      </w:r>
      <w:r>
        <w:rPr>
          <w:rStyle w:val="16"/>
          <w:rFonts w:hint="eastAsia" w:asciiTheme="minorEastAsia" w:hAnsiTheme="minorEastAsia" w:eastAsiaTheme="minorEastAsia" w:cstheme="minorEastAsia"/>
          <w:b w:val="0"/>
          <w:bCs/>
          <w:color w:val="auto"/>
          <w:sz w:val="28"/>
          <w:szCs w:val="28"/>
        </w:rPr>
        <w:t>完成预算100%。其中：</w:t>
      </w:r>
      <w:bookmarkEnd w:id="31"/>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Style w:val="16"/>
          <w:rFonts w:hint="eastAsia" w:asciiTheme="minorEastAsia" w:hAnsiTheme="minorEastAsia" w:eastAsiaTheme="minorEastAsia" w:cstheme="minorEastAsia"/>
          <w:b w:val="0"/>
          <w:bCs w:val="0"/>
          <w:color w:val="auto"/>
          <w:sz w:val="28"/>
          <w:szCs w:val="28"/>
        </w:rPr>
      </w:pPr>
      <w:r>
        <w:rPr>
          <w:rStyle w:val="16"/>
          <w:rFonts w:hint="eastAsia" w:asciiTheme="minorEastAsia" w:hAnsiTheme="minorEastAsia" w:eastAsiaTheme="minorEastAsia" w:cstheme="minorEastAsia"/>
          <w:b w:val="0"/>
          <w:bCs w:val="0"/>
          <w:color w:val="auto"/>
          <w:sz w:val="28"/>
          <w:szCs w:val="28"/>
          <w:lang w:val="en-US" w:eastAsia="zh-CN"/>
        </w:rPr>
        <w:t>1.</w:t>
      </w:r>
      <w:r>
        <w:rPr>
          <w:rStyle w:val="16"/>
          <w:rFonts w:hint="eastAsia" w:asciiTheme="minorEastAsia" w:hAnsiTheme="minorEastAsia" w:eastAsiaTheme="minorEastAsia" w:cstheme="minorEastAsia"/>
          <w:b w:val="0"/>
          <w:bCs w:val="0"/>
          <w:color w:val="auto"/>
          <w:sz w:val="28"/>
          <w:szCs w:val="28"/>
        </w:rPr>
        <w:t>一般公共服务（类）财政事务（款）行政运行（项）: 支出决算为675.76万元，完成预算100%；一般公共服务（类）财政事务（款）一般行政管理事务（项）:支出决算为</w:t>
      </w:r>
      <w:r>
        <w:rPr>
          <w:rStyle w:val="16"/>
          <w:rFonts w:hint="eastAsia" w:asciiTheme="minorEastAsia" w:hAnsiTheme="minorEastAsia" w:eastAsiaTheme="minorEastAsia" w:cstheme="minorEastAsia"/>
          <w:b w:val="0"/>
          <w:bCs w:val="0"/>
          <w:color w:val="auto"/>
          <w:sz w:val="28"/>
          <w:szCs w:val="28"/>
          <w:lang w:val="en-US" w:eastAsia="zh-CN"/>
        </w:rPr>
        <w:t>180.57</w:t>
      </w:r>
      <w:r>
        <w:rPr>
          <w:rStyle w:val="16"/>
          <w:rFonts w:hint="eastAsia" w:asciiTheme="minorEastAsia" w:hAnsiTheme="minorEastAsia" w:eastAsiaTheme="minorEastAsia" w:cstheme="minorEastAsia"/>
          <w:b w:val="0"/>
          <w:bCs w:val="0"/>
          <w:color w:val="auto"/>
          <w:sz w:val="28"/>
          <w:szCs w:val="28"/>
        </w:rPr>
        <w:t>万元，完成预算100%；一般公共服务（类）财政事务（款）事业运行（项）:支出决算数为192.75万元，完成预算100%；一般公共服务（类）财政事务（款）其他财政事务支出（项）:支出决算数为448.77万元，完成预算100%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560" w:firstLineChars="200"/>
        <w:jc w:val="both"/>
        <w:textAlignment w:val="auto"/>
        <w:outlineLvl w:val="9"/>
        <w:rPr>
          <w:rStyle w:val="16"/>
          <w:rFonts w:hint="eastAsia" w:asciiTheme="minorEastAsia" w:hAnsiTheme="minorEastAsia" w:eastAsiaTheme="minorEastAsia" w:cstheme="minorEastAsia"/>
          <w:b w:val="0"/>
          <w:bCs w:val="0"/>
          <w:color w:val="auto"/>
          <w:sz w:val="28"/>
          <w:szCs w:val="28"/>
          <w:lang w:eastAsia="zh-CN"/>
        </w:rPr>
      </w:pPr>
      <w:r>
        <w:rPr>
          <w:rStyle w:val="16"/>
          <w:rFonts w:hint="eastAsia" w:asciiTheme="minorEastAsia" w:hAnsiTheme="minorEastAsia" w:eastAsiaTheme="minorEastAsia" w:cstheme="minorEastAsia"/>
          <w:b w:val="0"/>
          <w:bCs w:val="0"/>
          <w:color w:val="auto"/>
          <w:sz w:val="28"/>
          <w:szCs w:val="28"/>
        </w:rPr>
        <w:t>2.</w:t>
      </w:r>
      <w:r>
        <w:rPr>
          <w:rStyle w:val="16"/>
          <w:rFonts w:hint="eastAsia" w:asciiTheme="minorEastAsia" w:hAnsiTheme="minorEastAsia" w:eastAsiaTheme="minorEastAsia" w:cstheme="minorEastAsia"/>
          <w:b w:val="0"/>
          <w:bCs w:val="0"/>
          <w:color w:val="auto"/>
          <w:sz w:val="28"/>
          <w:szCs w:val="28"/>
          <w:lang w:eastAsia="zh-CN"/>
        </w:rPr>
        <w:t>科学技术（类）科学技术管理事务</w:t>
      </w:r>
      <w:r>
        <w:rPr>
          <w:rStyle w:val="16"/>
          <w:rFonts w:hint="eastAsia" w:asciiTheme="minorEastAsia" w:hAnsiTheme="minorEastAsia" w:eastAsiaTheme="minorEastAsia" w:cstheme="minorEastAsia"/>
          <w:b w:val="0"/>
          <w:bCs w:val="0"/>
          <w:color w:val="auto"/>
          <w:sz w:val="28"/>
          <w:szCs w:val="28"/>
        </w:rPr>
        <w:t>（款）</w:t>
      </w:r>
      <w:r>
        <w:rPr>
          <w:rStyle w:val="16"/>
          <w:rFonts w:hint="eastAsia" w:asciiTheme="minorEastAsia" w:hAnsiTheme="minorEastAsia" w:eastAsiaTheme="minorEastAsia" w:cstheme="minorEastAsia"/>
          <w:b w:val="0"/>
          <w:bCs w:val="0"/>
          <w:color w:val="auto"/>
          <w:sz w:val="28"/>
          <w:szCs w:val="28"/>
          <w:lang w:eastAsia="zh-CN"/>
        </w:rPr>
        <w:t>一般行政管理事务</w:t>
      </w:r>
      <w:r>
        <w:rPr>
          <w:rStyle w:val="16"/>
          <w:rFonts w:hint="eastAsia" w:asciiTheme="minorEastAsia" w:hAnsiTheme="minorEastAsia" w:eastAsiaTheme="minorEastAsia" w:cstheme="minorEastAsia"/>
          <w:b w:val="0"/>
          <w:bCs w:val="0"/>
          <w:color w:val="auto"/>
          <w:sz w:val="28"/>
          <w:szCs w:val="28"/>
        </w:rPr>
        <w:t>（项）支出决算为</w:t>
      </w:r>
      <w:r>
        <w:rPr>
          <w:rStyle w:val="16"/>
          <w:rFonts w:hint="eastAsia" w:asciiTheme="minorEastAsia" w:hAnsiTheme="minorEastAsia" w:eastAsiaTheme="minorEastAsia" w:cstheme="minorEastAsia"/>
          <w:b w:val="0"/>
          <w:bCs w:val="0"/>
          <w:color w:val="auto"/>
          <w:sz w:val="28"/>
          <w:szCs w:val="28"/>
          <w:lang w:val="en-US" w:eastAsia="zh-CN"/>
        </w:rPr>
        <w:t>452.45</w:t>
      </w:r>
      <w:r>
        <w:rPr>
          <w:rStyle w:val="16"/>
          <w:rFonts w:hint="eastAsia" w:asciiTheme="minorEastAsia" w:hAnsiTheme="minorEastAsia" w:eastAsiaTheme="minorEastAsia" w:cstheme="minorEastAsia"/>
          <w:b w:val="0"/>
          <w:bCs w:val="0"/>
          <w:color w:val="auto"/>
          <w:sz w:val="28"/>
          <w:szCs w:val="28"/>
        </w:rPr>
        <w:t>万元，完成预算100%</w:t>
      </w:r>
      <w:r>
        <w:rPr>
          <w:rStyle w:val="16"/>
          <w:rFonts w:hint="eastAsia" w:asciiTheme="minorEastAsia" w:hAnsiTheme="minorEastAsia" w:eastAsiaTheme="minorEastAsia" w:cstheme="minorEastAsia"/>
          <w:b w:val="0"/>
          <w:bCs w:val="0"/>
          <w:color w:val="auto"/>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color w:val="auto"/>
          <w:sz w:val="28"/>
          <w:szCs w:val="28"/>
        </w:rPr>
      </w:pPr>
      <w:r>
        <w:rPr>
          <w:rStyle w:val="16"/>
          <w:rFonts w:hint="eastAsia" w:asciiTheme="minorEastAsia" w:hAnsiTheme="minorEastAsia" w:eastAsiaTheme="minorEastAsia" w:cstheme="minorEastAsia"/>
          <w:b w:val="0"/>
          <w:bCs w:val="0"/>
          <w:color w:val="auto"/>
          <w:sz w:val="28"/>
          <w:szCs w:val="28"/>
          <w:lang w:val="en-US" w:eastAsia="zh-CN"/>
        </w:rPr>
        <w:t>3</w:t>
      </w:r>
      <w:r>
        <w:rPr>
          <w:rStyle w:val="16"/>
          <w:rFonts w:hint="eastAsia" w:asciiTheme="minorEastAsia" w:hAnsiTheme="minorEastAsia" w:eastAsiaTheme="minorEastAsia" w:cstheme="minorEastAsia"/>
          <w:b w:val="0"/>
          <w:bCs w:val="0"/>
          <w:color w:val="auto"/>
          <w:sz w:val="28"/>
          <w:szCs w:val="28"/>
        </w:rPr>
        <w:t>.社会保障和就业（类）行政事业单位养老支出（款）机关事业单位基本养老保险缴费支出（项）: 支出决算为65.58万元，完成预算100%；</w:t>
      </w:r>
      <w:r>
        <w:rPr>
          <w:rStyle w:val="16"/>
          <w:rFonts w:hint="eastAsia" w:asciiTheme="minorEastAsia" w:hAnsiTheme="minorEastAsia" w:eastAsiaTheme="minorEastAsia" w:cstheme="minorEastAsia"/>
          <w:b w:val="0"/>
          <w:bCs w:val="0"/>
          <w:color w:val="auto"/>
          <w:sz w:val="28"/>
          <w:szCs w:val="28"/>
          <w:highlight w:val="none"/>
        </w:rPr>
        <w:t>社会保障和就业（类）其他社会保障和就业支出（款）其他社会保障和就业支出（项）</w:t>
      </w:r>
      <w:r>
        <w:rPr>
          <w:rStyle w:val="16"/>
          <w:rFonts w:hint="eastAsia" w:asciiTheme="minorEastAsia" w:hAnsiTheme="minorEastAsia" w:eastAsiaTheme="minorEastAsia" w:cstheme="minorEastAsia"/>
          <w:b w:val="0"/>
          <w:bCs w:val="0"/>
          <w:color w:val="auto"/>
          <w:sz w:val="28"/>
          <w:szCs w:val="28"/>
        </w:rPr>
        <w:t>:支出决算为1.49万元，完成预算100%。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Style w:val="16"/>
          <w:rFonts w:hint="eastAsia" w:asciiTheme="minorEastAsia" w:hAnsiTheme="minorEastAsia" w:eastAsiaTheme="minorEastAsia" w:cstheme="minorEastAsia"/>
          <w:b w:val="0"/>
          <w:bCs w:val="0"/>
          <w:color w:val="auto"/>
          <w:sz w:val="28"/>
          <w:szCs w:val="28"/>
        </w:rPr>
      </w:pPr>
      <w:r>
        <w:rPr>
          <w:rStyle w:val="16"/>
          <w:rFonts w:hint="eastAsia" w:asciiTheme="minorEastAsia" w:hAnsiTheme="minorEastAsia" w:eastAsiaTheme="minorEastAsia" w:cstheme="minorEastAsia"/>
          <w:b w:val="0"/>
          <w:bCs w:val="0"/>
          <w:color w:val="auto"/>
          <w:sz w:val="28"/>
          <w:szCs w:val="28"/>
          <w:lang w:val="en-US" w:eastAsia="zh-CN"/>
        </w:rPr>
        <w:t>4</w:t>
      </w:r>
      <w:r>
        <w:rPr>
          <w:rStyle w:val="16"/>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rPr>
        <w:t>卫生健康</w:t>
      </w:r>
      <w:r>
        <w:rPr>
          <w:rStyle w:val="16"/>
          <w:rFonts w:hint="eastAsia" w:asciiTheme="minorEastAsia" w:hAnsiTheme="minorEastAsia" w:eastAsiaTheme="minorEastAsia" w:cstheme="minorEastAsia"/>
          <w:b w:val="0"/>
          <w:bCs w:val="0"/>
          <w:color w:val="auto"/>
          <w:sz w:val="28"/>
          <w:szCs w:val="28"/>
        </w:rPr>
        <w:t>（类）行政事业单位医疗（款）行政单位医疗（项）:支出决算为34.51万元，完成预算100%。</w:t>
      </w:r>
    </w:p>
    <w:p>
      <w:pPr>
        <w:spacing w:line="600" w:lineRule="exact"/>
        <w:ind w:firstLine="560" w:firstLineChars="200"/>
        <w:rPr>
          <w:rFonts w:hint="eastAsia" w:asciiTheme="minorEastAsia" w:hAnsiTheme="minorEastAsia" w:eastAsiaTheme="minorEastAsia" w:cstheme="minorEastAsia"/>
          <w:b w:val="0"/>
          <w:bCs w:val="0"/>
          <w:color w:val="auto"/>
          <w:sz w:val="32"/>
          <w:szCs w:val="32"/>
        </w:rPr>
      </w:pPr>
      <w:r>
        <w:rPr>
          <w:rStyle w:val="16"/>
          <w:rFonts w:hint="eastAsia" w:asciiTheme="minorEastAsia" w:hAnsiTheme="minorEastAsia" w:eastAsiaTheme="minorEastAsia" w:cstheme="minorEastAsia"/>
          <w:b w:val="0"/>
          <w:bCs w:val="0"/>
          <w:color w:val="auto"/>
          <w:sz w:val="28"/>
          <w:szCs w:val="28"/>
          <w:lang w:val="en-US" w:eastAsia="zh-CN"/>
        </w:rPr>
        <w:t>5</w:t>
      </w:r>
      <w:r>
        <w:rPr>
          <w:rStyle w:val="16"/>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rPr>
        <w:t>住房保障（类）住房改革支出（款）住房公积金（项）:支出决算为47.79万元，完成预算100%。</w:t>
      </w:r>
    </w:p>
    <w:p>
      <w:pPr>
        <w:spacing w:line="600" w:lineRule="exac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（注：数据来源于财决01-1表和财决08表）</w:t>
      </w:r>
    </w:p>
    <w:p>
      <w:pPr>
        <w:spacing w:line="600" w:lineRule="exact"/>
        <w:ind w:firstLine="640"/>
        <w:rPr>
          <w:rFonts w:hint="eastAsia" w:asciiTheme="minorEastAsia" w:hAnsiTheme="minorEastAsia" w:eastAsiaTheme="minorEastAsia" w:cstheme="minorEastAsia"/>
          <w:b/>
          <w:color w:val="auto"/>
          <w:sz w:val="28"/>
          <w:szCs w:val="28"/>
        </w:rPr>
      </w:pPr>
    </w:p>
    <w:p>
      <w:pPr>
        <w:tabs>
          <w:tab w:val="right" w:pos="8306"/>
        </w:tabs>
        <w:spacing w:line="600" w:lineRule="exact"/>
        <w:ind w:firstLine="640"/>
        <w:outlineLvl w:val="1"/>
        <w:rPr>
          <w:rStyle w:val="19"/>
          <w:rFonts w:hint="eastAsia" w:asciiTheme="minorEastAsia" w:hAnsiTheme="minorEastAsia" w:eastAsiaTheme="minorEastAsia" w:cstheme="minorEastAsia"/>
          <w:b/>
          <w:bCs/>
          <w:color w:val="auto"/>
          <w:sz w:val="28"/>
          <w:szCs w:val="28"/>
        </w:rPr>
      </w:pPr>
      <w:bookmarkStart w:id="34" w:name="_Toc15396608"/>
      <w:bookmarkStart w:id="35" w:name="_Toc15377214"/>
      <w:r>
        <w:rPr>
          <w:rFonts w:hint="eastAsia" w:asciiTheme="minorEastAsia" w:hAnsiTheme="minorEastAsia" w:eastAsiaTheme="minorEastAsia" w:cstheme="minorEastAsia"/>
          <w:b/>
          <w:bCs/>
          <w:color w:val="auto"/>
          <w:sz w:val="28"/>
          <w:szCs w:val="28"/>
        </w:rPr>
        <w:t>六、一</w:t>
      </w:r>
      <w:r>
        <w:rPr>
          <w:rStyle w:val="19"/>
          <w:rFonts w:hint="eastAsia" w:asciiTheme="minorEastAsia" w:hAnsiTheme="minorEastAsia" w:eastAsiaTheme="minorEastAsia" w:cstheme="minorEastAsia"/>
          <w:b/>
          <w:bCs/>
          <w:color w:val="auto"/>
          <w:sz w:val="28"/>
          <w:szCs w:val="28"/>
        </w:rPr>
        <w:t>般公共预算财政拨款基本支出决算情况说明</w:t>
      </w:r>
      <w:bookmarkEnd w:id="34"/>
      <w:bookmarkEnd w:id="35"/>
      <w:r>
        <w:rPr>
          <w:rStyle w:val="19"/>
          <w:rFonts w:hint="eastAsia" w:asciiTheme="minorEastAsia" w:hAnsiTheme="minorEastAsia" w:eastAsiaTheme="minorEastAsia" w:cstheme="minorEastAsia"/>
          <w:b/>
          <w:bCs/>
          <w:color w:val="auto"/>
          <w:sz w:val="28"/>
          <w:szCs w:val="28"/>
        </w:rPr>
        <w:tab/>
      </w:r>
    </w:p>
    <w:p>
      <w:pPr>
        <w:spacing w:line="600" w:lineRule="exact"/>
        <w:ind w:firstLine="64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2022年一般公共预算财政拨款基本支出1017.87万元，其中：</w:t>
      </w:r>
    </w:p>
    <w:p>
      <w:pPr>
        <w:spacing w:line="600" w:lineRule="exact"/>
        <w:ind w:firstLine="64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人员经费867.33万元，主要包括：基本工资、津贴补贴、奖金、伙食补助费、绩效工资、机关事业单位基本养老保险缴费、</w:t>
      </w:r>
      <w:r>
        <w:rPr>
          <w:rFonts w:hint="eastAsia" w:asciiTheme="minorEastAsia" w:hAnsiTheme="minorEastAsia" w:eastAsiaTheme="minorEastAsia" w:cstheme="minorEastAsia"/>
          <w:color w:val="auto"/>
          <w:sz w:val="28"/>
          <w:szCs w:val="28"/>
          <w:lang w:eastAsia="zh-CN"/>
        </w:rPr>
        <w:t>职工基本医疗保险、</w:t>
      </w:r>
      <w:r>
        <w:rPr>
          <w:rFonts w:hint="eastAsia" w:asciiTheme="minorEastAsia" w:hAnsiTheme="minorEastAsia" w:eastAsiaTheme="minorEastAsia" w:cstheme="minorEastAsia"/>
          <w:color w:val="auto"/>
          <w:sz w:val="28"/>
          <w:szCs w:val="28"/>
        </w:rPr>
        <w:t>其他社会保障缴费、其他工资福利支出、离休费、生活补助、奖励金、住房公积金等。</w:t>
      </w:r>
      <w:r>
        <w:rPr>
          <w:rFonts w:hint="eastAsia" w:asciiTheme="minorEastAsia" w:hAnsiTheme="minorEastAsia" w:eastAsiaTheme="minorEastAsia" w:cstheme="minorEastAsia"/>
          <w:color w:val="auto"/>
          <w:sz w:val="28"/>
          <w:szCs w:val="28"/>
        </w:rPr>
        <w:br w:type="textWrapping"/>
      </w:r>
      <w:r>
        <w:rPr>
          <w:rFonts w:hint="eastAsia" w:asciiTheme="minorEastAsia" w:hAnsiTheme="minorEastAsia" w:eastAsiaTheme="minorEastAsia" w:cstheme="minorEastAsia"/>
          <w:color w:val="auto"/>
          <w:sz w:val="28"/>
          <w:szCs w:val="28"/>
        </w:rPr>
        <w:t>　　公用经费150.54万元，主要包括：办公费、咨询费、手续费、水费、电费、邮电费、物业管理费、差旅费、维修（护）费、租赁费、会议费、培训费、公务接待费、劳务费、工会经费、福利费、其他交通费</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办公设备购置等。</w:t>
      </w:r>
    </w:p>
    <w:p>
      <w:pPr>
        <w:spacing w:line="600" w:lineRule="exact"/>
        <w:ind w:firstLine="64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（注：数据来源于财决07表和财决08-1表）</w:t>
      </w:r>
    </w:p>
    <w:p>
      <w:pPr>
        <w:spacing w:line="600" w:lineRule="exact"/>
        <w:ind w:firstLine="640"/>
        <w:outlineLvl w:val="1"/>
        <w:rPr>
          <w:rStyle w:val="19"/>
          <w:rFonts w:hint="eastAsia" w:asciiTheme="minorEastAsia" w:hAnsiTheme="minorEastAsia" w:eastAsiaTheme="minorEastAsia" w:cstheme="minorEastAsia"/>
          <w:b/>
          <w:bCs/>
          <w:color w:val="auto"/>
          <w:sz w:val="28"/>
          <w:szCs w:val="28"/>
        </w:rPr>
      </w:pPr>
      <w:bookmarkStart w:id="36" w:name="_Toc15396609"/>
      <w:bookmarkStart w:id="37" w:name="_Toc15377215"/>
      <w:r>
        <w:rPr>
          <w:rFonts w:hint="eastAsia" w:asciiTheme="minorEastAsia" w:hAnsiTheme="minorEastAsia" w:eastAsiaTheme="minorEastAsia" w:cstheme="minorEastAsia"/>
          <w:b/>
          <w:bCs/>
          <w:color w:val="auto"/>
          <w:sz w:val="28"/>
          <w:szCs w:val="28"/>
        </w:rPr>
        <w:t>七、</w:t>
      </w:r>
      <w:r>
        <w:rPr>
          <w:rStyle w:val="19"/>
          <w:rFonts w:hint="eastAsia" w:asciiTheme="minorEastAsia" w:hAnsiTheme="minorEastAsia" w:eastAsiaTheme="minorEastAsia" w:cstheme="minorEastAsia"/>
          <w:b/>
          <w:bCs/>
          <w:color w:val="auto"/>
          <w:sz w:val="28"/>
          <w:szCs w:val="28"/>
        </w:rPr>
        <w:t>财政拨款“三公”经费支出决算情况说明</w:t>
      </w:r>
      <w:bookmarkEnd w:id="36"/>
      <w:bookmarkEnd w:id="37"/>
    </w:p>
    <w:p>
      <w:pPr>
        <w:spacing w:line="600" w:lineRule="exact"/>
        <w:ind w:firstLine="640"/>
        <w:outlineLvl w:val="2"/>
        <w:rPr>
          <w:rFonts w:hint="eastAsia" w:asciiTheme="minorEastAsia" w:hAnsiTheme="minorEastAsia" w:eastAsiaTheme="minorEastAsia" w:cstheme="minorEastAsia"/>
          <w:b/>
          <w:color w:val="auto"/>
          <w:sz w:val="28"/>
          <w:szCs w:val="28"/>
        </w:rPr>
      </w:pPr>
      <w:bookmarkStart w:id="38" w:name="_Toc15377216"/>
      <w:r>
        <w:rPr>
          <w:rFonts w:hint="eastAsia" w:asciiTheme="minorEastAsia" w:hAnsiTheme="minorEastAsia" w:eastAsiaTheme="minorEastAsia" w:cstheme="minorEastAsia"/>
          <w:b/>
          <w:color w:val="auto"/>
          <w:sz w:val="28"/>
          <w:szCs w:val="28"/>
        </w:rPr>
        <w:t>（一）“三公”经费财政拨款支出决算总体情况说明</w:t>
      </w:r>
      <w:bookmarkEnd w:id="38"/>
    </w:p>
    <w:p>
      <w:pPr>
        <w:spacing w:line="600" w:lineRule="exact"/>
        <w:ind w:firstLine="6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2022年“三公”经费财政拨款支出决算为8万元，完成预算100%。</w:t>
      </w:r>
    </w:p>
    <w:p>
      <w:pPr>
        <w:spacing w:line="600" w:lineRule="exact"/>
        <w:ind w:firstLine="640"/>
        <w:outlineLvl w:val="2"/>
        <w:rPr>
          <w:rFonts w:hint="eastAsia" w:asciiTheme="minorEastAsia" w:hAnsiTheme="minorEastAsia" w:eastAsiaTheme="minorEastAsia" w:cstheme="minorEastAsia"/>
          <w:b/>
          <w:color w:val="auto"/>
          <w:sz w:val="28"/>
          <w:szCs w:val="28"/>
        </w:rPr>
      </w:pPr>
      <w:bookmarkStart w:id="39" w:name="_Toc15377217"/>
      <w:r>
        <w:rPr>
          <w:rFonts w:hint="eastAsia" w:asciiTheme="minorEastAsia" w:hAnsiTheme="minorEastAsia" w:eastAsiaTheme="minorEastAsia" w:cstheme="minorEastAsia"/>
          <w:b/>
          <w:color w:val="auto"/>
          <w:sz w:val="28"/>
          <w:szCs w:val="28"/>
        </w:rPr>
        <w:t>（二）“三公”经费财政拨款支出决算具体情况说明</w:t>
      </w:r>
      <w:bookmarkEnd w:id="39"/>
    </w:p>
    <w:p>
      <w:pPr>
        <w:spacing w:line="600" w:lineRule="exact"/>
        <w:ind w:firstLine="6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2022年“三公”经费财政拨款支出决算中，因公出国（境）费支出决算0万元，占0%；公务用车购置及运行维护费支出决算0万元，占0%；公务接待费支出决算8万元，占100%。具体情况如下：</w:t>
      </w:r>
    </w:p>
    <w:p>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object>
          <v:shape id="_x0000_i1031" o:spt="75" type="#_x0000_t75" style="height:195pt;width:414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pPr>
        <w:rPr>
          <w:rFonts w:hint="eastAsia" w:asciiTheme="minorEastAsia" w:hAnsiTheme="minorEastAsia" w:eastAsiaTheme="minorEastAsia" w:cstheme="minorEastAsia"/>
          <w:color w:val="auto"/>
        </w:rPr>
      </w:pPr>
    </w:p>
    <w:p>
      <w:pPr>
        <w:spacing w:line="600" w:lineRule="exact"/>
        <w:ind w:firstLine="6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（图7：“三公”经费财政拨款支出结构）</w:t>
      </w:r>
    </w:p>
    <w:p>
      <w:pPr>
        <w:spacing w:line="600" w:lineRule="exact"/>
        <w:ind w:firstLine="64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1.因公出国（境）经费支出</w:t>
      </w:r>
      <w:r>
        <w:rPr>
          <w:rFonts w:hint="eastAsia" w:asciiTheme="minorEastAsia" w:hAnsiTheme="minorEastAsia" w:eastAsiaTheme="minorEastAsia" w:cstheme="minorEastAsia"/>
          <w:color w:val="auto"/>
          <w:sz w:val="28"/>
          <w:szCs w:val="28"/>
        </w:rPr>
        <w:t>0万元，</w:t>
      </w:r>
      <w:r>
        <w:rPr>
          <w:rStyle w:val="16"/>
          <w:rFonts w:hint="eastAsia" w:asciiTheme="minorEastAsia" w:hAnsiTheme="minorEastAsia" w:eastAsiaTheme="minorEastAsia" w:cstheme="minorEastAsia"/>
          <w:b w:val="0"/>
          <w:bCs/>
          <w:color w:val="auto"/>
          <w:sz w:val="28"/>
          <w:szCs w:val="28"/>
        </w:rPr>
        <w:t>完成预算0%。</w:t>
      </w:r>
      <w:r>
        <w:rPr>
          <w:rFonts w:hint="eastAsia" w:asciiTheme="minorEastAsia" w:hAnsiTheme="minorEastAsia" w:eastAsiaTheme="minorEastAsia" w:cstheme="minorEastAsia"/>
          <w:color w:val="auto"/>
          <w:sz w:val="28"/>
          <w:szCs w:val="28"/>
        </w:rPr>
        <w:t>全年安排因公出国（境）团组0次，出国（境）0人。因公出国（境）支出决算比2021年增加/减少0万元，增长/下降0%。</w:t>
      </w:r>
    </w:p>
    <w:p>
      <w:pPr>
        <w:spacing w:line="600" w:lineRule="exact"/>
        <w:ind w:firstLine="64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2.公务用车购置及运行维护费支出</w:t>
      </w:r>
      <w:r>
        <w:rPr>
          <w:rFonts w:hint="eastAsia" w:asciiTheme="minorEastAsia" w:hAnsiTheme="minorEastAsia" w:eastAsiaTheme="minorEastAsia" w:cstheme="minorEastAsia"/>
          <w:color w:val="auto"/>
          <w:sz w:val="28"/>
          <w:szCs w:val="28"/>
        </w:rPr>
        <w:t>0万元,</w:t>
      </w:r>
      <w:r>
        <w:rPr>
          <w:rStyle w:val="16"/>
          <w:rFonts w:hint="eastAsia" w:asciiTheme="minorEastAsia" w:hAnsiTheme="minorEastAsia" w:eastAsiaTheme="minorEastAsia" w:cstheme="minorEastAsia"/>
          <w:b w:val="0"/>
          <w:bCs/>
          <w:color w:val="auto"/>
          <w:sz w:val="28"/>
          <w:szCs w:val="28"/>
        </w:rPr>
        <w:t>完成预算0%。</w:t>
      </w:r>
      <w:r>
        <w:rPr>
          <w:rFonts w:hint="eastAsia" w:asciiTheme="minorEastAsia" w:hAnsiTheme="minorEastAsia" w:eastAsiaTheme="minorEastAsia" w:cstheme="minorEastAsia"/>
          <w:color w:val="auto"/>
          <w:sz w:val="28"/>
          <w:szCs w:val="28"/>
        </w:rPr>
        <w:t>公务用车购置及运行维护费支出决算比2021年增加/减少0万元，增长/下降0%。</w:t>
      </w:r>
    </w:p>
    <w:p>
      <w:pPr>
        <w:spacing w:line="600" w:lineRule="exact"/>
        <w:ind w:firstLine="560"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28"/>
        </w:rPr>
        <w:t>其中：</w:t>
      </w:r>
      <w:r>
        <w:rPr>
          <w:rFonts w:hint="eastAsia" w:asciiTheme="minorEastAsia" w:hAnsiTheme="minorEastAsia" w:eastAsiaTheme="minorEastAsia" w:cstheme="minorEastAsia"/>
          <w:b/>
          <w:color w:val="auto"/>
          <w:sz w:val="28"/>
          <w:szCs w:val="28"/>
        </w:rPr>
        <w:t>公务用车购置支出</w:t>
      </w:r>
      <w:r>
        <w:rPr>
          <w:rFonts w:hint="eastAsia" w:asciiTheme="minorEastAsia" w:hAnsiTheme="minorEastAsia" w:eastAsiaTheme="minorEastAsia" w:cstheme="minorEastAsia"/>
          <w:color w:val="auto"/>
          <w:sz w:val="28"/>
          <w:szCs w:val="28"/>
        </w:rPr>
        <w:t>0万元。全年按规定更新购置公务用车0辆。截至2022年12月底，单位共有公务用车0辆。</w:t>
      </w:r>
    </w:p>
    <w:p>
      <w:pPr>
        <w:spacing w:line="600" w:lineRule="exact"/>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公务用车运行维护费支出</w:t>
      </w:r>
      <w:r>
        <w:rPr>
          <w:rFonts w:hint="eastAsia" w:asciiTheme="minorEastAsia" w:hAnsiTheme="minorEastAsia" w:eastAsiaTheme="minorEastAsia" w:cstheme="minorEastAsia"/>
          <w:color w:val="auto"/>
          <w:sz w:val="28"/>
          <w:szCs w:val="28"/>
        </w:rPr>
        <w:t>0万元。</w:t>
      </w:r>
    </w:p>
    <w:p>
      <w:pPr>
        <w:numPr>
          <w:ilvl w:val="0"/>
          <w:numId w:val="0"/>
        </w:numPr>
        <w:spacing w:line="600" w:lineRule="exact"/>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lang w:val="en-US" w:eastAsia="zh-CN"/>
        </w:rPr>
        <w:t>3.</w:t>
      </w:r>
      <w:r>
        <w:rPr>
          <w:rFonts w:hint="eastAsia" w:asciiTheme="minorEastAsia" w:hAnsiTheme="minorEastAsia" w:eastAsiaTheme="minorEastAsia" w:cstheme="minorEastAsia"/>
          <w:b/>
          <w:color w:val="auto"/>
          <w:sz w:val="28"/>
          <w:szCs w:val="28"/>
        </w:rPr>
        <w:t>公务接待费支出</w:t>
      </w:r>
      <w:r>
        <w:rPr>
          <w:rFonts w:hint="eastAsia" w:asciiTheme="minorEastAsia" w:hAnsiTheme="minorEastAsia" w:eastAsiaTheme="minorEastAsia" w:cstheme="minorEastAsia"/>
          <w:color w:val="auto"/>
          <w:sz w:val="28"/>
          <w:szCs w:val="28"/>
        </w:rPr>
        <w:t>8万元，</w:t>
      </w:r>
      <w:r>
        <w:rPr>
          <w:rStyle w:val="16"/>
          <w:rFonts w:hint="eastAsia" w:asciiTheme="minorEastAsia" w:hAnsiTheme="minorEastAsia" w:eastAsiaTheme="minorEastAsia" w:cstheme="minorEastAsia"/>
          <w:b w:val="0"/>
          <w:bCs/>
          <w:color w:val="auto"/>
          <w:sz w:val="28"/>
          <w:szCs w:val="28"/>
        </w:rPr>
        <w:t>完成预算100%。</w:t>
      </w:r>
    </w:p>
    <w:p>
      <w:pPr>
        <w:spacing w:line="600" w:lineRule="exact"/>
        <w:ind w:firstLine="562"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rPr>
        <w:t>国内公务接待支出</w:t>
      </w:r>
      <w:r>
        <w:rPr>
          <w:rFonts w:hint="eastAsia" w:asciiTheme="minorEastAsia" w:hAnsiTheme="minorEastAsia" w:eastAsiaTheme="minorEastAsia" w:cstheme="minorEastAsia"/>
          <w:color w:val="auto"/>
          <w:sz w:val="28"/>
          <w:szCs w:val="28"/>
        </w:rPr>
        <w:t>8万元，主要用于执行公务、开展业务活动开支的交通费、住宿费、用餐费等。</w:t>
      </w:r>
      <w:r>
        <w:rPr>
          <w:rFonts w:hint="eastAsia" w:asciiTheme="minorEastAsia" w:hAnsiTheme="minorEastAsia" w:eastAsiaTheme="minorEastAsia" w:cstheme="minorEastAsia"/>
          <w:color w:val="auto"/>
          <w:sz w:val="28"/>
          <w:szCs w:val="28"/>
          <w:highlight w:val="none"/>
        </w:rPr>
        <w:t>国内公务接待</w:t>
      </w:r>
      <w:r>
        <w:rPr>
          <w:rFonts w:hint="eastAsia" w:asciiTheme="minorEastAsia" w:hAnsiTheme="minorEastAsia" w:eastAsiaTheme="minorEastAsia" w:cstheme="minorEastAsia"/>
          <w:color w:val="auto"/>
          <w:sz w:val="28"/>
          <w:szCs w:val="28"/>
          <w:highlight w:val="none"/>
          <w:lang w:val="en-US" w:eastAsia="zh-CN"/>
        </w:rPr>
        <w:t>8</w:t>
      </w:r>
      <w:r>
        <w:rPr>
          <w:rFonts w:hint="eastAsia" w:asciiTheme="minorEastAsia" w:hAnsiTheme="minorEastAsia" w:eastAsiaTheme="minorEastAsia" w:cstheme="minorEastAsia"/>
          <w:color w:val="auto"/>
          <w:sz w:val="28"/>
          <w:szCs w:val="28"/>
          <w:highlight w:val="none"/>
        </w:rPr>
        <w:t>5批次，</w:t>
      </w:r>
      <w:r>
        <w:rPr>
          <w:rFonts w:hint="default" w:asciiTheme="minorEastAsia" w:hAnsiTheme="minorEastAsia" w:eastAsiaTheme="minorEastAsia" w:cstheme="minorEastAsia"/>
          <w:color w:val="auto"/>
          <w:sz w:val="28"/>
          <w:szCs w:val="28"/>
          <w:highlight w:val="none"/>
          <w:lang w:val="en"/>
        </w:rPr>
        <w:t>489</w:t>
      </w:r>
      <w:r>
        <w:rPr>
          <w:rFonts w:hint="eastAsia" w:asciiTheme="minorEastAsia" w:hAnsiTheme="minorEastAsia" w:eastAsiaTheme="minorEastAsia" w:cstheme="minorEastAsia"/>
          <w:color w:val="auto"/>
          <w:sz w:val="28"/>
          <w:szCs w:val="28"/>
          <w:highlight w:val="none"/>
        </w:rPr>
        <w:t>人次（不包括陪同人员），共计支出8万元，具体内容包括：开展业务活动开支的用餐费</w:t>
      </w:r>
      <w:r>
        <w:rPr>
          <w:rFonts w:hint="eastAsia" w:asciiTheme="minorEastAsia" w:hAnsiTheme="minorEastAsia" w:eastAsiaTheme="minorEastAsia" w:cstheme="minorEastAsia"/>
          <w:color w:val="auto"/>
          <w:sz w:val="28"/>
          <w:szCs w:val="28"/>
          <w:highlight w:val="none"/>
          <w:lang w:eastAsia="zh-CN"/>
        </w:rPr>
        <w:t>等支出</w:t>
      </w:r>
      <w:r>
        <w:rPr>
          <w:rFonts w:hint="eastAsia" w:asciiTheme="minorEastAsia" w:hAnsiTheme="minorEastAsia" w:eastAsiaTheme="minorEastAsia" w:cstheme="minorEastAsia"/>
          <w:color w:val="auto"/>
          <w:sz w:val="28"/>
          <w:szCs w:val="28"/>
          <w:highlight w:val="none"/>
        </w:rPr>
        <w:t>。</w:t>
      </w:r>
    </w:p>
    <w:p>
      <w:pPr>
        <w:spacing w:line="600" w:lineRule="exact"/>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外事接待支出</w:t>
      </w:r>
      <w:r>
        <w:rPr>
          <w:rFonts w:hint="eastAsia" w:asciiTheme="minorEastAsia" w:hAnsiTheme="minorEastAsia" w:eastAsiaTheme="minorEastAsia" w:cstheme="minorEastAsia"/>
          <w:color w:val="auto"/>
          <w:sz w:val="28"/>
          <w:szCs w:val="28"/>
        </w:rPr>
        <w:t>0万元，外事接待0批次，0人次（不包括陪同人员），共计支出0万元。</w:t>
      </w:r>
      <w:bookmarkStart w:id="40" w:name="_Toc15396610"/>
      <w:bookmarkStart w:id="41" w:name="_Toc15377218"/>
    </w:p>
    <w:p>
      <w:pPr>
        <w:spacing w:line="600" w:lineRule="exact"/>
        <w:ind w:firstLine="640"/>
        <w:outlineLvl w:val="1"/>
        <w:rPr>
          <w:rStyle w:val="19"/>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八、</w:t>
      </w:r>
      <w:r>
        <w:rPr>
          <w:rStyle w:val="19"/>
          <w:rFonts w:hint="eastAsia" w:asciiTheme="minorEastAsia" w:hAnsiTheme="minorEastAsia" w:eastAsiaTheme="minorEastAsia" w:cstheme="minorEastAsia"/>
          <w:b/>
          <w:bCs/>
          <w:color w:val="auto"/>
          <w:sz w:val="28"/>
          <w:szCs w:val="28"/>
        </w:rPr>
        <w:t>政府性基金预算支出决算情况说明</w:t>
      </w:r>
      <w:bookmarkEnd w:id="40"/>
      <w:bookmarkEnd w:id="41"/>
    </w:p>
    <w:p>
      <w:pPr>
        <w:spacing w:line="600" w:lineRule="exact"/>
        <w:ind w:firstLine="6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2022年政府性基金预算财政拨款支出0万元。</w:t>
      </w:r>
    </w:p>
    <w:p>
      <w:pPr>
        <w:numPr>
          <w:ilvl w:val="0"/>
          <w:numId w:val="3"/>
        </w:numPr>
        <w:spacing w:line="600" w:lineRule="exact"/>
        <w:ind w:firstLine="640"/>
        <w:outlineLvl w:val="1"/>
        <w:rPr>
          <w:rStyle w:val="19"/>
          <w:rFonts w:hint="eastAsia" w:asciiTheme="minorEastAsia" w:hAnsiTheme="minorEastAsia" w:eastAsiaTheme="minorEastAsia" w:cstheme="minorEastAsia"/>
          <w:b/>
          <w:bCs w:val="0"/>
          <w:color w:val="auto"/>
          <w:sz w:val="28"/>
          <w:szCs w:val="28"/>
        </w:rPr>
      </w:pPr>
      <w:bookmarkStart w:id="42" w:name="_Toc15396611"/>
      <w:bookmarkStart w:id="43" w:name="_Toc15377219"/>
      <w:r>
        <w:rPr>
          <w:rStyle w:val="19"/>
          <w:rFonts w:hint="eastAsia" w:asciiTheme="minorEastAsia" w:hAnsiTheme="minorEastAsia" w:eastAsiaTheme="minorEastAsia" w:cstheme="minorEastAsia"/>
          <w:b/>
          <w:bCs w:val="0"/>
          <w:color w:val="auto"/>
          <w:sz w:val="28"/>
          <w:szCs w:val="28"/>
        </w:rPr>
        <w:t>国有资本经营预算支出决算情况说明</w:t>
      </w:r>
      <w:bookmarkEnd w:id="42"/>
      <w:bookmarkEnd w:id="43"/>
    </w:p>
    <w:p>
      <w:pPr>
        <w:spacing w:line="600" w:lineRule="exact"/>
        <w:ind w:firstLine="6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2022年国有资本经营预算财政拨款支出0万元。</w:t>
      </w:r>
    </w:p>
    <w:p>
      <w:pPr>
        <w:numPr>
          <w:ilvl w:val="0"/>
          <w:numId w:val="3"/>
        </w:numPr>
        <w:spacing w:line="600" w:lineRule="exact"/>
        <w:ind w:firstLine="640"/>
        <w:outlineLvl w:val="1"/>
        <w:rPr>
          <w:rStyle w:val="19"/>
          <w:rFonts w:hint="eastAsia" w:asciiTheme="minorEastAsia" w:hAnsiTheme="minorEastAsia" w:eastAsiaTheme="minorEastAsia" w:cstheme="minorEastAsia"/>
          <w:b w:val="0"/>
          <w:color w:val="auto"/>
          <w:sz w:val="28"/>
          <w:szCs w:val="28"/>
        </w:rPr>
      </w:pPr>
      <w:bookmarkStart w:id="44" w:name="_Toc15396612"/>
      <w:bookmarkStart w:id="45" w:name="_Toc15377221"/>
      <w:r>
        <w:rPr>
          <w:rStyle w:val="19"/>
          <w:rFonts w:hint="eastAsia" w:asciiTheme="minorEastAsia" w:hAnsiTheme="minorEastAsia" w:eastAsiaTheme="minorEastAsia" w:cstheme="minorEastAsia"/>
          <w:b/>
          <w:bCs w:val="0"/>
          <w:color w:val="auto"/>
          <w:sz w:val="28"/>
          <w:szCs w:val="28"/>
        </w:rPr>
        <w:t>其他重要事项的情况说明</w:t>
      </w:r>
      <w:bookmarkEnd w:id="44"/>
      <w:bookmarkEnd w:id="45"/>
    </w:p>
    <w:p>
      <w:pPr>
        <w:spacing w:line="600" w:lineRule="exact"/>
        <w:ind w:firstLine="562" w:firstLineChars="200"/>
        <w:outlineLvl w:val="2"/>
        <w:rPr>
          <w:rFonts w:hint="eastAsia" w:asciiTheme="minorEastAsia" w:hAnsiTheme="minorEastAsia" w:eastAsiaTheme="minorEastAsia" w:cstheme="minorEastAsia"/>
          <w:color w:val="auto"/>
          <w:sz w:val="28"/>
          <w:szCs w:val="28"/>
        </w:rPr>
      </w:pPr>
      <w:bookmarkStart w:id="46" w:name="_Toc15377222"/>
      <w:r>
        <w:rPr>
          <w:rFonts w:hint="eastAsia" w:asciiTheme="minorEastAsia" w:hAnsiTheme="minorEastAsia" w:eastAsiaTheme="minorEastAsia" w:cstheme="minorEastAsia"/>
          <w:b/>
          <w:color w:val="auto"/>
          <w:sz w:val="28"/>
          <w:szCs w:val="28"/>
        </w:rPr>
        <w:t>（一）机关运行经费支出情况</w:t>
      </w:r>
      <w:bookmarkEnd w:id="46"/>
    </w:p>
    <w:p>
      <w:pPr>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2022年，广元市利州区财政局机关运行经费支出150.54万元，比2021年增加56.92万元，增长60.8%。主要原因是区级涉案国有资产过户缴纳契税61.7万元。</w:t>
      </w:r>
    </w:p>
    <w:p>
      <w:pPr>
        <w:spacing w:line="600" w:lineRule="exact"/>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（注：数据来源于财决附03表）</w:t>
      </w:r>
    </w:p>
    <w:p>
      <w:pPr>
        <w:autoSpaceDE w:val="0"/>
        <w:autoSpaceDN w:val="0"/>
        <w:adjustRightInd w:val="0"/>
        <w:spacing w:line="600" w:lineRule="exact"/>
        <w:ind w:firstLine="562" w:firstLineChars="200"/>
        <w:jc w:val="left"/>
        <w:outlineLvl w:val="2"/>
        <w:rPr>
          <w:rFonts w:hint="eastAsia" w:asciiTheme="minorEastAsia" w:hAnsiTheme="minorEastAsia" w:eastAsiaTheme="minorEastAsia" w:cstheme="minorEastAsia"/>
          <w:b/>
          <w:color w:val="auto"/>
          <w:sz w:val="28"/>
          <w:szCs w:val="28"/>
        </w:rPr>
      </w:pPr>
      <w:bookmarkStart w:id="47" w:name="_Toc15377223"/>
      <w:r>
        <w:rPr>
          <w:rFonts w:hint="eastAsia" w:asciiTheme="minorEastAsia" w:hAnsiTheme="minorEastAsia" w:eastAsiaTheme="minorEastAsia" w:cstheme="minorEastAsia"/>
          <w:b/>
          <w:color w:val="auto"/>
          <w:sz w:val="28"/>
          <w:szCs w:val="28"/>
        </w:rPr>
        <w:t>（二）政府采购支出情况</w:t>
      </w:r>
      <w:bookmarkEnd w:id="47"/>
    </w:p>
    <w:p>
      <w:pPr>
        <w:spacing w:line="6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2022年，广元市利州区财政局政府采购支出总额0万元</w:t>
      </w:r>
      <w:r>
        <w:rPr>
          <w:rFonts w:hint="eastAsia" w:asciiTheme="minorEastAsia" w:hAnsiTheme="minorEastAsia" w:eastAsiaTheme="minorEastAsia" w:cstheme="minorEastAsia"/>
          <w:color w:val="auto"/>
          <w:sz w:val="28"/>
          <w:szCs w:val="28"/>
          <w:lang w:eastAsia="zh-CN"/>
        </w:rPr>
        <w:t>。</w:t>
      </w:r>
    </w:p>
    <w:p>
      <w:pPr>
        <w:spacing w:line="600" w:lineRule="exact"/>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（注：数据来源于财决附03表）</w:t>
      </w:r>
    </w:p>
    <w:p>
      <w:pPr>
        <w:autoSpaceDE w:val="0"/>
        <w:autoSpaceDN w:val="0"/>
        <w:adjustRightInd w:val="0"/>
        <w:spacing w:line="600" w:lineRule="exact"/>
        <w:ind w:firstLine="562" w:firstLineChars="200"/>
        <w:jc w:val="left"/>
        <w:outlineLvl w:val="2"/>
        <w:rPr>
          <w:rFonts w:hint="eastAsia" w:asciiTheme="minorEastAsia" w:hAnsiTheme="minorEastAsia" w:eastAsiaTheme="minorEastAsia" w:cstheme="minorEastAsia"/>
          <w:b/>
          <w:color w:val="auto"/>
          <w:sz w:val="28"/>
          <w:szCs w:val="28"/>
        </w:rPr>
      </w:pPr>
      <w:bookmarkStart w:id="48" w:name="_Toc15377224"/>
      <w:r>
        <w:rPr>
          <w:rFonts w:hint="eastAsia" w:asciiTheme="minorEastAsia" w:hAnsiTheme="minorEastAsia" w:eastAsiaTheme="minorEastAsia" w:cstheme="minorEastAsia"/>
          <w:b/>
          <w:color w:val="auto"/>
          <w:sz w:val="28"/>
          <w:szCs w:val="28"/>
        </w:rPr>
        <w:t>（三）国有资产占有使用情况</w:t>
      </w:r>
      <w:bookmarkEnd w:id="48"/>
    </w:p>
    <w:p>
      <w:pPr>
        <w:autoSpaceDE w:val="0"/>
        <w:autoSpaceDN w:val="0"/>
        <w:adjustRightInd w:val="0"/>
        <w:spacing w:line="600" w:lineRule="exact"/>
        <w:ind w:firstLine="56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8"/>
          <w:szCs w:val="28"/>
        </w:rPr>
        <w:t>截至2022年12月31日，广元市利州区财政局共有车辆0辆，其中：主要领导干部用车0辆、机要通信用车0辆、应急保障用车0辆、其他用车0辆。单价100万元以上专用设备0台</w:t>
      </w:r>
      <w:r>
        <w:rPr>
          <w:rFonts w:hint="eastAsia" w:asciiTheme="minorEastAsia" w:hAnsiTheme="minorEastAsia" w:eastAsiaTheme="minorEastAsia" w:cstheme="minorEastAsia"/>
          <w:color w:val="auto"/>
          <w:sz w:val="32"/>
          <w:szCs w:val="32"/>
        </w:rPr>
        <w:t>（套）。</w:t>
      </w:r>
    </w:p>
    <w:p>
      <w:pPr>
        <w:autoSpaceDE w:val="0"/>
        <w:autoSpaceDN w:val="0"/>
        <w:adjustRightInd w:val="0"/>
        <w:spacing w:line="600" w:lineRule="exact"/>
        <w:ind w:firstLine="562" w:firstLineChars="200"/>
        <w:jc w:val="lef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（注：数据来源于财决附03表）</w:t>
      </w:r>
    </w:p>
    <w:p>
      <w:pPr>
        <w:autoSpaceDE w:val="0"/>
        <w:autoSpaceDN w:val="0"/>
        <w:adjustRightInd w:val="0"/>
        <w:spacing w:line="600" w:lineRule="exact"/>
        <w:ind w:firstLine="562" w:firstLineChars="200"/>
        <w:jc w:val="left"/>
        <w:outlineLvl w:val="2"/>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（四）预算绩效管理情况</w:t>
      </w:r>
    </w:p>
    <w:p>
      <w:pPr>
        <w:widowControl/>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根据预算绩效管理要求，本部门在2022年度预算编制阶段，组织对</w:t>
      </w:r>
      <w:r>
        <w:rPr>
          <w:rFonts w:hint="eastAsia" w:asciiTheme="minorEastAsia" w:hAnsiTheme="minorEastAsia" w:eastAsiaTheme="minorEastAsia" w:cstheme="minorEastAsia"/>
          <w:bCs/>
          <w:color w:val="auto"/>
          <w:sz w:val="28"/>
          <w:szCs w:val="28"/>
        </w:rPr>
        <w:t>财政监督、检查、管理工作</w:t>
      </w:r>
      <w:r>
        <w:rPr>
          <w:rFonts w:hint="eastAsia" w:asciiTheme="minorEastAsia" w:hAnsiTheme="minorEastAsia" w:eastAsiaTheme="minorEastAsia" w:cstheme="minorEastAsia"/>
          <w:color w:val="auto"/>
          <w:sz w:val="28"/>
          <w:szCs w:val="28"/>
        </w:rPr>
        <w:t>等6个项目开展了预算事前绩效评估，对6个项目编制了绩效目标，预算执行过程中，选取6个项目开展绩效监控。</w:t>
      </w:r>
    </w:p>
    <w:p>
      <w:pPr>
        <w:widowControl/>
        <w:ind w:firstLine="560" w:firstLineChars="200"/>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组织对2022年度一般公共预算、政府性基金预算、国有资本经营预算、社会保险基金预算以及资本资产、债券资金等全面开展绩效自评，形成广元市利州区财政局部门整体（含部门预算项目）绩效自评报告</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bCs/>
          <w:color w:val="auto"/>
          <w:sz w:val="28"/>
          <w:szCs w:val="28"/>
        </w:rPr>
        <w:t>财政监督、检查、管理工作</w:t>
      </w:r>
      <w:r>
        <w:rPr>
          <w:rFonts w:hint="eastAsia" w:asciiTheme="minorEastAsia" w:hAnsiTheme="minorEastAsia" w:eastAsiaTheme="minorEastAsia" w:cstheme="minorEastAsia"/>
          <w:color w:val="auto"/>
          <w:sz w:val="28"/>
          <w:szCs w:val="28"/>
        </w:rPr>
        <w:t>等专项预算项目绩效自评报告，其中，广元市利州区财政局部门整体（含部门预算项目）绩效自评得分为96分</w:t>
      </w:r>
      <w:r>
        <w:rPr>
          <w:rFonts w:hint="eastAsia" w:asciiTheme="minorEastAsia" w:hAnsiTheme="minorEastAsia" w:eastAsiaTheme="minorEastAsia" w:cstheme="minorEastAsia"/>
          <w:color w:val="auto"/>
          <w:sz w:val="28"/>
          <w:szCs w:val="28"/>
          <w:lang w:eastAsia="zh-CN"/>
        </w:rPr>
        <w:t>。</w:t>
      </w:r>
    </w:p>
    <w:p>
      <w:pPr>
        <w:widowControl/>
        <w:ind w:firstLine="560" w:firstLineChars="200"/>
        <w:jc w:val="both"/>
        <w:rPr>
          <w:rFonts w:hint="eastAsia" w:asciiTheme="minorEastAsia" w:hAnsiTheme="minorEastAsia" w:eastAsiaTheme="minorEastAsia" w:cstheme="minorEastAsia"/>
          <w:color w:val="auto"/>
          <w:sz w:val="28"/>
          <w:szCs w:val="28"/>
          <w:highlight w:val="yellow"/>
        </w:rPr>
      </w:pPr>
      <w:r>
        <w:rPr>
          <w:rFonts w:hint="eastAsia" w:asciiTheme="minorEastAsia" w:hAnsiTheme="minorEastAsia" w:eastAsiaTheme="minorEastAsia" w:cstheme="minorEastAsia"/>
          <w:color w:val="auto"/>
          <w:sz w:val="28"/>
          <w:szCs w:val="28"/>
          <w:highlight w:val="none"/>
        </w:rPr>
        <w:t>绩效自评综述：通过绩效管理，强化预算收支管理、调整优化支出结构压减专项支出</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保证了部门的正常运行和日常工作的正常开展，项目支出保障了重点工作的开展，达到预期绩效目标。该项目总分100分，部门预算项目绩效管理得分63分，绩效结果应用自评得分24分，自评质量自评得分9分，自评最终评估得分96分。绩效自评报告详见附件。</w:t>
      </w:r>
    </w:p>
    <w:p>
      <w:pPr>
        <w:widowControl/>
        <w:ind w:firstLine="562" w:firstLineChars="200"/>
        <w:jc w:val="lef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br w:type="page"/>
      </w:r>
    </w:p>
    <w:p>
      <w:pPr>
        <w:numPr>
          <w:numId w:val="0"/>
        </w:numPr>
        <w:spacing w:line="600" w:lineRule="exact"/>
        <w:jc w:val="center"/>
        <w:outlineLvl w:val="0"/>
        <w:rPr>
          <w:rFonts w:hint="eastAsia" w:asciiTheme="minorEastAsia" w:hAnsiTheme="minorEastAsia" w:eastAsiaTheme="minorEastAsia" w:cstheme="minorEastAsia"/>
          <w:b w:val="0"/>
          <w:bCs/>
          <w:color w:val="auto"/>
          <w:kern w:val="44"/>
          <w:sz w:val="44"/>
          <w:szCs w:val="44"/>
          <w:lang w:val="en-US" w:eastAsia="zh-CN" w:bidi="ar-SA"/>
        </w:rPr>
      </w:pPr>
      <w:bookmarkStart w:id="49" w:name="_Toc15396613"/>
      <w:bookmarkStart w:id="50" w:name="_Toc15377225"/>
      <w:r>
        <w:rPr>
          <w:rFonts w:hint="eastAsia" w:asciiTheme="minorEastAsia" w:hAnsiTheme="minorEastAsia" w:eastAsiaTheme="minorEastAsia" w:cstheme="minorEastAsia"/>
          <w:b w:val="0"/>
          <w:bCs/>
          <w:color w:val="auto"/>
          <w:kern w:val="44"/>
          <w:sz w:val="44"/>
          <w:szCs w:val="44"/>
          <w:lang w:val="en-US" w:eastAsia="zh-CN" w:bidi="ar-SA"/>
        </w:rPr>
        <w:t>第三部分 名词解释</w:t>
      </w:r>
      <w:bookmarkEnd w:id="49"/>
      <w:bookmarkEnd w:id="50"/>
    </w:p>
    <w:p>
      <w:pPr>
        <w:spacing w:line="600" w:lineRule="exact"/>
        <w:jc w:val="left"/>
        <w:rPr>
          <w:rFonts w:hint="eastAsia" w:asciiTheme="minorEastAsia" w:hAnsiTheme="minorEastAsia" w:eastAsiaTheme="minorEastAsia" w:cstheme="minorEastAsia"/>
          <w:b/>
          <w:color w:val="auto"/>
          <w:sz w:val="28"/>
          <w:szCs w:val="28"/>
        </w:rPr>
      </w:pPr>
    </w:p>
    <w:p>
      <w:pPr>
        <w:pStyle w:val="31"/>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1.财政拨款收入：指单位从同级财政部门取得的财政预算资金。</w:t>
      </w:r>
    </w:p>
    <w:p>
      <w:pPr>
        <w:pStyle w:val="31"/>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2.其他收入：指单位取得的除上述收入以外的各项收入。主要是利息收入等。 </w:t>
      </w:r>
    </w:p>
    <w:p>
      <w:pPr>
        <w:pStyle w:val="31"/>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3.年初结转和结余：指以前年度尚未完成、结转到本年按有关规定继续使用的资金。 </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一般公共服务（类）财政事务（款）行政运行（项）：指行政单位（包括实行公务员管理的事业单位）的基本支出。一般公共服务（类）财政事务（款）一般行政管理事务（项）：指行政单位（包括实行公务员管理的事业单位）未单独设置项级科目的其他项目支出。一般公共服务（类）财政事务（款）事业支出（项）：指事业单位的基本支出，不包括行政单位（包括实行公务员管理的事业单位）后勤服务中心、医务室等附属事业单位。</w:t>
      </w:r>
    </w:p>
    <w:p>
      <w:pPr>
        <w:pStyle w:val="2"/>
        <w:ind w:left="0" w:leftChars="0" w:firstLine="3168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5.科学技术支出（类）科学技术管理事务（款）一般行政管理事务（项）：指行政单位（包括实行公务员管理的事业单位）未单独设置项级科目的其他项目支出。</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社会保障和就业（类）行政事业单位养老支出（款）机关事业单位基本养老保险缴费支出（项）：指机关事业单位实施养老保险制度由单位缴纳的基本养老保险费支出。社会保障和就业（类）其他社会保障和就业支出（款）其他社会保障和就业支出（项）：指其他用于社会保障和就业方面的支出。</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7.卫生健康（类）行政事业单位医疗（款）行政单位医疗（项）：指财政部门安排的行政单位基本医疗保险缴费经费。</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8.住房保障支出（类）住房改革支出（款）住房公积金（项）：指行政事业单位按人力资源和社会保障部、财政部规定的基本工资和津贴补贴以及规定比例为职工缴纳的住房公积金。</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9.基本支出：指为保障机构正常运转、完成日常工作任务而发生的人员支出和公用支出。</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10.项目支出：指在基本支出之外为完成特定行政任务和事业发展目标所发生的支出。 </w:t>
      </w:r>
    </w:p>
    <w:p>
      <w:pPr>
        <w:pStyle w:val="31"/>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1"/>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8"/>
          <w:rFonts w:hint="eastAsia" w:asciiTheme="minorEastAsia" w:hAnsiTheme="minorEastAsia" w:eastAsiaTheme="minorEastAsia" w:cstheme="minorEastAsia"/>
          <w:b w:val="0"/>
          <w:color w:val="auto"/>
        </w:rPr>
      </w:pPr>
      <w:bookmarkStart w:id="51" w:name="_Toc15377226"/>
      <w:r>
        <w:rPr>
          <w:rFonts w:hint="eastAsia" w:asciiTheme="minorEastAsia" w:hAnsiTheme="minorEastAsia" w:eastAsiaTheme="minorEastAsia" w:cstheme="minorEastAsia"/>
          <w:b/>
          <w:color w:val="auto"/>
          <w:sz w:val="28"/>
          <w:szCs w:val="28"/>
        </w:rPr>
        <w:br w:type="page"/>
      </w:r>
      <w:bookmarkStart w:id="52" w:name="_Toc15396614"/>
      <w:r>
        <w:rPr>
          <w:rFonts w:hint="eastAsia" w:asciiTheme="minorEastAsia" w:hAnsiTheme="minorEastAsia" w:eastAsiaTheme="minorEastAsia" w:cstheme="minorEastAsia"/>
          <w:color w:val="auto"/>
          <w:sz w:val="44"/>
          <w:szCs w:val="44"/>
        </w:rPr>
        <w:t>第</w:t>
      </w:r>
      <w:r>
        <w:rPr>
          <w:rStyle w:val="18"/>
          <w:rFonts w:hint="eastAsia" w:asciiTheme="minorEastAsia" w:hAnsiTheme="minorEastAsia" w:eastAsiaTheme="minorEastAsia" w:cstheme="minorEastAsia"/>
          <w:b w:val="0"/>
          <w:color w:val="auto"/>
        </w:rPr>
        <w:t>四部分 附件</w:t>
      </w:r>
      <w:bookmarkEnd w:id="52"/>
    </w:p>
    <w:p>
      <w:pPr>
        <w:widowControl/>
        <w:spacing w:line="560" w:lineRule="exact"/>
        <w:contextualSpacing/>
        <w:jc w:val="center"/>
        <w:rPr>
          <w:rFonts w:hint="eastAsia" w:asciiTheme="minorEastAsia" w:hAnsiTheme="minorEastAsia" w:eastAsiaTheme="minorEastAsia" w:cstheme="minorEastAsia"/>
          <w:b/>
          <w:color w:val="auto"/>
          <w:sz w:val="32"/>
          <w:szCs w:val="32"/>
          <w:shd w:val="clear" w:color="auto" w:fill="FFFFFF"/>
        </w:rPr>
      </w:pPr>
    </w:p>
    <w:p>
      <w:pPr>
        <w:widowControl/>
        <w:spacing w:line="560" w:lineRule="exact"/>
        <w:contextualSpacing/>
        <w:jc w:val="center"/>
        <w:rPr>
          <w:rFonts w:hint="eastAsia" w:asciiTheme="minorEastAsia" w:hAnsiTheme="minorEastAsia" w:eastAsiaTheme="minorEastAsia" w:cstheme="minorEastAsia"/>
          <w:b/>
          <w:color w:val="auto"/>
          <w:sz w:val="28"/>
          <w:szCs w:val="28"/>
          <w:shd w:val="clear" w:color="auto" w:fill="FFFFFF"/>
        </w:rPr>
      </w:pPr>
      <w:r>
        <w:rPr>
          <w:rFonts w:hint="eastAsia" w:asciiTheme="minorEastAsia" w:hAnsiTheme="minorEastAsia" w:eastAsiaTheme="minorEastAsia" w:cstheme="minorEastAsia"/>
          <w:b/>
          <w:color w:val="auto"/>
          <w:sz w:val="28"/>
          <w:szCs w:val="28"/>
          <w:shd w:val="clear" w:color="auto" w:fill="FFFFFF"/>
        </w:rPr>
        <w:t>2023年</w:t>
      </w:r>
      <w:r>
        <w:rPr>
          <w:rFonts w:hint="eastAsia" w:asciiTheme="minorEastAsia" w:hAnsiTheme="minorEastAsia" w:eastAsiaTheme="minorEastAsia" w:cstheme="minorEastAsia"/>
          <w:b/>
          <w:color w:val="auto"/>
          <w:sz w:val="28"/>
          <w:szCs w:val="28"/>
          <w:shd w:val="clear" w:color="auto" w:fill="FFFFFF"/>
          <w:lang w:eastAsia="zh-CN"/>
        </w:rPr>
        <w:t>广元市利州区财政局</w:t>
      </w:r>
      <w:r>
        <w:rPr>
          <w:rFonts w:hint="eastAsia" w:asciiTheme="minorEastAsia" w:hAnsiTheme="minorEastAsia" w:eastAsiaTheme="minorEastAsia" w:cstheme="minorEastAsia"/>
          <w:b/>
          <w:color w:val="auto"/>
          <w:sz w:val="28"/>
          <w:szCs w:val="28"/>
          <w:shd w:val="clear" w:color="auto" w:fill="FFFFFF"/>
        </w:rPr>
        <w:t>部门整体绩效评价报告</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rPr>
      </w:pPr>
    </w:p>
    <w:p>
      <w:pPr>
        <w:keepNext w:val="0"/>
        <w:keepLines w:val="0"/>
        <w:pageBreakBefore w:val="0"/>
        <w:widowControl/>
        <w:numPr>
          <w:ilvl w:val="0"/>
          <w:numId w:val="4"/>
        </w:numPr>
        <w:kinsoku/>
        <w:wordWrap/>
        <w:overflowPunct/>
        <w:topLinePunct w:val="0"/>
        <w:autoSpaceDE/>
        <w:autoSpaceDN/>
        <w:bidi w:val="0"/>
        <w:adjustRightInd w:val="0"/>
        <w:snapToGrid w:val="0"/>
        <w:spacing w:line="360" w:lineRule="auto"/>
        <w:ind w:right="0" w:rightChars="0" w:firstLine="562" w:firstLineChars="200"/>
        <w:contextualSpacing/>
        <w:jc w:val="left"/>
        <w:textAlignment w:val="auto"/>
        <w:outlineLvl w:val="9"/>
        <w:rPr>
          <w:rFonts w:hint="eastAsia" w:asciiTheme="minorEastAsia" w:hAnsiTheme="minorEastAsia" w:eastAsiaTheme="minorEastAsia" w:cstheme="minorEastAsia"/>
          <w:b/>
          <w:bCs/>
          <w:color w:val="auto"/>
          <w:kern w:val="0"/>
          <w:sz w:val="28"/>
          <w:szCs w:val="28"/>
          <w:shd w:val="clear" w:color="auto" w:fill="FFFFFF"/>
          <w:lang w:val="zh-CN"/>
        </w:rPr>
      </w:pPr>
      <w:r>
        <w:rPr>
          <w:rFonts w:hint="eastAsia" w:asciiTheme="minorEastAsia" w:hAnsiTheme="minorEastAsia" w:eastAsiaTheme="minorEastAsia" w:cstheme="minorEastAsia"/>
          <w:b/>
          <w:bCs/>
          <w:color w:val="auto"/>
          <w:kern w:val="0"/>
          <w:sz w:val="28"/>
          <w:szCs w:val="28"/>
          <w:shd w:val="clear" w:color="auto" w:fill="FFFFFF"/>
          <w:lang w:val="zh-CN"/>
        </w:rPr>
        <w:t>部门（单位）基本情况</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right="0" w:rightChars="0" w:firstLine="562" w:firstLineChars="200"/>
        <w:contextualSpacing/>
        <w:jc w:val="left"/>
        <w:textAlignment w:val="auto"/>
        <w:outlineLvl w:val="9"/>
        <w:rPr>
          <w:rFonts w:hint="eastAsia" w:asciiTheme="minorEastAsia" w:hAnsiTheme="minorEastAsia" w:eastAsiaTheme="minorEastAsia" w:cstheme="minorEastAsia"/>
          <w:b/>
          <w:bCs/>
          <w:color w:val="auto"/>
          <w:kern w:val="0"/>
          <w:sz w:val="28"/>
          <w:szCs w:val="28"/>
          <w:shd w:val="clear" w:color="auto" w:fill="FFFFFF"/>
          <w:lang w:val="zh-CN"/>
        </w:rPr>
      </w:pPr>
      <w:r>
        <w:rPr>
          <w:rFonts w:hint="eastAsia" w:asciiTheme="minorEastAsia" w:hAnsiTheme="minorEastAsia" w:eastAsiaTheme="minorEastAsia" w:cstheme="minorEastAsia"/>
          <w:b/>
          <w:bCs/>
          <w:color w:val="auto"/>
          <w:kern w:val="0"/>
          <w:sz w:val="28"/>
          <w:szCs w:val="28"/>
          <w:shd w:val="clear" w:color="auto" w:fill="FFFFFF"/>
          <w:lang w:val="zh-CN"/>
        </w:rPr>
        <w:t>机构组成</w:t>
      </w:r>
    </w:p>
    <w:p>
      <w:pPr>
        <w:pStyle w:val="36"/>
        <w:keepNext w:val="0"/>
        <w:keepLines w:val="0"/>
        <w:pageBreakBefore w:val="0"/>
        <w:kinsoku/>
        <w:wordWrap/>
        <w:overflowPunct/>
        <w:topLinePunct w:val="0"/>
        <w:autoSpaceDE/>
        <w:autoSpaceDN/>
        <w:bidi w:val="0"/>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广元市利州区财政局是广元市利州区人民政府的工作部门，内设股室</w:t>
      </w:r>
      <w:r>
        <w:rPr>
          <w:rFonts w:hint="eastAsia" w:asciiTheme="minorEastAsia" w:hAnsiTheme="minorEastAsia" w:eastAsiaTheme="minorEastAsia" w:cstheme="minorEastAsia"/>
          <w:color w:val="auto"/>
          <w:sz w:val="28"/>
          <w:szCs w:val="28"/>
          <w:lang w:val="en-US" w:eastAsia="zh-CN"/>
        </w:rPr>
        <w:t>13个，</w:t>
      </w:r>
      <w:r>
        <w:rPr>
          <w:rFonts w:hint="eastAsia" w:asciiTheme="minorEastAsia" w:hAnsiTheme="minorEastAsia" w:eastAsiaTheme="minorEastAsia" w:cstheme="minorEastAsia"/>
          <w:color w:val="auto"/>
          <w:sz w:val="28"/>
          <w:szCs w:val="28"/>
          <w:lang w:val="zh-CN"/>
        </w:rPr>
        <w:t>下属二级单位4个，其中行政单位0个，参照公务员法管理的事业单位1个，其他事业单位3个。</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right="0" w:rightChars="0" w:firstLine="562" w:firstLineChars="200"/>
        <w:textAlignment w:val="auto"/>
        <w:outlineLvl w:val="9"/>
        <w:rPr>
          <w:rFonts w:hint="eastAsia" w:asciiTheme="minorEastAsia" w:hAnsiTheme="minorEastAsia" w:eastAsiaTheme="minorEastAsia" w:cstheme="minorEastAsia"/>
          <w:b/>
          <w:bCs/>
          <w:color w:val="auto"/>
          <w:kern w:val="0"/>
          <w:sz w:val="28"/>
          <w:szCs w:val="28"/>
          <w:shd w:val="clear" w:color="auto" w:fill="FFFFFF"/>
          <w:lang w:val="zh-CN"/>
        </w:rPr>
      </w:pPr>
      <w:r>
        <w:rPr>
          <w:rFonts w:hint="eastAsia" w:asciiTheme="minorEastAsia" w:hAnsiTheme="minorEastAsia" w:eastAsiaTheme="minorEastAsia" w:cstheme="minorEastAsia"/>
          <w:b/>
          <w:bCs/>
          <w:color w:val="auto"/>
          <w:kern w:val="0"/>
          <w:sz w:val="28"/>
          <w:szCs w:val="28"/>
          <w:shd w:val="clear" w:color="auto" w:fill="FFFFFF"/>
          <w:lang w:val="zh-CN"/>
        </w:rPr>
        <w:t>机构职能和人员概况</w:t>
      </w:r>
    </w:p>
    <w:p>
      <w:pPr>
        <w:pStyle w:val="2"/>
        <w:keepNext w:val="0"/>
        <w:keepLines w:val="0"/>
        <w:pageBreakBefore w:val="0"/>
        <w:kinsoku/>
        <w:wordWrap/>
        <w:overflowPunct/>
        <w:topLinePunct w:val="0"/>
        <w:autoSpaceDE/>
        <w:autoSpaceDN/>
        <w:bidi w:val="0"/>
        <w:spacing w:after="0" w:line="360" w:lineRule="auto"/>
        <w:ind w:left="31680" w:right="0" w:rightChars="0" w:firstLine="0" w:firstLineChars="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机构职能</w:t>
      </w:r>
    </w:p>
    <w:p>
      <w:pPr>
        <w:keepNext w:val="0"/>
        <w:keepLines w:val="0"/>
        <w:pageBreakBefore w:val="0"/>
        <w:kinsoku/>
        <w:wordWrap/>
        <w:overflowPunct/>
        <w:topLinePunct w:val="0"/>
        <w:autoSpaceDE/>
        <w:autoSpaceDN/>
        <w:bidi w:val="0"/>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拟订全区财税发展战略、规划、政策和改革方案并组织实施。分析预测宏观经济形势，参与制定宏观经济政策，提出运用财税政策实施宏观调控和综合平衡社会财力的建议。拟定有关的分配政策，完善鼓励公益事业发展的财税政策。负责公共服务领域政府和社会资本合作工作。</w:t>
      </w:r>
    </w:p>
    <w:p>
      <w:pPr>
        <w:keepNext w:val="0"/>
        <w:keepLines w:val="0"/>
        <w:pageBreakBefore w:val="0"/>
        <w:kinsoku/>
        <w:wordWrap/>
        <w:overflowPunct/>
        <w:topLinePunct w:val="0"/>
        <w:autoSpaceDE/>
        <w:autoSpaceDN/>
        <w:bidi w:val="0"/>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（2）贯彻执行财政、税收、财务、会计管理的法律法规和规章。参与起草财政、税收、财务、会计管理方面的地方性法律和规章，并指导、监督执行。按照管理权限管理全区税政事项。</w:t>
      </w:r>
    </w:p>
    <w:p>
      <w:pPr>
        <w:keepNext w:val="0"/>
        <w:keepLines w:val="0"/>
        <w:pageBreakBefore w:val="0"/>
        <w:kinsoku/>
        <w:wordWrap/>
        <w:overflowPunct/>
        <w:topLinePunct w:val="0"/>
        <w:autoSpaceDE/>
        <w:autoSpaceDN/>
        <w:bidi w:val="0"/>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负责管理各项财政收支。编制年度区级预决算草案并组织执行。组织制定经费开支标准、定额，审核批复部门（单位）年度预决算。受区政府委托，向区人大及其常委会报告全区财政预算、执行和决算情况。负责政府投资基金财政出资的资产管理。负责预决算公开。负责全面实施预算绩效管理。</w:t>
      </w:r>
    </w:p>
    <w:p>
      <w:pPr>
        <w:keepNext w:val="0"/>
        <w:keepLines w:val="0"/>
        <w:pageBreakBefore w:val="0"/>
        <w:kinsoku/>
        <w:wordWrap/>
        <w:overflowPunct/>
        <w:topLinePunct w:val="0"/>
        <w:autoSpaceDE/>
        <w:autoSpaceDN/>
        <w:bidi w:val="0"/>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按分工负责政府非税收入管理。负责政府性基金管理，按规定管理行政事业性收费等其他非税收入。管理财政票据。制定彩票管理政策和有关办法，监管彩票市场，按规定管理彩票资金。协助履行住房公积金的行政监督职能。</w:t>
      </w:r>
    </w:p>
    <w:p>
      <w:pPr>
        <w:keepNext w:val="0"/>
        <w:keepLines w:val="0"/>
        <w:pageBreakBefore w:val="0"/>
        <w:kinsoku/>
        <w:wordWrap/>
        <w:overflowPunct/>
        <w:topLinePunct w:val="0"/>
        <w:autoSpaceDE/>
        <w:autoSpaceDN/>
        <w:bidi w:val="0"/>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（5）组织制定全区国库管理制度、国库集中收付制度，指导和监督国库业务，开展国库现金管理工作。贯彻执行政府财务报告编制办法并组织实施。贯彻执行政府采购政策，负责制定政府采购制度并监督管理。</w:t>
      </w:r>
    </w:p>
    <w:p>
      <w:pPr>
        <w:keepNext w:val="0"/>
        <w:keepLines w:val="0"/>
        <w:pageBreakBefore w:val="0"/>
        <w:kinsoku/>
        <w:wordWrap/>
        <w:overflowPunct/>
        <w:topLinePunct w:val="0"/>
        <w:autoSpaceDE/>
        <w:autoSpaceDN/>
        <w:bidi w:val="0"/>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（6）贯彻执行地方政府债务管理制度和政策，制定具体管理办法，编制地方政府债余额限额计划，统一管理政府外债，防范财政风险。</w:t>
      </w:r>
    </w:p>
    <w:p>
      <w:pPr>
        <w:keepNext w:val="0"/>
        <w:keepLines w:val="0"/>
        <w:pageBreakBefore w:val="0"/>
        <w:kinsoku/>
        <w:wordWrap/>
        <w:overflowPunct/>
        <w:topLinePunct w:val="0"/>
        <w:autoSpaceDE/>
        <w:autoSpaceDN/>
        <w:bidi w:val="0"/>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牵头编制全区国有资产管理情况报告。根据区政府授权，集中统一履行区级国有金融资本出资人职责。制定区级国有金融资本管理制度。拟订全区行政事业单位国有资产管理制度规定并组织实施。制定需要全区统一规定的开支标准和支出政策。</w:t>
      </w:r>
    </w:p>
    <w:p>
      <w:pPr>
        <w:keepNext w:val="0"/>
        <w:keepLines w:val="0"/>
        <w:pageBreakBefore w:val="0"/>
        <w:kinsoku/>
        <w:wordWrap/>
        <w:overflowPunct/>
        <w:topLinePunct w:val="0"/>
        <w:autoSpaceDE/>
        <w:autoSpaceDN/>
        <w:bidi w:val="0"/>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负责审核并汇总编制全区国有资本经营预决算草案。制订国有资本经营预算制度和办法，收取区本级企业国有资本收益。组织实施企业财务制度，负责财政预算内行政事业单位和社会团体的非贸易外汇和财政预算内的国际收支管理。</w:t>
      </w:r>
    </w:p>
    <w:p>
      <w:pPr>
        <w:keepNext w:val="0"/>
        <w:keepLines w:val="0"/>
        <w:pageBreakBefore w:val="0"/>
        <w:kinsoku/>
        <w:wordWrap/>
        <w:overflowPunct/>
        <w:topLinePunct w:val="0"/>
        <w:autoSpaceDE/>
        <w:autoSpaceDN/>
        <w:bidi w:val="0"/>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（9）负责审核并汇总编制全区社会保险基金预决算草案，会同有关部门拟订有关资金（基金）的财务管理制度，承担社会保险基金财政监管工作。</w:t>
      </w:r>
    </w:p>
    <w:p>
      <w:pPr>
        <w:keepNext w:val="0"/>
        <w:keepLines w:val="0"/>
        <w:pageBreakBefore w:val="0"/>
        <w:kinsoku/>
        <w:wordWrap/>
        <w:overflowPunct/>
        <w:topLinePunct w:val="0"/>
        <w:autoSpaceDE/>
        <w:autoSpaceDN/>
        <w:bidi w:val="0"/>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（10）负责办理和监督区级财政的经济发展支出、区级政府性投资项目的财政拨款，负责投资评审管理工作，参与拟订区级基建投资有关政策，制定基建财务管理制度。</w:t>
      </w:r>
    </w:p>
    <w:p>
      <w:pPr>
        <w:keepNext w:val="0"/>
        <w:keepLines w:val="0"/>
        <w:pageBreakBefore w:val="0"/>
        <w:kinsoku/>
        <w:wordWrap/>
        <w:overflowPunct/>
        <w:topLinePunct w:val="0"/>
        <w:autoSpaceDE/>
        <w:autoSpaceDN/>
        <w:bidi w:val="0"/>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（11）管理外国政府和国际金融机构贷（赠）款项目的有关业务，参与财经领域的国际交流合作。</w:t>
      </w:r>
    </w:p>
    <w:p>
      <w:pPr>
        <w:keepNext w:val="0"/>
        <w:keepLines w:val="0"/>
        <w:pageBreakBefore w:val="0"/>
        <w:kinsoku/>
        <w:wordWrap/>
        <w:overflowPunct/>
        <w:topLinePunct w:val="0"/>
        <w:autoSpaceDE/>
        <w:autoSpaceDN/>
        <w:bidi w:val="0"/>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（12）负责管理全区会计工作，监督和规范会计行为，组织实施国家统一的会计制度。</w:t>
      </w:r>
    </w:p>
    <w:p>
      <w:pPr>
        <w:keepNext w:val="0"/>
        <w:keepLines w:val="0"/>
        <w:pageBreakBefore w:val="0"/>
        <w:kinsoku/>
        <w:wordWrap/>
        <w:overflowPunct/>
        <w:topLinePunct w:val="0"/>
        <w:autoSpaceDE/>
        <w:autoSpaceDN/>
        <w:bidi w:val="0"/>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（13）负责职责范围内的安全生产和职业健康、生态环境保护、审批服务便民化等工作。</w:t>
      </w:r>
    </w:p>
    <w:p>
      <w:pPr>
        <w:keepNext w:val="0"/>
        <w:keepLines w:val="0"/>
        <w:pageBreakBefore w:val="0"/>
        <w:kinsoku/>
        <w:wordWrap/>
        <w:overflowPunct/>
        <w:topLinePunct w:val="0"/>
        <w:autoSpaceDE/>
        <w:autoSpaceDN/>
        <w:bidi w:val="0"/>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（14）完成区委、区政府交办的其他任务。</w:t>
      </w:r>
    </w:p>
    <w:p>
      <w:pPr>
        <w:ind w:firstLine="560" w:firstLineChars="200"/>
        <w:rPr>
          <w:rFonts w:hint="eastAsia" w:asciiTheme="minorEastAsia" w:hAnsiTheme="minorEastAsia" w:eastAsiaTheme="minorEastAsia" w:cstheme="minorEastAsia"/>
          <w:bCs/>
          <w:color w:val="auto"/>
          <w:kern w:val="0"/>
          <w:sz w:val="28"/>
          <w:szCs w:val="28"/>
          <w:shd w:val="clear" w:color="auto" w:fill="FFFFFF"/>
          <w:lang w:val="zh-CN"/>
        </w:rPr>
      </w:pPr>
      <w:r>
        <w:rPr>
          <w:rFonts w:hint="eastAsia" w:asciiTheme="minorEastAsia" w:hAnsiTheme="minorEastAsia" w:eastAsiaTheme="minorEastAsia" w:cstheme="minorEastAsia"/>
          <w:bCs/>
          <w:color w:val="auto"/>
          <w:sz w:val="28"/>
          <w:szCs w:val="28"/>
        </w:rPr>
        <w:t>2、</w:t>
      </w:r>
      <w:r>
        <w:rPr>
          <w:rFonts w:hint="eastAsia" w:asciiTheme="minorEastAsia" w:hAnsiTheme="minorEastAsia" w:eastAsiaTheme="minorEastAsia" w:cstheme="minorEastAsia"/>
          <w:bCs/>
          <w:color w:val="auto"/>
          <w:kern w:val="0"/>
          <w:sz w:val="28"/>
          <w:szCs w:val="28"/>
          <w:shd w:val="clear" w:color="auto" w:fill="FFFFFF"/>
          <w:lang w:val="zh-CN"/>
        </w:rPr>
        <w:t>人员概况</w:t>
      </w:r>
    </w:p>
    <w:p>
      <w:pPr>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bCs/>
          <w:color w:val="auto"/>
          <w:sz w:val="28"/>
          <w:szCs w:val="28"/>
          <w:lang w:val="zh-CN"/>
        </w:rPr>
        <w:t>广元市利州区财政局是纳入202</w:t>
      </w:r>
      <w:r>
        <w:rPr>
          <w:rFonts w:hint="eastAsia" w:asciiTheme="minorEastAsia" w:hAnsiTheme="minorEastAsia" w:eastAsiaTheme="minorEastAsia" w:cstheme="minorEastAsia"/>
          <w:bCs/>
          <w:color w:val="auto"/>
          <w:sz w:val="28"/>
          <w:szCs w:val="28"/>
        </w:rPr>
        <w:t>2</w:t>
      </w:r>
      <w:r>
        <w:rPr>
          <w:rFonts w:hint="eastAsia" w:asciiTheme="minorEastAsia" w:hAnsiTheme="minorEastAsia" w:eastAsiaTheme="minorEastAsia" w:cstheme="minorEastAsia"/>
          <w:bCs/>
          <w:color w:val="auto"/>
          <w:sz w:val="28"/>
          <w:szCs w:val="28"/>
          <w:lang w:val="zh-CN"/>
        </w:rPr>
        <w:t>年度预算的独立核算单位，本单位执行的是行政机关管理制度，属一级预算单位。共有编制数5</w:t>
      </w:r>
      <w:r>
        <w:rPr>
          <w:rFonts w:hint="eastAsia" w:asciiTheme="minorEastAsia" w:hAnsiTheme="minorEastAsia" w:eastAsiaTheme="minorEastAsia" w:cstheme="minorEastAsia"/>
          <w:bCs/>
          <w:color w:val="auto"/>
          <w:sz w:val="28"/>
          <w:szCs w:val="28"/>
        </w:rPr>
        <w:t>9</w:t>
      </w:r>
      <w:r>
        <w:rPr>
          <w:rFonts w:hint="eastAsia" w:asciiTheme="minorEastAsia" w:hAnsiTheme="minorEastAsia" w:eastAsiaTheme="minorEastAsia" w:cstheme="minorEastAsia"/>
          <w:bCs/>
          <w:color w:val="auto"/>
          <w:sz w:val="28"/>
          <w:szCs w:val="28"/>
          <w:lang w:val="zh-CN"/>
        </w:rPr>
        <w:t>名，其中行政编制</w:t>
      </w:r>
      <w:r>
        <w:rPr>
          <w:rFonts w:hint="eastAsia" w:asciiTheme="minorEastAsia" w:hAnsiTheme="minorEastAsia" w:eastAsiaTheme="minorEastAsia" w:cstheme="minorEastAsia"/>
          <w:bCs/>
          <w:color w:val="auto"/>
          <w:sz w:val="28"/>
          <w:szCs w:val="28"/>
        </w:rPr>
        <w:t>19</w:t>
      </w:r>
      <w:r>
        <w:rPr>
          <w:rFonts w:hint="eastAsia" w:asciiTheme="minorEastAsia" w:hAnsiTheme="minorEastAsia" w:eastAsiaTheme="minorEastAsia" w:cstheme="minorEastAsia"/>
          <w:bCs/>
          <w:color w:val="auto"/>
          <w:sz w:val="28"/>
          <w:szCs w:val="28"/>
          <w:lang w:val="zh-CN"/>
        </w:rPr>
        <w:t>名，参公编制</w:t>
      </w:r>
      <w:r>
        <w:rPr>
          <w:rFonts w:hint="eastAsia" w:asciiTheme="minorEastAsia" w:hAnsiTheme="minorEastAsia" w:eastAsiaTheme="minorEastAsia" w:cstheme="minorEastAsia"/>
          <w:bCs/>
          <w:color w:val="auto"/>
          <w:sz w:val="28"/>
          <w:szCs w:val="28"/>
        </w:rPr>
        <w:t>13</w:t>
      </w:r>
      <w:r>
        <w:rPr>
          <w:rFonts w:hint="eastAsia" w:asciiTheme="minorEastAsia" w:hAnsiTheme="minorEastAsia" w:eastAsiaTheme="minorEastAsia" w:cstheme="minorEastAsia"/>
          <w:bCs/>
          <w:color w:val="auto"/>
          <w:sz w:val="28"/>
          <w:szCs w:val="28"/>
          <w:lang w:val="zh-CN"/>
        </w:rPr>
        <w:t>名，事业编制2</w:t>
      </w:r>
      <w:r>
        <w:rPr>
          <w:rFonts w:hint="eastAsia" w:asciiTheme="minorEastAsia" w:hAnsiTheme="minorEastAsia" w:eastAsiaTheme="minorEastAsia" w:cstheme="minorEastAsia"/>
          <w:bCs/>
          <w:color w:val="auto"/>
          <w:sz w:val="28"/>
          <w:szCs w:val="28"/>
        </w:rPr>
        <w:t>5</w:t>
      </w:r>
      <w:r>
        <w:rPr>
          <w:rFonts w:hint="eastAsia" w:asciiTheme="minorEastAsia" w:hAnsiTheme="minorEastAsia" w:eastAsiaTheme="minorEastAsia" w:cstheme="minorEastAsia"/>
          <w:bCs/>
          <w:color w:val="auto"/>
          <w:sz w:val="28"/>
          <w:szCs w:val="28"/>
          <w:lang w:val="zh-CN"/>
        </w:rPr>
        <w:t>名，工勤编制2名。在职人员总数5</w:t>
      </w:r>
      <w:r>
        <w:rPr>
          <w:rFonts w:hint="eastAsia" w:asciiTheme="minorEastAsia" w:hAnsiTheme="minorEastAsia" w:eastAsiaTheme="minorEastAsia" w:cstheme="minorEastAsia"/>
          <w:bCs/>
          <w:color w:val="auto"/>
          <w:sz w:val="28"/>
          <w:szCs w:val="28"/>
        </w:rPr>
        <w:t>8</w:t>
      </w:r>
      <w:r>
        <w:rPr>
          <w:rFonts w:hint="eastAsia" w:asciiTheme="minorEastAsia" w:hAnsiTheme="minorEastAsia" w:eastAsiaTheme="minorEastAsia" w:cstheme="minorEastAsia"/>
          <w:bCs/>
          <w:color w:val="auto"/>
          <w:sz w:val="28"/>
          <w:szCs w:val="28"/>
          <w:lang w:val="zh-CN"/>
        </w:rPr>
        <w:t>人，其中行政人员</w:t>
      </w:r>
      <w:r>
        <w:rPr>
          <w:rFonts w:hint="eastAsia" w:asciiTheme="minorEastAsia" w:hAnsiTheme="minorEastAsia" w:eastAsiaTheme="minorEastAsia" w:cstheme="minorEastAsia"/>
          <w:bCs/>
          <w:color w:val="auto"/>
          <w:sz w:val="28"/>
          <w:szCs w:val="28"/>
        </w:rPr>
        <w:t>18</w:t>
      </w:r>
      <w:r>
        <w:rPr>
          <w:rFonts w:hint="eastAsia" w:asciiTheme="minorEastAsia" w:hAnsiTheme="minorEastAsia" w:eastAsiaTheme="minorEastAsia" w:cstheme="minorEastAsia"/>
          <w:bCs/>
          <w:color w:val="auto"/>
          <w:sz w:val="28"/>
          <w:szCs w:val="28"/>
          <w:lang w:val="zh-CN"/>
        </w:rPr>
        <w:t>人，参公人员</w:t>
      </w:r>
      <w:r>
        <w:rPr>
          <w:rFonts w:hint="eastAsia" w:asciiTheme="minorEastAsia" w:hAnsiTheme="minorEastAsia" w:eastAsiaTheme="minorEastAsia" w:cstheme="minorEastAsia"/>
          <w:bCs/>
          <w:color w:val="auto"/>
          <w:sz w:val="28"/>
          <w:szCs w:val="28"/>
        </w:rPr>
        <w:t>13</w:t>
      </w:r>
      <w:r>
        <w:rPr>
          <w:rFonts w:hint="eastAsia" w:asciiTheme="minorEastAsia" w:hAnsiTheme="minorEastAsia" w:eastAsiaTheme="minorEastAsia" w:cstheme="minorEastAsia"/>
          <w:bCs/>
          <w:color w:val="auto"/>
          <w:sz w:val="28"/>
          <w:szCs w:val="28"/>
          <w:lang w:val="zh-CN"/>
        </w:rPr>
        <w:t>人，工勤人员2人，事业人员2</w:t>
      </w:r>
      <w:r>
        <w:rPr>
          <w:rFonts w:hint="eastAsia" w:asciiTheme="minorEastAsia" w:hAnsiTheme="minorEastAsia" w:eastAsiaTheme="minorEastAsia" w:cstheme="minorEastAsia"/>
          <w:bCs/>
          <w:color w:val="auto"/>
          <w:sz w:val="28"/>
          <w:szCs w:val="28"/>
        </w:rPr>
        <w:t>5</w:t>
      </w:r>
      <w:r>
        <w:rPr>
          <w:rFonts w:hint="eastAsia" w:asciiTheme="minorEastAsia" w:hAnsiTheme="minorEastAsia" w:eastAsiaTheme="minorEastAsia" w:cstheme="minorEastAsia"/>
          <w:bCs/>
          <w:color w:val="auto"/>
          <w:sz w:val="28"/>
          <w:szCs w:val="28"/>
          <w:lang w:val="zh-CN"/>
        </w:rPr>
        <w:t>人；离退休人员</w:t>
      </w:r>
      <w:r>
        <w:rPr>
          <w:rFonts w:hint="eastAsia" w:asciiTheme="minorEastAsia" w:hAnsiTheme="minorEastAsia" w:eastAsiaTheme="minorEastAsia" w:cstheme="minorEastAsia"/>
          <w:bCs/>
          <w:color w:val="auto"/>
          <w:sz w:val="28"/>
          <w:szCs w:val="28"/>
        </w:rPr>
        <w:t>28</w:t>
      </w:r>
      <w:r>
        <w:rPr>
          <w:rFonts w:hint="eastAsia" w:asciiTheme="minorEastAsia" w:hAnsiTheme="minorEastAsia" w:eastAsiaTheme="minorEastAsia" w:cstheme="minorEastAsia"/>
          <w:bCs/>
          <w:color w:val="auto"/>
          <w:sz w:val="28"/>
          <w:szCs w:val="28"/>
          <w:lang w:val="zh-CN"/>
        </w:rPr>
        <w:t>人，聘用财政评审人员</w:t>
      </w:r>
      <w:r>
        <w:rPr>
          <w:rFonts w:hint="eastAsia" w:asciiTheme="minorEastAsia" w:hAnsiTheme="minorEastAsia" w:eastAsiaTheme="minorEastAsia" w:cstheme="minorEastAsia"/>
          <w:bCs/>
          <w:color w:val="auto"/>
          <w:sz w:val="28"/>
          <w:szCs w:val="28"/>
        </w:rPr>
        <w:t>9</w:t>
      </w:r>
      <w:r>
        <w:rPr>
          <w:rFonts w:hint="eastAsia" w:asciiTheme="minorEastAsia" w:hAnsiTheme="minorEastAsia" w:eastAsiaTheme="minorEastAsia" w:cstheme="minorEastAsia"/>
          <w:bCs/>
          <w:color w:val="auto"/>
          <w:sz w:val="28"/>
          <w:szCs w:val="28"/>
          <w:lang w:val="zh-CN"/>
        </w:rPr>
        <w:t>人，</w:t>
      </w:r>
      <w:r>
        <w:rPr>
          <w:rFonts w:hint="eastAsia" w:asciiTheme="minorEastAsia" w:hAnsiTheme="minorEastAsia" w:eastAsiaTheme="minorEastAsia" w:cstheme="minorEastAsia"/>
          <w:bCs/>
          <w:color w:val="auto"/>
          <w:sz w:val="28"/>
          <w:szCs w:val="28"/>
          <w:highlight w:val="none"/>
          <w:lang w:val="zh-CN"/>
        </w:rPr>
        <w:t>临聘人员</w:t>
      </w:r>
      <w:r>
        <w:rPr>
          <w:rFonts w:hint="eastAsia" w:asciiTheme="minorEastAsia" w:hAnsiTheme="minorEastAsia" w:eastAsiaTheme="minorEastAsia" w:cstheme="minorEastAsia"/>
          <w:bCs/>
          <w:color w:val="auto"/>
          <w:sz w:val="28"/>
          <w:szCs w:val="28"/>
          <w:highlight w:val="none"/>
        </w:rPr>
        <w:t>3</w:t>
      </w:r>
      <w:r>
        <w:rPr>
          <w:rFonts w:hint="eastAsia" w:asciiTheme="minorEastAsia" w:hAnsiTheme="minorEastAsia" w:eastAsiaTheme="minorEastAsia" w:cstheme="minorEastAsia"/>
          <w:bCs/>
          <w:color w:val="auto"/>
          <w:sz w:val="28"/>
          <w:szCs w:val="28"/>
          <w:highlight w:val="none"/>
          <w:lang w:val="zh-CN"/>
        </w:rPr>
        <w:t>人</w:t>
      </w:r>
      <w:r>
        <w:rPr>
          <w:rFonts w:hint="eastAsia" w:asciiTheme="minorEastAsia" w:hAnsiTheme="minorEastAsia" w:eastAsiaTheme="minorEastAsia" w:cstheme="minorEastAsia"/>
          <w:bCs/>
          <w:color w:val="auto"/>
          <w:sz w:val="28"/>
          <w:szCs w:val="28"/>
          <w:lang w:val="zh-CN"/>
        </w:rPr>
        <w:t>。</w:t>
      </w:r>
    </w:p>
    <w:p>
      <w:pPr>
        <w:widowControl/>
        <w:numPr>
          <w:ilvl w:val="0"/>
          <w:numId w:val="6"/>
        </w:numPr>
        <w:adjustRightInd w:val="0"/>
        <w:snapToGrid w:val="0"/>
        <w:spacing w:line="560" w:lineRule="exact"/>
        <w:ind w:firstLine="562" w:firstLineChars="200"/>
        <w:contextualSpacing/>
        <w:jc w:val="left"/>
        <w:rPr>
          <w:rFonts w:hint="eastAsia" w:asciiTheme="minorEastAsia" w:hAnsiTheme="minorEastAsia" w:eastAsiaTheme="minorEastAsia" w:cstheme="minorEastAsia"/>
          <w:b/>
          <w:bCs/>
          <w:color w:val="auto"/>
          <w:kern w:val="0"/>
          <w:sz w:val="28"/>
          <w:szCs w:val="28"/>
          <w:shd w:val="clear" w:color="auto" w:fill="FFFFFF"/>
          <w:lang w:val="zh-CN"/>
        </w:rPr>
      </w:pPr>
      <w:r>
        <w:rPr>
          <w:rFonts w:hint="eastAsia" w:asciiTheme="minorEastAsia" w:hAnsiTheme="minorEastAsia" w:eastAsiaTheme="minorEastAsia" w:cstheme="minorEastAsia"/>
          <w:b/>
          <w:bCs/>
          <w:color w:val="auto"/>
          <w:kern w:val="0"/>
          <w:sz w:val="28"/>
          <w:szCs w:val="28"/>
          <w:shd w:val="clear" w:color="auto" w:fill="FFFFFF"/>
          <w:lang w:val="zh-CN"/>
        </w:rPr>
        <w:t>年度主要工作任务</w:t>
      </w:r>
    </w:p>
    <w:p>
      <w:pPr>
        <w:pStyle w:val="2"/>
        <w:ind w:left="0" w:leftChars="0" w:firstLine="560" w:firstLineChars="20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一是持续强化收支管理，全力以赴增收节支力促财政平稳运行；二是持续强化民生保障，尽心竭力保障民生投入助推民生福祉持续改善；三是持续强化财政支撑，千方百计以务实举措扛牢稳经济促发展责任担当；四是持续强化精细管理，持之以恒深化财政改革助推财政高质量发展；五是持续强化政治建设，坚定不移以党建引领赋能财政队伍建设；六是持续强化问题导向，认真细致查漏补缺着力防范化解各类财政风险。</w:t>
      </w:r>
    </w:p>
    <w:p>
      <w:pPr>
        <w:widowControl/>
        <w:numPr>
          <w:ilvl w:val="0"/>
          <w:numId w:val="6"/>
        </w:numPr>
        <w:adjustRightInd w:val="0"/>
        <w:snapToGrid w:val="0"/>
        <w:spacing w:line="560" w:lineRule="exact"/>
        <w:ind w:firstLine="562" w:firstLineChars="200"/>
        <w:contextualSpacing/>
        <w:jc w:val="left"/>
        <w:rPr>
          <w:rFonts w:hint="eastAsia" w:asciiTheme="minorEastAsia" w:hAnsiTheme="minorEastAsia" w:eastAsiaTheme="minorEastAsia" w:cstheme="minorEastAsia"/>
          <w:b/>
          <w:bCs/>
          <w:color w:val="auto"/>
          <w:kern w:val="0"/>
          <w:sz w:val="28"/>
          <w:szCs w:val="28"/>
          <w:shd w:val="clear" w:color="auto" w:fill="FFFFFF"/>
          <w:lang w:val="zh-CN"/>
        </w:rPr>
      </w:pPr>
      <w:r>
        <w:rPr>
          <w:rFonts w:hint="eastAsia" w:asciiTheme="minorEastAsia" w:hAnsiTheme="minorEastAsia" w:eastAsiaTheme="minorEastAsia" w:cstheme="minorEastAsia"/>
          <w:b/>
          <w:bCs/>
          <w:color w:val="auto"/>
          <w:kern w:val="0"/>
          <w:sz w:val="28"/>
          <w:szCs w:val="28"/>
          <w:shd w:val="clear" w:color="auto" w:fill="FFFFFF"/>
          <w:lang w:val="zh-CN"/>
        </w:rPr>
        <w:t>部门整体支出绩效目标</w:t>
      </w:r>
    </w:p>
    <w:p>
      <w:pPr>
        <w:pStyle w:val="36"/>
        <w:ind w:left="0" w:leftChars="0" w:firstLine="840" w:firstLineChars="3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kern w:val="0"/>
          <w:sz w:val="28"/>
          <w:szCs w:val="28"/>
          <w:shd w:val="clear" w:color="auto" w:fill="FFFFFF"/>
          <w:lang w:val="zh-CN"/>
        </w:rPr>
        <w:t>在区委</w:t>
      </w:r>
      <w:r>
        <w:rPr>
          <w:rFonts w:hint="eastAsia" w:asciiTheme="minorEastAsia" w:hAnsiTheme="minorEastAsia" w:eastAsiaTheme="minorEastAsia" w:cstheme="minorEastAsia"/>
          <w:color w:val="auto"/>
          <w:kern w:val="0"/>
          <w:sz w:val="28"/>
          <w:szCs w:val="28"/>
          <w:highlight w:val="none"/>
          <w:shd w:val="clear" w:color="auto" w:fill="FFFFFF"/>
          <w:lang w:val="zh-CN"/>
        </w:rPr>
        <w:t>区政府</w:t>
      </w:r>
      <w:r>
        <w:rPr>
          <w:rFonts w:hint="eastAsia" w:asciiTheme="minorEastAsia" w:hAnsiTheme="minorEastAsia" w:eastAsiaTheme="minorEastAsia" w:cstheme="minorEastAsia"/>
          <w:color w:val="auto"/>
          <w:kern w:val="0"/>
          <w:sz w:val="28"/>
          <w:szCs w:val="28"/>
          <w:shd w:val="clear" w:color="auto" w:fill="FFFFFF"/>
          <w:lang w:val="zh-CN"/>
        </w:rPr>
        <w:t>的正确领导下，全面落实区九届人大二次会议的决议和要求，围绕“六稳”“六保”大局，以更加扎实的工作作风、更加昂扬的实干精神、更加强烈的使命担当，千方百计挖潜增收，精打细算安排支出，想方设法支持发展，毫不松懈防范风险。</w:t>
      </w:r>
      <w:r>
        <w:rPr>
          <w:rFonts w:hint="eastAsia" w:asciiTheme="minorEastAsia" w:hAnsiTheme="minorEastAsia" w:eastAsiaTheme="minorEastAsia" w:cstheme="minorEastAsia"/>
          <w:strike w:val="0"/>
          <w:dstrike w:val="0"/>
          <w:color w:val="auto"/>
          <w:kern w:val="0"/>
          <w:sz w:val="28"/>
          <w:szCs w:val="28"/>
          <w:highlight w:val="none"/>
          <w:shd w:val="clear" w:color="auto" w:fill="FFFFFF"/>
          <w:lang w:val="zh-CN"/>
        </w:rPr>
        <w:t>为全区经济社会高质量发展提供坚实财力保障。</w:t>
      </w:r>
    </w:p>
    <w:p>
      <w:pPr>
        <w:widowControl/>
        <w:adjustRightInd w:val="0"/>
        <w:snapToGrid w:val="0"/>
        <w:spacing w:line="560" w:lineRule="exact"/>
        <w:ind w:firstLine="562" w:firstLineChars="200"/>
        <w:contextualSpacing/>
        <w:jc w:val="left"/>
        <w:rPr>
          <w:rFonts w:hint="eastAsia" w:asciiTheme="minorEastAsia" w:hAnsiTheme="minorEastAsia" w:eastAsiaTheme="minorEastAsia" w:cstheme="minorEastAsia"/>
          <w:b/>
          <w:bCs/>
          <w:color w:val="auto"/>
          <w:kern w:val="0"/>
          <w:sz w:val="28"/>
          <w:szCs w:val="28"/>
          <w:shd w:val="clear" w:color="auto" w:fill="FFFFFF"/>
        </w:rPr>
      </w:pPr>
      <w:r>
        <w:rPr>
          <w:rFonts w:hint="eastAsia" w:asciiTheme="minorEastAsia" w:hAnsiTheme="minorEastAsia" w:eastAsiaTheme="minorEastAsia" w:cstheme="minorEastAsia"/>
          <w:b/>
          <w:bCs/>
          <w:color w:val="auto"/>
          <w:kern w:val="0"/>
          <w:sz w:val="28"/>
          <w:szCs w:val="28"/>
          <w:shd w:val="clear" w:color="auto" w:fill="FFFFFF"/>
        </w:rPr>
        <w:t>二、部门资金收支情况</w:t>
      </w:r>
    </w:p>
    <w:p>
      <w:pPr>
        <w:widowControl/>
        <w:adjustRightInd w:val="0"/>
        <w:snapToGrid w:val="0"/>
        <w:spacing w:line="560" w:lineRule="exact"/>
        <w:ind w:firstLine="562" w:firstLineChars="200"/>
        <w:contextualSpacing/>
        <w:jc w:val="left"/>
        <w:rPr>
          <w:rFonts w:hint="eastAsia" w:asciiTheme="minorEastAsia" w:hAnsiTheme="minorEastAsia" w:eastAsiaTheme="minorEastAsia" w:cstheme="minorEastAsia"/>
          <w:b/>
          <w:bCs/>
          <w:color w:val="auto"/>
          <w:kern w:val="0"/>
          <w:sz w:val="28"/>
          <w:szCs w:val="28"/>
          <w:shd w:val="clear" w:color="auto" w:fill="FFFFFF"/>
          <w:lang w:val="zh-CN"/>
        </w:rPr>
      </w:pPr>
      <w:r>
        <w:rPr>
          <w:rFonts w:hint="eastAsia" w:asciiTheme="minorEastAsia" w:hAnsiTheme="minorEastAsia" w:eastAsiaTheme="minorEastAsia" w:cstheme="minorEastAsia"/>
          <w:b/>
          <w:bCs/>
          <w:color w:val="auto"/>
          <w:kern w:val="0"/>
          <w:sz w:val="28"/>
          <w:szCs w:val="28"/>
          <w:shd w:val="clear" w:color="auto" w:fill="FFFFFF"/>
          <w:lang w:val="zh-CN"/>
        </w:rPr>
        <w:t>（一）部门总体收支情况</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1.部门总体收入情况</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广元市利州区财政局2022年部门总体收入2099.69万元，较2021年部门总体收入减少411.28万元，下降16.38%。</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2.部门总体支出情况</w:t>
      </w:r>
    </w:p>
    <w:p>
      <w:pPr>
        <w:spacing w:line="58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广元市利州区财政局2022年部门总体支出2099.69万元，较2021年部门总体支出减少411.28万元，下降16.38%。其中：2022年部门基本支出1017.87万元，项目支出1081.78万元。</w:t>
      </w:r>
    </w:p>
    <w:p>
      <w:pPr>
        <w:widowControl/>
        <w:adjustRightInd w:val="0"/>
        <w:snapToGrid w:val="0"/>
        <w:spacing w:line="560" w:lineRule="exact"/>
        <w:ind w:left="420" w:leftChars="200" w:firstLine="280" w:firstLineChars="100"/>
        <w:contextualSpacing/>
        <w:jc w:val="left"/>
        <w:rPr>
          <w:rFonts w:hint="eastAsia" w:asciiTheme="minorEastAsia" w:hAnsiTheme="minorEastAsia" w:eastAsiaTheme="minorEastAsia" w:cstheme="minorEastAsia"/>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3.部门总体结转结余情况</w:t>
      </w:r>
    </w:p>
    <w:p>
      <w:pPr>
        <w:pStyle w:val="36"/>
        <w:ind w:left="0"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上年结转结余资金448.47万元，本年无结转结余资金。</w:t>
      </w:r>
    </w:p>
    <w:p>
      <w:pPr>
        <w:widowControl/>
        <w:adjustRightInd w:val="0"/>
        <w:snapToGrid w:val="0"/>
        <w:spacing w:line="560" w:lineRule="exact"/>
        <w:ind w:firstLine="562" w:firstLineChars="200"/>
        <w:contextualSpacing/>
        <w:jc w:val="left"/>
        <w:rPr>
          <w:rFonts w:hint="eastAsia" w:asciiTheme="minorEastAsia" w:hAnsiTheme="minorEastAsia" w:eastAsiaTheme="minorEastAsia" w:cstheme="minorEastAsia"/>
          <w:b/>
          <w:bCs/>
          <w:color w:val="auto"/>
          <w:kern w:val="0"/>
          <w:sz w:val="28"/>
          <w:szCs w:val="28"/>
          <w:shd w:val="clear" w:color="auto" w:fill="FFFFFF"/>
          <w:lang w:val="zh-CN"/>
        </w:rPr>
      </w:pPr>
      <w:r>
        <w:rPr>
          <w:rFonts w:hint="eastAsia" w:asciiTheme="minorEastAsia" w:hAnsiTheme="minorEastAsia" w:eastAsiaTheme="minorEastAsia" w:cstheme="minorEastAsia"/>
          <w:b/>
          <w:bCs/>
          <w:color w:val="auto"/>
          <w:kern w:val="0"/>
          <w:sz w:val="28"/>
          <w:szCs w:val="28"/>
          <w:shd w:val="clear" w:color="auto" w:fill="FFFFFF"/>
          <w:lang w:val="zh-CN"/>
        </w:rPr>
        <w:t>（二）部门财政拨款收支情况</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1.部门财政拨款收入情况</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2022年度财政拨款收入总计2099.65万元。较2021年收入总计</w:t>
      </w:r>
      <w:r>
        <w:rPr>
          <w:rFonts w:hint="eastAsia" w:asciiTheme="minorEastAsia" w:hAnsiTheme="minorEastAsia" w:eastAsiaTheme="minorEastAsia" w:cstheme="minorEastAsia"/>
          <w:color w:val="auto"/>
          <w:sz w:val="28"/>
          <w:szCs w:val="28"/>
        </w:rPr>
        <w:t>减少411.28万元，下降16.38%</w:t>
      </w:r>
      <w:r>
        <w:rPr>
          <w:rFonts w:hint="eastAsia" w:asciiTheme="minorEastAsia" w:hAnsiTheme="minorEastAsia" w:eastAsiaTheme="minorEastAsia" w:cstheme="minorEastAsia"/>
          <w:color w:val="auto"/>
          <w:kern w:val="0"/>
          <w:sz w:val="28"/>
          <w:szCs w:val="28"/>
          <w:shd w:val="clear" w:color="auto" w:fill="FFFFFF"/>
        </w:rPr>
        <w:t>。主要变动原因是</w:t>
      </w:r>
      <w:r>
        <w:rPr>
          <w:rFonts w:hint="eastAsia" w:asciiTheme="minorEastAsia" w:hAnsiTheme="minorEastAsia" w:eastAsiaTheme="minorEastAsia" w:cstheme="minorEastAsia"/>
          <w:color w:val="auto"/>
          <w:sz w:val="28"/>
          <w:szCs w:val="28"/>
        </w:rPr>
        <w:t>按政策规定压减项目支出。</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2.部门财政拨款支出情况</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2022年度财政拨款支出总计2099.65万元。较2021年收入总计</w:t>
      </w:r>
      <w:r>
        <w:rPr>
          <w:rFonts w:hint="eastAsia" w:asciiTheme="minorEastAsia" w:hAnsiTheme="minorEastAsia" w:eastAsiaTheme="minorEastAsia" w:cstheme="minorEastAsia"/>
          <w:color w:val="auto"/>
          <w:sz w:val="28"/>
          <w:szCs w:val="28"/>
        </w:rPr>
        <w:t>减少411.28万元，下降16.38%</w:t>
      </w:r>
      <w:r>
        <w:rPr>
          <w:rFonts w:hint="eastAsia" w:asciiTheme="minorEastAsia" w:hAnsiTheme="minorEastAsia" w:eastAsiaTheme="minorEastAsia" w:cstheme="minorEastAsia"/>
          <w:color w:val="auto"/>
          <w:kern w:val="0"/>
          <w:sz w:val="28"/>
          <w:szCs w:val="28"/>
          <w:shd w:val="clear" w:color="auto" w:fill="FFFFFF"/>
        </w:rPr>
        <w:t>。主要变动原因是</w:t>
      </w:r>
      <w:r>
        <w:rPr>
          <w:rFonts w:hint="eastAsia" w:asciiTheme="minorEastAsia" w:hAnsiTheme="minorEastAsia" w:eastAsiaTheme="minorEastAsia" w:cstheme="minorEastAsia"/>
          <w:color w:val="auto"/>
          <w:sz w:val="28"/>
          <w:szCs w:val="28"/>
        </w:rPr>
        <w:t>按政策规定压减项目支出。</w:t>
      </w:r>
    </w:p>
    <w:p>
      <w:pPr>
        <w:widowControl/>
        <w:adjustRightInd w:val="0"/>
        <w:snapToGrid w:val="0"/>
        <w:spacing w:line="560" w:lineRule="exact"/>
        <w:ind w:left="420" w:leftChars="200" w:firstLine="280" w:firstLineChars="100"/>
        <w:contextualSpacing/>
        <w:jc w:val="left"/>
        <w:rPr>
          <w:rFonts w:hint="eastAsia" w:asciiTheme="minorEastAsia" w:hAnsiTheme="minorEastAsia" w:eastAsiaTheme="minorEastAsia" w:cstheme="minorEastAsia"/>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3.部门财政拨款结转结余情况</w:t>
      </w:r>
    </w:p>
    <w:p>
      <w:pPr>
        <w:widowControl/>
        <w:adjustRightInd w:val="0"/>
        <w:snapToGrid w:val="0"/>
        <w:spacing w:line="560" w:lineRule="exact"/>
        <w:ind w:left="420" w:leftChars="200" w:firstLine="280" w:firstLineChars="100"/>
        <w:contextualSpacing/>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shd w:val="clear" w:color="auto" w:fill="FFFFFF"/>
        </w:rPr>
        <w:t>上年结转结余资金448.47万元，本年无结转结余资金。</w:t>
      </w:r>
    </w:p>
    <w:p>
      <w:pPr>
        <w:widowControl/>
        <w:adjustRightInd w:val="0"/>
        <w:snapToGrid w:val="0"/>
        <w:spacing w:line="560" w:lineRule="exact"/>
        <w:ind w:firstLine="562" w:firstLineChars="200"/>
        <w:contextualSpacing/>
        <w:jc w:val="left"/>
        <w:rPr>
          <w:rFonts w:hint="eastAsia" w:asciiTheme="minorEastAsia" w:hAnsiTheme="minorEastAsia" w:eastAsiaTheme="minorEastAsia" w:cstheme="minorEastAsia"/>
          <w:b/>
          <w:bCs/>
          <w:color w:val="auto"/>
          <w:kern w:val="0"/>
          <w:sz w:val="28"/>
          <w:szCs w:val="28"/>
          <w:shd w:val="clear" w:color="auto" w:fill="FFFFFF"/>
        </w:rPr>
      </w:pPr>
      <w:r>
        <w:rPr>
          <w:rFonts w:hint="eastAsia" w:asciiTheme="minorEastAsia" w:hAnsiTheme="minorEastAsia" w:eastAsiaTheme="minorEastAsia" w:cstheme="minorEastAsia"/>
          <w:b/>
          <w:bCs/>
          <w:color w:val="auto"/>
          <w:kern w:val="0"/>
          <w:sz w:val="28"/>
          <w:szCs w:val="28"/>
          <w:shd w:val="clear" w:color="auto" w:fill="FFFFFF"/>
        </w:rPr>
        <w:t>三、部门整体绩效分析</w:t>
      </w:r>
    </w:p>
    <w:p>
      <w:pPr>
        <w:widowControl/>
        <w:adjustRightInd w:val="0"/>
        <w:snapToGrid w:val="0"/>
        <w:spacing w:line="560" w:lineRule="exact"/>
        <w:ind w:firstLine="562" w:firstLineChars="200"/>
        <w:contextualSpacing/>
        <w:jc w:val="left"/>
        <w:rPr>
          <w:rFonts w:hint="eastAsia" w:asciiTheme="minorEastAsia" w:hAnsiTheme="minorEastAsia" w:eastAsiaTheme="minorEastAsia" w:cstheme="minorEastAsia"/>
          <w:color w:val="auto"/>
          <w:kern w:val="0"/>
          <w:sz w:val="28"/>
          <w:szCs w:val="28"/>
          <w:shd w:val="clear" w:color="auto" w:fill="FFFFFF"/>
          <w:lang w:val="zh-CN"/>
        </w:rPr>
      </w:pPr>
      <w:r>
        <w:rPr>
          <w:rFonts w:hint="eastAsia" w:asciiTheme="minorEastAsia" w:hAnsiTheme="minorEastAsia" w:eastAsiaTheme="minorEastAsia" w:cstheme="minorEastAsia"/>
          <w:b/>
          <w:bCs/>
          <w:color w:val="auto"/>
          <w:kern w:val="0"/>
          <w:sz w:val="28"/>
          <w:szCs w:val="28"/>
          <w:shd w:val="clear" w:color="auto" w:fill="FFFFFF"/>
          <w:lang w:val="zh-CN"/>
        </w:rPr>
        <w:t>（一）部门预算项目绩效分析</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1.人员类项目绩效分析</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人员类年初预算756.14万元，全年预算867.33万元，决算支出867.33万元，完成全年预算的100%。按年初目标主要用于单位人员基本工资、津贴补贴、奖金、社会保险缴费等支出。</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2.运转类项目绩效分析</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公用支出年初预算81万元，全年预算150.54万元，决算支出150.54万元，完成全年预算的100%。按年初目标主要用于办公费、水费、电费、邮电费、印刷费、差旅费、维修（护）费、物业管理费、劳务费等支出。</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3.特定目标类项目绩效分析</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安排专项资金年初预算934.27万元，全年预算1081.78万元，决算支出1081.78万元，完成全年预算的100%。按年初目标完成特定行政任务和事业发展目标所发生的支出。</w:t>
      </w:r>
    </w:p>
    <w:p>
      <w:pPr>
        <w:widowControl/>
        <w:adjustRightInd w:val="0"/>
        <w:snapToGrid w:val="0"/>
        <w:spacing w:line="560" w:lineRule="exact"/>
        <w:ind w:firstLine="562" w:firstLineChars="200"/>
        <w:contextualSpacing/>
        <w:jc w:val="left"/>
        <w:rPr>
          <w:rFonts w:hint="eastAsia" w:asciiTheme="minorEastAsia" w:hAnsiTheme="minorEastAsia" w:eastAsiaTheme="minorEastAsia" w:cstheme="minorEastAsia"/>
          <w:b/>
          <w:bCs/>
          <w:color w:val="auto"/>
          <w:kern w:val="0"/>
          <w:sz w:val="28"/>
          <w:szCs w:val="28"/>
          <w:shd w:val="clear" w:color="auto" w:fill="FFFFFF"/>
          <w:lang w:val="zh-CN"/>
        </w:rPr>
      </w:pPr>
      <w:r>
        <w:rPr>
          <w:rFonts w:hint="eastAsia" w:asciiTheme="minorEastAsia" w:hAnsiTheme="minorEastAsia" w:eastAsiaTheme="minorEastAsia" w:cstheme="minorEastAsia"/>
          <w:b/>
          <w:bCs/>
          <w:color w:val="auto"/>
          <w:kern w:val="0"/>
          <w:sz w:val="28"/>
          <w:szCs w:val="28"/>
          <w:shd w:val="clear" w:color="auto" w:fill="FFFFFF"/>
          <w:lang w:val="zh-CN"/>
        </w:rPr>
        <w:t>（二）部门整体履职绩效分析</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lang w:val="zh-CN"/>
        </w:rPr>
      </w:pPr>
      <w:r>
        <w:rPr>
          <w:rFonts w:hint="eastAsia" w:asciiTheme="minorEastAsia" w:hAnsiTheme="minorEastAsia" w:eastAsiaTheme="minorEastAsia" w:cstheme="minorEastAsia"/>
          <w:color w:val="auto"/>
          <w:kern w:val="0"/>
          <w:sz w:val="28"/>
          <w:szCs w:val="28"/>
          <w:shd w:val="clear" w:color="auto" w:fill="FFFFFF"/>
          <w:lang w:val="zh-CN"/>
        </w:rPr>
        <w:t>本部门按要求对2022年部门整体支出开展绩效自评，从评价情况来看整体绩效完成较好，区财政局层面达到了重大决策、政策研究及时、高效，保障了全区各项重点工作有序开展。</w:t>
      </w:r>
    </w:p>
    <w:p>
      <w:pPr>
        <w:widowControl/>
        <w:adjustRightInd w:val="0"/>
        <w:snapToGrid w:val="0"/>
        <w:spacing w:line="560" w:lineRule="exact"/>
        <w:ind w:firstLine="562" w:firstLineChars="200"/>
        <w:contextualSpacing/>
        <w:jc w:val="left"/>
        <w:rPr>
          <w:rFonts w:hint="eastAsia" w:asciiTheme="minorEastAsia" w:hAnsiTheme="minorEastAsia" w:eastAsiaTheme="minorEastAsia" w:cstheme="minorEastAsia"/>
          <w:b/>
          <w:bCs/>
          <w:color w:val="auto"/>
          <w:kern w:val="0"/>
          <w:sz w:val="28"/>
          <w:szCs w:val="28"/>
          <w:shd w:val="clear" w:color="auto" w:fill="FFFFFF"/>
          <w:lang w:val="zh-CN"/>
        </w:rPr>
      </w:pPr>
      <w:r>
        <w:rPr>
          <w:rFonts w:hint="eastAsia" w:asciiTheme="minorEastAsia" w:hAnsiTheme="minorEastAsia" w:eastAsiaTheme="minorEastAsia" w:cstheme="minorEastAsia"/>
          <w:b/>
          <w:bCs/>
          <w:color w:val="auto"/>
          <w:kern w:val="0"/>
          <w:sz w:val="28"/>
          <w:szCs w:val="28"/>
          <w:shd w:val="clear" w:color="auto" w:fill="FFFFFF"/>
          <w:lang w:val="zh-CN"/>
        </w:rPr>
        <w:t>（三）结果应用情况</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color w:val="auto"/>
          <w:kern w:val="0"/>
          <w:sz w:val="28"/>
          <w:szCs w:val="28"/>
          <w:shd w:val="clear" w:color="auto" w:fill="FFFFFF"/>
          <w:lang w:val="zh-CN"/>
        </w:rPr>
      </w:pPr>
      <w:r>
        <w:rPr>
          <w:rFonts w:hint="eastAsia" w:asciiTheme="minorEastAsia" w:hAnsiTheme="minorEastAsia" w:eastAsiaTheme="minorEastAsia" w:cstheme="minorEastAsia"/>
          <w:color w:val="auto"/>
          <w:kern w:val="0"/>
          <w:sz w:val="28"/>
          <w:szCs w:val="28"/>
          <w:shd w:val="clear" w:color="auto" w:fill="FFFFFF"/>
          <w:lang w:val="zh-CN"/>
        </w:rPr>
        <w:t>项目目标对财政支出的目的、范围、对象、产出、结果等要素进行了详细描述，绩效指标三级指标内容健全，指标值明确，产出指标中数量、质量、实效、成本、效果指标完整，效益指标设立了社会、可持续发展指标、可持续影响指标设立了长效管理指标，满意度指标细化为预算部门满意度指标、群众满意度指标，绩效目标完整。</w:t>
      </w:r>
    </w:p>
    <w:p>
      <w:pPr>
        <w:widowControl/>
        <w:numPr>
          <w:ilvl w:val="0"/>
          <w:numId w:val="7"/>
        </w:numPr>
        <w:adjustRightInd w:val="0"/>
        <w:snapToGrid w:val="0"/>
        <w:spacing w:line="560" w:lineRule="exact"/>
        <w:ind w:firstLine="562" w:firstLineChars="200"/>
        <w:contextualSpacing/>
        <w:jc w:val="left"/>
        <w:rPr>
          <w:rFonts w:hint="eastAsia" w:asciiTheme="minorEastAsia" w:hAnsiTheme="minorEastAsia" w:eastAsiaTheme="minorEastAsia" w:cstheme="minorEastAsia"/>
          <w:b/>
          <w:bCs/>
          <w:color w:val="auto"/>
          <w:kern w:val="0"/>
          <w:sz w:val="28"/>
          <w:szCs w:val="28"/>
          <w:shd w:val="clear" w:color="auto" w:fill="FFFFFF"/>
          <w:lang w:val="zh-CN"/>
        </w:rPr>
      </w:pPr>
      <w:r>
        <w:rPr>
          <w:rFonts w:hint="eastAsia" w:asciiTheme="minorEastAsia" w:hAnsiTheme="minorEastAsia" w:eastAsiaTheme="minorEastAsia" w:cstheme="minorEastAsia"/>
          <w:b/>
          <w:bCs/>
          <w:color w:val="auto"/>
          <w:kern w:val="0"/>
          <w:sz w:val="28"/>
          <w:szCs w:val="28"/>
          <w:shd w:val="clear" w:color="auto" w:fill="FFFFFF"/>
          <w:lang w:val="zh-CN"/>
        </w:rPr>
        <w:t>自评质量</w:t>
      </w:r>
    </w:p>
    <w:p>
      <w:pPr>
        <w:widowControl/>
        <w:adjustRightInd w:val="0"/>
        <w:snapToGrid w:val="0"/>
        <w:spacing w:line="560" w:lineRule="exact"/>
        <w:ind w:firstLine="560" w:firstLineChars="200"/>
        <w:contextualSpacing/>
        <w:jc w:val="left"/>
        <w:rPr>
          <w:rFonts w:hint="eastAsia" w:asciiTheme="minorEastAsia" w:hAnsiTheme="minorEastAsia" w:eastAsiaTheme="minorEastAsia" w:cstheme="minorEastAsia"/>
          <w:b/>
          <w:bCs/>
          <w:color w:val="auto"/>
          <w:kern w:val="0"/>
          <w:sz w:val="28"/>
          <w:szCs w:val="28"/>
          <w:shd w:val="clear" w:color="auto" w:fill="FFFFFF"/>
        </w:rPr>
      </w:pPr>
      <w:r>
        <w:rPr>
          <w:rFonts w:hint="eastAsia" w:asciiTheme="minorEastAsia" w:hAnsiTheme="minorEastAsia" w:eastAsiaTheme="minorEastAsia" w:cstheme="minorEastAsia"/>
          <w:color w:val="auto"/>
          <w:kern w:val="0"/>
          <w:sz w:val="28"/>
          <w:szCs w:val="28"/>
          <w:shd w:val="clear" w:color="auto" w:fill="FFFFFF"/>
        </w:rPr>
        <w:t>全年基本支出保证了部门的正常运行和日常工作的正常开展，项目支出保障了重点工作的开展，达到预期绩效目标。协作部门满意度达到95%，党员干部满意度达到95%，社会公众满意度达到95%。</w:t>
      </w:r>
    </w:p>
    <w:p>
      <w:pPr>
        <w:widowControl/>
        <w:adjustRightInd w:val="0"/>
        <w:snapToGrid w:val="0"/>
        <w:spacing w:line="560" w:lineRule="exact"/>
        <w:ind w:firstLine="562" w:firstLineChars="200"/>
        <w:contextualSpacing/>
        <w:jc w:val="left"/>
        <w:rPr>
          <w:rFonts w:hint="eastAsia" w:asciiTheme="minorEastAsia" w:hAnsiTheme="minorEastAsia" w:eastAsiaTheme="minorEastAsia" w:cstheme="minorEastAsia"/>
          <w:b/>
          <w:bCs/>
          <w:color w:val="auto"/>
          <w:kern w:val="0"/>
          <w:sz w:val="28"/>
          <w:szCs w:val="28"/>
          <w:shd w:val="clear" w:color="auto" w:fill="FFFFFF"/>
        </w:rPr>
      </w:pPr>
      <w:r>
        <w:rPr>
          <w:rFonts w:hint="eastAsia" w:asciiTheme="minorEastAsia" w:hAnsiTheme="minorEastAsia" w:eastAsiaTheme="minorEastAsia" w:cstheme="minorEastAsia"/>
          <w:b/>
          <w:bCs/>
          <w:color w:val="auto"/>
          <w:kern w:val="0"/>
          <w:sz w:val="28"/>
          <w:szCs w:val="28"/>
          <w:shd w:val="clear" w:color="auto" w:fill="FFFFFF"/>
        </w:rPr>
        <w:t>四、评价结论及建议</w:t>
      </w:r>
    </w:p>
    <w:p>
      <w:pPr>
        <w:adjustRightInd w:val="0"/>
        <w:snapToGrid w:val="0"/>
        <w:spacing w:line="580" w:lineRule="exact"/>
        <w:ind w:firstLine="562" w:firstLineChars="200"/>
        <w:rPr>
          <w:rFonts w:hint="eastAsia" w:asciiTheme="minorEastAsia" w:hAnsiTheme="minorEastAsia" w:eastAsiaTheme="minorEastAsia" w:cstheme="minorEastAsia"/>
          <w:b/>
          <w:bCs/>
          <w:color w:val="auto"/>
          <w:kern w:val="0"/>
          <w:sz w:val="28"/>
          <w:szCs w:val="28"/>
          <w:shd w:val="clear" w:color="auto" w:fill="FFFFFF"/>
          <w:lang w:val="zh-CN"/>
        </w:rPr>
      </w:pPr>
      <w:r>
        <w:rPr>
          <w:rFonts w:hint="eastAsia" w:asciiTheme="minorEastAsia" w:hAnsiTheme="minorEastAsia" w:eastAsiaTheme="minorEastAsia" w:cstheme="minorEastAsia"/>
          <w:b/>
          <w:bCs/>
          <w:color w:val="auto"/>
          <w:kern w:val="0"/>
          <w:sz w:val="28"/>
          <w:szCs w:val="28"/>
          <w:shd w:val="clear" w:color="auto" w:fill="FFFFFF"/>
          <w:lang w:val="zh-CN"/>
        </w:rPr>
        <w:t>（一）评价结论</w:t>
      </w:r>
    </w:p>
    <w:p>
      <w:pPr>
        <w:adjustRightInd w:val="0"/>
        <w:snapToGrid w:val="0"/>
        <w:spacing w:line="580" w:lineRule="exact"/>
        <w:ind w:firstLine="560" w:firstLineChars="200"/>
        <w:rPr>
          <w:rFonts w:hint="eastAsia" w:asciiTheme="minorEastAsia" w:hAnsiTheme="minorEastAsia" w:eastAsiaTheme="minorEastAsia" w:cstheme="minorEastAsia"/>
          <w:b/>
          <w:bCs/>
          <w:color w:val="auto"/>
          <w:kern w:val="0"/>
          <w:sz w:val="28"/>
          <w:szCs w:val="28"/>
          <w:shd w:val="clear" w:color="auto" w:fill="FFFFFF"/>
          <w:lang w:val="zh-CN"/>
        </w:rPr>
      </w:pPr>
      <w:r>
        <w:rPr>
          <w:rFonts w:hint="eastAsia" w:asciiTheme="minorEastAsia" w:hAnsiTheme="minorEastAsia" w:eastAsiaTheme="minorEastAsia" w:cstheme="minorEastAsia"/>
          <w:bCs/>
          <w:color w:val="auto"/>
          <w:sz w:val="28"/>
          <w:szCs w:val="28"/>
        </w:rPr>
        <w:t>通过绩效管理，强化预算收支管理、调整优化支出结构压减专项支出。保证了部门的正常运行和日常工作的正常开展，项目支出保障了重点工作的开展，达到预期绩效目标。该项目总分100分，部门预算项目绩效管理得分63分，绩效结果应用自评得分24分，自评质量自评得分9分，自评最终评估得分96分。</w:t>
      </w:r>
    </w:p>
    <w:p>
      <w:pPr>
        <w:widowControl/>
        <w:numPr>
          <w:ilvl w:val="0"/>
          <w:numId w:val="8"/>
        </w:numPr>
        <w:adjustRightInd w:val="0"/>
        <w:snapToGrid w:val="0"/>
        <w:spacing w:line="560" w:lineRule="exact"/>
        <w:ind w:firstLine="562" w:firstLineChars="200"/>
        <w:contextualSpacing/>
        <w:jc w:val="left"/>
        <w:rPr>
          <w:rFonts w:hint="eastAsia" w:asciiTheme="minorEastAsia" w:hAnsiTheme="minorEastAsia" w:eastAsiaTheme="minorEastAsia" w:cstheme="minorEastAsia"/>
          <w:b/>
          <w:bCs/>
          <w:color w:val="auto"/>
          <w:kern w:val="0"/>
          <w:sz w:val="28"/>
          <w:szCs w:val="28"/>
          <w:shd w:val="clear" w:color="auto" w:fill="FFFFFF"/>
          <w:lang w:val="zh-CN"/>
        </w:rPr>
      </w:pPr>
      <w:r>
        <w:rPr>
          <w:rFonts w:hint="eastAsia" w:asciiTheme="minorEastAsia" w:hAnsiTheme="minorEastAsia" w:eastAsiaTheme="minorEastAsia" w:cstheme="minorEastAsia"/>
          <w:b/>
          <w:bCs/>
          <w:color w:val="auto"/>
          <w:kern w:val="0"/>
          <w:sz w:val="28"/>
          <w:szCs w:val="28"/>
          <w:shd w:val="clear" w:color="auto" w:fill="FFFFFF"/>
          <w:lang w:val="zh-CN"/>
        </w:rPr>
        <w:t>存在问题</w:t>
      </w:r>
    </w:p>
    <w:p>
      <w:pPr>
        <w:widowControl/>
        <w:numPr>
          <w:ilvl w:val="0"/>
          <w:numId w:val="0"/>
        </w:numPr>
        <w:adjustRightInd w:val="0"/>
        <w:snapToGrid w:val="0"/>
        <w:spacing w:line="560" w:lineRule="exact"/>
        <w:ind w:firstLine="840" w:firstLineChars="300"/>
        <w:contextualSpacing/>
        <w:jc w:val="left"/>
        <w:rPr>
          <w:rFonts w:hint="eastAsia" w:asciiTheme="minorEastAsia" w:hAnsiTheme="minorEastAsia" w:eastAsiaTheme="minorEastAsia" w:cstheme="minorEastAsia"/>
          <w:b w:val="0"/>
          <w:bCs w:val="0"/>
          <w:color w:val="auto"/>
          <w:kern w:val="0"/>
          <w:sz w:val="28"/>
          <w:szCs w:val="28"/>
          <w:shd w:val="clear" w:color="auto" w:fill="FFFFFF"/>
          <w:lang w:val="zh-CN"/>
        </w:rPr>
      </w:pPr>
      <w:r>
        <w:rPr>
          <w:rFonts w:hint="eastAsia" w:asciiTheme="minorEastAsia" w:hAnsiTheme="minorEastAsia" w:eastAsiaTheme="minorEastAsia" w:cstheme="minorEastAsia"/>
          <w:b w:val="0"/>
          <w:bCs w:val="0"/>
          <w:color w:val="auto"/>
          <w:kern w:val="0"/>
          <w:sz w:val="28"/>
          <w:szCs w:val="28"/>
          <w:shd w:val="clear" w:color="auto" w:fill="FFFFFF"/>
          <w:lang w:val="zh-CN"/>
        </w:rPr>
        <w:t>无。</w:t>
      </w:r>
    </w:p>
    <w:p>
      <w:pPr>
        <w:widowControl/>
        <w:numPr>
          <w:ilvl w:val="0"/>
          <w:numId w:val="8"/>
        </w:numPr>
        <w:adjustRightInd w:val="0"/>
        <w:snapToGrid w:val="0"/>
        <w:spacing w:line="560" w:lineRule="exact"/>
        <w:ind w:firstLine="562" w:firstLineChars="200"/>
        <w:contextualSpacing/>
        <w:jc w:val="left"/>
        <w:rPr>
          <w:rFonts w:hint="eastAsia" w:asciiTheme="minorEastAsia" w:hAnsiTheme="minorEastAsia" w:eastAsiaTheme="minorEastAsia" w:cstheme="minorEastAsia"/>
          <w:b/>
          <w:bCs/>
          <w:color w:val="auto"/>
          <w:kern w:val="0"/>
          <w:sz w:val="28"/>
          <w:szCs w:val="28"/>
          <w:shd w:val="clear" w:color="auto" w:fill="FFFFFF"/>
          <w:lang w:val="zh-CN"/>
        </w:rPr>
      </w:pPr>
      <w:r>
        <w:rPr>
          <w:rFonts w:hint="eastAsia" w:asciiTheme="minorEastAsia" w:hAnsiTheme="minorEastAsia" w:eastAsiaTheme="minorEastAsia" w:cstheme="minorEastAsia"/>
          <w:b/>
          <w:bCs/>
          <w:color w:val="auto"/>
          <w:kern w:val="0"/>
          <w:sz w:val="28"/>
          <w:szCs w:val="28"/>
          <w:shd w:val="clear" w:color="auto" w:fill="FFFFFF"/>
          <w:lang w:val="zh-CN"/>
        </w:rPr>
        <w:t>改进建议</w:t>
      </w:r>
    </w:p>
    <w:p>
      <w:pPr>
        <w:widowControl/>
        <w:numPr>
          <w:ilvl w:val="0"/>
          <w:numId w:val="0"/>
        </w:numPr>
        <w:adjustRightInd w:val="0"/>
        <w:snapToGrid w:val="0"/>
        <w:spacing w:line="560" w:lineRule="exact"/>
        <w:ind w:firstLine="840" w:firstLineChars="300"/>
        <w:contextualSpacing/>
        <w:jc w:val="left"/>
        <w:rPr>
          <w:rFonts w:hint="eastAsia" w:asciiTheme="minorEastAsia" w:hAnsiTheme="minorEastAsia" w:eastAsiaTheme="minorEastAsia" w:cstheme="minorEastAsia"/>
          <w:b w:val="0"/>
          <w:bCs w:val="0"/>
          <w:color w:val="auto"/>
          <w:kern w:val="0"/>
          <w:sz w:val="28"/>
          <w:szCs w:val="28"/>
          <w:shd w:val="clear" w:color="auto" w:fill="FFFFFF"/>
          <w:lang w:val="zh-CN"/>
        </w:rPr>
      </w:pPr>
      <w:r>
        <w:rPr>
          <w:rFonts w:hint="eastAsia" w:asciiTheme="minorEastAsia" w:hAnsiTheme="minorEastAsia" w:eastAsiaTheme="minorEastAsia" w:cstheme="minorEastAsia"/>
          <w:b w:val="0"/>
          <w:bCs w:val="0"/>
          <w:color w:val="auto"/>
          <w:kern w:val="0"/>
          <w:sz w:val="28"/>
          <w:szCs w:val="28"/>
          <w:shd w:val="clear" w:color="auto" w:fill="FFFFFF"/>
          <w:lang w:val="zh-CN"/>
        </w:rPr>
        <w:t>无。</w:t>
      </w:r>
    </w:p>
    <w:p>
      <w:pPr>
        <w:pStyle w:val="2"/>
        <w:spacing w:line="560" w:lineRule="exact"/>
        <w:ind w:left="0" w:leftChars="0" w:firstLine="31680"/>
        <w:rPr>
          <w:rFonts w:hint="eastAsia" w:asciiTheme="minorEastAsia" w:hAnsiTheme="minorEastAsia" w:eastAsiaTheme="minorEastAsia" w:cstheme="minorEastAsia"/>
          <w:color w:val="auto"/>
          <w:sz w:val="32"/>
          <w:lang w:val="zh-CN"/>
        </w:rPr>
      </w:pPr>
      <w:r>
        <w:rPr>
          <w:rFonts w:hint="eastAsia" w:asciiTheme="minorEastAsia" w:hAnsiTheme="minorEastAsia" w:eastAsiaTheme="minorEastAsia" w:cstheme="minorEastAsia"/>
          <w:color w:val="auto"/>
          <w:sz w:val="28"/>
          <w:szCs w:val="28"/>
          <w:lang w:val="zh-CN"/>
        </w:rPr>
        <w:t>附表：</w:t>
      </w:r>
      <w:r>
        <w:rPr>
          <w:rFonts w:hint="eastAsia" w:asciiTheme="minorEastAsia" w:hAnsiTheme="minorEastAsia" w:eastAsiaTheme="minorEastAsia" w:cstheme="minorEastAsia"/>
          <w:color w:val="auto"/>
          <w:sz w:val="28"/>
          <w:szCs w:val="28"/>
        </w:rPr>
        <w:t>部门预算项目支出绩效自评表（2022年度）</w:t>
      </w:r>
    </w:p>
    <w:p>
      <w:pPr>
        <w:pStyle w:val="2"/>
        <w:ind w:left="0" w:leftChars="0" w:firstLine="0" w:firstLineChars="0"/>
        <w:rPr>
          <w:rFonts w:hint="eastAsia" w:asciiTheme="minorEastAsia" w:hAnsiTheme="minorEastAsia" w:eastAsiaTheme="minorEastAsia" w:cstheme="minorEastAsia"/>
          <w:color w:val="auto"/>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53" w:name="_Toc15396618"/>
    </w:p>
    <w:p>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附表</w:t>
      </w:r>
    </w:p>
    <w:tbl>
      <w:tblPr>
        <w:tblStyle w:val="14"/>
        <w:tblW w:w="14026" w:type="dxa"/>
        <w:tblInd w:w="93" w:type="dxa"/>
        <w:tblLayout w:type="fixed"/>
        <w:tblCellMar>
          <w:top w:w="0" w:type="dxa"/>
          <w:left w:w="108" w:type="dxa"/>
          <w:bottom w:w="0" w:type="dxa"/>
          <w:right w:w="108" w:type="dxa"/>
        </w:tblCellMar>
      </w:tblPr>
      <w:tblGrid>
        <w:gridCol w:w="1695"/>
        <w:gridCol w:w="1755"/>
        <w:gridCol w:w="1425"/>
        <w:gridCol w:w="1470"/>
        <w:gridCol w:w="521"/>
        <w:gridCol w:w="1245"/>
        <w:gridCol w:w="521"/>
        <w:gridCol w:w="1091"/>
        <w:gridCol w:w="780"/>
        <w:gridCol w:w="960"/>
        <w:gridCol w:w="2563"/>
      </w:tblGrid>
      <w:tr>
        <w:tblPrEx>
          <w:tblCellMar>
            <w:top w:w="0" w:type="dxa"/>
            <w:left w:w="108" w:type="dxa"/>
            <w:bottom w:w="0" w:type="dxa"/>
            <w:right w:w="108" w:type="dxa"/>
          </w:tblCellMar>
        </w:tblPrEx>
        <w:trPr>
          <w:trHeight w:val="570" w:hRule="atLeast"/>
        </w:trPr>
        <w:tc>
          <w:tcPr>
            <w:tcW w:w="14026" w:type="dxa"/>
            <w:gridSpan w:val="11"/>
            <w:tcBorders>
              <w:top w:val="nil"/>
              <w:left w:val="nil"/>
              <w:bottom w:val="nil"/>
              <w:right w:val="nil"/>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部门预算项目支出绩效自评表（2022年度）</w:t>
            </w:r>
          </w:p>
        </w:tc>
      </w:tr>
      <w:tr>
        <w:tblPrEx>
          <w:tblCellMar>
            <w:top w:w="0" w:type="dxa"/>
            <w:left w:w="108" w:type="dxa"/>
            <w:bottom w:w="0" w:type="dxa"/>
            <w:right w:w="108" w:type="dxa"/>
          </w:tblCellMar>
        </w:tblPrEx>
        <w:trPr>
          <w:trHeight w:val="380" w:hRule="atLeast"/>
        </w:trPr>
        <w:tc>
          <w:tcPr>
            <w:tcW w:w="345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tc>
        <w:tc>
          <w:tcPr>
            <w:tcW w:w="105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协税辞退补偿</w:t>
            </w:r>
          </w:p>
        </w:tc>
      </w:tr>
      <w:tr>
        <w:tblPrEx>
          <w:tblCellMar>
            <w:top w:w="0" w:type="dxa"/>
            <w:left w:w="108" w:type="dxa"/>
            <w:bottom w:w="0" w:type="dxa"/>
            <w:right w:w="108" w:type="dxa"/>
          </w:tblCellMar>
        </w:tblPrEx>
        <w:trPr>
          <w:trHeight w:val="280" w:hRule="atLeast"/>
        </w:trPr>
        <w:tc>
          <w:tcPr>
            <w:tcW w:w="345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主管部门</w:t>
            </w:r>
          </w:p>
        </w:tc>
        <w:tc>
          <w:tcPr>
            <w:tcW w:w="5182"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广元市利州区财政局</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实施单位 </w:t>
            </w:r>
          </w:p>
        </w:tc>
        <w:tc>
          <w:tcPr>
            <w:tcW w:w="430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广元市利州区财政局</w:t>
            </w:r>
          </w:p>
        </w:tc>
      </w:tr>
      <w:tr>
        <w:tblPrEx>
          <w:tblCellMar>
            <w:top w:w="0" w:type="dxa"/>
            <w:left w:w="108" w:type="dxa"/>
            <w:bottom w:w="0" w:type="dxa"/>
            <w:right w:w="108" w:type="dxa"/>
          </w:tblCellMar>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项目年度目标</w:t>
            </w:r>
          </w:p>
        </w:tc>
        <w:tc>
          <w:tcPr>
            <w:tcW w:w="539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年度目标完成情况</w:t>
            </w:r>
          </w:p>
        </w:tc>
      </w:tr>
      <w:tr>
        <w:tblPrEx>
          <w:tblCellMar>
            <w:top w:w="0" w:type="dxa"/>
            <w:left w:w="108" w:type="dxa"/>
            <w:bottom w:w="0" w:type="dxa"/>
            <w:right w:w="108" w:type="dxa"/>
          </w:tblCellMar>
        </w:tblPrEx>
        <w:trPr>
          <w:trHeight w:val="42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5182"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妥善安置解散的协税人员</w:t>
            </w:r>
            <w:r>
              <w:rPr>
                <w:rFonts w:hint="eastAsia" w:asciiTheme="minorEastAsia" w:hAnsiTheme="minorEastAsia" w:eastAsiaTheme="minorEastAsia" w:cstheme="minorEastAsia"/>
                <w:color w:val="auto"/>
                <w:szCs w:val="21"/>
                <w:lang w:eastAsia="zh-CN"/>
              </w:rPr>
              <w:t>。</w:t>
            </w:r>
          </w:p>
        </w:tc>
        <w:tc>
          <w:tcPr>
            <w:tcW w:w="539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通过协商有9人继续聘用，其余16人按政策手续完善后给予补偿。</w:t>
            </w:r>
          </w:p>
        </w:tc>
      </w:tr>
      <w:tr>
        <w:tblPrEx>
          <w:tblCellMar>
            <w:top w:w="0" w:type="dxa"/>
            <w:left w:w="108" w:type="dxa"/>
            <w:bottom w:w="0" w:type="dxa"/>
            <w:right w:w="108" w:type="dxa"/>
          </w:tblCellMar>
        </w:tblPrEx>
        <w:trPr>
          <w:trHeight w:val="46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2.项目实施内容及过程概述</w:t>
            </w:r>
          </w:p>
        </w:tc>
        <w:tc>
          <w:tcPr>
            <w:tcW w:w="105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安排愿意续签的协税人员工资，不续签的人员按政策给予经济补偿</w:t>
            </w:r>
            <w:r>
              <w:rPr>
                <w:rFonts w:hint="eastAsia" w:asciiTheme="minorEastAsia" w:hAnsiTheme="minorEastAsia" w:eastAsiaTheme="minorEastAsia" w:cstheme="minorEastAsia"/>
                <w:color w:val="auto"/>
                <w:szCs w:val="21"/>
                <w:lang w:eastAsia="zh-CN"/>
              </w:rPr>
              <w:t>。</w:t>
            </w:r>
          </w:p>
        </w:tc>
      </w:tr>
      <w:tr>
        <w:tblPrEx>
          <w:tblCellMar>
            <w:top w:w="0" w:type="dxa"/>
            <w:left w:w="108" w:type="dxa"/>
            <w:bottom w:w="0" w:type="dxa"/>
            <w:right w:w="108" w:type="dxa"/>
          </w:tblCellMar>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预算执行情况</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t>（10分）</w:t>
            </w: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年度预算数</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t>（万元）</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年初预算</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预算执行数</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预算执行率</w:t>
            </w:r>
          </w:p>
        </w:tc>
        <w:tc>
          <w:tcPr>
            <w:tcW w:w="7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权重%</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自评得分</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原因</w:t>
            </w:r>
          </w:p>
        </w:tc>
      </w:tr>
      <w:tr>
        <w:tblPrEx>
          <w:tblCellMar>
            <w:top w:w="0" w:type="dxa"/>
            <w:left w:w="108" w:type="dxa"/>
            <w:bottom w:w="0" w:type="dxa"/>
            <w:right w:w="108" w:type="dxa"/>
          </w:tblCellMar>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总额</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95.00</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95.00</w:t>
            </w: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95.00</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100.00%</w:t>
            </w:r>
          </w:p>
        </w:tc>
        <w:tc>
          <w:tcPr>
            <w:tcW w:w="7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w:t>
            </w:r>
          </w:p>
        </w:tc>
        <w:tc>
          <w:tcPr>
            <w:tcW w:w="2563"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其中：财政资金</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95.00</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95.00</w:t>
            </w: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95.00</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7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256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财政专户管理资金</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7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256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单位资金</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7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256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其他资金</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7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256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720" w:hRule="atLeast"/>
        </w:trPr>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绩效指标（90分）</w:t>
            </w: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一级指标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二级指标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三级指标</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指标性质</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指标值</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度量单位</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完成值</w:t>
            </w:r>
          </w:p>
        </w:tc>
        <w:tc>
          <w:tcPr>
            <w:tcW w:w="7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权重</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自评得分</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未完成原因分析</w:t>
            </w:r>
          </w:p>
        </w:tc>
      </w:tr>
      <w:tr>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可持续发展指标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经济持续稳定发展</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优良中低差</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可持续发展指标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统筹人力资源节约人力成本</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优良中低差</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成本指标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坚持过紧日子原则</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优良中低差</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效果指标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节约财力</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万元</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可持续影响指标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税务部门征收</w:t>
            </w:r>
            <w:r>
              <w:rPr>
                <w:rFonts w:hint="eastAsia" w:asciiTheme="minorEastAsia" w:hAnsiTheme="minorEastAsia" w:eastAsiaTheme="minorEastAsia" w:cstheme="minorEastAsia"/>
                <w:color w:val="auto"/>
                <w:szCs w:val="21"/>
                <w:lang w:eastAsia="zh-CN"/>
              </w:rPr>
              <w:t>效率</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优良中低差</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满意度指标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服务对象满意度指标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政府满意</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95</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≥95</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赔偿兑付符合政策规定</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优良中低差</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社会效益指标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保障区级收支平衡</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优良中低差</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满意度指标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服务对象满意度指标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辞退人员满意</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优良中低差</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赔偿兑付率</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时效指标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收到批示件后资金到位时间</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天</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时效指标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完成全部人员兑付</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月</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效果指标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w:t>
            </w:r>
            <w:r>
              <w:rPr>
                <w:rFonts w:hint="eastAsia" w:asciiTheme="minorEastAsia" w:hAnsiTheme="minorEastAsia" w:eastAsiaTheme="minorEastAsia" w:cstheme="minorEastAsia"/>
                <w:color w:val="auto"/>
                <w:szCs w:val="21"/>
                <w:lang w:eastAsia="zh-CN"/>
              </w:rPr>
              <w:t>政策</w:t>
            </w:r>
            <w:r>
              <w:rPr>
                <w:rFonts w:hint="eastAsia" w:asciiTheme="minorEastAsia" w:hAnsiTheme="minorEastAsia" w:eastAsiaTheme="minorEastAsia" w:cstheme="minorEastAsia"/>
                <w:color w:val="auto"/>
                <w:szCs w:val="21"/>
              </w:rPr>
              <w:t>顺利辞退相关人员</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社会效益指标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保障辞退人员基本生活</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优良中低差</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可持续影响指标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完成税收征收任务</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成本指标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trike w:val="0"/>
                <w:dstrike w:val="0"/>
                <w:color w:val="auto"/>
                <w:szCs w:val="21"/>
                <w:highlight w:val="none"/>
                <w:lang w:eastAsia="zh-CN"/>
              </w:rPr>
              <w:t>降</w:t>
            </w:r>
            <w:r>
              <w:rPr>
                <w:rFonts w:hint="eastAsia" w:asciiTheme="minorEastAsia" w:hAnsiTheme="minorEastAsia" w:eastAsiaTheme="minorEastAsia" w:cstheme="minorEastAsia"/>
                <w:strike w:val="0"/>
                <w:color w:val="auto"/>
                <w:szCs w:val="21"/>
                <w:highlight w:val="none"/>
              </w:rPr>
              <w:t>低</w:t>
            </w:r>
            <w:r>
              <w:rPr>
                <w:rFonts w:hint="eastAsia" w:asciiTheme="minorEastAsia" w:hAnsiTheme="minorEastAsia" w:eastAsiaTheme="minorEastAsia" w:cstheme="minorEastAsia"/>
                <w:color w:val="auto"/>
                <w:szCs w:val="21"/>
              </w:rPr>
              <w:t>税收征管成本</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万元</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补偿金额</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30</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万元</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≤30</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妥善安置</w:t>
            </w:r>
            <w:r>
              <w:rPr>
                <w:rFonts w:hint="eastAsia" w:asciiTheme="minorEastAsia" w:hAnsiTheme="minorEastAsia" w:eastAsiaTheme="minorEastAsia" w:cstheme="minorEastAsia"/>
                <w:color w:val="auto"/>
                <w:szCs w:val="21"/>
              </w:rPr>
              <w:t>协税人员</w:t>
            </w:r>
          </w:p>
        </w:tc>
        <w:tc>
          <w:tcPr>
            <w:tcW w:w="5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w:t>
            </w:r>
          </w:p>
        </w:tc>
        <w:tc>
          <w:tcPr>
            <w:tcW w:w="521" w:type="dxa"/>
            <w:tcBorders>
              <w:top w:val="single" w:color="000000" w:sz="4" w:space="0"/>
              <w:left w:val="single" w:color="000000" w:sz="4" w:space="0"/>
              <w:bottom w:val="single" w:color="000000" w:sz="4" w:space="0"/>
              <w:right w:val="nil"/>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人</w:t>
            </w:r>
          </w:p>
        </w:tc>
        <w:tc>
          <w:tcPr>
            <w:tcW w:w="109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25人</w:t>
            </w:r>
          </w:p>
        </w:tc>
        <w:tc>
          <w:tcPr>
            <w:tcW w:w="78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960" w:type="dxa"/>
            <w:tcBorders>
              <w:top w:val="single" w:color="000000" w:sz="4" w:space="0"/>
              <w:left w:val="nil"/>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270" w:hRule="atLeast"/>
        </w:trPr>
        <w:tc>
          <w:tcPr>
            <w:tcW w:w="9723"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合计</w:t>
            </w:r>
          </w:p>
        </w:tc>
        <w:tc>
          <w:tcPr>
            <w:tcW w:w="7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p>
        </w:tc>
      </w:tr>
      <w:tr>
        <w:tblPrEx>
          <w:tblCellMar>
            <w:top w:w="0" w:type="dxa"/>
            <w:left w:w="108" w:type="dxa"/>
            <w:bottom w:w="0" w:type="dxa"/>
            <w:right w:w="108" w:type="dxa"/>
          </w:tblCellMar>
        </w:tblPrEx>
        <w:trPr>
          <w:trHeight w:val="540" w:hRule="atLeast"/>
        </w:trPr>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自评结论</w:t>
            </w:r>
          </w:p>
        </w:tc>
        <w:tc>
          <w:tcPr>
            <w:tcW w:w="12331" w:type="dxa"/>
            <w:gridSpan w:val="10"/>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该通过协商有9人继续聘用，其余16人按政策手续完善后给予补偿，完成指标任务。该项目总分值99分，自评得分99分。</w:t>
            </w:r>
          </w:p>
        </w:tc>
      </w:tr>
      <w:tr>
        <w:tblPrEx>
          <w:tblCellMar>
            <w:top w:w="0" w:type="dxa"/>
            <w:left w:w="108" w:type="dxa"/>
            <w:bottom w:w="0" w:type="dxa"/>
            <w:right w:w="108" w:type="dxa"/>
          </w:tblCellMar>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自评存在问题</w:t>
            </w:r>
          </w:p>
        </w:tc>
        <w:tc>
          <w:tcPr>
            <w:tcW w:w="12331" w:type="dxa"/>
            <w:gridSpan w:val="10"/>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w:t>
            </w:r>
          </w:p>
        </w:tc>
      </w:tr>
      <w:tr>
        <w:tblPrEx>
          <w:tblCellMar>
            <w:top w:w="0" w:type="dxa"/>
            <w:left w:w="108" w:type="dxa"/>
            <w:bottom w:w="0" w:type="dxa"/>
            <w:right w:w="108" w:type="dxa"/>
          </w:tblCellMar>
        </w:tblPrEx>
        <w:trPr>
          <w:trHeight w:val="500" w:hRule="atLeast"/>
        </w:trPr>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自评改进措施</w:t>
            </w:r>
          </w:p>
        </w:tc>
        <w:tc>
          <w:tcPr>
            <w:tcW w:w="12331" w:type="dxa"/>
            <w:gridSpan w:val="10"/>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w:t>
            </w:r>
          </w:p>
        </w:tc>
      </w:tr>
      <w:tr>
        <w:tblPrEx>
          <w:tblCellMar>
            <w:top w:w="0" w:type="dxa"/>
            <w:left w:w="108" w:type="dxa"/>
            <w:bottom w:w="0" w:type="dxa"/>
            <w:right w:w="108" w:type="dxa"/>
          </w:tblCellMar>
        </w:tblPrEx>
        <w:trPr>
          <w:trHeight w:val="270" w:hRule="atLeast"/>
        </w:trPr>
        <w:tc>
          <w:tcPr>
            <w:tcW w:w="6866"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项目负责人：</w:t>
            </w:r>
            <w:r>
              <w:rPr>
                <w:rFonts w:hint="eastAsia" w:asciiTheme="minorEastAsia" w:hAnsiTheme="minorEastAsia" w:eastAsiaTheme="minorEastAsia" w:cstheme="minorEastAsia"/>
                <w:color w:val="auto"/>
                <w:szCs w:val="21"/>
                <w:lang w:eastAsia="zh-CN"/>
              </w:rPr>
              <w:t>姚乐军</w:t>
            </w:r>
          </w:p>
        </w:tc>
        <w:tc>
          <w:tcPr>
            <w:tcW w:w="7160"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财务负责人：王春蓉</w:t>
            </w:r>
          </w:p>
        </w:tc>
      </w:tr>
    </w:tbl>
    <w:p>
      <w:pPr>
        <w:rPr>
          <w:rFonts w:hint="eastAsia" w:asciiTheme="minorEastAsia" w:hAnsiTheme="minorEastAsia" w:eastAsiaTheme="minorEastAsia" w:cstheme="minorEastAsia"/>
          <w:color w:val="auto"/>
          <w:sz w:val="44"/>
          <w:szCs w:val="44"/>
        </w:rPr>
      </w:pPr>
    </w:p>
    <w:p>
      <w:pPr>
        <w:pStyle w:val="2"/>
        <w:ind w:left="31680" w:firstLine="31680"/>
        <w:rPr>
          <w:rFonts w:hint="eastAsia" w:asciiTheme="minorEastAsia" w:hAnsiTheme="minorEastAsia" w:eastAsiaTheme="minorEastAsia" w:cstheme="minorEastAsia"/>
          <w:color w:val="auto"/>
          <w:sz w:val="44"/>
          <w:szCs w:val="44"/>
        </w:rPr>
      </w:pPr>
    </w:p>
    <w:p>
      <w:pPr>
        <w:rPr>
          <w:rFonts w:hint="eastAsia" w:asciiTheme="minorEastAsia" w:hAnsiTheme="minorEastAsia" w:eastAsiaTheme="minorEastAsia" w:cstheme="minorEastAsia"/>
          <w:color w:val="auto"/>
          <w:sz w:val="44"/>
          <w:szCs w:val="44"/>
        </w:rPr>
      </w:pPr>
    </w:p>
    <w:p>
      <w:pPr>
        <w:pStyle w:val="2"/>
        <w:ind w:left="31680" w:firstLine="31680"/>
        <w:rPr>
          <w:rFonts w:hint="eastAsia" w:asciiTheme="minorEastAsia" w:hAnsiTheme="minorEastAsia" w:eastAsiaTheme="minorEastAsia" w:cstheme="minorEastAsia"/>
          <w:color w:val="auto"/>
          <w:sz w:val="44"/>
          <w:szCs w:val="44"/>
        </w:rPr>
      </w:pPr>
    </w:p>
    <w:p>
      <w:pPr>
        <w:rPr>
          <w:rFonts w:hint="eastAsia" w:asciiTheme="minorEastAsia" w:hAnsiTheme="minorEastAsia" w:eastAsiaTheme="minorEastAsia" w:cstheme="minorEastAsia"/>
          <w:color w:val="auto"/>
        </w:rPr>
      </w:pPr>
    </w:p>
    <w:tbl>
      <w:tblPr>
        <w:tblStyle w:val="14"/>
        <w:tblW w:w="14501" w:type="dxa"/>
        <w:tblInd w:w="93" w:type="dxa"/>
        <w:tblLayout w:type="fixed"/>
        <w:tblCellMar>
          <w:top w:w="0" w:type="dxa"/>
          <w:left w:w="108" w:type="dxa"/>
          <w:bottom w:w="0" w:type="dxa"/>
          <w:right w:w="108" w:type="dxa"/>
        </w:tblCellMar>
      </w:tblPr>
      <w:tblGrid>
        <w:gridCol w:w="1653"/>
        <w:gridCol w:w="1709"/>
        <w:gridCol w:w="1397"/>
        <w:gridCol w:w="1440"/>
        <w:gridCol w:w="517"/>
        <w:gridCol w:w="1217"/>
        <w:gridCol w:w="846"/>
        <w:gridCol w:w="1089"/>
        <w:gridCol w:w="773"/>
        <w:gridCol w:w="939"/>
        <w:gridCol w:w="2921"/>
      </w:tblGrid>
      <w:tr>
        <w:tblPrEx>
          <w:tblCellMar>
            <w:top w:w="0" w:type="dxa"/>
            <w:left w:w="108" w:type="dxa"/>
            <w:bottom w:w="0" w:type="dxa"/>
            <w:right w:w="108" w:type="dxa"/>
          </w:tblCellMar>
        </w:tblPrEx>
        <w:trPr>
          <w:trHeight w:val="90" w:hRule="atLeast"/>
        </w:trPr>
        <w:tc>
          <w:tcPr>
            <w:tcW w:w="14501" w:type="dxa"/>
            <w:gridSpan w:val="11"/>
            <w:tcBorders>
              <w:top w:val="nil"/>
              <w:left w:val="nil"/>
              <w:bottom w:val="nil"/>
              <w:right w:val="nil"/>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部门预算项目支出绩效自评表（2022年度）</w:t>
            </w:r>
          </w:p>
        </w:tc>
      </w:tr>
      <w:tr>
        <w:tblPrEx>
          <w:tblCellMar>
            <w:top w:w="0" w:type="dxa"/>
            <w:left w:w="108" w:type="dxa"/>
            <w:bottom w:w="0" w:type="dxa"/>
            <w:right w:w="108" w:type="dxa"/>
          </w:tblCellMar>
        </w:tblPrEx>
        <w:trPr>
          <w:trHeight w:val="380" w:hRule="atLeast"/>
        </w:trPr>
        <w:tc>
          <w:tcPr>
            <w:tcW w:w="336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项目名称</w:t>
            </w:r>
          </w:p>
        </w:tc>
        <w:tc>
          <w:tcPr>
            <w:tcW w:w="11139"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财政监督、检查、管理工作</w:t>
            </w:r>
          </w:p>
        </w:tc>
      </w:tr>
      <w:tr>
        <w:tblPrEx>
          <w:tblCellMar>
            <w:top w:w="0" w:type="dxa"/>
            <w:left w:w="108" w:type="dxa"/>
            <w:bottom w:w="0" w:type="dxa"/>
            <w:right w:w="108" w:type="dxa"/>
          </w:tblCellMar>
        </w:tblPrEx>
        <w:trPr>
          <w:trHeight w:val="280" w:hRule="atLeast"/>
        </w:trPr>
        <w:tc>
          <w:tcPr>
            <w:tcW w:w="336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主管部门</w:t>
            </w:r>
          </w:p>
        </w:tc>
        <w:tc>
          <w:tcPr>
            <w:tcW w:w="5417"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广元市利州区财政局</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 xml:space="preserve">实施单位 </w:t>
            </w:r>
          </w:p>
        </w:tc>
        <w:tc>
          <w:tcPr>
            <w:tcW w:w="46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广元市利州区财政局</w:t>
            </w:r>
          </w:p>
        </w:tc>
      </w:tr>
      <w:tr>
        <w:tblPrEx>
          <w:tblCellMar>
            <w:top w:w="0" w:type="dxa"/>
            <w:left w:w="108" w:type="dxa"/>
            <w:bottom w:w="0" w:type="dxa"/>
            <w:right w:w="108" w:type="dxa"/>
          </w:tblCellMar>
        </w:tblPrEx>
        <w:trPr>
          <w:trHeight w:val="380" w:hRule="atLeast"/>
        </w:trPr>
        <w:tc>
          <w:tcPr>
            <w:tcW w:w="16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项目基本情况</w:t>
            </w:r>
          </w:p>
        </w:tc>
        <w:tc>
          <w:tcPr>
            <w:tcW w:w="1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1.项目年度目标完成情况</w:t>
            </w:r>
          </w:p>
        </w:tc>
        <w:tc>
          <w:tcPr>
            <w:tcW w:w="541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项目年度目标</w:t>
            </w:r>
          </w:p>
        </w:tc>
        <w:tc>
          <w:tcPr>
            <w:tcW w:w="572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年度目标完成情况</w:t>
            </w:r>
          </w:p>
        </w:tc>
      </w:tr>
      <w:tr>
        <w:tblPrEx>
          <w:tblCellMar>
            <w:top w:w="0" w:type="dxa"/>
            <w:left w:w="108" w:type="dxa"/>
            <w:bottom w:w="0" w:type="dxa"/>
            <w:right w:w="108" w:type="dxa"/>
          </w:tblCellMar>
        </w:tblPrEx>
        <w:trPr>
          <w:trHeight w:val="42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Cs w:val="21"/>
              </w:rPr>
            </w:pPr>
          </w:p>
        </w:tc>
        <w:tc>
          <w:tcPr>
            <w:tcW w:w="1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Cs w:val="21"/>
              </w:rPr>
            </w:pPr>
          </w:p>
        </w:tc>
        <w:tc>
          <w:tcPr>
            <w:tcW w:w="5417"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kern w:val="0"/>
                <w:szCs w:val="21"/>
              </w:rPr>
              <w:t>为切实履行财政部门财会监督职责，充分发挥会计监督服务宏观调控和财政管理、保障财税政策执行、严肃财经纪律、提升会计信息质量的重要作用</w:t>
            </w:r>
            <w:r>
              <w:rPr>
                <w:rFonts w:hint="eastAsia" w:asciiTheme="minorEastAsia" w:hAnsiTheme="minorEastAsia" w:eastAsiaTheme="minorEastAsia" w:cstheme="minorEastAsia"/>
                <w:b w:val="0"/>
                <w:bCs w:val="0"/>
                <w:color w:val="auto"/>
                <w:kern w:val="0"/>
                <w:szCs w:val="21"/>
                <w:lang w:eastAsia="zh-CN"/>
              </w:rPr>
              <w:t>。</w:t>
            </w:r>
          </w:p>
        </w:tc>
        <w:tc>
          <w:tcPr>
            <w:tcW w:w="5722"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所有资金使用严格按照有关财务制度执行，并经严格审核使用。保障了全区各项支出的监督检查，有效地促进了全区经济和社会各项事业的健康发展。</w:t>
            </w:r>
          </w:p>
        </w:tc>
      </w:tr>
      <w:tr>
        <w:tblPrEx>
          <w:tblCellMar>
            <w:top w:w="0" w:type="dxa"/>
            <w:left w:w="108" w:type="dxa"/>
            <w:bottom w:w="0" w:type="dxa"/>
            <w:right w:w="108" w:type="dxa"/>
          </w:tblCellMar>
        </w:tblPrEx>
        <w:trPr>
          <w:trHeight w:val="46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2.项目实施内容及过程概述</w:t>
            </w:r>
          </w:p>
        </w:tc>
        <w:tc>
          <w:tcPr>
            <w:tcW w:w="11139"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kern w:val="0"/>
                <w:szCs w:val="21"/>
              </w:rPr>
              <w:t>主要着眼于全区部门单位执行相关财务会计制度情况，主要检查预算管理、支付管理、货币资金管理、会计管理、内控管理、政府采购管理、资产管理、账户管理、往来款项管理、票据管理、决算管理、存量资金管理和基建预决算管理等内容，重点关注严肃财经纪律及财务管理风险排查、存量资金清缴、使用情况，“三公”经费、会议费、培训费、差旅费管理使用情况，严肃查处私设“小金库”及滥发钱物问题</w:t>
            </w:r>
            <w:r>
              <w:rPr>
                <w:rFonts w:hint="eastAsia" w:asciiTheme="minorEastAsia" w:hAnsiTheme="minorEastAsia" w:eastAsiaTheme="minorEastAsia" w:cstheme="minorEastAsia"/>
                <w:b w:val="0"/>
                <w:bCs w:val="0"/>
                <w:color w:val="auto"/>
                <w:kern w:val="0"/>
                <w:szCs w:val="21"/>
                <w:lang w:eastAsia="zh-CN"/>
              </w:rPr>
              <w:t>。</w:t>
            </w:r>
          </w:p>
        </w:tc>
      </w:tr>
      <w:tr>
        <w:tblPrEx>
          <w:tblCellMar>
            <w:top w:w="0" w:type="dxa"/>
            <w:left w:w="108" w:type="dxa"/>
            <w:bottom w:w="0" w:type="dxa"/>
            <w:right w:w="108" w:type="dxa"/>
          </w:tblCellMar>
        </w:tblPrEx>
        <w:trPr>
          <w:trHeight w:val="540" w:hRule="atLeast"/>
        </w:trPr>
        <w:tc>
          <w:tcPr>
            <w:tcW w:w="16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预算执行情况</w:t>
            </w:r>
            <w:r>
              <w:rPr>
                <w:rFonts w:hint="eastAsia" w:asciiTheme="minorEastAsia" w:hAnsiTheme="minorEastAsia" w:eastAsiaTheme="minorEastAsia" w:cstheme="minorEastAsia"/>
                <w:b w:val="0"/>
                <w:bCs w:val="0"/>
                <w:color w:val="auto"/>
                <w:kern w:val="0"/>
                <w:szCs w:val="21"/>
              </w:rPr>
              <w:br w:type="textWrapping"/>
            </w:r>
            <w:r>
              <w:rPr>
                <w:rFonts w:hint="eastAsia" w:asciiTheme="minorEastAsia" w:hAnsiTheme="minorEastAsia" w:eastAsiaTheme="minorEastAsia" w:cstheme="minorEastAsia"/>
                <w:b w:val="0"/>
                <w:bCs w:val="0"/>
                <w:color w:val="auto"/>
                <w:kern w:val="0"/>
                <w:szCs w:val="21"/>
              </w:rPr>
              <w:t>（10分）</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年度预算数</w:t>
            </w:r>
            <w:r>
              <w:rPr>
                <w:rFonts w:hint="eastAsia" w:asciiTheme="minorEastAsia" w:hAnsiTheme="minorEastAsia" w:eastAsiaTheme="minorEastAsia" w:cstheme="minorEastAsia"/>
                <w:b w:val="0"/>
                <w:bCs w:val="0"/>
                <w:color w:val="auto"/>
                <w:kern w:val="0"/>
                <w:szCs w:val="21"/>
              </w:rPr>
              <w:br w:type="textWrapping"/>
            </w:r>
            <w:r>
              <w:rPr>
                <w:rFonts w:hint="eastAsia" w:asciiTheme="minorEastAsia" w:hAnsiTheme="minorEastAsia" w:eastAsiaTheme="minorEastAsia" w:cstheme="minorEastAsia"/>
                <w:b w:val="0"/>
                <w:bCs w:val="0"/>
                <w:color w:val="auto"/>
                <w:kern w:val="0"/>
                <w:szCs w:val="21"/>
              </w:rPr>
              <w:t>（万元）</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年初预算</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调整后预算数</w:t>
            </w:r>
          </w:p>
        </w:tc>
        <w:tc>
          <w:tcPr>
            <w:tcW w:w="25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预算执行数</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预算执行率</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权重%</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自评得分</w:t>
            </w:r>
          </w:p>
        </w:tc>
        <w:tc>
          <w:tcPr>
            <w:tcW w:w="2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原因</w:t>
            </w:r>
          </w:p>
        </w:tc>
      </w:tr>
      <w:tr>
        <w:tblPrEx>
          <w:tblCellMar>
            <w:top w:w="0" w:type="dxa"/>
            <w:left w:w="108" w:type="dxa"/>
            <w:bottom w:w="0" w:type="dxa"/>
            <w:right w:w="108" w:type="dxa"/>
          </w:tblCellMar>
        </w:tblPrEx>
        <w:trPr>
          <w:trHeight w:val="32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总额</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73.00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73.00</w:t>
            </w:r>
          </w:p>
        </w:tc>
        <w:tc>
          <w:tcPr>
            <w:tcW w:w="25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73.00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100.00%</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10</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10</w:t>
            </w:r>
          </w:p>
        </w:tc>
        <w:tc>
          <w:tcPr>
            <w:tcW w:w="29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highlight w:val="yellow"/>
              </w:rPr>
            </w:pPr>
          </w:p>
        </w:tc>
      </w:tr>
      <w:tr>
        <w:tblPrEx>
          <w:tblCellMar>
            <w:top w:w="0" w:type="dxa"/>
            <w:left w:w="108" w:type="dxa"/>
            <w:bottom w:w="0" w:type="dxa"/>
            <w:right w:w="108" w:type="dxa"/>
          </w:tblCellMar>
        </w:tblPrEx>
        <w:trPr>
          <w:trHeight w:val="30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其中：财政资金</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73.00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73.00</w:t>
            </w:r>
          </w:p>
        </w:tc>
        <w:tc>
          <w:tcPr>
            <w:tcW w:w="25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73.00</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highlight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highlight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highlight w:val="none"/>
              </w:rPr>
            </w:pPr>
          </w:p>
        </w:tc>
        <w:tc>
          <w:tcPr>
            <w:tcW w:w="29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34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财政专户管理资金</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258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29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30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单位资金</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258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29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34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其他资金</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258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29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720" w:hRule="atLeast"/>
        </w:trPr>
        <w:tc>
          <w:tcPr>
            <w:tcW w:w="16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绩效指标（90分）</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一级指标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二级指标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三级指标</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指标性质</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指标值</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度量单位</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完成值</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权重</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自评得分</w:t>
            </w:r>
          </w:p>
        </w:tc>
        <w:tc>
          <w:tcPr>
            <w:tcW w:w="2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未完成原因分析</w:t>
            </w: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产出指标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成本指标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通过检查控制项目成本</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100</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100</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产出指标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效果指标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增强预算约束功能</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定性</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优良中低差</w:t>
            </w:r>
          </w:p>
        </w:tc>
        <w:tc>
          <w:tcPr>
            <w:tcW w:w="8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4</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产出指标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时效指标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发现问题及时提出解决</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定性</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优良中低差</w:t>
            </w:r>
          </w:p>
        </w:tc>
        <w:tc>
          <w:tcPr>
            <w:tcW w:w="8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效益指标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可持续发展指标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highlight w:val="none"/>
                <w:lang w:eastAsia="zh-CN"/>
              </w:rPr>
              <w:t>通过财政监督检查，</w:t>
            </w:r>
            <w:r>
              <w:rPr>
                <w:rFonts w:hint="eastAsia" w:asciiTheme="minorEastAsia" w:hAnsiTheme="minorEastAsia" w:eastAsiaTheme="minorEastAsia" w:cstheme="minorEastAsia"/>
                <w:b w:val="0"/>
                <w:bCs w:val="0"/>
                <w:color w:val="auto"/>
                <w:kern w:val="0"/>
                <w:szCs w:val="21"/>
                <w:highlight w:val="none"/>
              </w:rPr>
              <w:t>优化建设方案，提高项目质量</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定性</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好坏</w:t>
            </w:r>
          </w:p>
        </w:tc>
        <w:tc>
          <w:tcPr>
            <w:tcW w:w="8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好</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4</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满意度指标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服务对象满意度指标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群众满意</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95</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≥95</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13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产出指标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质量指标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检查各单位财务核算等</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30</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个（台、套、件、辆）</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≥30</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效益指标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可持续影响指标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kern w:val="0"/>
                <w:szCs w:val="21"/>
                <w:highlight w:val="none"/>
                <w:lang w:eastAsia="zh-CN"/>
              </w:rPr>
              <w:t>保障财政财务工作规范，提高财政资金使用效益</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定性</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优良中低差</w:t>
            </w:r>
          </w:p>
        </w:tc>
        <w:tc>
          <w:tcPr>
            <w:tcW w:w="8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产出指标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时效指标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年底前完成监督检查工作</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100</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100</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产出指标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数量指标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开展会计培训</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1</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次/年</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1</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效益指标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社会效益指标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提高资金使用效率</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定性</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优良中低差</w:t>
            </w:r>
          </w:p>
        </w:tc>
        <w:tc>
          <w:tcPr>
            <w:tcW w:w="8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产出指标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效果指标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避免国有资产流失</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定性</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优良中低差</w:t>
            </w:r>
          </w:p>
        </w:tc>
        <w:tc>
          <w:tcPr>
            <w:tcW w:w="8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产出指标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数量指标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开展监督检查</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1</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次/年</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1</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产出指标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质量指标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履行违法违纪行为监督职责</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定性</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优良中低差</w:t>
            </w:r>
          </w:p>
        </w:tc>
        <w:tc>
          <w:tcPr>
            <w:tcW w:w="8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产出指标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成本指标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按政策控制</w:t>
            </w:r>
            <w:r>
              <w:rPr>
                <w:rFonts w:hint="eastAsia" w:asciiTheme="minorEastAsia" w:hAnsiTheme="minorEastAsia" w:eastAsiaTheme="minorEastAsia" w:cstheme="minorEastAsia"/>
                <w:b w:val="0"/>
                <w:bCs w:val="0"/>
                <w:color w:val="auto"/>
                <w:kern w:val="0"/>
                <w:szCs w:val="21"/>
                <w:lang w:eastAsia="zh-CN"/>
              </w:rPr>
              <w:t>“</w:t>
            </w:r>
            <w:r>
              <w:rPr>
                <w:rFonts w:hint="eastAsia" w:asciiTheme="minorEastAsia" w:hAnsiTheme="minorEastAsia" w:eastAsiaTheme="minorEastAsia" w:cstheme="minorEastAsia"/>
                <w:b w:val="0"/>
                <w:bCs w:val="0"/>
                <w:color w:val="auto"/>
                <w:kern w:val="0"/>
                <w:szCs w:val="21"/>
              </w:rPr>
              <w:t>三公</w:t>
            </w:r>
            <w:r>
              <w:rPr>
                <w:rFonts w:hint="eastAsia" w:asciiTheme="minorEastAsia" w:hAnsiTheme="minorEastAsia" w:eastAsiaTheme="minorEastAsia" w:cstheme="minorEastAsia"/>
                <w:b w:val="0"/>
                <w:bCs w:val="0"/>
                <w:color w:val="auto"/>
                <w:kern w:val="0"/>
                <w:szCs w:val="21"/>
                <w:lang w:eastAsia="zh-CN"/>
              </w:rPr>
              <w:t>”</w:t>
            </w:r>
            <w:r>
              <w:rPr>
                <w:rFonts w:hint="eastAsia" w:asciiTheme="minorEastAsia" w:hAnsiTheme="minorEastAsia" w:eastAsiaTheme="minorEastAsia" w:cstheme="minorEastAsia"/>
                <w:b w:val="0"/>
                <w:bCs w:val="0"/>
                <w:color w:val="auto"/>
                <w:kern w:val="0"/>
                <w:szCs w:val="21"/>
              </w:rPr>
              <w:t>经费</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100</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100</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675"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效益指标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可持续发展指标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建立良好的财政资金使用安全环境</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定性</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优良中低差</w:t>
            </w:r>
          </w:p>
        </w:tc>
        <w:tc>
          <w:tcPr>
            <w:tcW w:w="8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效益指标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可持续影响指标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强化财务人员的职业素养</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定性</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优良中低差</w:t>
            </w:r>
          </w:p>
        </w:tc>
        <w:tc>
          <w:tcPr>
            <w:tcW w:w="8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675"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效益指标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社会效益指标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lang w:eastAsia="zh-CN"/>
              </w:rPr>
              <w:t>提高财政</w:t>
            </w:r>
            <w:r>
              <w:rPr>
                <w:rFonts w:hint="eastAsia" w:asciiTheme="minorEastAsia" w:hAnsiTheme="minorEastAsia" w:eastAsiaTheme="minorEastAsia" w:cstheme="minorEastAsia"/>
                <w:b w:val="0"/>
                <w:bCs w:val="0"/>
                <w:color w:val="auto"/>
                <w:kern w:val="0"/>
                <w:szCs w:val="21"/>
              </w:rPr>
              <w:t>资金</w:t>
            </w:r>
            <w:r>
              <w:rPr>
                <w:rFonts w:hint="eastAsia" w:asciiTheme="minorEastAsia" w:hAnsiTheme="minorEastAsia" w:eastAsiaTheme="minorEastAsia" w:cstheme="minorEastAsia"/>
                <w:b w:val="0"/>
                <w:bCs w:val="0"/>
                <w:color w:val="auto"/>
                <w:kern w:val="0"/>
                <w:szCs w:val="21"/>
                <w:lang w:eastAsia="zh-CN"/>
              </w:rPr>
              <w:t>使用效率</w:t>
            </w:r>
            <w:r>
              <w:rPr>
                <w:rFonts w:hint="eastAsia" w:asciiTheme="minorEastAsia" w:hAnsiTheme="minorEastAsia" w:eastAsiaTheme="minorEastAsia" w:cstheme="minorEastAsia"/>
                <w:b w:val="0"/>
                <w:bCs w:val="0"/>
                <w:color w:val="auto"/>
                <w:kern w:val="0"/>
                <w:szCs w:val="21"/>
              </w:rPr>
              <w:t>，促进经济增长</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定性</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优良中低差</w:t>
            </w:r>
          </w:p>
        </w:tc>
        <w:tc>
          <w:tcPr>
            <w:tcW w:w="8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优</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450" w:hRule="atLeast"/>
        </w:trPr>
        <w:tc>
          <w:tcPr>
            <w:tcW w:w="1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满意度指标</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服务对象满意度指标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kern w:val="0"/>
                <w:szCs w:val="21"/>
              </w:rPr>
              <w:t>政府满意</w:t>
            </w:r>
            <w:r>
              <w:rPr>
                <w:rFonts w:hint="eastAsia" w:asciiTheme="minorEastAsia" w:hAnsiTheme="minorEastAsia" w:eastAsiaTheme="minorEastAsia" w:cstheme="minorEastAsia"/>
                <w:b w:val="0"/>
                <w:bCs w:val="0"/>
                <w:color w:val="auto"/>
                <w:kern w:val="0"/>
                <w:szCs w:val="21"/>
                <w:lang w:eastAsia="zh-CN"/>
              </w:rPr>
              <w:t>度</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95</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≥95</w:t>
            </w:r>
          </w:p>
        </w:tc>
        <w:tc>
          <w:tcPr>
            <w:tcW w:w="77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93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5</w:t>
            </w:r>
          </w:p>
        </w:tc>
        <w:tc>
          <w:tcPr>
            <w:tcW w:w="2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270" w:hRule="atLeast"/>
        </w:trPr>
        <w:tc>
          <w:tcPr>
            <w:tcW w:w="9868"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合计</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Cs w:val="21"/>
              </w:rPr>
            </w:pPr>
          </w:p>
        </w:tc>
      </w:tr>
      <w:tr>
        <w:tblPrEx>
          <w:tblCellMar>
            <w:top w:w="0" w:type="dxa"/>
            <w:left w:w="108" w:type="dxa"/>
            <w:bottom w:w="0" w:type="dxa"/>
            <w:right w:w="108" w:type="dxa"/>
          </w:tblCellMar>
        </w:tblPrEx>
        <w:trPr>
          <w:trHeight w:val="540" w:hRule="atLeast"/>
        </w:trPr>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自评结论</w:t>
            </w:r>
          </w:p>
        </w:tc>
        <w:tc>
          <w:tcPr>
            <w:tcW w:w="12848"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本项目具有明确的目标，项目实施过程中严格按照省、市及区级有关项目管理和经费管理规定执行，资金到位及时，使用得当。该项目总分值100分，自评得分98分。</w:t>
            </w:r>
          </w:p>
        </w:tc>
      </w:tr>
      <w:tr>
        <w:tblPrEx>
          <w:tblCellMar>
            <w:top w:w="0" w:type="dxa"/>
            <w:left w:w="108" w:type="dxa"/>
            <w:bottom w:w="0" w:type="dxa"/>
            <w:right w:w="108" w:type="dxa"/>
          </w:tblCellMar>
        </w:tblPrEx>
        <w:trPr>
          <w:trHeight w:val="460" w:hRule="atLeast"/>
        </w:trPr>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自评存在问题</w:t>
            </w:r>
          </w:p>
        </w:tc>
        <w:tc>
          <w:tcPr>
            <w:tcW w:w="12848"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无</w:t>
            </w:r>
          </w:p>
        </w:tc>
      </w:tr>
      <w:tr>
        <w:tblPrEx>
          <w:tblCellMar>
            <w:top w:w="0" w:type="dxa"/>
            <w:left w:w="108" w:type="dxa"/>
            <w:bottom w:w="0" w:type="dxa"/>
            <w:right w:w="108" w:type="dxa"/>
          </w:tblCellMar>
        </w:tblPrEx>
        <w:trPr>
          <w:trHeight w:val="500" w:hRule="atLeast"/>
        </w:trPr>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自评改进措施</w:t>
            </w:r>
          </w:p>
        </w:tc>
        <w:tc>
          <w:tcPr>
            <w:tcW w:w="12848"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无</w:t>
            </w:r>
          </w:p>
        </w:tc>
      </w:tr>
      <w:tr>
        <w:tblPrEx>
          <w:tblCellMar>
            <w:top w:w="0" w:type="dxa"/>
            <w:left w:w="108" w:type="dxa"/>
            <w:bottom w:w="0" w:type="dxa"/>
            <w:right w:w="108" w:type="dxa"/>
          </w:tblCellMar>
        </w:tblPrEx>
        <w:trPr>
          <w:trHeight w:val="270" w:hRule="atLeast"/>
        </w:trPr>
        <w:tc>
          <w:tcPr>
            <w:tcW w:w="671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kern w:val="0"/>
                <w:szCs w:val="21"/>
              </w:rPr>
              <w:t>项目负责人：</w:t>
            </w:r>
            <w:r>
              <w:rPr>
                <w:rFonts w:hint="eastAsia" w:asciiTheme="minorEastAsia" w:hAnsiTheme="minorEastAsia" w:eastAsiaTheme="minorEastAsia" w:cstheme="minorEastAsia"/>
                <w:b w:val="0"/>
                <w:bCs w:val="0"/>
                <w:color w:val="auto"/>
                <w:kern w:val="0"/>
                <w:szCs w:val="21"/>
                <w:lang w:eastAsia="zh-CN"/>
              </w:rPr>
              <w:t>曾庆军</w:t>
            </w:r>
          </w:p>
        </w:tc>
        <w:tc>
          <w:tcPr>
            <w:tcW w:w="778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kern w:val="0"/>
                <w:szCs w:val="21"/>
              </w:rPr>
              <w:t>财务负责人：王春蓉</w:t>
            </w:r>
          </w:p>
        </w:tc>
      </w:tr>
    </w:tbl>
    <w:tbl>
      <w:tblPr>
        <w:tblStyle w:val="14"/>
        <w:tblpPr w:leftFromText="180" w:rightFromText="180" w:vertAnchor="text" w:horzAnchor="page" w:tblpX="1541" w:tblpY="306"/>
        <w:tblOverlap w:val="never"/>
        <w:tblW w:w="14474" w:type="dxa"/>
        <w:tblInd w:w="0" w:type="dxa"/>
        <w:tblLayout w:type="fixed"/>
        <w:tblCellMar>
          <w:top w:w="0" w:type="dxa"/>
          <w:left w:w="108" w:type="dxa"/>
          <w:bottom w:w="0" w:type="dxa"/>
          <w:right w:w="108" w:type="dxa"/>
        </w:tblCellMar>
      </w:tblPr>
      <w:tblGrid>
        <w:gridCol w:w="1694"/>
        <w:gridCol w:w="1754"/>
        <w:gridCol w:w="1425"/>
        <w:gridCol w:w="1470"/>
        <w:gridCol w:w="521"/>
        <w:gridCol w:w="1245"/>
        <w:gridCol w:w="521"/>
        <w:gridCol w:w="1091"/>
        <w:gridCol w:w="780"/>
        <w:gridCol w:w="960"/>
        <w:gridCol w:w="3013"/>
      </w:tblGrid>
      <w:tr>
        <w:tblPrEx>
          <w:tblCellMar>
            <w:top w:w="0" w:type="dxa"/>
            <w:left w:w="108" w:type="dxa"/>
            <w:bottom w:w="0" w:type="dxa"/>
            <w:right w:w="108" w:type="dxa"/>
          </w:tblCellMar>
        </w:tblPrEx>
        <w:trPr>
          <w:trHeight w:val="570" w:hRule="atLeast"/>
        </w:trPr>
        <w:tc>
          <w:tcPr>
            <w:tcW w:w="14474" w:type="dxa"/>
            <w:gridSpan w:val="11"/>
            <w:tcBorders>
              <w:top w:val="nil"/>
              <w:left w:val="nil"/>
              <w:bottom w:val="nil"/>
              <w:right w:val="nil"/>
            </w:tcBorders>
            <w:vAlign w:val="center"/>
          </w:tcPr>
          <w:p>
            <w:pPr>
              <w:widowControl/>
              <w:jc w:val="center"/>
              <w:textAlignment w:val="center"/>
              <w:rPr>
                <w:rFonts w:hint="eastAsia" w:asciiTheme="minorEastAsia" w:hAnsiTheme="minorEastAsia" w:eastAsiaTheme="minorEastAsia" w:cstheme="minorEastAsia"/>
                <w:b w:val="0"/>
                <w:bCs w:val="0"/>
                <w:color w:val="auto"/>
                <w:sz w:val="44"/>
                <w:szCs w:val="44"/>
              </w:rPr>
            </w:pPr>
            <w:r>
              <w:rPr>
                <w:rFonts w:hint="eastAsia" w:asciiTheme="minorEastAsia" w:hAnsiTheme="minorEastAsia" w:eastAsiaTheme="minorEastAsia" w:cstheme="minorEastAsia"/>
                <w:b w:val="0"/>
                <w:bCs w:val="0"/>
                <w:color w:val="auto"/>
                <w:szCs w:val="21"/>
              </w:rPr>
              <w:t>部门预算项目支出绩效自评表（2022年度）</w:t>
            </w:r>
          </w:p>
        </w:tc>
      </w:tr>
      <w:tr>
        <w:tblPrEx>
          <w:tblCellMar>
            <w:top w:w="0" w:type="dxa"/>
            <w:left w:w="108" w:type="dxa"/>
            <w:bottom w:w="0" w:type="dxa"/>
            <w:right w:w="108" w:type="dxa"/>
          </w:tblCellMar>
        </w:tblPrEx>
        <w:trPr>
          <w:trHeight w:val="380" w:hRule="atLeast"/>
        </w:trPr>
        <w:tc>
          <w:tcPr>
            <w:tcW w:w="344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项目名称</w:t>
            </w:r>
          </w:p>
        </w:tc>
        <w:tc>
          <w:tcPr>
            <w:tcW w:w="1102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向上争取资金</w:t>
            </w:r>
          </w:p>
        </w:tc>
      </w:tr>
      <w:tr>
        <w:tblPrEx>
          <w:tblCellMar>
            <w:top w:w="0" w:type="dxa"/>
            <w:left w:w="108" w:type="dxa"/>
            <w:bottom w:w="0" w:type="dxa"/>
            <w:right w:w="108" w:type="dxa"/>
          </w:tblCellMar>
        </w:tblPrEx>
        <w:trPr>
          <w:trHeight w:val="280" w:hRule="atLeast"/>
        </w:trPr>
        <w:tc>
          <w:tcPr>
            <w:tcW w:w="344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主管部门</w:t>
            </w:r>
          </w:p>
        </w:tc>
        <w:tc>
          <w:tcPr>
            <w:tcW w:w="5182"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广元市利州区财政局</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 xml:space="preserve">实施单位 </w:t>
            </w:r>
          </w:p>
        </w:tc>
        <w:tc>
          <w:tcPr>
            <w:tcW w:w="47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广元市利州区财政局</w:t>
            </w:r>
          </w:p>
        </w:tc>
      </w:tr>
      <w:tr>
        <w:tblPrEx>
          <w:tblCellMar>
            <w:top w:w="0" w:type="dxa"/>
            <w:left w:w="108" w:type="dxa"/>
            <w:bottom w:w="0" w:type="dxa"/>
            <w:right w:w="108" w:type="dxa"/>
          </w:tblCellMar>
        </w:tblPrEx>
        <w:trPr>
          <w:trHeight w:val="380" w:hRule="atLeast"/>
        </w:trPr>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项目基本情况</w:t>
            </w:r>
          </w:p>
        </w:tc>
        <w:tc>
          <w:tcPr>
            <w:tcW w:w="1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项目年度目标</w:t>
            </w:r>
          </w:p>
        </w:tc>
        <w:tc>
          <w:tcPr>
            <w:tcW w:w="584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年度目标完成情况</w:t>
            </w:r>
          </w:p>
        </w:tc>
      </w:tr>
      <w:tr>
        <w:tblPrEx>
          <w:tblCellMar>
            <w:top w:w="0" w:type="dxa"/>
            <w:left w:w="108" w:type="dxa"/>
            <w:bottom w:w="0" w:type="dxa"/>
            <w:right w:w="108" w:type="dxa"/>
          </w:tblCellMar>
        </w:tblPrEx>
        <w:trPr>
          <w:trHeight w:val="42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5182"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保障区级部门融资、争取项目等工作经费。</w:t>
            </w:r>
          </w:p>
        </w:tc>
        <w:tc>
          <w:tcPr>
            <w:tcW w:w="584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项目实施过程中严格按照省、市及区级有关项目管理和经费管理规定执行，资金到位及时，使用得当。</w:t>
            </w:r>
          </w:p>
        </w:tc>
      </w:tr>
      <w:tr>
        <w:tblPrEx>
          <w:tblCellMar>
            <w:top w:w="0" w:type="dxa"/>
            <w:left w:w="108" w:type="dxa"/>
            <w:bottom w:w="0" w:type="dxa"/>
            <w:right w:w="108" w:type="dxa"/>
          </w:tblCellMar>
        </w:tblPrEx>
        <w:trPr>
          <w:trHeight w:val="46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2.项目实施内容及过程概述</w:t>
            </w:r>
          </w:p>
        </w:tc>
        <w:tc>
          <w:tcPr>
            <w:tcW w:w="1102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lang w:eastAsia="zh-CN"/>
              </w:rPr>
              <w:t>保障</w:t>
            </w:r>
            <w:r>
              <w:rPr>
                <w:rFonts w:hint="eastAsia" w:asciiTheme="minorEastAsia" w:hAnsiTheme="minorEastAsia" w:eastAsiaTheme="minorEastAsia" w:cstheme="minorEastAsia"/>
                <w:b w:val="0"/>
                <w:bCs w:val="0"/>
                <w:color w:val="auto"/>
                <w:kern w:val="0"/>
                <w:sz w:val="18"/>
                <w:szCs w:val="18"/>
              </w:rPr>
              <w:t>争取专项</w:t>
            </w:r>
            <w:r>
              <w:rPr>
                <w:rFonts w:hint="eastAsia" w:asciiTheme="minorEastAsia" w:hAnsiTheme="minorEastAsia" w:eastAsiaTheme="minorEastAsia" w:cstheme="minorEastAsia"/>
                <w:b w:val="0"/>
                <w:bCs w:val="0"/>
                <w:color w:val="auto"/>
                <w:kern w:val="0"/>
                <w:sz w:val="18"/>
                <w:szCs w:val="18"/>
                <w:lang w:eastAsia="zh-CN"/>
              </w:rPr>
              <w:t>债券</w:t>
            </w:r>
            <w:r>
              <w:rPr>
                <w:rFonts w:hint="eastAsia" w:asciiTheme="minorEastAsia" w:hAnsiTheme="minorEastAsia" w:eastAsiaTheme="minorEastAsia" w:cstheme="minorEastAsia"/>
                <w:b w:val="0"/>
                <w:bCs w:val="0"/>
                <w:color w:val="auto"/>
                <w:kern w:val="0"/>
                <w:sz w:val="18"/>
                <w:szCs w:val="18"/>
              </w:rPr>
              <w:t>资金10亿元</w:t>
            </w:r>
            <w:r>
              <w:rPr>
                <w:rFonts w:hint="eastAsia" w:asciiTheme="minorEastAsia" w:hAnsiTheme="minorEastAsia" w:eastAsiaTheme="minorEastAsia" w:cstheme="minorEastAsia"/>
                <w:b w:val="0"/>
                <w:bCs w:val="0"/>
                <w:color w:val="auto"/>
                <w:kern w:val="0"/>
                <w:sz w:val="18"/>
                <w:szCs w:val="18"/>
                <w:lang w:eastAsia="zh-CN"/>
              </w:rPr>
              <w:t>以上</w:t>
            </w:r>
            <w:r>
              <w:rPr>
                <w:rFonts w:hint="eastAsia" w:asciiTheme="minorEastAsia" w:hAnsiTheme="minorEastAsia" w:eastAsiaTheme="minorEastAsia" w:cstheme="minorEastAsia"/>
                <w:b w:val="0"/>
                <w:bCs w:val="0"/>
                <w:color w:val="auto"/>
                <w:kern w:val="0"/>
                <w:sz w:val="18"/>
                <w:szCs w:val="18"/>
              </w:rPr>
              <w:t>，全年争取到位各渠道资金36.5亿元，发生的差旅费、资料费等工作经费。</w:t>
            </w:r>
          </w:p>
        </w:tc>
      </w:tr>
      <w:tr>
        <w:tblPrEx>
          <w:tblCellMar>
            <w:top w:w="0" w:type="dxa"/>
            <w:left w:w="108" w:type="dxa"/>
            <w:bottom w:w="0" w:type="dxa"/>
            <w:right w:w="108" w:type="dxa"/>
          </w:tblCellMar>
        </w:tblPrEx>
        <w:trPr>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预算执行情况</w:t>
            </w:r>
            <w:r>
              <w:rPr>
                <w:rFonts w:hint="eastAsia" w:asciiTheme="minorEastAsia" w:hAnsiTheme="minorEastAsia" w:eastAsiaTheme="minorEastAsia" w:cstheme="minorEastAsia"/>
                <w:b w:val="0"/>
                <w:bCs w:val="0"/>
                <w:color w:val="auto"/>
                <w:kern w:val="0"/>
                <w:sz w:val="18"/>
                <w:szCs w:val="18"/>
              </w:rPr>
              <w:br w:type="textWrapping"/>
            </w:r>
            <w:r>
              <w:rPr>
                <w:rFonts w:hint="eastAsia" w:asciiTheme="minorEastAsia" w:hAnsiTheme="minorEastAsia" w:eastAsiaTheme="minorEastAsia" w:cstheme="minorEastAsia"/>
                <w:b w:val="0"/>
                <w:bCs w:val="0"/>
                <w:color w:val="auto"/>
                <w:kern w:val="0"/>
                <w:sz w:val="18"/>
                <w:szCs w:val="18"/>
              </w:rPr>
              <w:t>（10分）</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年度预算数</w:t>
            </w:r>
            <w:r>
              <w:rPr>
                <w:rFonts w:hint="eastAsia" w:asciiTheme="minorEastAsia" w:hAnsiTheme="minorEastAsia" w:eastAsiaTheme="minorEastAsia" w:cstheme="minorEastAsia"/>
                <w:b w:val="0"/>
                <w:bCs w:val="0"/>
                <w:color w:val="auto"/>
                <w:kern w:val="0"/>
                <w:sz w:val="18"/>
                <w:szCs w:val="18"/>
              </w:rPr>
              <w:br w:type="textWrapping"/>
            </w:r>
            <w:r>
              <w:rPr>
                <w:rFonts w:hint="eastAsia" w:asciiTheme="minorEastAsia" w:hAnsiTheme="minorEastAsia" w:eastAsiaTheme="minorEastAsia" w:cstheme="minorEastAsia"/>
                <w:b w:val="0"/>
                <w:bCs w:val="0"/>
                <w:color w:val="auto"/>
                <w:kern w:val="0"/>
                <w:sz w:val="18"/>
                <w:szCs w:val="18"/>
              </w:rPr>
              <w:t>（万元）</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年初预算</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预算执行数</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预算执行率</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权重%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自评得分</w:t>
            </w:r>
          </w:p>
        </w:tc>
        <w:tc>
          <w:tcPr>
            <w:tcW w:w="30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原因</w:t>
            </w:r>
          </w:p>
        </w:tc>
      </w:tr>
      <w:tr>
        <w:tblPrEx>
          <w:tblCellMar>
            <w:top w:w="0" w:type="dxa"/>
            <w:left w:w="108" w:type="dxa"/>
            <w:bottom w:w="0" w:type="dxa"/>
            <w:right w:w="108" w:type="dxa"/>
          </w:tblCellMar>
        </w:tblPrEx>
        <w:trPr>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总额</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60.00</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60.00</w:t>
            </w: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60.00</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w:t>
            </w:r>
          </w:p>
        </w:tc>
        <w:tc>
          <w:tcPr>
            <w:tcW w:w="30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其中：财政资金</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60.00</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60.00</w:t>
            </w: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60.00</w:t>
            </w: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301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财政专户管理资金</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301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单位资金</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301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其他资金</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301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绩效指标（90分）</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一级指标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二级指标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三级指标</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指标性质</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指标值</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度量单位</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完成值</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权重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自评得分</w:t>
            </w:r>
          </w:p>
        </w:tc>
        <w:tc>
          <w:tcPr>
            <w:tcW w:w="30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未完成原因分析</w:t>
            </w: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成本指标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加大区级项目投入</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2</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亿元</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≥2</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效果指标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年底前完成争取工作</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时效指标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及时对接上级部门</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可持续影响指标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保障城市基础设施建设持续投入</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数量指标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协助争取上级专项资金</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0.5</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亿元</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≥0.5</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社会效益指标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筹集资金减轻财政负担</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数量指标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争取</w:t>
            </w:r>
            <w:r>
              <w:rPr>
                <w:rFonts w:hint="eastAsia" w:asciiTheme="minorEastAsia" w:hAnsiTheme="minorEastAsia" w:eastAsiaTheme="minorEastAsia" w:cstheme="minorEastAsia"/>
                <w:b w:val="0"/>
                <w:bCs w:val="0"/>
                <w:color w:val="auto"/>
                <w:kern w:val="0"/>
                <w:sz w:val="18"/>
                <w:szCs w:val="18"/>
                <w:lang w:eastAsia="zh-CN"/>
              </w:rPr>
              <w:t>专项</w:t>
            </w:r>
            <w:r>
              <w:rPr>
                <w:rFonts w:hint="eastAsia" w:asciiTheme="minorEastAsia" w:hAnsiTheme="minorEastAsia" w:eastAsiaTheme="minorEastAsia" w:cstheme="minorEastAsia"/>
                <w:b w:val="0"/>
                <w:bCs w:val="0"/>
                <w:color w:val="auto"/>
                <w:kern w:val="0"/>
                <w:sz w:val="18"/>
                <w:szCs w:val="18"/>
              </w:rPr>
              <w:t>资金</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3</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亿元</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3</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质量指标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上级专项收入逐步增加</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可持续发展指标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财力可持续发展</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满意度指标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服务对象满意度指标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各部门满意</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4</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时效指标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及时对接配合本级相关部门</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可持续发展指标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促进人员持续争取专项资金</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社会效益指标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打造良好的居住生活环境</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效果指标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调动人员积极性</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可持续影响指标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老旧小区的持续性投入</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满意度指标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服务对象满意度指标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lang w:eastAsia="zh-CN"/>
              </w:rPr>
            </w:pPr>
            <w:r>
              <w:rPr>
                <w:rFonts w:hint="eastAsia" w:asciiTheme="minorEastAsia" w:hAnsiTheme="minorEastAsia" w:eastAsiaTheme="minorEastAsia" w:cstheme="minorEastAsia"/>
                <w:b w:val="0"/>
                <w:bCs w:val="0"/>
                <w:color w:val="auto"/>
                <w:kern w:val="0"/>
                <w:sz w:val="18"/>
                <w:szCs w:val="18"/>
              </w:rPr>
              <w:t>政府满意</w:t>
            </w:r>
            <w:r>
              <w:rPr>
                <w:rFonts w:hint="eastAsia" w:asciiTheme="minorEastAsia" w:hAnsiTheme="minorEastAsia" w:eastAsiaTheme="minorEastAsia" w:cstheme="minorEastAsia"/>
                <w:b w:val="0"/>
                <w:bCs w:val="0"/>
                <w:color w:val="auto"/>
                <w:kern w:val="0"/>
                <w:sz w:val="18"/>
                <w:szCs w:val="18"/>
                <w:lang w:eastAsia="zh-CN"/>
              </w:rPr>
              <w:t>度</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成本指标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控制前期成本</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20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万元</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≤20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质量指标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债券争取工作有序推进</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4</w:t>
            </w:r>
          </w:p>
        </w:tc>
        <w:tc>
          <w:tcPr>
            <w:tcW w:w="30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270" w:hRule="atLeast"/>
        </w:trPr>
        <w:tc>
          <w:tcPr>
            <w:tcW w:w="972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合计</w:t>
            </w:r>
          </w:p>
        </w:tc>
        <w:tc>
          <w:tcPr>
            <w:tcW w:w="7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301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540" w:hRule="atLeast"/>
        </w:trPr>
        <w:tc>
          <w:tcPr>
            <w:tcW w:w="1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自评结论</w:t>
            </w:r>
          </w:p>
        </w:tc>
        <w:tc>
          <w:tcPr>
            <w:tcW w:w="12780"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6"/>
                <w:szCs w:val="16"/>
              </w:rPr>
            </w:pPr>
            <w:r>
              <w:rPr>
                <w:rFonts w:hint="eastAsia" w:asciiTheme="minorEastAsia" w:hAnsiTheme="minorEastAsia" w:eastAsiaTheme="minorEastAsia" w:cstheme="minorEastAsia"/>
                <w:b w:val="0"/>
                <w:bCs w:val="0"/>
                <w:color w:val="auto"/>
                <w:kern w:val="0"/>
                <w:sz w:val="16"/>
                <w:szCs w:val="16"/>
              </w:rPr>
              <w:t>全面完成向上争取资金任务，融资项目争取工作推进运行有序，缓解财政资金调度，确保全区社会稳定，促发展、百姓受益。该项目总分值100分，自评得分98分。</w:t>
            </w:r>
          </w:p>
        </w:tc>
      </w:tr>
      <w:tr>
        <w:tblPrEx>
          <w:tblCellMar>
            <w:top w:w="0" w:type="dxa"/>
            <w:left w:w="108" w:type="dxa"/>
            <w:bottom w:w="0" w:type="dxa"/>
            <w:right w:w="108" w:type="dxa"/>
          </w:tblCellMar>
        </w:tblPrEx>
        <w:trPr>
          <w:trHeight w:val="460" w:hRule="atLeast"/>
        </w:trPr>
        <w:tc>
          <w:tcPr>
            <w:tcW w:w="1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自评存在问题</w:t>
            </w:r>
          </w:p>
        </w:tc>
        <w:tc>
          <w:tcPr>
            <w:tcW w:w="12780"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6"/>
                <w:szCs w:val="16"/>
              </w:rPr>
            </w:pPr>
            <w:r>
              <w:rPr>
                <w:rFonts w:hint="eastAsia" w:asciiTheme="minorEastAsia" w:hAnsiTheme="minorEastAsia" w:eastAsiaTheme="minorEastAsia" w:cstheme="minorEastAsia"/>
                <w:b w:val="0"/>
                <w:bCs w:val="0"/>
                <w:color w:val="auto"/>
                <w:kern w:val="0"/>
                <w:sz w:val="16"/>
                <w:szCs w:val="16"/>
              </w:rPr>
              <w:t>无</w:t>
            </w:r>
          </w:p>
        </w:tc>
      </w:tr>
      <w:tr>
        <w:tblPrEx>
          <w:tblCellMar>
            <w:top w:w="0" w:type="dxa"/>
            <w:left w:w="108" w:type="dxa"/>
            <w:bottom w:w="0" w:type="dxa"/>
            <w:right w:w="108" w:type="dxa"/>
          </w:tblCellMar>
        </w:tblPrEx>
        <w:trPr>
          <w:trHeight w:val="500" w:hRule="atLeast"/>
        </w:trPr>
        <w:tc>
          <w:tcPr>
            <w:tcW w:w="1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自评改进措施</w:t>
            </w:r>
          </w:p>
        </w:tc>
        <w:tc>
          <w:tcPr>
            <w:tcW w:w="12780"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6"/>
                <w:szCs w:val="16"/>
              </w:rPr>
            </w:pPr>
            <w:r>
              <w:rPr>
                <w:rFonts w:hint="eastAsia" w:asciiTheme="minorEastAsia" w:hAnsiTheme="minorEastAsia" w:eastAsiaTheme="minorEastAsia" w:cstheme="minorEastAsia"/>
                <w:b w:val="0"/>
                <w:bCs w:val="0"/>
                <w:color w:val="auto"/>
                <w:kern w:val="0"/>
                <w:sz w:val="16"/>
                <w:szCs w:val="16"/>
              </w:rPr>
              <w:t>无</w:t>
            </w:r>
          </w:p>
        </w:tc>
      </w:tr>
      <w:tr>
        <w:tblPrEx>
          <w:tblCellMar>
            <w:top w:w="0" w:type="dxa"/>
            <w:left w:w="108" w:type="dxa"/>
            <w:bottom w:w="0" w:type="dxa"/>
            <w:right w:w="108" w:type="dxa"/>
          </w:tblCellMar>
        </w:tblPrEx>
        <w:trPr>
          <w:trHeight w:val="270" w:hRule="atLeast"/>
        </w:trPr>
        <w:tc>
          <w:tcPr>
            <w:tcW w:w="6864"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项目负责人：姚乐军</w:t>
            </w:r>
          </w:p>
        </w:tc>
        <w:tc>
          <w:tcPr>
            <w:tcW w:w="761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财务负责人：王春蓉</w:t>
            </w:r>
          </w:p>
        </w:tc>
      </w:tr>
    </w:tbl>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sz w:val="44"/>
          <w:szCs w:val="44"/>
        </w:rPr>
      </w:pPr>
    </w:p>
    <w:p>
      <w:pPr>
        <w:pStyle w:val="2"/>
        <w:ind w:left="31680" w:firstLine="31680"/>
        <w:rPr>
          <w:rFonts w:hint="eastAsia" w:asciiTheme="minorEastAsia" w:hAnsiTheme="minorEastAsia" w:eastAsiaTheme="minorEastAsia" w:cstheme="minorEastAsia"/>
          <w:color w:val="auto"/>
          <w:sz w:val="44"/>
          <w:szCs w:val="44"/>
        </w:rPr>
      </w:pPr>
    </w:p>
    <w:p>
      <w:pPr>
        <w:rPr>
          <w:rFonts w:hint="eastAsia" w:asciiTheme="minorEastAsia" w:hAnsiTheme="minorEastAsia" w:eastAsiaTheme="minorEastAsia" w:cstheme="minorEastAsia"/>
          <w:color w:val="auto"/>
          <w:sz w:val="44"/>
          <w:szCs w:val="44"/>
        </w:rPr>
      </w:pPr>
    </w:p>
    <w:tbl>
      <w:tblPr>
        <w:tblStyle w:val="14"/>
        <w:tblW w:w="14392" w:type="dxa"/>
        <w:tblInd w:w="93" w:type="dxa"/>
        <w:tblLayout w:type="fixed"/>
        <w:tblCellMar>
          <w:top w:w="0" w:type="dxa"/>
          <w:left w:w="108" w:type="dxa"/>
          <w:bottom w:w="0" w:type="dxa"/>
          <w:right w:w="108" w:type="dxa"/>
        </w:tblCellMar>
      </w:tblPr>
      <w:tblGrid>
        <w:gridCol w:w="1694"/>
        <w:gridCol w:w="1754"/>
        <w:gridCol w:w="1425"/>
        <w:gridCol w:w="1470"/>
        <w:gridCol w:w="521"/>
        <w:gridCol w:w="1245"/>
        <w:gridCol w:w="521"/>
        <w:gridCol w:w="1091"/>
        <w:gridCol w:w="780"/>
        <w:gridCol w:w="960"/>
        <w:gridCol w:w="2931"/>
      </w:tblGrid>
      <w:tr>
        <w:tblPrEx>
          <w:tblCellMar>
            <w:top w:w="0" w:type="dxa"/>
            <w:left w:w="108" w:type="dxa"/>
            <w:bottom w:w="0" w:type="dxa"/>
            <w:right w:w="108" w:type="dxa"/>
          </w:tblCellMar>
        </w:tblPrEx>
        <w:trPr>
          <w:trHeight w:val="570" w:hRule="atLeast"/>
        </w:trPr>
        <w:tc>
          <w:tcPr>
            <w:tcW w:w="14392" w:type="dxa"/>
            <w:gridSpan w:val="11"/>
            <w:tcBorders>
              <w:top w:val="nil"/>
              <w:left w:val="nil"/>
              <w:bottom w:val="nil"/>
              <w:right w:val="nil"/>
            </w:tcBorders>
            <w:vAlign w:val="center"/>
          </w:tcPr>
          <w:p>
            <w:pPr>
              <w:widowControl/>
              <w:jc w:val="center"/>
              <w:textAlignment w:val="center"/>
              <w:rPr>
                <w:rFonts w:hint="eastAsia" w:asciiTheme="minorEastAsia" w:hAnsiTheme="minorEastAsia" w:eastAsiaTheme="minorEastAsia" w:cstheme="minorEastAsia"/>
                <w:b w:val="0"/>
                <w:bCs w:val="0"/>
                <w:color w:val="auto"/>
                <w:sz w:val="44"/>
                <w:szCs w:val="44"/>
              </w:rPr>
            </w:pPr>
            <w:r>
              <w:rPr>
                <w:rFonts w:hint="eastAsia" w:asciiTheme="minorEastAsia" w:hAnsiTheme="minorEastAsia" w:eastAsiaTheme="minorEastAsia" w:cstheme="minorEastAsia"/>
                <w:b w:val="0"/>
                <w:bCs w:val="0"/>
                <w:color w:val="auto"/>
                <w:szCs w:val="21"/>
              </w:rPr>
              <w:t>部门预算项目支出绩效自评表（2022年度）</w:t>
            </w:r>
          </w:p>
        </w:tc>
      </w:tr>
      <w:tr>
        <w:tblPrEx>
          <w:tblCellMar>
            <w:top w:w="0" w:type="dxa"/>
            <w:left w:w="108" w:type="dxa"/>
            <w:bottom w:w="0" w:type="dxa"/>
            <w:right w:w="108" w:type="dxa"/>
          </w:tblCellMar>
        </w:tblPrEx>
        <w:trPr>
          <w:trHeight w:val="380" w:hRule="atLeast"/>
        </w:trPr>
        <w:tc>
          <w:tcPr>
            <w:tcW w:w="344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项目名称</w:t>
            </w:r>
          </w:p>
        </w:tc>
        <w:tc>
          <w:tcPr>
            <w:tcW w:w="10944"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财政金财软件等运行</w:t>
            </w:r>
          </w:p>
        </w:tc>
      </w:tr>
      <w:tr>
        <w:tblPrEx>
          <w:tblCellMar>
            <w:top w:w="0" w:type="dxa"/>
            <w:left w:w="108" w:type="dxa"/>
            <w:bottom w:w="0" w:type="dxa"/>
            <w:right w:w="108" w:type="dxa"/>
          </w:tblCellMar>
        </w:tblPrEx>
        <w:trPr>
          <w:trHeight w:val="280" w:hRule="atLeast"/>
        </w:trPr>
        <w:tc>
          <w:tcPr>
            <w:tcW w:w="344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主管部门</w:t>
            </w:r>
          </w:p>
        </w:tc>
        <w:tc>
          <w:tcPr>
            <w:tcW w:w="5182"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广元市利州区财政局</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 xml:space="preserve">实施单位 </w:t>
            </w:r>
          </w:p>
        </w:tc>
        <w:tc>
          <w:tcPr>
            <w:tcW w:w="467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广元市利州区财政局</w:t>
            </w:r>
          </w:p>
        </w:tc>
      </w:tr>
      <w:tr>
        <w:tblPrEx>
          <w:tblCellMar>
            <w:top w:w="0" w:type="dxa"/>
            <w:left w:w="108" w:type="dxa"/>
            <w:bottom w:w="0" w:type="dxa"/>
            <w:right w:w="108" w:type="dxa"/>
          </w:tblCellMar>
        </w:tblPrEx>
        <w:trPr>
          <w:trHeight w:val="380" w:hRule="atLeast"/>
        </w:trPr>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项目基本情况</w:t>
            </w:r>
          </w:p>
        </w:tc>
        <w:tc>
          <w:tcPr>
            <w:tcW w:w="1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项目年度目标</w:t>
            </w:r>
          </w:p>
        </w:tc>
        <w:tc>
          <w:tcPr>
            <w:tcW w:w="576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年度目标完成情况</w:t>
            </w:r>
          </w:p>
        </w:tc>
      </w:tr>
      <w:tr>
        <w:tblPrEx>
          <w:tblCellMar>
            <w:top w:w="0" w:type="dxa"/>
            <w:left w:w="108" w:type="dxa"/>
            <w:bottom w:w="0" w:type="dxa"/>
            <w:right w:w="108" w:type="dxa"/>
          </w:tblCellMar>
        </w:tblPrEx>
        <w:trPr>
          <w:trHeight w:val="42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5182"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金财网络、E财软件系统、财政供养系统、资产管理系统、乡镇基财管理系统、财政评审系统、机房运行维护经费</w:t>
            </w:r>
            <w:r>
              <w:rPr>
                <w:rFonts w:hint="eastAsia" w:asciiTheme="minorEastAsia" w:hAnsiTheme="minorEastAsia" w:eastAsiaTheme="minorEastAsia" w:cstheme="minorEastAsia"/>
                <w:b w:val="0"/>
                <w:bCs w:val="0"/>
                <w:color w:val="auto"/>
                <w:kern w:val="0"/>
                <w:sz w:val="18"/>
                <w:szCs w:val="18"/>
                <w:lang w:eastAsia="zh-CN"/>
              </w:rPr>
              <w:t>、</w:t>
            </w:r>
            <w:r>
              <w:rPr>
                <w:rFonts w:hint="eastAsia" w:asciiTheme="minorEastAsia" w:hAnsiTheme="minorEastAsia" w:eastAsiaTheme="minorEastAsia" w:cstheme="minorEastAsia"/>
                <w:b w:val="0"/>
                <w:bCs w:val="0"/>
                <w:color w:val="auto"/>
                <w:kern w:val="0"/>
                <w:sz w:val="18"/>
                <w:szCs w:val="18"/>
              </w:rPr>
              <w:t>非税收缴电子系统等各项软件正常运行。</w:t>
            </w:r>
          </w:p>
        </w:tc>
        <w:tc>
          <w:tcPr>
            <w:tcW w:w="5762"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lang w:eastAsia="zh-CN"/>
              </w:rPr>
            </w:pPr>
            <w:r>
              <w:rPr>
                <w:rFonts w:hint="eastAsia" w:asciiTheme="minorEastAsia" w:hAnsiTheme="minorEastAsia" w:eastAsiaTheme="minorEastAsia" w:cstheme="minorEastAsia"/>
                <w:b w:val="0"/>
                <w:bCs w:val="0"/>
                <w:color w:val="auto"/>
                <w:sz w:val="18"/>
                <w:szCs w:val="18"/>
              </w:rPr>
              <w:t>各软件有专业人员维护，保障了全区财政软件环境安全，资金安全</w:t>
            </w:r>
            <w:r>
              <w:rPr>
                <w:rFonts w:hint="eastAsia" w:asciiTheme="minorEastAsia" w:hAnsiTheme="minorEastAsia" w:eastAsiaTheme="minorEastAsia" w:cstheme="minorEastAsia"/>
                <w:b w:val="0"/>
                <w:bCs w:val="0"/>
                <w:color w:val="auto"/>
                <w:sz w:val="18"/>
                <w:szCs w:val="18"/>
                <w:lang w:eastAsia="zh-CN"/>
              </w:rPr>
              <w:t>。</w:t>
            </w:r>
          </w:p>
        </w:tc>
      </w:tr>
      <w:tr>
        <w:tblPrEx>
          <w:tblCellMar>
            <w:top w:w="0" w:type="dxa"/>
            <w:left w:w="108" w:type="dxa"/>
            <w:bottom w:w="0" w:type="dxa"/>
            <w:right w:w="108" w:type="dxa"/>
          </w:tblCellMar>
        </w:tblPrEx>
        <w:trPr>
          <w:trHeight w:val="46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2.项目实施内容及过程概述</w:t>
            </w:r>
          </w:p>
        </w:tc>
        <w:tc>
          <w:tcPr>
            <w:tcW w:w="10944"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金财网络、E财软件系统、财政供养系统、资产管理系统、乡镇基财管理系统、财政评审系统、机房运行维护经费、非税收缴电子系统等各项软件正常运行。</w:t>
            </w:r>
          </w:p>
        </w:tc>
      </w:tr>
      <w:tr>
        <w:tblPrEx>
          <w:tblCellMar>
            <w:top w:w="0" w:type="dxa"/>
            <w:left w:w="108" w:type="dxa"/>
            <w:bottom w:w="0" w:type="dxa"/>
            <w:right w:w="108" w:type="dxa"/>
          </w:tblCellMar>
        </w:tblPrEx>
        <w:trPr>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预算执行情况</w:t>
            </w:r>
            <w:r>
              <w:rPr>
                <w:rFonts w:hint="eastAsia" w:asciiTheme="minorEastAsia" w:hAnsiTheme="minorEastAsia" w:eastAsiaTheme="minorEastAsia" w:cstheme="minorEastAsia"/>
                <w:b w:val="0"/>
                <w:bCs w:val="0"/>
                <w:color w:val="auto"/>
                <w:kern w:val="0"/>
                <w:sz w:val="18"/>
                <w:szCs w:val="18"/>
              </w:rPr>
              <w:br w:type="textWrapping"/>
            </w:r>
            <w:r>
              <w:rPr>
                <w:rFonts w:hint="eastAsia" w:asciiTheme="minorEastAsia" w:hAnsiTheme="minorEastAsia" w:eastAsiaTheme="minorEastAsia" w:cstheme="minorEastAsia"/>
                <w:b w:val="0"/>
                <w:bCs w:val="0"/>
                <w:color w:val="auto"/>
                <w:kern w:val="0"/>
                <w:sz w:val="18"/>
                <w:szCs w:val="18"/>
              </w:rPr>
              <w:t>（10分）</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年度预算数</w:t>
            </w:r>
            <w:r>
              <w:rPr>
                <w:rFonts w:hint="eastAsia" w:asciiTheme="minorEastAsia" w:hAnsiTheme="minorEastAsia" w:eastAsiaTheme="minorEastAsia" w:cstheme="minorEastAsia"/>
                <w:b w:val="0"/>
                <w:bCs w:val="0"/>
                <w:color w:val="auto"/>
                <w:kern w:val="0"/>
                <w:sz w:val="18"/>
                <w:szCs w:val="18"/>
              </w:rPr>
              <w:br w:type="textWrapping"/>
            </w:r>
            <w:r>
              <w:rPr>
                <w:rFonts w:hint="eastAsia" w:asciiTheme="minorEastAsia" w:hAnsiTheme="minorEastAsia" w:eastAsiaTheme="minorEastAsia" w:cstheme="minorEastAsia"/>
                <w:b w:val="0"/>
                <w:bCs w:val="0"/>
                <w:color w:val="auto"/>
                <w:kern w:val="0"/>
                <w:sz w:val="18"/>
                <w:szCs w:val="18"/>
              </w:rPr>
              <w:t>（万元）</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年初预算</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预算执行数</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预算执行率</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权重%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自评得分</w:t>
            </w:r>
          </w:p>
        </w:tc>
        <w:tc>
          <w:tcPr>
            <w:tcW w:w="2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原因</w:t>
            </w:r>
          </w:p>
        </w:tc>
      </w:tr>
      <w:tr>
        <w:tblPrEx>
          <w:tblCellMar>
            <w:top w:w="0" w:type="dxa"/>
            <w:left w:w="108" w:type="dxa"/>
            <w:bottom w:w="0" w:type="dxa"/>
            <w:right w:w="108" w:type="dxa"/>
          </w:tblCellMar>
        </w:tblPrEx>
        <w:trPr>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总额</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86.00</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86.00</w:t>
            </w: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71.29</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82.90%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w:t>
            </w:r>
          </w:p>
        </w:tc>
        <w:tc>
          <w:tcPr>
            <w:tcW w:w="29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随着电子票据推行的全面实施，纸质票据款减少，完成年初目标计划，降低票据成本14.71万元。</w:t>
            </w:r>
          </w:p>
        </w:tc>
      </w:tr>
      <w:tr>
        <w:tblPrEx>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其中：财政资金</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86.00</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86.00</w:t>
            </w: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71.29</w:t>
            </w: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293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财政专户管理资金</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293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单位资金</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293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其他资金</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228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293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绩效指标（90分）</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一级指标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二级指标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三级指标</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指标性质</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指标值</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度量单位</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完成值</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权重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自评得分</w:t>
            </w:r>
          </w:p>
        </w:tc>
        <w:tc>
          <w:tcPr>
            <w:tcW w:w="2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未完成原因分析</w:t>
            </w:r>
          </w:p>
        </w:tc>
      </w:tr>
      <w:tr>
        <w:tblPrEx>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成本指标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降低运行成本</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社会效益指标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创建良好的网络环境</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社会效益指标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保证各单位资金运行顺畅</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可持续发展指标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建立长期的资金支付安全环境</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质量指标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局信息中心机房安全</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4</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675"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可持续影响指标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为预算一体化推行建立良好的网络环境</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质量指标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强化风险应对能力</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4</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数量指标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各软件的正常运行</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可持续影响指标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建立良好政府信誉</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满意度指标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服务对象满意度指标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lang w:eastAsia="zh-CN"/>
              </w:rPr>
            </w:pPr>
            <w:r>
              <w:rPr>
                <w:rStyle w:val="38"/>
                <w:rFonts w:hint="eastAsia" w:asciiTheme="minorEastAsia" w:hAnsiTheme="minorEastAsia" w:eastAsiaTheme="minorEastAsia" w:cstheme="minorEastAsia"/>
                <w:b w:val="0"/>
                <w:bCs w:val="0"/>
                <w:color w:val="auto"/>
              </w:rPr>
              <w:t>群众满意</w:t>
            </w:r>
            <w:r>
              <w:rPr>
                <w:rStyle w:val="38"/>
                <w:rFonts w:hint="eastAsia" w:asciiTheme="minorEastAsia" w:hAnsiTheme="minorEastAsia" w:eastAsiaTheme="minorEastAsia" w:cstheme="minorEastAsia"/>
                <w:b w:val="0"/>
                <w:bCs w:val="0"/>
                <w:color w:val="auto"/>
                <w:lang w:eastAsia="zh-CN"/>
              </w:rPr>
              <w:t>度</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数量指标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各单位支付正常运行</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180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个</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≥180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4</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效果指标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保障全区财政工作正常运转</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成本指标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降低了纸质票据成本</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万元</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满意度指标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服务对象满意度指标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协助部门满意度</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时效指标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按省厅规定时间完成网络配置</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4</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时效指标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发现问题技术人员及时处理</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产出指标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效果指标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达到以票管收</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4</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效益指标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可持续发展指标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保持政企良好形象</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Style w:val="38"/>
                <w:rFonts w:hint="eastAsia" w:asciiTheme="minorEastAsia" w:hAnsiTheme="minorEastAsia" w:eastAsiaTheme="minorEastAsia" w:cstheme="minorEastAsia"/>
                <w:b w:val="0"/>
                <w:bCs w:val="0"/>
                <w:color w:val="auto"/>
              </w:rPr>
              <w:t>定性</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6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29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270" w:hRule="atLeast"/>
        </w:trPr>
        <w:tc>
          <w:tcPr>
            <w:tcW w:w="972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合计</w:t>
            </w:r>
          </w:p>
        </w:tc>
        <w:tc>
          <w:tcPr>
            <w:tcW w:w="7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2931"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540" w:hRule="atLeast"/>
        </w:trPr>
        <w:tc>
          <w:tcPr>
            <w:tcW w:w="1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自评结论</w:t>
            </w:r>
          </w:p>
        </w:tc>
        <w:tc>
          <w:tcPr>
            <w:tcW w:w="12698"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6"/>
                <w:szCs w:val="16"/>
              </w:rPr>
            </w:pPr>
            <w:r>
              <w:rPr>
                <w:rFonts w:hint="eastAsia" w:asciiTheme="minorEastAsia" w:hAnsiTheme="minorEastAsia" w:eastAsiaTheme="minorEastAsia" w:cstheme="minorEastAsia"/>
                <w:b w:val="0"/>
                <w:bCs w:val="0"/>
                <w:color w:val="auto"/>
                <w:kern w:val="0"/>
                <w:sz w:val="16"/>
                <w:szCs w:val="16"/>
              </w:rPr>
              <w:t>建立安全的财政网络环境，及时发现问题解决问题，保障了全区资金支付网络渠道通畅及安全。该项目总分值100分，自评得分95分。</w:t>
            </w:r>
          </w:p>
        </w:tc>
      </w:tr>
      <w:tr>
        <w:tblPrEx>
          <w:tblCellMar>
            <w:top w:w="0" w:type="dxa"/>
            <w:left w:w="108" w:type="dxa"/>
            <w:bottom w:w="0" w:type="dxa"/>
            <w:right w:w="108" w:type="dxa"/>
          </w:tblCellMar>
        </w:tblPrEx>
        <w:trPr>
          <w:trHeight w:val="460" w:hRule="atLeast"/>
        </w:trPr>
        <w:tc>
          <w:tcPr>
            <w:tcW w:w="1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自评存在问题</w:t>
            </w:r>
          </w:p>
        </w:tc>
        <w:tc>
          <w:tcPr>
            <w:tcW w:w="12698"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6"/>
                <w:szCs w:val="16"/>
              </w:rPr>
            </w:pPr>
            <w:r>
              <w:rPr>
                <w:rFonts w:hint="eastAsia" w:asciiTheme="minorEastAsia" w:hAnsiTheme="minorEastAsia" w:eastAsiaTheme="minorEastAsia" w:cstheme="minorEastAsia"/>
                <w:b w:val="0"/>
                <w:bCs w:val="0"/>
                <w:color w:val="auto"/>
                <w:kern w:val="0"/>
                <w:sz w:val="16"/>
                <w:szCs w:val="16"/>
              </w:rPr>
              <w:t>无</w:t>
            </w:r>
          </w:p>
        </w:tc>
      </w:tr>
      <w:tr>
        <w:tblPrEx>
          <w:tblCellMar>
            <w:top w:w="0" w:type="dxa"/>
            <w:left w:w="108" w:type="dxa"/>
            <w:bottom w:w="0" w:type="dxa"/>
            <w:right w:w="108" w:type="dxa"/>
          </w:tblCellMar>
        </w:tblPrEx>
        <w:trPr>
          <w:trHeight w:val="500" w:hRule="atLeast"/>
        </w:trPr>
        <w:tc>
          <w:tcPr>
            <w:tcW w:w="1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自评改进措施</w:t>
            </w:r>
          </w:p>
        </w:tc>
        <w:tc>
          <w:tcPr>
            <w:tcW w:w="12698"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6"/>
                <w:szCs w:val="16"/>
              </w:rPr>
            </w:pPr>
            <w:r>
              <w:rPr>
                <w:rFonts w:hint="eastAsia" w:asciiTheme="minorEastAsia" w:hAnsiTheme="minorEastAsia" w:eastAsiaTheme="minorEastAsia" w:cstheme="minorEastAsia"/>
                <w:b w:val="0"/>
                <w:bCs w:val="0"/>
                <w:color w:val="auto"/>
                <w:kern w:val="0"/>
                <w:sz w:val="16"/>
                <w:szCs w:val="16"/>
              </w:rPr>
              <w:t>无</w:t>
            </w:r>
          </w:p>
        </w:tc>
      </w:tr>
      <w:tr>
        <w:tblPrEx>
          <w:tblCellMar>
            <w:top w:w="0" w:type="dxa"/>
            <w:left w:w="108" w:type="dxa"/>
            <w:bottom w:w="0" w:type="dxa"/>
            <w:right w:w="108" w:type="dxa"/>
          </w:tblCellMar>
        </w:tblPrEx>
        <w:trPr>
          <w:trHeight w:val="270" w:hRule="atLeast"/>
        </w:trPr>
        <w:tc>
          <w:tcPr>
            <w:tcW w:w="6864"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项目负责人：易海</w:t>
            </w:r>
          </w:p>
        </w:tc>
        <w:tc>
          <w:tcPr>
            <w:tcW w:w="752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财务负责人：王春蓉</w:t>
            </w:r>
          </w:p>
        </w:tc>
      </w:tr>
    </w:tbl>
    <w:p>
      <w:pPr>
        <w:rPr>
          <w:rFonts w:hint="eastAsia" w:asciiTheme="minorEastAsia" w:hAnsiTheme="minorEastAsia" w:eastAsiaTheme="minorEastAsia" w:cstheme="minorEastAsia"/>
          <w:color w:val="auto"/>
          <w:sz w:val="44"/>
          <w:szCs w:val="44"/>
        </w:rPr>
      </w:pPr>
    </w:p>
    <w:p>
      <w:pPr>
        <w:pStyle w:val="2"/>
        <w:ind w:left="31680" w:firstLine="31680"/>
        <w:rPr>
          <w:rFonts w:hint="eastAsia" w:asciiTheme="minorEastAsia" w:hAnsiTheme="minorEastAsia" w:eastAsiaTheme="minorEastAsia" w:cstheme="minorEastAsia"/>
          <w:color w:val="auto"/>
          <w:sz w:val="44"/>
          <w:szCs w:val="44"/>
        </w:rPr>
      </w:pPr>
    </w:p>
    <w:p>
      <w:pPr>
        <w:rPr>
          <w:rFonts w:hint="eastAsia" w:asciiTheme="minorEastAsia" w:hAnsiTheme="minorEastAsia" w:eastAsiaTheme="minorEastAsia" w:cstheme="minorEastAsia"/>
          <w:color w:val="auto"/>
          <w:sz w:val="44"/>
          <w:szCs w:val="44"/>
        </w:rPr>
      </w:pPr>
    </w:p>
    <w:p>
      <w:pPr>
        <w:pStyle w:val="2"/>
        <w:ind w:left="31680" w:firstLine="31680"/>
        <w:rPr>
          <w:rFonts w:hint="eastAsia" w:asciiTheme="minorEastAsia" w:hAnsiTheme="minorEastAsia" w:eastAsiaTheme="minorEastAsia" w:cstheme="minorEastAsia"/>
          <w:color w:val="auto"/>
          <w:sz w:val="44"/>
          <w:szCs w:val="44"/>
        </w:rPr>
      </w:pPr>
    </w:p>
    <w:tbl>
      <w:tblPr>
        <w:tblStyle w:val="14"/>
        <w:tblW w:w="14829" w:type="dxa"/>
        <w:tblInd w:w="93" w:type="dxa"/>
        <w:tblLayout w:type="fixed"/>
        <w:tblCellMar>
          <w:top w:w="0" w:type="dxa"/>
          <w:left w:w="108" w:type="dxa"/>
          <w:bottom w:w="0" w:type="dxa"/>
          <w:right w:w="108" w:type="dxa"/>
        </w:tblCellMar>
      </w:tblPr>
      <w:tblGrid>
        <w:gridCol w:w="6"/>
        <w:gridCol w:w="1694"/>
        <w:gridCol w:w="1754"/>
        <w:gridCol w:w="1424"/>
        <w:gridCol w:w="1469"/>
        <w:gridCol w:w="521"/>
        <w:gridCol w:w="1244"/>
        <w:gridCol w:w="521"/>
        <w:gridCol w:w="1091"/>
        <w:gridCol w:w="780"/>
        <w:gridCol w:w="959"/>
        <w:gridCol w:w="3366"/>
      </w:tblGrid>
      <w:tr>
        <w:tblPrEx>
          <w:tblCellMar>
            <w:top w:w="0" w:type="dxa"/>
            <w:left w:w="108" w:type="dxa"/>
            <w:bottom w:w="0" w:type="dxa"/>
            <w:right w:w="108" w:type="dxa"/>
          </w:tblCellMar>
        </w:tblPrEx>
        <w:trPr>
          <w:trHeight w:val="636" w:hRule="atLeast"/>
        </w:trPr>
        <w:tc>
          <w:tcPr>
            <w:tcW w:w="14829" w:type="dxa"/>
            <w:gridSpan w:val="12"/>
            <w:tcBorders>
              <w:top w:val="nil"/>
              <w:left w:val="nil"/>
              <w:bottom w:val="nil"/>
              <w:right w:val="nil"/>
            </w:tcBorders>
            <w:vAlign w:val="center"/>
          </w:tcPr>
          <w:p>
            <w:pPr>
              <w:widowControl/>
              <w:jc w:val="center"/>
              <w:textAlignment w:val="center"/>
              <w:rPr>
                <w:rFonts w:hint="eastAsia" w:asciiTheme="minorEastAsia" w:hAnsiTheme="minorEastAsia" w:eastAsiaTheme="minorEastAsia" w:cstheme="minorEastAsia"/>
                <w:b w:val="0"/>
                <w:bCs w:val="0"/>
                <w:color w:val="auto"/>
                <w:sz w:val="44"/>
                <w:szCs w:val="44"/>
              </w:rPr>
            </w:pPr>
            <w:r>
              <w:rPr>
                <w:rFonts w:hint="eastAsia" w:asciiTheme="minorEastAsia" w:hAnsiTheme="minorEastAsia" w:eastAsiaTheme="minorEastAsia" w:cstheme="minorEastAsia"/>
                <w:b w:val="0"/>
                <w:bCs w:val="0"/>
                <w:color w:val="auto"/>
                <w:szCs w:val="21"/>
              </w:rPr>
              <w:t>部门预算项目支出绩效自评表（2022年度）</w:t>
            </w:r>
          </w:p>
        </w:tc>
      </w:tr>
      <w:tr>
        <w:tblPrEx>
          <w:tblCellMar>
            <w:top w:w="0" w:type="dxa"/>
            <w:left w:w="108" w:type="dxa"/>
            <w:bottom w:w="0" w:type="dxa"/>
            <w:right w:w="108" w:type="dxa"/>
          </w:tblCellMar>
        </w:tblPrEx>
        <w:trPr>
          <w:trHeight w:val="380" w:hRule="atLeast"/>
        </w:trPr>
        <w:tc>
          <w:tcPr>
            <w:tcW w:w="345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项目名称</w:t>
            </w:r>
          </w:p>
        </w:tc>
        <w:tc>
          <w:tcPr>
            <w:tcW w:w="11375"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绩效评价、考核及聘请第三方机构</w:t>
            </w:r>
          </w:p>
        </w:tc>
      </w:tr>
      <w:tr>
        <w:tblPrEx>
          <w:tblCellMar>
            <w:top w:w="0" w:type="dxa"/>
            <w:left w:w="108" w:type="dxa"/>
            <w:bottom w:w="0" w:type="dxa"/>
            <w:right w:w="108" w:type="dxa"/>
          </w:tblCellMar>
        </w:tblPrEx>
        <w:trPr>
          <w:trHeight w:val="280" w:hRule="atLeast"/>
        </w:trPr>
        <w:tc>
          <w:tcPr>
            <w:tcW w:w="345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主管部门</w:t>
            </w:r>
          </w:p>
        </w:tc>
        <w:tc>
          <w:tcPr>
            <w:tcW w:w="5179"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广元市利州区财政局</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 xml:space="preserve">实施单位 </w:t>
            </w:r>
          </w:p>
        </w:tc>
        <w:tc>
          <w:tcPr>
            <w:tcW w:w="51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广元市利州区财政局</w:t>
            </w:r>
          </w:p>
        </w:tc>
      </w:tr>
      <w:tr>
        <w:tblPrEx>
          <w:tblCellMar>
            <w:top w:w="0" w:type="dxa"/>
            <w:left w:w="108" w:type="dxa"/>
            <w:bottom w:w="0" w:type="dxa"/>
            <w:right w:w="108" w:type="dxa"/>
          </w:tblCellMar>
        </w:tblPrEx>
        <w:trPr>
          <w:trHeight w:val="380" w:hRule="atLeast"/>
        </w:trPr>
        <w:tc>
          <w:tcPr>
            <w:tcW w:w="170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项目基本情况</w:t>
            </w:r>
          </w:p>
        </w:tc>
        <w:tc>
          <w:tcPr>
            <w:tcW w:w="1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1.项目年度目标完成情况</w:t>
            </w:r>
          </w:p>
        </w:tc>
        <w:tc>
          <w:tcPr>
            <w:tcW w:w="5179"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项目年度目标</w:t>
            </w:r>
          </w:p>
        </w:tc>
        <w:tc>
          <w:tcPr>
            <w:tcW w:w="619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年度目标完成情况</w:t>
            </w:r>
          </w:p>
        </w:tc>
      </w:tr>
      <w:tr>
        <w:tblPrEx>
          <w:tblCellMar>
            <w:top w:w="0" w:type="dxa"/>
            <w:left w:w="108" w:type="dxa"/>
            <w:bottom w:w="0" w:type="dxa"/>
            <w:right w:w="108" w:type="dxa"/>
          </w:tblCellMar>
        </w:tblPrEx>
        <w:trPr>
          <w:trHeight w:val="420" w:hRule="atLeast"/>
        </w:trPr>
        <w:tc>
          <w:tcPr>
            <w:tcW w:w="1700"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5179"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建立科学合理的绩效评价体系，通过绩效评价等工作，使财政资金能有效发挥最大作用。</w:t>
            </w:r>
          </w:p>
        </w:tc>
        <w:tc>
          <w:tcPr>
            <w:tcW w:w="6196"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借力专业的服务团队，夯实预算绩效评价过程管理，将评价结果运用于预算编制、项目管理、资金使用，提升项目的社会效益。</w:t>
            </w:r>
          </w:p>
        </w:tc>
      </w:tr>
      <w:tr>
        <w:tblPrEx>
          <w:tblCellMar>
            <w:top w:w="0" w:type="dxa"/>
            <w:left w:w="108" w:type="dxa"/>
            <w:bottom w:w="0" w:type="dxa"/>
            <w:right w:w="108" w:type="dxa"/>
          </w:tblCellMar>
        </w:tblPrEx>
        <w:trPr>
          <w:gridBefore w:val="1"/>
          <w:wBefore w:w="6" w:type="dxa"/>
          <w:trHeight w:val="460" w:hRule="atLeast"/>
        </w:trPr>
        <w:tc>
          <w:tcPr>
            <w:tcW w:w="1694" w:type="dxa"/>
            <w:tcBorders>
              <w:top w:val="single" w:color="000000" w:sz="4" w:space="0"/>
              <w:left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2.项目实施内容及过程概述</w:t>
            </w:r>
          </w:p>
        </w:tc>
        <w:tc>
          <w:tcPr>
            <w:tcW w:w="11375"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2022年，利州区引进绩效评价服务第三方专业团队，分别对2020年度的政策支出1个、项目支出12个、预算单位整体评价8个、预算单位绩效评价自评8个开展评价，对2022年度新增项目预算资金达100万元的项目开展绩效事前评估。</w:t>
            </w:r>
          </w:p>
        </w:tc>
      </w:tr>
      <w:tr>
        <w:tblPrEx>
          <w:tblCellMar>
            <w:top w:w="0" w:type="dxa"/>
            <w:left w:w="108" w:type="dxa"/>
            <w:bottom w:w="0" w:type="dxa"/>
            <w:right w:w="108" w:type="dxa"/>
          </w:tblCellMar>
        </w:tblPrEx>
        <w:trPr>
          <w:gridBefore w:val="1"/>
          <w:wBefore w:w="6" w:type="dxa"/>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预算执行情况</w:t>
            </w:r>
            <w:r>
              <w:rPr>
                <w:rFonts w:hint="eastAsia" w:asciiTheme="minorEastAsia" w:hAnsiTheme="minorEastAsia" w:eastAsiaTheme="minorEastAsia" w:cstheme="minorEastAsia"/>
                <w:b w:val="0"/>
                <w:bCs w:val="0"/>
                <w:color w:val="auto"/>
                <w:kern w:val="0"/>
                <w:sz w:val="18"/>
                <w:szCs w:val="18"/>
              </w:rPr>
              <w:br w:type="textWrapping"/>
            </w:r>
            <w:r>
              <w:rPr>
                <w:rFonts w:hint="eastAsia" w:asciiTheme="minorEastAsia" w:hAnsiTheme="minorEastAsia" w:eastAsiaTheme="minorEastAsia" w:cstheme="minorEastAsia"/>
                <w:b w:val="0"/>
                <w:bCs w:val="0"/>
                <w:color w:val="auto"/>
                <w:kern w:val="0"/>
                <w:sz w:val="18"/>
                <w:szCs w:val="18"/>
              </w:rPr>
              <w:t>（10分）</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年度预算数</w:t>
            </w:r>
            <w:r>
              <w:rPr>
                <w:rFonts w:hint="eastAsia" w:asciiTheme="minorEastAsia" w:hAnsiTheme="minorEastAsia" w:eastAsiaTheme="minorEastAsia" w:cstheme="minorEastAsia"/>
                <w:b w:val="0"/>
                <w:bCs w:val="0"/>
                <w:color w:val="auto"/>
                <w:kern w:val="0"/>
                <w:sz w:val="18"/>
                <w:szCs w:val="18"/>
              </w:rPr>
              <w:br w:type="textWrapping"/>
            </w:r>
            <w:r>
              <w:rPr>
                <w:rFonts w:hint="eastAsia" w:asciiTheme="minorEastAsia" w:hAnsiTheme="minorEastAsia" w:eastAsiaTheme="minorEastAsia" w:cstheme="minorEastAsia"/>
                <w:b w:val="0"/>
                <w:bCs w:val="0"/>
                <w:color w:val="auto"/>
                <w:kern w:val="0"/>
                <w:sz w:val="18"/>
                <w:szCs w:val="18"/>
              </w:rPr>
              <w:t>（万元）</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年初预算</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调整后预算数</w:t>
            </w:r>
          </w:p>
        </w:tc>
        <w:tc>
          <w:tcPr>
            <w:tcW w:w="228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预算执行数</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预算执行率</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权重%</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自评得分</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原因</w:t>
            </w:r>
          </w:p>
        </w:tc>
      </w:tr>
      <w:tr>
        <w:tblPrEx>
          <w:tblCellMar>
            <w:top w:w="0" w:type="dxa"/>
            <w:left w:w="108" w:type="dxa"/>
            <w:bottom w:w="0" w:type="dxa"/>
            <w:right w:w="108" w:type="dxa"/>
          </w:tblCellMar>
        </w:tblPrEx>
        <w:trPr>
          <w:gridBefore w:val="1"/>
          <w:wBefore w:w="6" w:type="dxa"/>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总额</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80.00</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80.00</w:t>
            </w:r>
          </w:p>
        </w:tc>
        <w:tc>
          <w:tcPr>
            <w:tcW w:w="228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80.00</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w:t>
            </w:r>
          </w:p>
        </w:tc>
        <w:tc>
          <w:tcPr>
            <w:tcW w:w="33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其中：财政资金</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80.00</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80.00</w:t>
            </w:r>
          </w:p>
        </w:tc>
        <w:tc>
          <w:tcPr>
            <w:tcW w:w="228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80.00</w:t>
            </w: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3366"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财政专户管理资金</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4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228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3366"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单位资金</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4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228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3366"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其他资金</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14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228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3366"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绩效指标（90分）</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一级指标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二级指标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三级指标</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指标性质</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指标值</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度量单位</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完成值</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权重</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自评得分</w:t>
            </w:r>
          </w:p>
        </w:tc>
        <w:tc>
          <w:tcPr>
            <w:tcW w:w="3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未完成原因分析</w:t>
            </w:r>
          </w:p>
        </w:tc>
      </w:tr>
      <w:tr>
        <w:tblPrEx>
          <w:tblCellMar>
            <w:top w:w="0" w:type="dxa"/>
            <w:left w:w="108" w:type="dxa"/>
            <w:bottom w:w="0" w:type="dxa"/>
            <w:right w:w="108" w:type="dxa"/>
          </w:tblCellMar>
        </w:tblPrEx>
        <w:trPr>
          <w:gridBefore w:val="1"/>
          <w:wBefore w:w="6" w:type="dxa"/>
          <w:trHeight w:val="675"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数量指标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完成4本预算项目绩效评价，开展上级项目评价</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4</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满意度指标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服务对象满意度指标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政府满意度</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95</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≥95</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90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数量指标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对78家预算单位绩效评价，对二级预算单位进行抽查</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效果指标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通过绩效评价降低项目成本</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4</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成本指标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减少评价单位成本开支</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可持续影响指标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评估结果运用到预算下达</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90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社会效益指标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政策、项目支出、部门整体绩效评价项目问题整改</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80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件</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≥80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4</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675"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可持续发展指标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形成预算单位选聘第三方开展绩效评价</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可持续影响指标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提高资金使用效率</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可持续发展指标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评估结果运用到下一年</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满意度指标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服务对象满意度指标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lang w:eastAsia="zh-CN"/>
              </w:rPr>
            </w:pPr>
            <w:r>
              <w:rPr>
                <w:rFonts w:hint="eastAsia" w:asciiTheme="minorEastAsia" w:hAnsiTheme="minorEastAsia" w:eastAsiaTheme="minorEastAsia" w:cstheme="minorEastAsia"/>
                <w:b w:val="0"/>
                <w:bCs w:val="0"/>
                <w:color w:val="auto"/>
                <w:kern w:val="0"/>
                <w:sz w:val="18"/>
                <w:szCs w:val="18"/>
              </w:rPr>
              <w:t>各部门满意</w:t>
            </w:r>
            <w:r>
              <w:rPr>
                <w:rFonts w:hint="eastAsia" w:asciiTheme="minorEastAsia" w:hAnsiTheme="minorEastAsia" w:eastAsiaTheme="minorEastAsia" w:cstheme="minorEastAsia"/>
                <w:b w:val="0"/>
                <w:bCs w:val="0"/>
                <w:color w:val="auto"/>
                <w:kern w:val="0"/>
                <w:sz w:val="18"/>
                <w:szCs w:val="18"/>
                <w:lang w:eastAsia="zh-CN"/>
              </w:rPr>
              <w:t>度</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95</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≥95</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90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质量指标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按照合同要求，根据绩效评价程序，严格开展绩效评价</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95</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分</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≥95</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4</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时效指标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年度内完成评估</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12</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月</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小于12</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时效指标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开展事中评价</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月</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675"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质量指标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聘请第三方机构加入，评价报告考核通过</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90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成本指标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减少绩效评价成本开支，成本支持控制在项目招标价的10%内</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效果指标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提高了资金使用效力</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5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675" w:hRule="atLeast"/>
        </w:trPr>
        <w:tc>
          <w:tcPr>
            <w:tcW w:w="1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社会效益指标</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预算单位对绩效评价结果充分运用</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件</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w:t>
            </w:r>
          </w:p>
        </w:tc>
        <w:tc>
          <w:tcPr>
            <w:tcW w:w="78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59"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3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270" w:hRule="atLeast"/>
        </w:trPr>
        <w:tc>
          <w:tcPr>
            <w:tcW w:w="9718"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合计</w:t>
            </w:r>
          </w:p>
        </w:tc>
        <w:tc>
          <w:tcPr>
            <w:tcW w:w="78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959"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33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gridBefore w:val="1"/>
          <w:wBefore w:w="6" w:type="dxa"/>
          <w:trHeight w:val="418" w:hRule="atLeast"/>
        </w:trPr>
        <w:tc>
          <w:tcPr>
            <w:tcW w:w="1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自评结论</w:t>
            </w:r>
          </w:p>
        </w:tc>
        <w:tc>
          <w:tcPr>
            <w:tcW w:w="13129"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6"/>
                <w:szCs w:val="16"/>
              </w:rPr>
            </w:pPr>
            <w:r>
              <w:rPr>
                <w:rFonts w:hint="eastAsia" w:asciiTheme="minorEastAsia" w:hAnsiTheme="minorEastAsia" w:eastAsiaTheme="minorEastAsia" w:cstheme="minorEastAsia"/>
                <w:b w:val="0"/>
                <w:bCs w:val="0"/>
                <w:color w:val="auto"/>
                <w:kern w:val="0"/>
                <w:sz w:val="16"/>
                <w:szCs w:val="16"/>
              </w:rPr>
              <w:t>高质量高标准完成全区所有项目绩效评价监督检查。该项目总分值100分，自评得分96分。</w:t>
            </w:r>
          </w:p>
        </w:tc>
      </w:tr>
      <w:tr>
        <w:tblPrEx>
          <w:tblCellMar>
            <w:top w:w="0" w:type="dxa"/>
            <w:left w:w="108" w:type="dxa"/>
            <w:bottom w:w="0" w:type="dxa"/>
            <w:right w:w="108" w:type="dxa"/>
          </w:tblCellMar>
        </w:tblPrEx>
        <w:trPr>
          <w:gridBefore w:val="1"/>
          <w:wBefore w:w="6" w:type="dxa"/>
          <w:trHeight w:val="350" w:hRule="atLeast"/>
        </w:trPr>
        <w:tc>
          <w:tcPr>
            <w:tcW w:w="1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自评存在问题</w:t>
            </w:r>
          </w:p>
        </w:tc>
        <w:tc>
          <w:tcPr>
            <w:tcW w:w="13129"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6"/>
                <w:szCs w:val="16"/>
              </w:rPr>
            </w:pPr>
            <w:r>
              <w:rPr>
                <w:rFonts w:hint="eastAsia" w:asciiTheme="minorEastAsia" w:hAnsiTheme="minorEastAsia" w:eastAsiaTheme="minorEastAsia" w:cstheme="minorEastAsia"/>
                <w:b w:val="0"/>
                <w:bCs w:val="0"/>
                <w:color w:val="auto"/>
                <w:kern w:val="0"/>
                <w:sz w:val="16"/>
                <w:szCs w:val="16"/>
              </w:rPr>
              <w:t>无</w:t>
            </w:r>
          </w:p>
        </w:tc>
      </w:tr>
      <w:tr>
        <w:tblPrEx>
          <w:tblCellMar>
            <w:top w:w="0" w:type="dxa"/>
            <w:left w:w="108" w:type="dxa"/>
            <w:bottom w:w="0" w:type="dxa"/>
            <w:right w:w="108" w:type="dxa"/>
          </w:tblCellMar>
        </w:tblPrEx>
        <w:trPr>
          <w:gridBefore w:val="1"/>
          <w:wBefore w:w="6" w:type="dxa"/>
          <w:trHeight w:val="500" w:hRule="atLeast"/>
        </w:trPr>
        <w:tc>
          <w:tcPr>
            <w:tcW w:w="1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自评改进措施</w:t>
            </w:r>
          </w:p>
        </w:tc>
        <w:tc>
          <w:tcPr>
            <w:tcW w:w="13129"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6"/>
                <w:szCs w:val="16"/>
              </w:rPr>
            </w:pPr>
            <w:r>
              <w:rPr>
                <w:rFonts w:hint="eastAsia" w:asciiTheme="minorEastAsia" w:hAnsiTheme="minorEastAsia" w:eastAsiaTheme="minorEastAsia" w:cstheme="minorEastAsia"/>
                <w:b w:val="0"/>
                <w:bCs w:val="0"/>
                <w:color w:val="auto"/>
                <w:kern w:val="0"/>
                <w:sz w:val="16"/>
                <w:szCs w:val="16"/>
              </w:rPr>
              <w:t>无</w:t>
            </w:r>
          </w:p>
        </w:tc>
      </w:tr>
      <w:tr>
        <w:tblPrEx>
          <w:tblCellMar>
            <w:top w:w="0" w:type="dxa"/>
            <w:left w:w="108" w:type="dxa"/>
            <w:bottom w:w="0" w:type="dxa"/>
            <w:right w:w="108" w:type="dxa"/>
          </w:tblCellMar>
        </w:tblPrEx>
        <w:trPr>
          <w:gridBefore w:val="1"/>
          <w:wBefore w:w="6" w:type="dxa"/>
          <w:trHeight w:val="300" w:hRule="atLeast"/>
        </w:trPr>
        <w:tc>
          <w:tcPr>
            <w:tcW w:w="6862"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项目负责人：张凯</w:t>
            </w:r>
          </w:p>
        </w:tc>
        <w:tc>
          <w:tcPr>
            <w:tcW w:w="7961"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财务负责人：王春蓉</w:t>
            </w:r>
          </w:p>
        </w:tc>
      </w:tr>
    </w:tbl>
    <w:p>
      <w:pPr>
        <w:pStyle w:val="2"/>
        <w:ind w:left="31680" w:firstLine="31680"/>
        <w:rPr>
          <w:rFonts w:hint="eastAsia" w:asciiTheme="minorEastAsia" w:hAnsiTheme="minorEastAsia" w:eastAsiaTheme="minorEastAsia" w:cstheme="minorEastAsia"/>
          <w:color w:val="auto"/>
          <w:sz w:val="44"/>
          <w:szCs w:val="44"/>
        </w:rPr>
      </w:pPr>
    </w:p>
    <w:tbl>
      <w:tblPr>
        <w:tblStyle w:val="14"/>
        <w:tblW w:w="14747" w:type="dxa"/>
        <w:tblInd w:w="93" w:type="dxa"/>
        <w:tblLayout w:type="fixed"/>
        <w:tblCellMar>
          <w:top w:w="0" w:type="dxa"/>
          <w:left w:w="108" w:type="dxa"/>
          <w:bottom w:w="0" w:type="dxa"/>
          <w:right w:w="108" w:type="dxa"/>
        </w:tblCellMar>
      </w:tblPr>
      <w:tblGrid>
        <w:gridCol w:w="1664"/>
        <w:gridCol w:w="1724"/>
        <w:gridCol w:w="1404"/>
        <w:gridCol w:w="1447"/>
        <w:gridCol w:w="518"/>
        <w:gridCol w:w="1225"/>
        <w:gridCol w:w="756"/>
        <w:gridCol w:w="1085"/>
        <w:gridCol w:w="774"/>
        <w:gridCol w:w="945"/>
        <w:gridCol w:w="3205"/>
      </w:tblGrid>
      <w:tr>
        <w:tblPrEx>
          <w:tblCellMar>
            <w:top w:w="0" w:type="dxa"/>
            <w:left w:w="108" w:type="dxa"/>
            <w:bottom w:w="0" w:type="dxa"/>
            <w:right w:w="108" w:type="dxa"/>
          </w:tblCellMar>
        </w:tblPrEx>
        <w:trPr>
          <w:trHeight w:val="570" w:hRule="atLeast"/>
        </w:trPr>
        <w:tc>
          <w:tcPr>
            <w:tcW w:w="14747" w:type="dxa"/>
            <w:gridSpan w:val="11"/>
            <w:tcBorders>
              <w:top w:val="nil"/>
              <w:left w:val="nil"/>
              <w:bottom w:val="nil"/>
              <w:right w:val="nil"/>
            </w:tcBorders>
            <w:vAlign w:val="center"/>
          </w:tcPr>
          <w:p>
            <w:pPr>
              <w:widowControl/>
              <w:jc w:val="center"/>
              <w:textAlignment w:val="center"/>
              <w:rPr>
                <w:rFonts w:hint="eastAsia" w:asciiTheme="minorEastAsia" w:hAnsiTheme="minorEastAsia" w:eastAsiaTheme="minorEastAsia" w:cstheme="minorEastAsia"/>
                <w:b w:val="0"/>
                <w:bCs w:val="0"/>
                <w:color w:val="auto"/>
                <w:sz w:val="44"/>
                <w:szCs w:val="44"/>
              </w:rPr>
            </w:pPr>
            <w:r>
              <w:rPr>
                <w:rFonts w:hint="eastAsia" w:asciiTheme="minorEastAsia" w:hAnsiTheme="minorEastAsia" w:eastAsiaTheme="minorEastAsia" w:cstheme="minorEastAsia"/>
                <w:b w:val="0"/>
                <w:bCs w:val="0"/>
                <w:color w:val="auto"/>
                <w:szCs w:val="21"/>
              </w:rPr>
              <w:t>部门预算项目支出绩效自评表（2022年度）</w:t>
            </w:r>
          </w:p>
        </w:tc>
      </w:tr>
      <w:tr>
        <w:tblPrEx>
          <w:tblCellMar>
            <w:top w:w="0" w:type="dxa"/>
            <w:left w:w="108" w:type="dxa"/>
            <w:bottom w:w="0" w:type="dxa"/>
            <w:right w:w="108" w:type="dxa"/>
          </w:tblCellMar>
        </w:tblPrEx>
        <w:trPr>
          <w:trHeight w:val="460" w:hRule="atLeast"/>
        </w:trPr>
        <w:tc>
          <w:tcPr>
            <w:tcW w:w="33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项目名称</w:t>
            </w:r>
          </w:p>
        </w:tc>
        <w:tc>
          <w:tcPr>
            <w:tcW w:w="11359"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预算一体化改革及软件运行维护</w:t>
            </w:r>
          </w:p>
        </w:tc>
      </w:tr>
      <w:tr>
        <w:tblPrEx>
          <w:tblCellMar>
            <w:top w:w="0" w:type="dxa"/>
            <w:left w:w="108" w:type="dxa"/>
            <w:bottom w:w="0" w:type="dxa"/>
            <w:right w:w="108" w:type="dxa"/>
          </w:tblCellMar>
        </w:tblPrEx>
        <w:trPr>
          <w:trHeight w:val="420" w:hRule="atLeast"/>
        </w:trPr>
        <w:tc>
          <w:tcPr>
            <w:tcW w:w="33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主管部门</w:t>
            </w:r>
          </w:p>
        </w:tc>
        <w:tc>
          <w:tcPr>
            <w:tcW w:w="535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广元市利州区财政局</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 xml:space="preserve">实施单位 </w:t>
            </w:r>
          </w:p>
        </w:tc>
        <w:tc>
          <w:tcPr>
            <w:tcW w:w="492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广元市利州区财政局</w:t>
            </w:r>
          </w:p>
        </w:tc>
      </w:tr>
      <w:tr>
        <w:tblPrEx>
          <w:tblCellMar>
            <w:top w:w="0" w:type="dxa"/>
            <w:left w:w="108" w:type="dxa"/>
            <w:bottom w:w="0" w:type="dxa"/>
            <w:right w:w="108" w:type="dxa"/>
          </w:tblCellMar>
        </w:tblPrEx>
        <w:trPr>
          <w:trHeight w:val="380" w:hRule="atLeast"/>
        </w:trPr>
        <w:tc>
          <w:tcPr>
            <w:tcW w:w="16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项目基本情况</w:t>
            </w:r>
          </w:p>
        </w:tc>
        <w:tc>
          <w:tcPr>
            <w:tcW w:w="17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1.项目年度目标完成情况</w:t>
            </w:r>
          </w:p>
        </w:tc>
        <w:tc>
          <w:tcPr>
            <w:tcW w:w="535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项目年度目标</w:t>
            </w:r>
          </w:p>
        </w:tc>
        <w:tc>
          <w:tcPr>
            <w:tcW w:w="600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年度目标完成情况</w:t>
            </w:r>
          </w:p>
        </w:tc>
      </w:tr>
      <w:tr>
        <w:tblPrEx>
          <w:tblCellMar>
            <w:top w:w="0" w:type="dxa"/>
            <w:left w:w="108" w:type="dxa"/>
            <w:bottom w:w="0" w:type="dxa"/>
            <w:right w:w="108" w:type="dxa"/>
          </w:tblCellMar>
        </w:tblPrEx>
        <w:trPr>
          <w:trHeight w:val="78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1724"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535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通过一体化系及财税库银横向专项业务，建立良好的支付环境，保障资金运行安全。</w:t>
            </w:r>
          </w:p>
        </w:tc>
        <w:tc>
          <w:tcPr>
            <w:tcW w:w="600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通过建立一体化系统，软件公司配建专业的服务力量，协同运营的网络安全保障体系，实现系统长期安全稳定运行，保障财政资金及信息安全运转。保障一体化系统顺利上线并正常运行。</w:t>
            </w:r>
          </w:p>
        </w:tc>
      </w:tr>
      <w:tr>
        <w:tblPrEx>
          <w:tblCellMar>
            <w:top w:w="0" w:type="dxa"/>
            <w:left w:w="108" w:type="dxa"/>
            <w:bottom w:w="0" w:type="dxa"/>
            <w:right w:w="108" w:type="dxa"/>
          </w:tblCellMar>
        </w:tblPrEx>
        <w:trPr>
          <w:trHeight w:val="46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2.项目实施内容及过程概述</w:t>
            </w:r>
          </w:p>
        </w:tc>
        <w:tc>
          <w:tcPr>
            <w:tcW w:w="11359"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聘请专业人员运行维护，建立一体化系统，配建专业的服务力量，保障一体化系统顺利运行。</w:t>
            </w:r>
          </w:p>
        </w:tc>
      </w:tr>
      <w:tr>
        <w:tblPrEx>
          <w:tblCellMar>
            <w:top w:w="0" w:type="dxa"/>
            <w:left w:w="108" w:type="dxa"/>
            <w:bottom w:w="0" w:type="dxa"/>
            <w:right w:w="108" w:type="dxa"/>
          </w:tblCellMar>
        </w:tblPrEx>
        <w:trPr>
          <w:trHeight w:val="540" w:hRule="atLeast"/>
        </w:trPr>
        <w:tc>
          <w:tcPr>
            <w:tcW w:w="16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预算执行情况</w:t>
            </w:r>
            <w:r>
              <w:rPr>
                <w:rFonts w:hint="eastAsia" w:asciiTheme="minorEastAsia" w:hAnsiTheme="minorEastAsia" w:eastAsiaTheme="minorEastAsia" w:cstheme="minorEastAsia"/>
                <w:b w:val="0"/>
                <w:bCs w:val="0"/>
                <w:color w:val="auto"/>
                <w:kern w:val="0"/>
                <w:sz w:val="18"/>
                <w:szCs w:val="18"/>
              </w:rPr>
              <w:br w:type="textWrapping"/>
            </w:r>
            <w:r>
              <w:rPr>
                <w:rFonts w:hint="eastAsia" w:asciiTheme="minorEastAsia" w:hAnsiTheme="minorEastAsia" w:eastAsiaTheme="minorEastAsia" w:cstheme="minorEastAsia"/>
                <w:b w:val="0"/>
                <w:bCs w:val="0"/>
                <w:color w:val="auto"/>
                <w:kern w:val="0"/>
                <w:sz w:val="18"/>
                <w:szCs w:val="18"/>
              </w:rPr>
              <w:t>（10分）</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年度预算数</w:t>
            </w:r>
            <w:r>
              <w:rPr>
                <w:rFonts w:hint="eastAsia" w:asciiTheme="minorEastAsia" w:hAnsiTheme="minorEastAsia" w:eastAsiaTheme="minorEastAsia" w:cstheme="minorEastAsia"/>
                <w:b w:val="0"/>
                <w:bCs w:val="0"/>
                <w:color w:val="auto"/>
                <w:kern w:val="0"/>
                <w:sz w:val="18"/>
                <w:szCs w:val="18"/>
              </w:rPr>
              <w:br w:type="textWrapping"/>
            </w:r>
            <w:r>
              <w:rPr>
                <w:rFonts w:hint="eastAsia" w:asciiTheme="minorEastAsia" w:hAnsiTheme="minorEastAsia" w:eastAsiaTheme="minorEastAsia" w:cstheme="minorEastAsia"/>
                <w:b w:val="0"/>
                <w:bCs w:val="0"/>
                <w:color w:val="auto"/>
                <w:kern w:val="0"/>
                <w:sz w:val="18"/>
                <w:szCs w:val="18"/>
              </w:rPr>
              <w:t>（万元）</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年初预算</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调整后预算数</w:t>
            </w:r>
          </w:p>
        </w:tc>
        <w:tc>
          <w:tcPr>
            <w:tcW w:w="24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预算执行数</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预算执行率</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权重%</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自评得分</w:t>
            </w:r>
          </w:p>
        </w:tc>
        <w:tc>
          <w:tcPr>
            <w:tcW w:w="3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原因</w:t>
            </w:r>
          </w:p>
        </w:tc>
      </w:tr>
      <w:tr>
        <w:tblPrEx>
          <w:tblCellMar>
            <w:top w:w="0" w:type="dxa"/>
            <w:left w:w="108" w:type="dxa"/>
            <w:bottom w:w="0" w:type="dxa"/>
            <w:right w:w="108" w:type="dxa"/>
          </w:tblCellMar>
        </w:tblPrEx>
        <w:trPr>
          <w:trHeight w:val="32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总额</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90.00</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90.00</w:t>
            </w:r>
          </w:p>
        </w:tc>
        <w:tc>
          <w:tcPr>
            <w:tcW w:w="24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90.00</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100.00%</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10</w:t>
            </w:r>
          </w:p>
        </w:tc>
        <w:tc>
          <w:tcPr>
            <w:tcW w:w="32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其中：财政资金</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90.00</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90.00</w:t>
            </w:r>
          </w:p>
        </w:tc>
        <w:tc>
          <w:tcPr>
            <w:tcW w:w="24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90.00</w:t>
            </w:r>
          </w:p>
        </w:tc>
        <w:tc>
          <w:tcPr>
            <w:tcW w:w="10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32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34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财政专户管理资金</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249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32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单位资金</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249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32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34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其他资金</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249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10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6"/>
                <w:szCs w:val="16"/>
              </w:rPr>
            </w:pP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32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720" w:hRule="atLeast"/>
        </w:trPr>
        <w:tc>
          <w:tcPr>
            <w:tcW w:w="16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绩效指标（90分）</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一级指标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二级指标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三级指标</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指标性质</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指标值</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度量单位</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完成值</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权重</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自评得分</w:t>
            </w:r>
          </w:p>
        </w:tc>
        <w:tc>
          <w:tcPr>
            <w:tcW w:w="3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未完成原因分析</w:t>
            </w:r>
          </w:p>
        </w:tc>
      </w:tr>
      <w:tr>
        <w:tblPrEx>
          <w:tblCellMar>
            <w:top w:w="0" w:type="dxa"/>
            <w:left w:w="108" w:type="dxa"/>
            <w:bottom w:w="0" w:type="dxa"/>
            <w:right w:w="108" w:type="dxa"/>
          </w:tblCellMar>
        </w:tblPrEx>
        <w:trPr>
          <w:trHeight w:val="27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成本指标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降低纸质成本</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万元</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27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成本指标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不再使用大平台</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可持续影响指标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建立安全软件运行环境</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可持续影响指标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为一体化建立良好的口碑</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好坏</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好</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可持续发展指标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保持政企良好环境</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4</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675"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数量指标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单位支付正常</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180</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个（套）</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大于180</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满意度指标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服务对象满意度指标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lang w:eastAsia="zh-CN"/>
              </w:rPr>
            </w:pPr>
            <w:r>
              <w:rPr>
                <w:rFonts w:hint="eastAsia" w:asciiTheme="minorEastAsia" w:hAnsiTheme="minorEastAsia" w:eastAsiaTheme="minorEastAsia" w:cstheme="minorEastAsia"/>
                <w:b w:val="0"/>
                <w:bCs w:val="0"/>
                <w:color w:val="auto"/>
                <w:kern w:val="0"/>
                <w:sz w:val="18"/>
                <w:szCs w:val="18"/>
              </w:rPr>
              <w:t>群众满意</w:t>
            </w:r>
            <w:r>
              <w:rPr>
                <w:rFonts w:hint="eastAsia" w:asciiTheme="minorEastAsia" w:hAnsiTheme="minorEastAsia" w:eastAsiaTheme="minorEastAsia" w:cstheme="minorEastAsia"/>
                <w:b w:val="0"/>
                <w:bCs w:val="0"/>
                <w:color w:val="auto"/>
                <w:kern w:val="0"/>
                <w:sz w:val="18"/>
                <w:szCs w:val="18"/>
                <w:lang w:eastAsia="zh-CN"/>
              </w:rPr>
              <w:t>度</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95</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≥95</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675"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效果指标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保障支付签名、验证、数字信封等业务正常工作</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社会效益指标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创造良好的政府信誉</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好坏</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好</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效果指标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保障电子支付安全</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时效指标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24小时在线解决问题</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24</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小时</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24</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社会效益指标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各单位资金运行顺畅</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4</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质量指标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专业机构维护强化风险</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675"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数量指标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软件正常运转</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2</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个（套）</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≥2</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效益指标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可持续发展指标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建立长期的维护环境</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时效指标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按省厅规定完成上线支付</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产出指标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质量指标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信息中心保障技术安全</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定性</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优良中低差</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val="0"/>
                <w:bCs w:val="0"/>
                <w:color w:val="auto"/>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优</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45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满意度指标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服务对象满意度指标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lang w:eastAsia="zh-CN"/>
              </w:rPr>
            </w:pPr>
            <w:r>
              <w:rPr>
                <w:rFonts w:hint="eastAsia" w:asciiTheme="minorEastAsia" w:hAnsiTheme="minorEastAsia" w:eastAsiaTheme="minorEastAsia" w:cstheme="minorEastAsia"/>
                <w:b w:val="0"/>
                <w:bCs w:val="0"/>
                <w:color w:val="auto"/>
                <w:kern w:val="0"/>
                <w:sz w:val="18"/>
                <w:szCs w:val="18"/>
              </w:rPr>
              <w:t>各部门满意</w:t>
            </w:r>
            <w:r>
              <w:rPr>
                <w:rFonts w:hint="eastAsia" w:asciiTheme="minorEastAsia" w:hAnsiTheme="minorEastAsia" w:eastAsiaTheme="minorEastAsia" w:cstheme="minorEastAsia"/>
                <w:b w:val="0"/>
                <w:bCs w:val="0"/>
                <w:color w:val="auto"/>
                <w:kern w:val="0"/>
                <w:sz w:val="18"/>
                <w:szCs w:val="18"/>
                <w:lang w:eastAsia="zh-CN"/>
              </w:rPr>
              <w:t>度</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95</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≥95</w:t>
            </w:r>
          </w:p>
        </w:tc>
        <w:tc>
          <w:tcPr>
            <w:tcW w:w="774"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5</w:t>
            </w:r>
          </w:p>
        </w:tc>
        <w:tc>
          <w:tcPr>
            <w:tcW w:w="94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4</w:t>
            </w:r>
          </w:p>
        </w:tc>
        <w:tc>
          <w:tcPr>
            <w:tcW w:w="3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270" w:hRule="atLeast"/>
        </w:trPr>
        <w:tc>
          <w:tcPr>
            <w:tcW w:w="9823"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合计</w:t>
            </w:r>
          </w:p>
        </w:tc>
        <w:tc>
          <w:tcPr>
            <w:tcW w:w="774"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c>
          <w:tcPr>
            <w:tcW w:w="3205"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color w:val="auto"/>
                <w:sz w:val="18"/>
                <w:szCs w:val="18"/>
              </w:rPr>
            </w:pPr>
          </w:p>
        </w:tc>
      </w:tr>
      <w:tr>
        <w:tblPrEx>
          <w:tblCellMar>
            <w:top w:w="0" w:type="dxa"/>
            <w:left w:w="108" w:type="dxa"/>
            <w:bottom w:w="0" w:type="dxa"/>
            <w:right w:w="108" w:type="dxa"/>
          </w:tblCellMar>
        </w:tblPrEx>
        <w:trPr>
          <w:trHeight w:val="540" w:hRule="atLeast"/>
        </w:trPr>
        <w:tc>
          <w:tcPr>
            <w:tcW w:w="1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自评结论</w:t>
            </w:r>
          </w:p>
        </w:tc>
        <w:tc>
          <w:tcPr>
            <w:tcW w:w="13083"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6"/>
                <w:szCs w:val="16"/>
              </w:rPr>
            </w:pPr>
            <w:r>
              <w:rPr>
                <w:rFonts w:hint="eastAsia" w:asciiTheme="minorEastAsia" w:hAnsiTheme="minorEastAsia" w:eastAsiaTheme="minorEastAsia" w:cstheme="minorEastAsia"/>
                <w:b w:val="0"/>
                <w:bCs w:val="0"/>
                <w:color w:val="auto"/>
                <w:kern w:val="0"/>
                <w:sz w:val="16"/>
                <w:szCs w:val="16"/>
              </w:rPr>
              <w:t>通过建立一体化系统，软件公司配建专业的服务力量，协同运营的网络安全保障体系，实现系统长期安全稳定运行，保障财政资金及信息安全运转。保障一体化系统顺利运行，该项目总分值100分，自评得分97分。</w:t>
            </w:r>
          </w:p>
        </w:tc>
      </w:tr>
      <w:tr>
        <w:tblPrEx>
          <w:tblCellMar>
            <w:top w:w="0" w:type="dxa"/>
            <w:left w:w="108" w:type="dxa"/>
            <w:bottom w:w="0" w:type="dxa"/>
            <w:right w:w="108" w:type="dxa"/>
          </w:tblCellMar>
        </w:tblPrEx>
        <w:trPr>
          <w:trHeight w:val="460" w:hRule="atLeast"/>
        </w:trPr>
        <w:tc>
          <w:tcPr>
            <w:tcW w:w="1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自评存在问题</w:t>
            </w:r>
          </w:p>
        </w:tc>
        <w:tc>
          <w:tcPr>
            <w:tcW w:w="13083"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6"/>
                <w:szCs w:val="16"/>
              </w:rPr>
            </w:pPr>
            <w:r>
              <w:rPr>
                <w:rFonts w:hint="eastAsia" w:asciiTheme="minorEastAsia" w:hAnsiTheme="minorEastAsia" w:eastAsiaTheme="minorEastAsia" w:cstheme="minorEastAsia"/>
                <w:b w:val="0"/>
                <w:bCs w:val="0"/>
                <w:color w:val="auto"/>
                <w:kern w:val="0"/>
                <w:sz w:val="16"/>
                <w:szCs w:val="16"/>
              </w:rPr>
              <w:t>无</w:t>
            </w:r>
          </w:p>
        </w:tc>
      </w:tr>
      <w:tr>
        <w:tblPrEx>
          <w:tblCellMar>
            <w:top w:w="0" w:type="dxa"/>
            <w:left w:w="108" w:type="dxa"/>
            <w:bottom w:w="0" w:type="dxa"/>
            <w:right w:w="108" w:type="dxa"/>
          </w:tblCellMar>
        </w:tblPrEx>
        <w:trPr>
          <w:trHeight w:val="500" w:hRule="atLeast"/>
        </w:trPr>
        <w:tc>
          <w:tcPr>
            <w:tcW w:w="1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自评改进措施</w:t>
            </w:r>
          </w:p>
        </w:tc>
        <w:tc>
          <w:tcPr>
            <w:tcW w:w="13083"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6"/>
                <w:szCs w:val="16"/>
              </w:rPr>
            </w:pPr>
            <w:r>
              <w:rPr>
                <w:rFonts w:hint="eastAsia" w:asciiTheme="minorEastAsia" w:hAnsiTheme="minorEastAsia" w:eastAsiaTheme="minorEastAsia" w:cstheme="minorEastAsia"/>
                <w:b w:val="0"/>
                <w:bCs w:val="0"/>
                <w:color w:val="auto"/>
                <w:kern w:val="0"/>
                <w:sz w:val="16"/>
                <w:szCs w:val="16"/>
              </w:rPr>
              <w:t>无</w:t>
            </w:r>
          </w:p>
        </w:tc>
      </w:tr>
      <w:tr>
        <w:tblPrEx>
          <w:tblCellMar>
            <w:top w:w="0" w:type="dxa"/>
            <w:left w:w="108" w:type="dxa"/>
            <w:bottom w:w="0" w:type="dxa"/>
            <w:right w:w="108" w:type="dxa"/>
          </w:tblCellMar>
        </w:tblPrEx>
        <w:trPr>
          <w:trHeight w:val="340" w:hRule="atLeast"/>
        </w:trPr>
        <w:tc>
          <w:tcPr>
            <w:tcW w:w="6757"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项目负责人：向新嫒</w:t>
            </w:r>
          </w:p>
        </w:tc>
        <w:tc>
          <w:tcPr>
            <w:tcW w:w="799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kern w:val="0"/>
                <w:sz w:val="18"/>
                <w:szCs w:val="18"/>
              </w:rPr>
              <w:t>财务负责人：王春蓉</w:t>
            </w:r>
          </w:p>
        </w:tc>
      </w:tr>
    </w:tbl>
    <w:p>
      <w:pPr>
        <w:rPr>
          <w:rFonts w:hint="eastAsia" w:asciiTheme="minorEastAsia" w:hAnsiTheme="minorEastAsia" w:eastAsiaTheme="minorEastAsia" w:cstheme="minorEastAsia"/>
          <w:color w:val="auto"/>
          <w:sz w:val="44"/>
          <w:szCs w:val="44"/>
        </w:rPr>
        <w:sectPr>
          <w:pgSz w:w="16838" w:h="11906" w:orient="landscape"/>
          <w:pgMar w:top="1797" w:right="1440" w:bottom="1797" w:left="1440" w:header="851" w:footer="992" w:gutter="0"/>
          <w:cols w:space="425" w:num="1"/>
          <w:docGrid w:type="lines" w:linePitch="312" w:charSpace="0"/>
        </w:sectPr>
      </w:pPr>
    </w:p>
    <w:p>
      <w:pPr>
        <w:pStyle w:val="36"/>
        <w:ind w:left="0" w:leftChars="0" w:firstLine="0" w:firstLineChars="0"/>
        <w:rPr>
          <w:rFonts w:hint="eastAsia" w:asciiTheme="minorEastAsia" w:hAnsiTheme="minorEastAsia" w:eastAsiaTheme="minorEastAsia" w:cstheme="minorEastAsia"/>
          <w:color w:val="auto"/>
        </w:rPr>
      </w:pPr>
    </w:p>
    <w:p>
      <w:pPr>
        <w:spacing w:line="600" w:lineRule="exact"/>
        <w:jc w:val="center"/>
        <w:outlineLvl w:val="0"/>
        <w:rPr>
          <w:rStyle w:val="18"/>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color w:val="auto"/>
          <w:sz w:val="44"/>
          <w:szCs w:val="44"/>
        </w:rPr>
        <w:t>第</w:t>
      </w:r>
      <w:r>
        <w:rPr>
          <w:rStyle w:val="18"/>
          <w:rFonts w:hint="eastAsia" w:asciiTheme="minorEastAsia" w:hAnsiTheme="minorEastAsia" w:eastAsiaTheme="minorEastAsia" w:cstheme="minorEastAsia"/>
          <w:b w:val="0"/>
          <w:color w:val="auto"/>
        </w:rPr>
        <w:t>五部分 附</w:t>
      </w:r>
      <w:r>
        <w:rPr>
          <w:rStyle w:val="18"/>
          <w:rFonts w:hint="eastAsia" w:asciiTheme="minorEastAsia" w:hAnsiTheme="minorEastAsia" w:eastAsiaTheme="minorEastAsia" w:cstheme="minorEastAsia"/>
          <w:b w:val="0"/>
          <w:color w:val="auto"/>
          <w:lang w:val="en-US" w:eastAsia="zh-CN"/>
        </w:rPr>
        <w:t xml:space="preserve"> </w:t>
      </w:r>
      <w:r>
        <w:rPr>
          <w:rStyle w:val="18"/>
          <w:rFonts w:hint="eastAsia" w:asciiTheme="minorEastAsia" w:hAnsiTheme="minorEastAsia" w:eastAsiaTheme="minorEastAsia" w:cstheme="minorEastAsia"/>
          <w:b w:val="0"/>
          <w:color w:val="auto"/>
        </w:rPr>
        <w:t>表</w:t>
      </w:r>
      <w:bookmarkEnd w:id="51"/>
      <w:bookmarkEnd w:id="53"/>
      <w:bookmarkStart w:id="54" w:name="_Toc15396619"/>
    </w:p>
    <w:p>
      <w:pPr>
        <w:jc w:val="left"/>
        <w:rPr>
          <w:rFonts w:hint="eastAsia" w:asciiTheme="minorEastAsia" w:hAnsiTheme="minorEastAsia" w:eastAsiaTheme="minorEastAsia" w:cstheme="minorEastAsia"/>
          <w:color w:val="auto"/>
        </w:rPr>
      </w:pPr>
    </w:p>
    <w:p>
      <w:pPr>
        <w:pStyle w:val="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color w:val="auto"/>
          <w:sz w:val="28"/>
          <w:szCs w:val="28"/>
        </w:rPr>
        <w:t>一、收</w:t>
      </w:r>
      <w:r>
        <w:rPr>
          <w:rStyle w:val="19"/>
          <w:rFonts w:hint="eastAsia" w:asciiTheme="minorEastAsia" w:hAnsiTheme="minorEastAsia" w:eastAsiaTheme="minorEastAsia" w:cstheme="minorEastAsia"/>
          <w:b w:val="0"/>
          <w:bCs w:val="0"/>
          <w:color w:val="auto"/>
          <w:sz w:val="28"/>
          <w:szCs w:val="28"/>
        </w:rPr>
        <w:t>入支出决算总表</w:t>
      </w:r>
      <w:bookmarkEnd w:id="54"/>
    </w:p>
    <w:p>
      <w:pPr>
        <w:pStyle w:val="5"/>
        <w:rPr>
          <w:rFonts w:hint="eastAsia" w:asciiTheme="minorEastAsia" w:hAnsiTheme="minorEastAsia" w:eastAsiaTheme="minorEastAsia" w:cstheme="minorEastAsia"/>
          <w:color w:val="auto"/>
          <w:sz w:val="28"/>
          <w:szCs w:val="28"/>
        </w:rPr>
      </w:pPr>
      <w:bookmarkStart w:id="55" w:name="_Toc15396620"/>
      <w:r>
        <w:rPr>
          <w:rFonts w:hint="eastAsia" w:asciiTheme="minorEastAsia" w:hAnsiTheme="minorEastAsia" w:eastAsiaTheme="minorEastAsia" w:cstheme="minorEastAsia"/>
          <w:b w:val="0"/>
          <w:color w:val="auto"/>
          <w:sz w:val="28"/>
          <w:szCs w:val="28"/>
        </w:rPr>
        <w:t>二、收</w:t>
      </w:r>
      <w:r>
        <w:rPr>
          <w:rStyle w:val="19"/>
          <w:rFonts w:hint="eastAsia" w:asciiTheme="minorEastAsia" w:hAnsiTheme="minorEastAsia" w:eastAsiaTheme="minorEastAsia" w:cstheme="minorEastAsia"/>
          <w:b w:val="0"/>
          <w:bCs w:val="0"/>
          <w:color w:val="auto"/>
          <w:sz w:val="28"/>
          <w:szCs w:val="28"/>
        </w:rPr>
        <w:t>入决算表</w:t>
      </w:r>
      <w:bookmarkEnd w:id="55"/>
    </w:p>
    <w:p>
      <w:pPr>
        <w:pStyle w:val="5"/>
        <w:rPr>
          <w:rFonts w:hint="eastAsia" w:asciiTheme="minorEastAsia" w:hAnsiTheme="minorEastAsia" w:eastAsiaTheme="minorEastAsia" w:cstheme="minorEastAsia"/>
          <w:color w:val="auto"/>
          <w:sz w:val="28"/>
          <w:szCs w:val="28"/>
        </w:rPr>
      </w:pPr>
      <w:bookmarkStart w:id="56" w:name="_Toc15396621"/>
      <w:r>
        <w:rPr>
          <w:rStyle w:val="19"/>
          <w:rFonts w:hint="eastAsia" w:asciiTheme="minorEastAsia" w:hAnsiTheme="minorEastAsia" w:eastAsiaTheme="minorEastAsia" w:cstheme="minorEastAsia"/>
          <w:b w:val="0"/>
          <w:bCs w:val="0"/>
          <w:color w:val="auto"/>
          <w:sz w:val="28"/>
          <w:szCs w:val="28"/>
        </w:rPr>
        <w:t>三、</w:t>
      </w:r>
      <w:r>
        <w:rPr>
          <w:rFonts w:hint="eastAsia" w:asciiTheme="minorEastAsia" w:hAnsiTheme="minorEastAsia" w:eastAsiaTheme="minorEastAsia" w:cstheme="minorEastAsia"/>
          <w:b w:val="0"/>
          <w:color w:val="auto"/>
          <w:sz w:val="28"/>
          <w:szCs w:val="28"/>
        </w:rPr>
        <w:t>支</w:t>
      </w:r>
      <w:r>
        <w:rPr>
          <w:rStyle w:val="19"/>
          <w:rFonts w:hint="eastAsia" w:asciiTheme="minorEastAsia" w:hAnsiTheme="minorEastAsia" w:eastAsiaTheme="minorEastAsia" w:cstheme="minorEastAsia"/>
          <w:b w:val="0"/>
          <w:bCs w:val="0"/>
          <w:color w:val="auto"/>
          <w:sz w:val="28"/>
          <w:szCs w:val="28"/>
        </w:rPr>
        <w:t>出决算表</w:t>
      </w:r>
      <w:bookmarkEnd w:id="56"/>
    </w:p>
    <w:p>
      <w:pPr>
        <w:pStyle w:val="5"/>
        <w:rPr>
          <w:rFonts w:hint="eastAsia" w:asciiTheme="minorEastAsia" w:hAnsiTheme="minorEastAsia" w:eastAsiaTheme="minorEastAsia" w:cstheme="minorEastAsia"/>
          <w:b w:val="0"/>
          <w:color w:val="auto"/>
          <w:sz w:val="28"/>
          <w:szCs w:val="28"/>
        </w:rPr>
      </w:pPr>
      <w:bookmarkStart w:id="57" w:name="_Toc15396622"/>
      <w:r>
        <w:rPr>
          <w:rStyle w:val="19"/>
          <w:rFonts w:hint="eastAsia" w:asciiTheme="minorEastAsia" w:hAnsiTheme="minorEastAsia" w:eastAsiaTheme="minorEastAsia" w:cstheme="minorEastAsia"/>
          <w:b w:val="0"/>
          <w:bCs w:val="0"/>
          <w:color w:val="auto"/>
          <w:sz w:val="28"/>
          <w:szCs w:val="28"/>
        </w:rPr>
        <w:t>四、</w:t>
      </w:r>
      <w:r>
        <w:rPr>
          <w:rFonts w:hint="eastAsia" w:asciiTheme="minorEastAsia" w:hAnsiTheme="minorEastAsia" w:eastAsiaTheme="minorEastAsia" w:cstheme="minorEastAsia"/>
          <w:b w:val="0"/>
          <w:color w:val="auto"/>
          <w:sz w:val="28"/>
          <w:szCs w:val="28"/>
        </w:rPr>
        <w:t>财</w:t>
      </w:r>
      <w:r>
        <w:rPr>
          <w:rStyle w:val="19"/>
          <w:rFonts w:hint="eastAsia" w:asciiTheme="minorEastAsia" w:hAnsiTheme="minorEastAsia" w:eastAsiaTheme="minorEastAsia" w:cstheme="minorEastAsia"/>
          <w:b w:val="0"/>
          <w:bCs w:val="0"/>
          <w:color w:val="auto"/>
          <w:sz w:val="28"/>
          <w:szCs w:val="28"/>
        </w:rPr>
        <w:t>政拨款收入支出决算总表</w:t>
      </w:r>
      <w:bookmarkEnd w:id="57"/>
    </w:p>
    <w:p>
      <w:pPr>
        <w:pStyle w:val="5"/>
        <w:rPr>
          <w:rStyle w:val="19"/>
          <w:rFonts w:hint="eastAsia" w:asciiTheme="minorEastAsia" w:hAnsiTheme="minorEastAsia" w:eastAsiaTheme="minorEastAsia" w:cstheme="minorEastAsia"/>
          <w:b w:val="0"/>
          <w:bCs w:val="0"/>
          <w:color w:val="auto"/>
          <w:sz w:val="28"/>
          <w:szCs w:val="28"/>
        </w:rPr>
      </w:pPr>
      <w:bookmarkStart w:id="58" w:name="_Toc15396623"/>
      <w:r>
        <w:rPr>
          <w:rStyle w:val="19"/>
          <w:rFonts w:hint="eastAsia" w:asciiTheme="minorEastAsia" w:hAnsiTheme="minorEastAsia" w:eastAsiaTheme="minorEastAsia" w:cstheme="minorEastAsia"/>
          <w:b w:val="0"/>
          <w:bCs w:val="0"/>
          <w:color w:val="auto"/>
          <w:sz w:val="28"/>
          <w:szCs w:val="28"/>
        </w:rPr>
        <w:t>五、</w:t>
      </w:r>
      <w:r>
        <w:rPr>
          <w:rFonts w:hint="eastAsia" w:asciiTheme="minorEastAsia" w:hAnsiTheme="minorEastAsia" w:eastAsiaTheme="minorEastAsia" w:cstheme="minorEastAsia"/>
          <w:b w:val="0"/>
          <w:color w:val="auto"/>
          <w:sz w:val="28"/>
          <w:szCs w:val="28"/>
        </w:rPr>
        <w:t>财</w:t>
      </w:r>
      <w:r>
        <w:rPr>
          <w:rStyle w:val="19"/>
          <w:rFonts w:hint="eastAsia" w:asciiTheme="minorEastAsia" w:hAnsiTheme="minorEastAsia" w:eastAsiaTheme="minorEastAsia" w:cstheme="minorEastAsia"/>
          <w:b w:val="0"/>
          <w:bCs w:val="0"/>
          <w:color w:val="auto"/>
          <w:sz w:val="28"/>
          <w:szCs w:val="28"/>
        </w:rPr>
        <w:t>政拨款支出决算明细表</w:t>
      </w:r>
      <w:bookmarkEnd w:id="58"/>
      <w:bookmarkStart w:id="59" w:name="_Toc15396624"/>
    </w:p>
    <w:p>
      <w:pPr>
        <w:pStyle w:val="5"/>
        <w:rPr>
          <w:rFonts w:hint="eastAsia" w:asciiTheme="minorEastAsia" w:hAnsiTheme="minorEastAsia" w:eastAsiaTheme="minorEastAsia" w:cstheme="minorEastAsia"/>
          <w:color w:val="auto"/>
          <w:sz w:val="28"/>
          <w:szCs w:val="28"/>
        </w:rPr>
      </w:pPr>
      <w:r>
        <w:rPr>
          <w:rStyle w:val="19"/>
          <w:rFonts w:hint="eastAsia" w:asciiTheme="minorEastAsia" w:hAnsiTheme="minorEastAsia" w:eastAsiaTheme="minorEastAsia" w:cstheme="minorEastAsia"/>
          <w:b w:val="0"/>
          <w:bCs w:val="0"/>
          <w:color w:val="auto"/>
          <w:sz w:val="28"/>
          <w:szCs w:val="28"/>
        </w:rPr>
        <w:t>六、</w:t>
      </w:r>
      <w:r>
        <w:rPr>
          <w:rFonts w:hint="eastAsia" w:asciiTheme="minorEastAsia" w:hAnsiTheme="minorEastAsia" w:eastAsiaTheme="minorEastAsia" w:cstheme="minorEastAsia"/>
          <w:b w:val="0"/>
          <w:color w:val="auto"/>
          <w:sz w:val="28"/>
          <w:szCs w:val="28"/>
        </w:rPr>
        <w:t>一</w:t>
      </w:r>
      <w:r>
        <w:rPr>
          <w:rStyle w:val="19"/>
          <w:rFonts w:hint="eastAsia" w:asciiTheme="minorEastAsia" w:hAnsiTheme="minorEastAsia" w:eastAsiaTheme="minorEastAsia" w:cstheme="minorEastAsia"/>
          <w:b w:val="0"/>
          <w:bCs w:val="0"/>
          <w:color w:val="auto"/>
          <w:sz w:val="28"/>
          <w:szCs w:val="28"/>
        </w:rPr>
        <w:t>般公共预算财政拨款支出决算表</w:t>
      </w:r>
      <w:bookmarkEnd w:id="59"/>
    </w:p>
    <w:p>
      <w:pPr>
        <w:pStyle w:val="5"/>
        <w:rPr>
          <w:rFonts w:hint="eastAsia" w:asciiTheme="minorEastAsia" w:hAnsiTheme="minorEastAsia" w:eastAsiaTheme="minorEastAsia" w:cstheme="minorEastAsia"/>
          <w:color w:val="auto"/>
          <w:sz w:val="28"/>
          <w:szCs w:val="28"/>
        </w:rPr>
      </w:pPr>
      <w:bookmarkStart w:id="60" w:name="_Toc15396625"/>
      <w:r>
        <w:rPr>
          <w:rStyle w:val="19"/>
          <w:rFonts w:hint="eastAsia" w:asciiTheme="minorEastAsia" w:hAnsiTheme="minorEastAsia" w:eastAsiaTheme="minorEastAsia" w:cstheme="minorEastAsia"/>
          <w:b w:val="0"/>
          <w:bCs w:val="0"/>
          <w:color w:val="auto"/>
          <w:sz w:val="28"/>
          <w:szCs w:val="28"/>
        </w:rPr>
        <w:t>七、</w:t>
      </w:r>
      <w:r>
        <w:rPr>
          <w:rFonts w:hint="eastAsia" w:asciiTheme="minorEastAsia" w:hAnsiTheme="minorEastAsia" w:eastAsiaTheme="minorEastAsia" w:cstheme="minorEastAsia"/>
          <w:b w:val="0"/>
          <w:color w:val="auto"/>
          <w:sz w:val="28"/>
          <w:szCs w:val="28"/>
        </w:rPr>
        <w:t>一</w:t>
      </w:r>
      <w:r>
        <w:rPr>
          <w:rStyle w:val="19"/>
          <w:rFonts w:hint="eastAsia" w:asciiTheme="minorEastAsia" w:hAnsiTheme="minorEastAsia" w:eastAsiaTheme="minorEastAsia" w:cstheme="minorEastAsia"/>
          <w:b w:val="0"/>
          <w:bCs w:val="0"/>
          <w:color w:val="auto"/>
          <w:sz w:val="28"/>
          <w:szCs w:val="28"/>
        </w:rPr>
        <w:t>般公共预算财政拨款支出决算明细表</w:t>
      </w:r>
      <w:bookmarkEnd w:id="60"/>
    </w:p>
    <w:p>
      <w:pPr>
        <w:pStyle w:val="5"/>
        <w:rPr>
          <w:rFonts w:hint="eastAsia" w:asciiTheme="minorEastAsia" w:hAnsiTheme="minorEastAsia" w:eastAsiaTheme="minorEastAsia" w:cstheme="minorEastAsia"/>
          <w:color w:val="auto"/>
          <w:sz w:val="28"/>
          <w:szCs w:val="28"/>
        </w:rPr>
      </w:pPr>
      <w:bookmarkStart w:id="61" w:name="_Toc15396626"/>
      <w:r>
        <w:rPr>
          <w:rStyle w:val="19"/>
          <w:rFonts w:hint="eastAsia" w:asciiTheme="minorEastAsia" w:hAnsiTheme="minorEastAsia" w:eastAsiaTheme="minorEastAsia" w:cstheme="minorEastAsia"/>
          <w:b w:val="0"/>
          <w:bCs w:val="0"/>
          <w:color w:val="auto"/>
          <w:sz w:val="28"/>
          <w:szCs w:val="28"/>
        </w:rPr>
        <w:t>八、</w:t>
      </w:r>
      <w:r>
        <w:rPr>
          <w:rFonts w:hint="eastAsia" w:asciiTheme="minorEastAsia" w:hAnsiTheme="minorEastAsia" w:eastAsiaTheme="minorEastAsia" w:cstheme="minorEastAsia"/>
          <w:b w:val="0"/>
          <w:color w:val="auto"/>
          <w:sz w:val="28"/>
          <w:szCs w:val="28"/>
        </w:rPr>
        <w:t>一</w:t>
      </w:r>
      <w:r>
        <w:rPr>
          <w:rStyle w:val="19"/>
          <w:rFonts w:hint="eastAsia" w:asciiTheme="minorEastAsia" w:hAnsiTheme="minorEastAsia" w:eastAsiaTheme="minorEastAsia" w:cstheme="minorEastAsia"/>
          <w:b w:val="0"/>
          <w:bCs w:val="0"/>
          <w:color w:val="auto"/>
          <w:sz w:val="28"/>
          <w:szCs w:val="28"/>
        </w:rPr>
        <w:t>般公共预算财政拨款基本支出决算表</w:t>
      </w:r>
      <w:bookmarkEnd w:id="61"/>
    </w:p>
    <w:p>
      <w:pPr>
        <w:pStyle w:val="5"/>
        <w:rPr>
          <w:rFonts w:hint="eastAsia" w:asciiTheme="minorEastAsia" w:hAnsiTheme="minorEastAsia" w:eastAsiaTheme="minorEastAsia" w:cstheme="minorEastAsia"/>
          <w:color w:val="auto"/>
          <w:sz w:val="28"/>
          <w:szCs w:val="28"/>
        </w:rPr>
      </w:pPr>
      <w:bookmarkStart w:id="62" w:name="_Toc15396627"/>
      <w:r>
        <w:rPr>
          <w:rStyle w:val="19"/>
          <w:rFonts w:hint="eastAsia" w:asciiTheme="minorEastAsia" w:hAnsiTheme="minorEastAsia" w:eastAsiaTheme="minorEastAsia" w:cstheme="minorEastAsia"/>
          <w:b w:val="0"/>
          <w:bCs w:val="0"/>
          <w:color w:val="auto"/>
          <w:sz w:val="28"/>
          <w:szCs w:val="28"/>
        </w:rPr>
        <w:t>九、</w:t>
      </w:r>
      <w:r>
        <w:rPr>
          <w:rFonts w:hint="eastAsia" w:asciiTheme="minorEastAsia" w:hAnsiTheme="minorEastAsia" w:eastAsiaTheme="minorEastAsia" w:cstheme="minorEastAsia"/>
          <w:b w:val="0"/>
          <w:color w:val="auto"/>
          <w:sz w:val="28"/>
          <w:szCs w:val="28"/>
        </w:rPr>
        <w:t>一</w:t>
      </w:r>
      <w:r>
        <w:rPr>
          <w:rStyle w:val="19"/>
          <w:rFonts w:hint="eastAsia" w:asciiTheme="minorEastAsia" w:hAnsiTheme="minorEastAsia" w:eastAsiaTheme="minorEastAsia" w:cstheme="minorEastAsia"/>
          <w:b w:val="0"/>
          <w:bCs w:val="0"/>
          <w:color w:val="auto"/>
          <w:sz w:val="28"/>
          <w:szCs w:val="28"/>
        </w:rPr>
        <w:t>般公共预算财政拨款项目支出决算表</w:t>
      </w:r>
      <w:bookmarkEnd w:id="62"/>
    </w:p>
    <w:p>
      <w:pPr>
        <w:pStyle w:val="5"/>
        <w:rPr>
          <w:rFonts w:hint="eastAsia" w:asciiTheme="minorEastAsia" w:hAnsiTheme="minorEastAsia" w:eastAsiaTheme="minorEastAsia" w:cstheme="minorEastAsia"/>
          <w:color w:val="auto"/>
          <w:sz w:val="28"/>
          <w:szCs w:val="28"/>
        </w:rPr>
      </w:pPr>
      <w:bookmarkStart w:id="63" w:name="_Toc15396628"/>
      <w:r>
        <w:rPr>
          <w:rStyle w:val="19"/>
          <w:rFonts w:hint="eastAsia" w:asciiTheme="minorEastAsia" w:hAnsiTheme="minorEastAsia" w:eastAsiaTheme="minorEastAsia" w:cstheme="minorEastAsia"/>
          <w:b w:val="0"/>
          <w:bCs w:val="0"/>
          <w:color w:val="auto"/>
          <w:sz w:val="28"/>
          <w:szCs w:val="28"/>
        </w:rPr>
        <w:t>十、</w:t>
      </w:r>
      <w:bookmarkEnd w:id="63"/>
      <w:r>
        <w:rPr>
          <w:rFonts w:hint="eastAsia" w:asciiTheme="minorEastAsia" w:hAnsiTheme="minorEastAsia" w:eastAsiaTheme="minorEastAsia" w:cstheme="minorEastAsia"/>
          <w:b w:val="0"/>
          <w:color w:val="auto"/>
          <w:sz w:val="28"/>
          <w:szCs w:val="28"/>
        </w:rPr>
        <w:t>政</w:t>
      </w:r>
      <w:r>
        <w:rPr>
          <w:rStyle w:val="19"/>
          <w:rFonts w:hint="eastAsia" w:asciiTheme="minorEastAsia" w:hAnsiTheme="minorEastAsia" w:eastAsiaTheme="minorEastAsia" w:cstheme="minorEastAsia"/>
          <w:b w:val="0"/>
          <w:bCs w:val="0"/>
          <w:color w:val="auto"/>
          <w:sz w:val="28"/>
          <w:szCs w:val="28"/>
        </w:rPr>
        <w:t>府性基金预算财政拨款收入支出决算表</w:t>
      </w:r>
    </w:p>
    <w:p>
      <w:pPr>
        <w:pStyle w:val="5"/>
        <w:rPr>
          <w:rFonts w:hint="eastAsia" w:asciiTheme="minorEastAsia" w:hAnsiTheme="minorEastAsia" w:eastAsiaTheme="minorEastAsia" w:cstheme="minorEastAsia"/>
          <w:color w:val="auto"/>
          <w:sz w:val="28"/>
          <w:szCs w:val="28"/>
        </w:rPr>
      </w:pPr>
      <w:bookmarkStart w:id="64" w:name="_Toc15396629"/>
      <w:r>
        <w:rPr>
          <w:rStyle w:val="19"/>
          <w:rFonts w:hint="eastAsia" w:asciiTheme="minorEastAsia" w:hAnsiTheme="minorEastAsia" w:eastAsiaTheme="minorEastAsia" w:cstheme="minorEastAsia"/>
          <w:b w:val="0"/>
          <w:bCs w:val="0"/>
          <w:color w:val="auto"/>
          <w:sz w:val="28"/>
          <w:szCs w:val="28"/>
        </w:rPr>
        <w:t>十一、</w:t>
      </w:r>
      <w:bookmarkEnd w:id="64"/>
      <w:r>
        <w:rPr>
          <w:rFonts w:hint="eastAsia" w:asciiTheme="minorEastAsia" w:hAnsiTheme="minorEastAsia" w:eastAsiaTheme="minorEastAsia" w:cstheme="minorEastAsia"/>
          <w:b w:val="0"/>
          <w:color w:val="auto"/>
          <w:sz w:val="28"/>
          <w:szCs w:val="28"/>
        </w:rPr>
        <w:t>国</w:t>
      </w:r>
      <w:r>
        <w:rPr>
          <w:rStyle w:val="19"/>
          <w:rFonts w:hint="eastAsia" w:asciiTheme="minorEastAsia" w:hAnsiTheme="minorEastAsia" w:eastAsiaTheme="minorEastAsia" w:cstheme="minorEastAsia"/>
          <w:b w:val="0"/>
          <w:bCs w:val="0"/>
          <w:color w:val="auto"/>
          <w:sz w:val="28"/>
          <w:szCs w:val="28"/>
        </w:rPr>
        <w:t>有资本经营预算财政拨款收入支出决算表</w:t>
      </w:r>
    </w:p>
    <w:p>
      <w:pPr>
        <w:pStyle w:val="5"/>
        <w:rPr>
          <w:rFonts w:hint="eastAsia" w:asciiTheme="minorEastAsia" w:hAnsiTheme="minorEastAsia" w:eastAsiaTheme="minorEastAsia" w:cstheme="minorEastAsia"/>
          <w:color w:val="auto"/>
          <w:sz w:val="28"/>
          <w:szCs w:val="28"/>
        </w:rPr>
      </w:pPr>
      <w:bookmarkStart w:id="65" w:name="_Toc15396630"/>
      <w:r>
        <w:rPr>
          <w:rStyle w:val="19"/>
          <w:rFonts w:hint="eastAsia" w:asciiTheme="minorEastAsia" w:hAnsiTheme="minorEastAsia" w:eastAsiaTheme="minorEastAsia" w:cstheme="minorEastAsia"/>
          <w:b w:val="0"/>
          <w:bCs w:val="0"/>
          <w:color w:val="auto"/>
          <w:sz w:val="28"/>
          <w:szCs w:val="28"/>
        </w:rPr>
        <w:t>十二、</w:t>
      </w:r>
      <w:bookmarkEnd w:id="65"/>
      <w:r>
        <w:rPr>
          <w:rStyle w:val="19"/>
          <w:rFonts w:hint="eastAsia" w:asciiTheme="minorEastAsia" w:hAnsiTheme="minorEastAsia" w:eastAsiaTheme="minorEastAsia" w:cstheme="minorEastAsia"/>
          <w:b w:val="0"/>
          <w:bCs w:val="0"/>
          <w:color w:val="auto"/>
          <w:sz w:val="28"/>
          <w:szCs w:val="28"/>
        </w:rPr>
        <w:t>国有资本经营预算财政拨款支出决算表</w:t>
      </w:r>
    </w:p>
    <w:p>
      <w:pPr>
        <w:pStyle w:val="5"/>
        <w:rPr>
          <w:rStyle w:val="19"/>
          <w:rFonts w:hint="eastAsia" w:asciiTheme="minorEastAsia" w:hAnsiTheme="minorEastAsia" w:eastAsiaTheme="minorEastAsia" w:cstheme="minorEastAsia"/>
          <w:b w:val="0"/>
          <w:bCs w:val="0"/>
          <w:color w:val="auto"/>
          <w:sz w:val="28"/>
          <w:szCs w:val="28"/>
        </w:rPr>
      </w:pPr>
      <w:bookmarkStart w:id="66" w:name="_Toc15396631"/>
      <w:r>
        <w:rPr>
          <w:rStyle w:val="19"/>
          <w:rFonts w:hint="eastAsia" w:asciiTheme="minorEastAsia" w:hAnsiTheme="minorEastAsia" w:eastAsiaTheme="minorEastAsia" w:cstheme="minorEastAsia"/>
          <w:b w:val="0"/>
          <w:bCs w:val="0"/>
          <w:color w:val="auto"/>
          <w:sz w:val="28"/>
          <w:szCs w:val="28"/>
        </w:rPr>
        <w:t>十三、</w:t>
      </w:r>
      <w:bookmarkEnd w:id="66"/>
      <w:r>
        <w:rPr>
          <w:rStyle w:val="19"/>
          <w:rFonts w:hint="eastAsia" w:asciiTheme="minorEastAsia" w:hAnsiTheme="minorEastAsia" w:eastAsiaTheme="minorEastAsia" w:cstheme="minorEastAsia"/>
          <w:b w:val="0"/>
          <w:bCs w:val="0"/>
          <w:color w:val="auto"/>
          <w:sz w:val="28"/>
          <w:szCs w:val="28"/>
        </w:rPr>
        <w:t>财政拨款“三公”经费支出决算表</w:t>
      </w:r>
    </w:p>
    <w:p>
      <w:pPr>
        <w:rPr>
          <w:rFonts w:hint="eastAsia" w:asciiTheme="minorEastAsia" w:hAnsiTheme="minorEastAsia" w:eastAsiaTheme="minorEastAsia" w:cstheme="minor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
    <w:altName w:val="Mangal"/>
    <w:panose1 w:val="00000000000000000000"/>
    <w:charset w:val="00"/>
    <w:family w:val="roman"/>
    <w:pitch w:val="default"/>
    <w:sig w:usb0="0000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Mangal">
    <w:panose1 w:val="00000400000000000000"/>
    <w:charset w:val="00"/>
    <w:family w:val="auto"/>
    <w:pitch w:val="default"/>
    <w:sig w:usb0="00008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47</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EB124"/>
    <w:multiLevelType w:val="singleLevel"/>
    <w:tmpl w:val="B16EB124"/>
    <w:lvl w:ilvl="0" w:tentative="0">
      <w:start w:val="3"/>
      <w:numFmt w:val="chineseCounting"/>
      <w:suff w:val="nothing"/>
      <w:lvlText w:val="（%1）"/>
      <w:lvlJc w:val="left"/>
      <w:rPr>
        <w:rFonts w:hint="eastAsia" w:cs="Times New Roman"/>
      </w:rPr>
    </w:lvl>
  </w:abstractNum>
  <w:abstractNum w:abstractNumId="1">
    <w:nsid w:val="C9F70C9A"/>
    <w:multiLevelType w:val="singleLevel"/>
    <w:tmpl w:val="C9F70C9A"/>
    <w:lvl w:ilvl="0" w:tentative="0">
      <w:start w:val="1"/>
      <w:numFmt w:val="chineseCounting"/>
      <w:suff w:val="nothing"/>
      <w:lvlText w:val="%1、"/>
      <w:lvlJc w:val="left"/>
      <w:rPr>
        <w:rFonts w:hint="eastAsia" w:cs="Times New Roman"/>
      </w:rPr>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DEBEF323"/>
    <w:multiLevelType w:val="singleLevel"/>
    <w:tmpl w:val="DEBEF323"/>
    <w:lvl w:ilvl="0" w:tentative="0">
      <w:start w:val="4"/>
      <w:numFmt w:val="chineseCounting"/>
      <w:suff w:val="nothing"/>
      <w:lvlText w:val="（%1）"/>
      <w:lvlJc w:val="left"/>
      <w:rPr>
        <w:rFonts w:hint="eastAsia" w:cs="Times New Roman"/>
      </w:rPr>
    </w:lvl>
  </w:abstractNum>
  <w:abstractNum w:abstractNumId="4">
    <w:nsid w:val="FFF674BC"/>
    <w:multiLevelType w:val="singleLevel"/>
    <w:tmpl w:val="FFF674BC"/>
    <w:lvl w:ilvl="0" w:tentative="0">
      <w:start w:val="1"/>
      <w:numFmt w:val="chineseCounting"/>
      <w:suff w:val="nothing"/>
      <w:lvlText w:val="%1、"/>
      <w:lvlJc w:val="left"/>
      <w:rPr>
        <w:rFonts w:hint="eastAsia" w:cs="Times New Roman"/>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561D1C57"/>
    <w:multiLevelType w:val="singleLevel"/>
    <w:tmpl w:val="561D1C57"/>
    <w:lvl w:ilvl="0" w:tentative="0">
      <w:start w:val="1"/>
      <w:numFmt w:val="chineseCounting"/>
      <w:suff w:val="nothing"/>
      <w:lvlText w:val="（%1）"/>
      <w:lvlJc w:val="left"/>
      <w:rPr>
        <w:rFonts w:hint="eastAsia" w:cs="Times New Roman"/>
      </w:rPr>
    </w:lvl>
  </w:abstractNum>
  <w:abstractNum w:abstractNumId="7">
    <w:nsid w:val="65211F1A"/>
    <w:multiLevelType w:val="singleLevel"/>
    <w:tmpl w:val="65211F1A"/>
    <w:lvl w:ilvl="0" w:tentative="0">
      <w:start w:val="2"/>
      <w:numFmt w:val="chineseCounting"/>
      <w:suff w:val="nothing"/>
      <w:lvlText w:val="（%1）"/>
      <w:lvlJc w:val="left"/>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MjVmODg4NzczYzFhZTNkZGE2ZDFkYzg5MWMxY2MifQ=="/>
  </w:docVars>
  <w:rsids>
    <w:rsidRoot w:val="00F1361C"/>
    <w:rsid w:val="000222C6"/>
    <w:rsid w:val="00022545"/>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176E"/>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C77A6"/>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658D"/>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05BF"/>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4E87"/>
    <w:rsid w:val="00FD2974"/>
    <w:rsid w:val="00FD3CC1"/>
    <w:rsid w:val="00FF1E02"/>
    <w:rsid w:val="00FF30B4"/>
    <w:rsid w:val="015975B8"/>
    <w:rsid w:val="01772A9E"/>
    <w:rsid w:val="02143E91"/>
    <w:rsid w:val="03CE7CF1"/>
    <w:rsid w:val="05526700"/>
    <w:rsid w:val="05EE467B"/>
    <w:rsid w:val="063B3638"/>
    <w:rsid w:val="06451DC1"/>
    <w:rsid w:val="064A5A9D"/>
    <w:rsid w:val="066E0107"/>
    <w:rsid w:val="07996F6E"/>
    <w:rsid w:val="0A2032A3"/>
    <w:rsid w:val="0B8E420A"/>
    <w:rsid w:val="0BB43EA8"/>
    <w:rsid w:val="0C360B29"/>
    <w:rsid w:val="0C5B0590"/>
    <w:rsid w:val="0D815336"/>
    <w:rsid w:val="0DA313FF"/>
    <w:rsid w:val="0E7C47EE"/>
    <w:rsid w:val="0F98263C"/>
    <w:rsid w:val="0FDD285D"/>
    <w:rsid w:val="101860EC"/>
    <w:rsid w:val="1043449D"/>
    <w:rsid w:val="107C6ED1"/>
    <w:rsid w:val="10C055FF"/>
    <w:rsid w:val="118107EC"/>
    <w:rsid w:val="11835436"/>
    <w:rsid w:val="11DF4949"/>
    <w:rsid w:val="12860984"/>
    <w:rsid w:val="137361BF"/>
    <w:rsid w:val="138F28CD"/>
    <w:rsid w:val="13D50BC4"/>
    <w:rsid w:val="144A1F1A"/>
    <w:rsid w:val="147E5476"/>
    <w:rsid w:val="15420546"/>
    <w:rsid w:val="15FB142D"/>
    <w:rsid w:val="160E7BD1"/>
    <w:rsid w:val="16B9038D"/>
    <w:rsid w:val="16BB723D"/>
    <w:rsid w:val="16C136E5"/>
    <w:rsid w:val="170F450E"/>
    <w:rsid w:val="17C422E5"/>
    <w:rsid w:val="1863338A"/>
    <w:rsid w:val="1952561A"/>
    <w:rsid w:val="199B1FE8"/>
    <w:rsid w:val="19CF386A"/>
    <w:rsid w:val="1A077661"/>
    <w:rsid w:val="1AB61E65"/>
    <w:rsid w:val="1B065B6B"/>
    <w:rsid w:val="1B43793F"/>
    <w:rsid w:val="1BBD3FA8"/>
    <w:rsid w:val="1BE8440E"/>
    <w:rsid w:val="1CC161ED"/>
    <w:rsid w:val="1D155CEE"/>
    <w:rsid w:val="1D813BCE"/>
    <w:rsid w:val="1F1840BF"/>
    <w:rsid w:val="1F7312F5"/>
    <w:rsid w:val="1F890B18"/>
    <w:rsid w:val="1FF35744"/>
    <w:rsid w:val="20F6042F"/>
    <w:rsid w:val="2376295B"/>
    <w:rsid w:val="23860B96"/>
    <w:rsid w:val="23A67EEB"/>
    <w:rsid w:val="23B96426"/>
    <w:rsid w:val="240371BF"/>
    <w:rsid w:val="259902FC"/>
    <w:rsid w:val="263C4B36"/>
    <w:rsid w:val="26BC3644"/>
    <w:rsid w:val="26F81E01"/>
    <w:rsid w:val="27D17500"/>
    <w:rsid w:val="28814A83"/>
    <w:rsid w:val="29FD04D3"/>
    <w:rsid w:val="2B6A7A50"/>
    <w:rsid w:val="2BC144F7"/>
    <w:rsid w:val="2BC62482"/>
    <w:rsid w:val="2C8A61B5"/>
    <w:rsid w:val="2CEA52EC"/>
    <w:rsid w:val="2D275CEF"/>
    <w:rsid w:val="2D790198"/>
    <w:rsid w:val="2DF04E50"/>
    <w:rsid w:val="2DFD4BAB"/>
    <w:rsid w:val="2E1D524D"/>
    <w:rsid w:val="2E5FFDC4"/>
    <w:rsid w:val="2F040D46"/>
    <w:rsid w:val="2F0568D7"/>
    <w:rsid w:val="2F942404"/>
    <w:rsid w:val="2FE36023"/>
    <w:rsid w:val="30507419"/>
    <w:rsid w:val="30F41E94"/>
    <w:rsid w:val="310731A8"/>
    <w:rsid w:val="3112479F"/>
    <w:rsid w:val="318C4454"/>
    <w:rsid w:val="319F7F4E"/>
    <w:rsid w:val="3304709D"/>
    <w:rsid w:val="33EA5BD2"/>
    <w:rsid w:val="341B4A8C"/>
    <w:rsid w:val="342E0005"/>
    <w:rsid w:val="344A6280"/>
    <w:rsid w:val="35D54660"/>
    <w:rsid w:val="36745C27"/>
    <w:rsid w:val="36AA5135"/>
    <w:rsid w:val="36F75172"/>
    <w:rsid w:val="376D39B2"/>
    <w:rsid w:val="37E16F03"/>
    <w:rsid w:val="38D469F0"/>
    <w:rsid w:val="39286458"/>
    <w:rsid w:val="393953F2"/>
    <w:rsid w:val="398E6FFF"/>
    <w:rsid w:val="39C42A21"/>
    <w:rsid w:val="3C00585C"/>
    <w:rsid w:val="3C96557D"/>
    <w:rsid w:val="3D8449A1"/>
    <w:rsid w:val="3D98207C"/>
    <w:rsid w:val="3DD35929"/>
    <w:rsid w:val="3E5D08C7"/>
    <w:rsid w:val="3E622809"/>
    <w:rsid w:val="3E78745D"/>
    <w:rsid w:val="3E8312EF"/>
    <w:rsid w:val="3F081602"/>
    <w:rsid w:val="3F8C7E7E"/>
    <w:rsid w:val="3FE0432D"/>
    <w:rsid w:val="3FF84AD9"/>
    <w:rsid w:val="400C2C55"/>
    <w:rsid w:val="41790595"/>
    <w:rsid w:val="42162288"/>
    <w:rsid w:val="445A6021"/>
    <w:rsid w:val="447F5EC2"/>
    <w:rsid w:val="44E268DA"/>
    <w:rsid w:val="458D2861"/>
    <w:rsid w:val="46D63D94"/>
    <w:rsid w:val="47EF4C06"/>
    <w:rsid w:val="483D40CA"/>
    <w:rsid w:val="489B5F01"/>
    <w:rsid w:val="48CD0D0E"/>
    <w:rsid w:val="4A3E05CE"/>
    <w:rsid w:val="4A4A0D21"/>
    <w:rsid w:val="4A627F82"/>
    <w:rsid w:val="4AA330BB"/>
    <w:rsid w:val="4ABF004A"/>
    <w:rsid w:val="4B0E749A"/>
    <w:rsid w:val="4B4F25DA"/>
    <w:rsid w:val="4BBD036D"/>
    <w:rsid w:val="4BE068DB"/>
    <w:rsid w:val="4C972C2F"/>
    <w:rsid w:val="4D577224"/>
    <w:rsid w:val="4D6E11CA"/>
    <w:rsid w:val="4D926C66"/>
    <w:rsid w:val="4DF74D1B"/>
    <w:rsid w:val="4EAB630A"/>
    <w:rsid w:val="4ECE2238"/>
    <w:rsid w:val="4F552641"/>
    <w:rsid w:val="4FA2515B"/>
    <w:rsid w:val="4FDC68BF"/>
    <w:rsid w:val="51217442"/>
    <w:rsid w:val="51552F41"/>
    <w:rsid w:val="517C60EC"/>
    <w:rsid w:val="51B11685"/>
    <w:rsid w:val="51FED7AB"/>
    <w:rsid w:val="520A30CD"/>
    <w:rsid w:val="521B2F81"/>
    <w:rsid w:val="537E6D0A"/>
    <w:rsid w:val="53DE7A77"/>
    <w:rsid w:val="54102FDB"/>
    <w:rsid w:val="57283E15"/>
    <w:rsid w:val="577968CF"/>
    <w:rsid w:val="579932E7"/>
    <w:rsid w:val="585C67EF"/>
    <w:rsid w:val="58977E20"/>
    <w:rsid w:val="59486D73"/>
    <w:rsid w:val="597B2393"/>
    <w:rsid w:val="5AE605F2"/>
    <w:rsid w:val="5AF92295"/>
    <w:rsid w:val="5B6D2557"/>
    <w:rsid w:val="5B8F47E5"/>
    <w:rsid w:val="5B9964EB"/>
    <w:rsid w:val="5BF359E5"/>
    <w:rsid w:val="5BF7606F"/>
    <w:rsid w:val="5C3B496D"/>
    <w:rsid w:val="5C54662E"/>
    <w:rsid w:val="5CD71FC4"/>
    <w:rsid w:val="5D1F7DEB"/>
    <w:rsid w:val="5D5757D7"/>
    <w:rsid w:val="5D610403"/>
    <w:rsid w:val="5DA07CDE"/>
    <w:rsid w:val="5DAF116F"/>
    <w:rsid w:val="5EB6477F"/>
    <w:rsid w:val="5ED510A9"/>
    <w:rsid w:val="5ED835A1"/>
    <w:rsid w:val="5EFA7CCD"/>
    <w:rsid w:val="5F2E6A0B"/>
    <w:rsid w:val="5F556552"/>
    <w:rsid w:val="5F8C5FF2"/>
    <w:rsid w:val="61112140"/>
    <w:rsid w:val="61C176C2"/>
    <w:rsid w:val="6301779D"/>
    <w:rsid w:val="632C14B3"/>
    <w:rsid w:val="640D6A68"/>
    <w:rsid w:val="64550596"/>
    <w:rsid w:val="646618E2"/>
    <w:rsid w:val="676C7B21"/>
    <w:rsid w:val="67E62D0D"/>
    <w:rsid w:val="6837248C"/>
    <w:rsid w:val="69180510"/>
    <w:rsid w:val="692D1AE1"/>
    <w:rsid w:val="6945700A"/>
    <w:rsid w:val="695C1701"/>
    <w:rsid w:val="6A615EE7"/>
    <w:rsid w:val="6B9C2BD1"/>
    <w:rsid w:val="6BAC3191"/>
    <w:rsid w:val="6C4A05C8"/>
    <w:rsid w:val="6C517895"/>
    <w:rsid w:val="6C61756C"/>
    <w:rsid w:val="6D4013DB"/>
    <w:rsid w:val="6DAC7479"/>
    <w:rsid w:val="6DDE5E28"/>
    <w:rsid w:val="6DE75970"/>
    <w:rsid w:val="6DFF0F7B"/>
    <w:rsid w:val="6E0F4C21"/>
    <w:rsid w:val="6E296D1B"/>
    <w:rsid w:val="6E533D98"/>
    <w:rsid w:val="6E7118EF"/>
    <w:rsid w:val="6E7E3605"/>
    <w:rsid w:val="6EE64C0C"/>
    <w:rsid w:val="6F0068EC"/>
    <w:rsid w:val="6F251353"/>
    <w:rsid w:val="6FE078AE"/>
    <w:rsid w:val="6FF5CC65"/>
    <w:rsid w:val="715C0E4B"/>
    <w:rsid w:val="71BB0C14"/>
    <w:rsid w:val="72323CC5"/>
    <w:rsid w:val="72516841"/>
    <w:rsid w:val="72640322"/>
    <w:rsid w:val="72734D90"/>
    <w:rsid w:val="735A34D3"/>
    <w:rsid w:val="73AD73D5"/>
    <w:rsid w:val="73B6EB34"/>
    <w:rsid w:val="73E637DC"/>
    <w:rsid w:val="744731E5"/>
    <w:rsid w:val="74605E9A"/>
    <w:rsid w:val="74A964C0"/>
    <w:rsid w:val="74F46D9D"/>
    <w:rsid w:val="756D9A62"/>
    <w:rsid w:val="75732E35"/>
    <w:rsid w:val="75CC61D2"/>
    <w:rsid w:val="76487F5B"/>
    <w:rsid w:val="767B2D0B"/>
    <w:rsid w:val="76E3355F"/>
    <w:rsid w:val="777A05E8"/>
    <w:rsid w:val="777F5BFE"/>
    <w:rsid w:val="778769C8"/>
    <w:rsid w:val="77CE4490"/>
    <w:rsid w:val="77F735FE"/>
    <w:rsid w:val="7808174F"/>
    <w:rsid w:val="78197E8C"/>
    <w:rsid w:val="78717876"/>
    <w:rsid w:val="7896332F"/>
    <w:rsid w:val="792133FF"/>
    <w:rsid w:val="79BA2CF0"/>
    <w:rsid w:val="79E63D12"/>
    <w:rsid w:val="79EE5BA4"/>
    <w:rsid w:val="79F5251F"/>
    <w:rsid w:val="7A894339"/>
    <w:rsid w:val="7BDA5873"/>
    <w:rsid w:val="7DCFC468"/>
    <w:rsid w:val="7DDBE935"/>
    <w:rsid w:val="7DF3FF5C"/>
    <w:rsid w:val="7E7FB92F"/>
    <w:rsid w:val="7EEF11D3"/>
    <w:rsid w:val="7F3FB55A"/>
    <w:rsid w:val="7F480FCB"/>
    <w:rsid w:val="7F5F4F84"/>
    <w:rsid w:val="7F625BE9"/>
    <w:rsid w:val="7F78601D"/>
    <w:rsid w:val="7F7D58EC"/>
    <w:rsid w:val="7F7FEF81"/>
    <w:rsid w:val="7F9D3081"/>
    <w:rsid w:val="7FA30C79"/>
    <w:rsid w:val="7FB7269E"/>
    <w:rsid w:val="7FBE5357"/>
    <w:rsid w:val="7FC96657"/>
    <w:rsid w:val="7FFF0EE7"/>
    <w:rsid w:val="9D4B5CFF"/>
    <w:rsid w:val="9DFCCD61"/>
    <w:rsid w:val="B0B735BE"/>
    <w:rsid w:val="BA7B23C6"/>
    <w:rsid w:val="BDFF0F22"/>
    <w:rsid w:val="D8D6DB89"/>
    <w:rsid w:val="DB6F4CAB"/>
    <w:rsid w:val="DE7F19D4"/>
    <w:rsid w:val="DF6F9789"/>
    <w:rsid w:val="E6ED88C9"/>
    <w:rsid w:val="E9F71EFB"/>
    <w:rsid w:val="EF769A74"/>
    <w:rsid w:val="EF9E5611"/>
    <w:rsid w:val="F76F8F19"/>
    <w:rsid w:val="FB466D89"/>
    <w:rsid w:val="FBD96CE5"/>
    <w:rsid w:val="FBED140E"/>
    <w:rsid w:val="FBFFE49B"/>
    <w:rsid w:val="FE734873"/>
    <w:rsid w:val="FEDFEC8A"/>
    <w:rsid w:val="FFBFAA88"/>
    <w:rsid w:val="FFF7DD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5">
    <w:name w:val="Default Paragraph Font"/>
    <w:semiHidden/>
    <w:qFormat/>
    <w:uiPriority w:val="99"/>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22"/>
    <w:qFormat/>
    <w:uiPriority w:val="99"/>
    <w:pPr>
      <w:ind w:firstLine="420" w:firstLineChars="200"/>
    </w:pPr>
  </w:style>
  <w:style w:type="paragraph" w:styleId="3">
    <w:name w:val="Body Text Indent"/>
    <w:basedOn w:val="1"/>
    <w:link w:val="21"/>
    <w:qFormat/>
    <w:uiPriority w:val="99"/>
    <w:pPr>
      <w:spacing w:after="120"/>
      <w:ind w:left="200" w:leftChars="200"/>
    </w:pPr>
    <w:rPr>
      <w:rFonts w:ascii="仿宋_GB2312"/>
      <w:szCs w:val="32"/>
    </w:rPr>
  </w:style>
  <w:style w:type="paragraph" w:styleId="7">
    <w:name w:val="Body Text"/>
    <w:basedOn w:val="1"/>
    <w:link w:val="30"/>
    <w:qFormat/>
    <w:uiPriority w:val="99"/>
    <w:pPr>
      <w:spacing w:beforeLines="30"/>
    </w:pPr>
    <w:rPr>
      <w:rFonts w:ascii="仿宋_GB2312" w:eastAsia="仿宋_GB2312"/>
      <w:kern w:val="0"/>
      <w:sz w:val="24"/>
      <w:szCs w:val="20"/>
    </w:rPr>
  </w:style>
  <w:style w:type="paragraph" w:styleId="8">
    <w:name w:val="toc 3"/>
    <w:basedOn w:val="1"/>
    <w:next w:val="1"/>
    <w:qFormat/>
    <w:uiPriority w:val="99"/>
    <w:pPr>
      <w:tabs>
        <w:tab w:val="right" w:leader="dot" w:pos="8296"/>
      </w:tabs>
      <w:ind w:left="840" w:leftChars="400"/>
    </w:pPr>
  </w:style>
  <w:style w:type="paragraph" w:styleId="9">
    <w:name w:val="Balloon Text"/>
    <w:basedOn w:val="1"/>
    <w:link w:val="24"/>
    <w:semiHidden/>
    <w:qFormat/>
    <w:uiPriority w:val="99"/>
    <w:rPr>
      <w:sz w:val="18"/>
      <w:szCs w:val="18"/>
    </w:rPr>
  </w:style>
  <w:style w:type="paragraph" w:styleId="10">
    <w:name w:val="footer"/>
    <w:basedOn w:val="1"/>
    <w:link w:val="29"/>
    <w:qFormat/>
    <w:uiPriority w:val="99"/>
    <w:pPr>
      <w:tabs>
        <w:tab w:val="center" w:pos="4153"/>
        <w:tab w:val="right" w:pos="8306"/>
      </w:tabs>
      <w:snapToGrid w:val="0"/>
      <w:jc w:val="left"/>
    </w:pPr>
    <w:rPr>
      <w:kern w:val="0"/>
      <w:sz w:val="18"/>
      <w:szCs w:val="20"/>
    </w:rPr>
  </w:style>
  <w:style w:type="paragraph" w:styleId="11">
    <w:name w:val="header"/>
    <w:basedOn w:val="1"/>
    <w:link w:val="28"/>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2">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3">
    <w:name w:val="toc 2"/>
    <w:basedOn w:val="1"/>
    <w:next w:val="1"/>
    <w:qFormat/>
    <w:uiPriority w:val="99"/>
    <w:pPr>
      <w:tabs>
        <w:tab w:val="right" w:leader="dot" w:pos="8296"/>
      </w:tabs>
      <w:ind w:left="420" w:leftChars="200"/>
    </w:pPr>
  </w:style>
  <w:style w:type="character" w:styleId="16">
    <w:name w:val="Strong"/>
    <w:basedOn w:val="15"/>
    <w:qFormat/>
    <w:uiPriority w:val="99"/>
    <w:rPr>
      <w:rFonts w:cs="Times New Roman"/>
      <w:b/>
    </w:rPr>
  </w:style>
  <w:style w:type="character" w:styleId="17">
    <w:name w:val="Hyperlink"/>
    <w:basedOn w:val="15"/>
    <w:qFormat/>
    <w:uiPriority w:val="99"/>
    <w:rPr>
      <w:rFonts w:cs="Times New Roman"/>
      <w:color w:val="0000FF"/>
      <w:u w:val="single"/>
    </w:rPr>
  </w:style>
  <w:style w:type="character" w:customStyle="1" w:styleId="18">
    <w:name w:val="Heading 1 Char"/>
    <w:basedOn w:val="15"/>
    <w:link w:val="4"/>
    <w:qFormat/>
    <w:locked/>
    <w:uiPriority w:val="99"/>
    <w:rPr>
      <w:rFonts w:ascii="Times New Roman" w:hAnsi="Times New Roman" w:cs="Times New Roman"/>
      <w:b/>
      <w:bCs/>
      <w:kern w:val="44"/>
      <w:sz w:val="44"/>
      <w:szCs w:val="44"/>
    </w:rPr>
  </w:style>
  <w:style w:type="character" w:customStyle="1" w:styleId="19">
    <w:name w:val="Heading 2 Char"/>
    <w:basedOn w:val="15"/>
    <w:link w:val="5"/>
    <w:qFormat/>
    <w:locked/>
    <w:uiPriority w:val="99"/>
    <w:rPr>
      <w:rFonts w:ascii="Cambria" w:hAnsi="Cambria" w:eastAsia="宋体" w:cs="Times New Roman"/>
      <w:b/>
      <w:bCs/>
      <w:kern w:val="2"/>
      <w:sz w:val="32"/>
      <w:szCs w:val="32"/>
    </w:rPr>
  </w:style>
  <w:style w:type="character" w:customStyle="1" w:styleId="20">
    <w:name w:val="Heading 3 Char"/>
    <w:basedOn w:val="15"/>
    <w:link w:val="6"/>
    <w:qFormat/>
    <w:locked/>
    <w:uiPriority w:val="99"/>
    <w:rPr>
      <w:rFonts w:ascii="Times New Roman" w:hAnsi="Times New Roman" w:cs="Times New Roman"/>
      <w:b/>
      <w:bCs/>
      <w:kern w:val="2"/>
      <w:sz w:val="32"/>
      <w:szCs w:val="32"/>
    </w:rPr>
  </w:style>
  <w:style w:type="character" w:customStyle="1" w:styleId="21">
    <w:name w:val="Body Text Indent Char"/>
    <w:basedOn w:val="15"/>
    <w:link w:val="3"/>
    <w:semiHidden/>
    <w:qFormat/>
    <w:uiPriority w:val="99"/>
    <w:rPr>
      <w:szCs w:val="24"/>
    </w:rPr>
  </w:style>
  <w:style w:type="character" w:customStyle="1" w:styleId="22">
    <w:name w:val="Body Text First Indent 2 Char"/>
    <w:basedOn w:val="21"/>
    <w:link w:val="2"/>
    <w:semiHidden/>
    <w:qFormat/>
    <w:uiPriority w:val="99"/>
  </w:style>
  <w:style w:type="character" w:customStyle="1" w:styleId="23">
    <w:name w:val="Body Text Char"/>
    <w:basedOn w:val="15"/>
    <w:link w:val="7"/>
    <w:semiHidden/>
    <w:qFormat/>
    <w:uiPriority w:val="99"/>
    <w:rPr>
      <w:rFonts w:ascii="Times New Roman" w:hAnsi="Times New Roman" w:cs="Times New Roman"/>
      <w:sz w:val="24"/>
      <w:szCs w:val="24"/>
    </w:rPr>
  </w:style>
  <w:style w:type="character" w:customStyle="1" w:styleId="24">
    <w:name w:val="Balloon Text Char"/>
    <w:basedOn w:val="15"/>
    <w:link w:val="9"/>
    <w:semiHidden/>
    <w:qFormat/>
    <w:locked/>
    <w:uiPriority w:val="99"/>
    <w:rPr>
      <w:rFonts w:ascii="Times New Roman" w:hAnsi="Times New Roman" w:cs="Times New Roman"/>
      <w:kern w:val="2"/>
      <w:sz w:val="18"/>
      <w:szCs w:val="18"/>
    </w:rPr>
  </w:style>
  <w:style w:type="character" w:customStyle="1" w:styleId="25">
    <w:name w:val="Footer Char"/>
    <w:basedOn w:val="15"/>
    <w:link w:val="10"/>
    <w:semiHidden/>
    <w:qFormat/>
    <w:uiPriority w:val="99"/>
    <w:rPr>
      <w:rFonts w:ascii="Times New Roman" w:hAnsi="Times New Roman" w:cs="Times New Roman"/>
      <w:sz w:val="18"/>
      <w:szCs w:val="18"/>
    </w:rPr>
  </w:style>
  <w:style w:type="character" w:customStyle="1" w:styleId="26">
    <w:name w:val="Header Char"/>
    <w:basedOn w:val="15"/>
    <w:link w:val="11"/>
    <w:semiHidden/>
    <w:qFormat/>
    <w:uiPriority w:val="99"/>
    <w:rPr>
      <w:rFonts w:ascii="Times New Roman" w:hAnsi="Times New Roman" w:cs="Times New Roman"/>
      <w:sz w:val="18"/>
      <w:szCs w:val="18"/>
    </w:rPr>
  </w:style>
  <w:style w:type="paragraph" w:customStyle="1" w:styleId="27">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8">
    <w:name w:val="Header Char1"/>
    <w:link w:val="11"/>
    <w:semiHidden/>
    <w:qFormat/>
    <w:locked/>
    <w:uiPriority w:val="99"/>
    <w:rPr>
      <w:sz w:val="18"/>
    </w:rPr>
  </w:style>
  <w:style w:type="character" w:customStyle="1" w:styleId="29">
    <w:name w:val="Footer Char1"/>
    <w:link w:val="10"/>
    <w:qFormat/>
    <w:locked/>
    <w:uiPriority w:val="99"/>
    <w:rPr>
      <w:sz w:val="18"/>
    </w:rPr>
  </w:style>
  <w:style w:type="character" w:customStyle="1" w:styleId="30">
    <w:name w:val="Body Text Char1"/>
    <w:link w:val="7"/>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32">
    <w:name w:val="List Paragraph"/>
    <w:basedOn w:val="1"/>
    <w:qFormat/>
    <w:uiPriority w:val="99"/>
    <w:pPr>
      <w:ind w:firstLine="420" w:firstLineChars="200"/>
    </w:pPr>
  </w:style>
  <w:style w:type="paragraph" w:customStyle="1" w:styleId="33">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4">
    <w:name w:val="TOC Heading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5">
    <w:name w:val="四号正文"/>
    <w:basedOn w:val="1"/>
    <w:qFormat/>
    <w:uiPriority w:val="99"/>
    <w:pPr>
      <w:spacing w:line="360" w:lineRule="auto"/>
    </w:pPr>
    <w:rPr>
      <w:rFonts w:ascii="??" w:hAnsi="??"/>
      <w:color w:val="000000"/>
      <w:kern w:val="0"/>
      <w:sz w:val="28"/>
      <w:szCs w:val="21"/>
      <w:lang w:val="zh-CN"/>
    </w:rPr>
  </w:style>
  <w:style w:type="paragraph" w:customStyle="1" w:styleId="36">
    <w:name w:val="图表目录1"/>
    <w:basedOn w:val="1"/>
    <w:next w:val="1"/>
    <w:qFormat/>
    <w:uiPriority w:val="99"/>
    <w:pPr>
      <w:ind w:left="200" w:leftChars="200" w:hanging="200" w:hangingChars="200"/>
    </w:pPr>
    <w:rPr>
      <w:rFonts w:eastAsia="仿宋"/>
    </w:rPr>
  </w:style>
  <w:style w:type="character" w:customStyle="1" w:styleId="37">
    <w:name w:val="font51"/>
    <w:basedOn w:val="15"/>
    <w:qFormat/>
    <w:uiPriority w:val="99"/>
    <w:rPr>
      <w:rFonts w:ascii="宋体" w:hAnsi="宋体" w:eastAsia="宋体" w:cs="宋体"/>
      <w:color w:val="000000"/>
      <w:sz w:val="18"/>
      <w:szCs w:val="18"/>
      <w:u w:val="none"/>
    </w:rPr>
  </w:style>
  <w:style w:type="character" w:customStyle="1" w:styleId="38">
    <w:name w:val="font41"/>
    <w:basedOn w:val="15"/>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Pages>45</Pages>
  <Words>15926</Words>
  <Characters>17002</Characters>
  <Lines>0</Lines>
  <Paragraphs>0</Paragraphs>
  <TotalTime>62</TotalTime>
  <ScaleCrop>false</ScaleCrop>
  <LinksUpToDate>false</LinksUpToDate>
  <CharactersWithSpaces>17030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2020-08-07T09:49:00Z</dcterms:created>
  <dc:creator>曹颖</dc:creator>
  <cp:lastModifiedBy>user</cp:lastModifiedBy>
  <cp:lastPrinted>2023-09-16T14:15:00Z</cp:lastPrinted>
  <dcterms:modified xsi:type="dcterms:W3CDTF">2023-10-08T10:12:59Z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262FFBDCC17B48AC87151E519EEFD25F</vt:lpwstr>
  </property>
</Properties>
</file>