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7425"/>
      <w:bookmarkStart w:id="3" w:name="_Toc15396475"/>
      <w:bookmarkStart w:id="4" w:name="_Toc15378441"/>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96598"/>
      <w:bookmarkStart w:id="8" w:name="_Toc15396476"/>
      <w:bookmarkStart w:id="9" w:name="_Toc15377194"/>
      <w:bookmarkStart w:id="10" w:name="_Toc15377426"/>
      <w:r>
        <w:rPr>
          <w:rFonts w:hint="eastAsia" w:ascii="方正小标宋简体" w:hAnsi="宋体" w:eastAsia="方正小标宋简体"/>
          <w:color w:val="000000"/>
          <w:sz w:val="72"/>
          <w:szCs w:val="72"/>
        </w:rPr>
        <w:t>广元市利州区</w:t>
      </w:r>
      <w:bookmarkEnd w:id="0"/>
      <w:bookmarkStart w:id="11" w:name="_Toc15306268"/>
      <w:r>
        <w:rPr>
          <w:rFonts w:hint="eastAsia" w:ascii="方正小标宋简体" w:hAnsi="宋体" w:eastAsia="方正小标宋简体"/>
          <w:color w:val="000000"/>
          <w:sz w:val="72"/>
          <w:szCs w:val="72"/>
        </w:rPr>
        <w:t>审计局</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Arial"/>
          <w:sz w:val="28"/>
          <w:szCs w:val="28"/>
        </w:rPr>
      </w:pPr>
    </w:p>
    <w:p>
      <w:pPr>
        <w:pStyle w:val="10"/>
      </w:pPr>
      <w:r>
        <w:rPr>
          <w:rFonts w:hint="eastAsia"/>
        </w:rPr>
        <w:t>公开时间：2020年9月3日</w:t>
      </w:r>
    </w:p>
    <w:p/>
    <w:p>
      <w:pPr>
        <w:pStyle w:val="10"/>
        <w:adjustRightInd w:val="0"/>
        <w:snapToGrid w:val="0"/>
        <w:spacing w:before="0" w:line="440" w:lineRule="exact"/>
        <w:jc w:val="left"/>
        <w:rPr>
          <w:rFonts w:cs="Arial"/>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right"/>
        <w:rPr>
          <w:rFonts w:ascii="仿宋" w:hAnsi="仿宋" w:eastAsia="仿宋"/>
          <w:sz w:val="24"/>
        </w:rPr>
      </w:pPr>
      <w:r>
        <w:rPr>
          <w:rFonts w:hint="eastAsia"/>
          <w:sz w:val="24"/>
        </w:rPr>
        <w:t>一、基本职能及主要工作</w:t>
      </w:r>
      <w:r>
        <w:rPr>
          <w:sz w:val="24"/>
        </w:rPr>
        <w:t>………………………………………………………</w:t>
      </w:r>
      <w:r>
        <w:rPr>
          <w:rFonts w:hint="eastAsia"/>
          <w:sz w:val="24"/>
        </w:rPr>
        <w:t>.1</w:t>
      </w:r>
    </w:p>
    <w:p>
      <w:pPr>
        <w:pStyle w:val="11"/>
        <w:adjustRightInd w:val="0"/>
        <w:snapToGrid w:val="0"/>
        <w:spacing w:line="440" w:lineRule="exact"/>
        <w:jc w:val="right"/>
        <w:rPr>
          <w:rFonts w:ascii="仿宋" w:hAnsi="仿宋" w:eastAsia="仿宋" w:cs="Arial"/>
          <w:sz w:val="24"/>
        </w:rPr>
      </w:pPr>
      <w:r>
        <w:rPr>
          <w:rFonts w:hint="eastAsia"/>
          <w:sz w:val="24"/>
        </w:rPr>
        <w:t>二、机构设置</w:t>
      </w:r>
      <w:r>
        <w:rPr>
          <w:sz w:val="24"/>
        </w:rPr>
        <w:t>……………………………………………………………………</w:t>
      </w:r>
      <w:r>
        <w:rPr>
          <w:rFonts w:hint="eastAsia"/>
          <w:sz w:val="24"/>
        </w:rPr>
        <w:t>.4</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right"/>
        <w:rPr>
          <w:rFonts w:ascii="仿宋" w:hAnsi="仿宋" w:eastAsia="仿宋" w:cs="Arial"/>
          <w:sz w:val="24"/>
        </w:rPr>
      </w:pPr>
      <w:r>
        <w:rPr>
          <w:rFonts w:hint="eastAsia"/>
          <w:sz w:val="24"/>
        </w:rPr>
        <w:t>一、收入支出决算总体情况说明</w:t>
      </w:r>
      <w:r>
        <w:rPr>
          <w:sz w:val="24"/>
        </w:rPr>
        <w:t>………………………………………………</w:t>
      </w:r>
      <w:r>
        <w:rPr>
          <w:rFonts w:hint="eastAsia"/>
          <w:sz w:val="24"/>
        </w:rPr>
        <w:t>.5</w:t>
      </w:r>
    </w:p>
    <w:p>
      <w:pPr>
        <w:pStyle w:val="11"/>
        <w:adjustRightInd w:val="0"/>
        <w:snapToGrid w:val="0"/>
        <w:spacing w:line="440" w:lineRule="exact"/>
        <w:jc w:val="right"/>
        <w:rPr>
          <w:rFonts w:ascii="仿宋" w:hAnsi="仿宋" w:eastAsia="仿宋" w:cs="Arial"/>
          <w:sz w:val="24"/>
        </w:rPr>
      </w:pPr>
      <w:r>
        <w:rPr>
          <w:rFonts w:hint="eastAsia"/>
          <w:sz w:val="24"/>
        </w:rPr>
        <w:t>二、收入决算情况说明</w:t>
      </w:r>
      <w:r>
        <w:rPr>
          <w:sz w:val="24"/>
        </w:rPr>
        <w:t>…………………………………………………………</w:t>
      </w:r>
      <w:r>
        <w:rPr>
          <w:rFonts w:hint="eastAsia"/>
          <w:sz w:val="24"/>
        </w:rPr>
        <w:t>..5</w:t>
      </w:r>
    </w:p>
    <w:p>
      <w:pPr>
        <w:pStyle w:val="11"/>
        <w:adjustRightInd w:val="0"/>
        <w:snapToGrid w:val="0"/>
        <w:spacing w:line="440" w:lineRule="exact"/>
        <w:jc w:val="right"/>
        <w:rPr>
          <w:rFonts w:ascii="仿宋" w:hAnsi="仿宋" w:eastAsia="仿宋" w:cs="Arial"/>
          <w:sz w:val="24"/>
        </w:rPr>
      </w:pPr>
      <w:r>
        <w:rPr>
          <w:rFonts w:hint="eastAsia"/>
          <w:sz w:val="24"/>
        </w:rPr>
        <w:t>三、支出决算情况说明</w:t>
      </w:r>
      <w:r>
        <w:rPr>
          <w:sz w:val="24"/>
        </w:rPr>
        <w:t>…………………………………………………………</w:t>
      </w:r>
      <w:r>
        <w:rPr>
          <w:rFonts w:hint="eastAsia"/>
          <w:sz w:val="24"/>
        </w:rPr>
        <w:t>.6</w:t>
      </w:r>
    </w:p>
    <w:p>
      <w:pPr>
        <w:pStyle w:val="11"/>
        <w:adjustRightInd w:val="0"/>
        <w:snapToGrid w:val="0"/>
        <w:spacing w:line="440" w:lineRule="exact"/>
        <w:jc w:val="left"/>
        <w:rPr>
          <w:rFonts w:ascii="仿宋" w:hAnsi="仿宋" w:eastAsia="仿宋" w:cs="Arial"/>
          <w:sz w:val="24"/>
        </w:rPr>
      </w:pPr>
      <w:r>
        <w:rPr>
          <w:rFonts w:hint="eastAsia"/>
          <w:sz w:val="24"/>
        </w:rPr>
        <w:t>四、财政拨款收入支出决算总体情况说明</w:t>
      </w:r>
      <w:r>
        <w:rPr>
          <w:sz w:val="24"/>
        </w:rPr>
        <w:t>……………………………………</w:t>
      </w:r>
      <w:r>
        <w:rPr>
          <w:rFonts w:hint="eastAsia"/>
          <w:sz w:val="24"/>
        </w:rPr>
        <w:t>.7</w:t>
      </w:r>
    </w:p>
    <w:p>
      <w:pPr>
        <w:pStyle w:val="11"/>
        <w:adjustRightInd w:val="0"/>
        <w:snapToGrid w:val="0"/>
        <w:spacing w:line="440" w:lineRule="exact"/>
        <w:jc w:val="left"/>
        <w:rPr>
          <w:rFonts w:ascii="仿宋" w:hAnsi="仿宋" w:eastAsia="仿宋" w:cs="Arial"/>
          <w:sz w:val="24"/>
        </w:rPr>
      </w:pPr>
      <w:r>
        <w:rPr>
          <w:rFonts w:hint="eastAsia"/>
          <w:sz w:val="24"/>
        </w:rPr>
        <w:t>五、一般公共预算财政拨款支出决算情况说明</w:t>
      </w:r>
      <w:r>
        <w:rPr>
          <w:sz w:val="24"/>
        </w:rPr>
        <w:t>………………………………</w:t>
      </w:r>
      <w:r>
        <w:rPr>
          <w:rFonts w:hint="eastAsia"/>
          <w:sz w:val="24"/>
        </w:rPr>
        <w:t>.7</w:t>
      </w:r>
    </w:p>
    <w:p>
      <w:pPr>
        <w:pStyle w:val="11"/>
        <w:adjustRightInd w:val="0"/>
        <w:snapToGrid w:val="0"/>
        <w:spacing w:line="440" w:lineRule="exact"/>
        <w:jc w:val="left"/>
        <w:rPr>
          <w:rFonts w:ascii="仿宋" w:hAnsi="仿宋" w:eastAsia="仿宋" w:cs="Arial"/>
          <w:sz w:val="24"/>
        </w:rPr>
      </w:pPr>
      <w:r>
        <w:rPr>
          <w:rFonts w:hint="eastAsia"/>
          <w:sz w:val="24"/>
        </w:rPr>
        <w:t>六、一般公共预算财政拨款基本支出决算情况说明</w:t>
      </w:r>
      <w:r>
        <w:rPr>
          <w:sz w:val="24"/>
        </w:rPr>
        <w:t>…………………………</w:t>
      </w:r>
      <w:r>
        <w:rPr>
          <w:rFonts w:hint="eastAsia"/>
          <w:sz w:val="24"/>
        </w:rPr>
        <w:t xml:space="preserve"> </w:t>
      </w:r>
      <w:r>
        <w:rPr>
          <w:sz w:val="24"/>
        </w:rPr>
        <w:t>9</w:t>
      </w:r>
    </w:p>
    <w:p>
      <w:pPr>
        <w:pStyle w:val="11"/>
        <w:adjustRightInd w:val="0"/>
        <w:snapToGrid w:val="0"/>
        <w:spacing w:line="440" w:lineRule="exact"/>
        <w:jc w:val="left"/>
        <w:rPr>
          <w:rFonts w:ascii="仿宋" w:hAnsi="仿宋" w:eastAsia="仿宋" w:cs="Arial"/>
          <w:sz w:val="24"/>
        </w:rPr>
      </w:pPr>
      <w:r>
        <w:rPr>
          <w:rFonts w:hint="eastAsia"/>
          <w:sz w:val="24"/>
        </w:rPr>
        <w:t>七、</w:t>
      </w:r>
      <w:r>
        <w:rPr>
          <w:sz w:val="24"/>
        </w:rPr>
        <w:t>“</w:t>
      </w:r>
      <w:r>
        <w:rPr>
          <w:rFonts w:hint="eastAsia"/>
          <w:sz w:val="24"/>
        </w:rPr>
        <w:t>三公”经费财政拨款支出决算情况说明</w:t>
      </w:r>
      <w:r>
        <w:rPr>
          <w:sz w:val="24"/>
        </w:rPr>
        <w:t>…</w:t>
      </w:r>
      <w:r>
        <w:rPr>
          <w:rFonts w:hint="eastAsia"/>
          <w:sz w:val="24"/>
        </w:rPr>
        <w:t xml:space="preserve">  </w:t>
      </w:r>
      <w:r>
        <w:rPr>
          <w:sz w:val="24"/>
        </w:rPr>
        <w:t>……………………………</w:t>
      </w:r>
      <w:r>
        <w:rPr>
          <w:rFonts w:hint="eastAsia"/>
          <w:sz w:val="24"/>
        </w:rPr>
        <w:t>10</w:t>
      </w:r>
    </w:p>
    <w:p>
      <w:pPr>
        <w:pStyle w:val="11"/>
        <w:adjustRightInd w:val="0"/>
        <w:snapToGrid w:val="0"/>
        <w:spacing w:line="440" w:lineRule="exact"/>
        <w:jc w:val="left"/>
        <w:rPr>
          <w:rFonts w:ascii="仿宋" w:hAnsi="仿宋" w:eastAsia="仿宋" w:cs="Arial"/>
          <w:sz w:val="24"/>
        </w:rPr>
      </w:pPr>
      <w:r>
        <w:rPr>
          <w:rFonts w:hint="eastAsia"/>
          <w:sz w:val="24"/>
        </w:rPr>
        <w:t>八、政府性基金预算支出决算情况说明</w:t>
      </w:r>
      <w:r>
        <w:rPr>
          <w:sz w:val="24"/>
        </w:rPr>
        <w:t>………………………………………</w:t>
      </w:r>
      <w:r>
        <w:rPr>
          <w:rFonts w:hint="eastAsia"/>
          <w:sz w:val="24"/>
        </w:rPr>
        <w:t>.12</w:t>
      </w:r>
    </w:p>
    <w:p>
      <w:pPr>
        <w:pStyle w:val="11"/>
        <w:adjustRightInd w:val="0"/>
        <w:snapToGrid w:val="0"/>
        <w:spacing w:line="440" w:lineRule="exact"/>
        <w:ind w:left="420"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有资本经营预算支出决算情况说明----------------------------------------.12</w:t>
      </w:r>
    </w:p>
    <w:p>
      <w:pPr>
        <w:adjustRightInd w:val="0"/>
        <w:snapToGrid w:val="0"/>
        <w:spacing w:line="440" w:lineRule="exact"/>
        <w:ind w:firstLine="480" w:firstLineChars="200"/>
        <w:jc w:val="right"/>
        <w:rPr>
          <w:rFonts w:ascii="仿宋" w:hAnsi="仿宋" w:eastAsia="仿宋" w:cs="Arial"/>
          <w:sz w:val="24"/>
        </w:rPr>
      </w:pPr>
      <w:r>
        <w:rPr>
          <w:rStyle w:val="15"/>
          <w:rFonts w:hint="eastAsia" w:ascii="仿宋" w:hAnsi="仿宋" w:eastAsia="仿宋"/>
          <w:color w:val="000000"/>
          <w:sz w:val="24"/>
          <w:u w:val="none"/>
        </w:rPr>
        <w:t>十、</w:t>
      </w:r>
      <w:r>
        <w:rPr>
          <w:rFonts w:hint="eastAsia"/>
          <w:sz w:val="24"/>
        </w:rPr>
        <w:t>其他重要事项的情况说明</w:t>
      </w:r>
      <w:r>
        <w:rPr>
          <w:rFonts w:ascii="仿宋" w:hAnsi="仿宋" w:eastAsia="仿宋"/>
          <w:sz w:val="24"/>
        </w:rPr>
        <w:tab/>
      </w:r>
      <w:r>
        <w:rPr>
          <w:rFonts w:ascii="仿宋" w:hAnsi="仿宋" w:eastAsia="仿宋"/>
          <w:sz w:val="24"/>
        </w:rPr>
        <w:t>……………………………………………</w:t>
      </w:r>
      <w:r>
        <w:rPr>
          <w:rFonts w:hint="eastAsia" w:ascii="仿宋" w:hAnsi="仿宋" w:eastAsia="仿宋"/>
          <w:sz w:val="24"/>
        </w:rPr>
        <w:t>12</w:t>
      </w:r>
    </w:p>
    <w:p>
      <w:pPr>
        <w:pStyle w:val="10"/>
        <w:adjustRightInd w:val="0"/>
        <w:snapToGrid w:val="0"/>
        <w:spacing w:before="0" w:line="440" w:lineRule="exact"/>
        <w:jc w:val="left"/>
        <w:rPr>
          <w:rFonts w:cs="Arial"/>
          <w:sz w:val="24"/>
          <w:szCs w:val="24"/>
        </w:rPr>
      </w:pPr>
      <w:r>
        <w:rPr>
          <w:rFonts w:hint="eastAsia"/>
          <w:sz w:val="24"/>
        </w:rPr>
        <w:t>第三部分</w:t>
      </w:r>
      <w:r>
        <w:rPr>
          <w:sz w:val="24"/>
        </w:rPr>
        <w:t xml:space="preserve"> </w:t>
      </w:r>
      <w:r>
        <w:rPr>
          <w:rFonts w:hint="eastAsia"/>
          <w:sz w:val="24"/>
        </w:rPr>
        <w:t>名词解释</w:t>
      </w:r>
      <w:r>
        <w:rPr>
          <w:sz w:val="24"/>
        </w:rPr>
        <w:t>………………………………………………………………</w:t>
      </w:r>
      <w:r>
        <w:rPr>
          <w:rFonts w:hint="eastAsia"/>
          <w:sz w:val="24"/>
        </w:rPr>
        <w:t>..20</w:t>
      </w:r>
    </w:p>
    <w:p>
      <w:pPr>
        <w:pStyle w:val="10"/>
        <w:adjustRightInd w:val="0"/>
        <w:snapToGrid w:val="0"/>
        <w:spacing w:before="0" w:line="440" w:lineRule="exact"/>
        <w:jc w:val="left"/>
        <w:rPr>
          <w:rFonts w:cs="Arial"/>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Arial"/>
          <w:sz w:val="24"/>
        </w:rPr>
      </w:pPr>
      <w:r>
        <w:rPr>
          <w:rFonts w:hint="eastAsia"/>
          <w:sz w:val="24"/>
        </w:rPr>
        <w:t>附件</w:t>
      </w:r>
      <w:r>
        <w:rPr>
          <w:sz w:val="24"/>
        </w:rPr>
        <w:t>1…………………………………………………………………………</w:t>
      </w:r>
      <w:r>
        <w:rPr>
          <w:rFonts w:hint="eastAsia"/>
          <w:sz w:val="24"/>
        </w:rPr>
        <w:t>..</w:t>
      </w:r>
      <w:r>
        <w:rPr>
          <w:sz w:val="24"/>
        </w:rPr>
        <w:t>22</w:t>
      </w:r>
    </w:p>
    <w:p>
      <w:pPr>
        <w:pStyle w:val="11"/>
        <w:adjustRightInd w:val="0"/>
        <w:snapToGrid w:val="0"/>
        <w:spacing w:line="440" w:lineRule="exact"/>
        <w:jc w:val="left"/>
        <w:rPr>
          <w:rFonts w:ascii="仿宋" w:hAnsi="仿宋" w:eastAsia="仿宋" w:cs="Arial"/>
          <w:sz w:val="24"/>
        </w:rPr>
      </w:pPr>
      <w:r>
        <w:rPr>
          <w:rFonts w:hint="eastAsia"/>
          <w:sz w:val="24"/>
        </w:rPr>
        <w:t>附件</w:t>
      </w:r>
      <w:r>
        <w:rPr>
          <w:sz w:val="24"/>
        </w:rPr>
        <w:t xml:space="preserve">2……………………………………………………………………… </w:t>
      </w:r>
      <w:r>
        <w:rPr>
          <w:rFonts w:hint="eastAsia"/>
          <w:sz w:val="24"/>
        </w:rPr>
        <w:t xml:space="preserve">  27</w:t>
      </w:r>
    </w:p>
    <w:p>
      <w:pPr>
        <w:pStyle w:val="10"/>
        <w:adjustRightInd w:val="0"/>
        <w:snapToGrid w:val="0"/>
        <w:spacing w:before="0" w:line="440" w:lineRule="exact"/>
        <w:jc w:val="left"/>
        <w:rPr>
          <w:rFonts w:cs="Arial"/>
          <w:sz w:val="24"/>
          <w:szCs w:val="24"/>
        </w:rPr>
      </w:pPr>
      <w:r>
        <w:rPr>
          <w:rFonts w:hint="eastAsia"/>
          <w:sz w:val="24"/>
        </w:rPr>
        <w:t>第五部分</w:t>
      </w:r>
      <w:r>
        <w:rPr>
          <w:sz w:val="24"/>
        </w:rPr>
        <w:t xml:space="preserve"> </w:t>
      </w:r>
      <w:r>
        <w:rPr>
          <w:rFonts w:hint="eastAsia"/>
          <w:sz w:val="24"/>
        </w:rPr>
        <w:t>附表</w:t>
      </w:r>
      <w:r>
        <w:rPr>
          <w:sz w:val="24"/>
        </w:rPr>
        <w:t>……………………………………………………………………</w:t>
      </w:r>
      <w:r>
        <w:rPr>
          <w:rFonts w:hint="eastAsia"/>
          <w:sz w:val="24"/>
        </w:rPr>
        <w:t>.38</w:t>
      </w:r>
    </w:p>
    <w:p>
      <w:pPr>
        <w:pStyle w:val="11"/>
        <w:adjustRightInd w:val="0"/>
        <w:snapToGrid w:val="0"/>
        <w:spacing w:line="440" w:lineRule="exact"/>
        <w:jc w:val="left"/>
        <w:rPr>
          <w:rFonts w:ascii="仿宋" w:hAnsi="仿宋" w:eastAsia="仿宋" w:cs="Arial"/>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Arial"/>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Arial"/>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Arial"/>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Arial"/>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Arial"/>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Arial"/>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Arial"/>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Arial"/>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Arial"/>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Arial"/>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Arial"/>
          <w:sz w:val="24"/>
        </w:rPr>
      </w:pPr>
      <w:r>
        <w:rPr>
          <w:rFonts w:hint="eastAsia" w:ascii="仿宋" w:hAnsi="仿宋" w:eastAsia="仿宋"/>
          <w:sz w:val="24"/>
        </w:rPr>
        <w:t>十三、</w:t>
      </w:r>
      <w:r>
        <w:rPr>
          <w:rFonts w:hint="eastAsia"/>
          <w:sz w:val="24"/>
        </w:rPr>
        <w:t>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p>
    <w:p>
      <w:pPr>
        <w:pStyle w:val="2"/>
        <w:jc w:val="center"/>
        <w:rPr>
          <w:rStyle w:val="16"/>
          <w:rFonts w:ascii="黑体" w:hAnsi="黑体" w:eastAsia="黑体"/>
          <w:b/>
          <w:bCs w:val="0"/>
        </w:rPr>
      </w:pPr>
      <w:bookmarkStart w:id="12" w:name="_Toc15396599"/>
      <w:bookmarkStart w:id="13" w:name="_Toc15377196"/>
      <w:r>
        <w:rPr>
          <w:rFonts w:hint="eastAsia" w:ascii="黑体" w:hAnsi="黑体" w:eastAsia="黑体"/>
          <w:b w:val="0"/>
        </w:rPr>
        <w:t xml:space="preserve">第一部分 </w:t>
      </w:r>
      <w:r>
        <w:rPr>
          <w:rStyle w:val="16"/>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17"/>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17"/>
          <w:rFonts w:hint="eastAsia" w:ascii="黑体" w:hAnsi="黑体" w:eastAsia="黑体"/>
          <w:b w:val="0"/>
          <w:bCs w:val="0"/>
        </w:rPr>
        <w:t>本职能及主要工作</w:t>
      </w:r>
      <w:bookmarkEnd w:id="14"/>
      <w:bookmarkEnd w:id="15"/>
    </w:p>
    <w:p>
      <w:pPr>
        <w:pStyle w:val="5"/>
        <w:adjustRightInd w:val="0"/>
        <w:snapToGrid w:val="0"/>
        <w:spacing w:before="93" w:beforeLines="0" w:line="600" w:lineRule="exact"/>
        <w:ind w:firstLine="668" w:firstLineChars="209"/>
        <w:outlineLvl w:val="2"/>
        <w:rPr>
          <w:rStyle w:val="17"/>
          <w:rFonts w:ascii="黑体" w:hAnsi="黑体" w:eastAsia="黑体"/>
        </w:rPr>
      </w:pPr>
      <w:bookmarkStart w:id="16" w:name="_Toc15377199"/>
      <w:bookmarkStart w:id="17" w:name="_Toc15378446"/>
      <w:r>
        <w:rPr>
          <w:rFonts w:hint="eastAsia" w:ascii="仿宋" w:hAnsi="仿宋" w:eastAsia="仿宋"/>
          <w:bCs/>
          <w:color w:val="000000"/>
          <w:sz w:val="32"/>
          <w:szCs w:val="32"/>
        </w:rPr>
        <w:t>（一）</w:t>
      </w:r>
      <w:r>
        <w:rPr>
          <w:rFonts w:hint="eastAsia" w:ascii="黑体" w:hAnsi="黑体" w:eastAsia="黑体"/>
          <w:color w:val="000000"/>
        </w:rPr>
        <w:t>基</w:t>
      </w:r>
      <w:r>
        <w:rPr>
          <w:rStyle w:val="17"/>
          <w:rFonts w:hint="eastAsia" w:ascii="黑体" w:hAnsi="黑体" w:eastAsia="黑体"/>
        </w:rPr>
        <w:t>本职能</w:t>
      </w:r>
    </w:p>
    <w:p>
      <w:pPr>
        <w:pStyle w:val="5"/>
        <w:adjustRightInd w:val="0"/>
        <w:snapToGrid w:val="0"/>
        <w:spacing w:before="93" w:beforeLines="0" w:line="600" w:lineRule="exact"/>
        <w:ind w:firstLine="671" w:firstLineChars="209"/>
        <w:outlineLvl w:val="2"/>
        <w:rPr>
          <w:rFonts w:ascii="仿宋" w:hAnsi="仿宋" w:eastAsia="仿宋"/>
          <w:bCs/>
          <w:color w:val="000000"/>
          <w:sz w:val="32"/>
          <w:szCs w:val="32"/>
        </w:rPr>
      </w:pPr>
      <w:r>
        <w:rPr>
          <w:rStyle w:val="17"/>
          <w:rFonts w:hint="eastAsia" w:ascii="黑体" w:hAnsi="黑体" w:eastAsia="黑体"/>
        </w:rPr>
        <w:t>1.</w:t>
      </w:r>
      <w:r>
        <w:rPr>
          <w:rFonts w:hint="eastAsia" w:ascii="仿宋" w:hAnsi="仿宋" w:eastAsia="仿宋"/>
          <w:bCs/>
          <w:color w:val="000000"/>
          <w:sz w:val="32"/>
          <w:szCs w:val="32"/>
        </w:rPr>
        <w:t>主管全区审计工作。负责对区级财政收支和法律法规规定属于审计监督范围的财务收支的真实、合法和效益进行审计监督，对公共资金、国有资产、国有资源和领导干部履行经济责任情况实行审计全覆盖，对领导干部实行自然资源资产离任(任中)审计，对国家、省、市、区有关重大政策措施贯彻落实情况进行跟踪审计。对审计、专项审计调查和核查社会审计机构相关审计报告的结果承担责任，并负有督促被审计单位整改的责任。</w:t>
      </w:r>
    </w:p>
    <w:p>
      <w:pPr>
        <w:pStyle w:val="5"/>
        <w:adjustRightInd w:val="0"/>
        <w:snapToGrid w:val="0"/>
        <w:spacing w:before="93" w:beforeLines="0" w:line="600" w:lineRule="exact"/>
        <w:ind w:firstLine="668" w:firstLineChars="209"/>
        <w:outlineLvl w:val="2"/>
        <w:rPr>
          <w:rFonts w:ascii="仿宋" w:hAnsi="仿宋" w:eastAsia="仿宋"/>
          <w:bCs/>
          <w:color w:val="000000"/>
          <w:sz w:val="32"/>
          <w:szCs w:val="32"/>
        </w:rPr>
      </w:pPr>
      <w:r>
        <w:rPr>
          <w:rFonts w:hint="eastAsia" w:ascii="仿宋" w:hAnsi="仿宋" w:eastAsia="仿宋"/>
          <w:bCs/>
          <w:color w:val="000000"/>
          <w:sz w:val="32"/>
          <w:szCs w:val="32"/>
        </w:rPr>
        <w:t>2.贯彻执行国家有关审计工作的方针政策和法律法规。拟订全区审计规范性文件，负责本系统、本部门依法行政工作。制定并组织实施全区专业领域审计工作规划。对直接审计、调查和核查的事项依法进行审计评价，作出审计决定或提出审计建议。</w:t>
      </w:r>
    </w:p>
    <w:p>
      <w:pPr>
        <w:pStyle w:val="5"/>
        <w:adjustRightInd w:val="0"/>
        <w:snapToGrid w:val="0"/>
        <w:spacing w:before="93" w:beforeLines="0" w:line="600" w:lineRule="exact"/>
        <w:ind w:firstLine="668" w:firstLineChars="209"/>
        <w:outlineLvl w:val="2"/>
        <w:rPr>
          <w:rFonts w:ascii="仿宋" w:hAnsi="仿宋" w:eastAsia="仿宋"/>
          <w:bCs/>
          <w:color w:val="000000"/>
          <w:sz w:val="32"/>
          <w:szCs w:val="32"/>
        </w:rPr>
      </w:pPr>
      <w:r>
        <w:rPr>
          <w:rFonts w:hint="eastAsia" w:ascii="仿宋" w:hAnsi="仿宋" w:eastAsia="仿宋"/>
          <w:bCs/>
          <w:color w:val="000000"/>
          <w:sz w:val="32"/>
          <w:szCs w:val="32"/>
        </w:rPr>
        <w:t>3.向区委审计委员会提出年度区级预算执行和其他财政支出情况审计报告。向区政府和市审计局提出年度区级预算执行和其他财政收支情况的审计结果报告。受区政府委托向区人大常委会提出区级预算执行和其他财政收支情况的审计工作报告、审计查出问题整改情况报告。向区委、区政府报告对其他事项的审计和专项审计调查情况及结果。依法向社会公布审计结果。向区直有关部门和乡镇党委、政府，街道党工委、办事处通报审计情况和审计结果。</w:t>
      </w:r>
    </w:p>
    <w:p>
      <w:pPr>
        <w:pStyle w:val="5"/>
        <w:adjustRightInd w:val="0"/>
        <w:snapToGrid w:val="0"/>
        <w:spacing w:before="93" w:beforeLines="0" w:line="600" w:lineRule="exact"/>
        <w:ind w:firstLine="668" w:firstLineChars="209"/>
        <w:outlineLvl w:val="2"/>
        <w:rPr>
          <w:rFonts w:ascii="仿宋" w:hAnsi="仿宋" w:eastAsia="仿宋"/>
          <w:bCs/>
          <w:color w:val="000000"/>
          <w:sz w:val="32"/>
          <w:szCs w:val="32"/>
        </w:rPr>
      </w:pPr>
      <w:r>
        <w:rPr>
          <w:rFonts w:hint="eastAsia" w:ascii="仿宋" w:hAnsi="仿宋" w:eastAsia="仿宋"/>
          <w:bCs/>
          <w:color w:val="000000"/>
          <w:sz w:val="32"/>
          <w:szCs w:val="32"/>
        </w:rPr>
        <w:t>4.直接审计下列事项，出具审计报告，在法定职权范围内作出审计决定，包括国家、省、市、区有关重大政策措施贯彻落实情况；区级预算执行情况和其他财政收支，区直各部门（含直属单位）预算执行情况、决算草案和其他财政收支；乡镇（街道）预算执行情况、财政决算和其他财政收支；使用区级财政资金的事业单位（含直属单位）和社会团体的财务收支；区级政府投资和以区级政府投资为主的建设项目的预算执行情况和决算，区级重大公共工程项目的资金管理使用和建设运营情况；自然资源管理、污染防治和生态保护与修复情况；区属国有企业、国有资本占控股或主导地位的企业境内外资产、负债和损益；有关社会保障基金、社会捐赠资金、安全生产和职业健康财政资金以及其他基金、资金的财务收支；法律法规规定的其他事项。</w:t>
      </w:r>
    </w:p>
    <w:p>
      <w:pPr>
        <w:pStyle w:val="5"/>
        <w:adjustRightInd w:val="0"/>
        <w:snapToGrid w:val="0"/>
        <w:spacing w:before="93" w:beforeLines="0" w:line="600" w:lineRule="exact"/>
        <w:ind w:firstLine="668" w:firstLineChars="209"/>
        <w:outlineLvl w:val="2"/>
        <w:rPr>
          <w:rFonts w:ascii="仿宋" w:hAnsi="仿宋" w:eastAsia="仿宋"/>
          <w:bCs/>
          <w:color w:val="000000"/>
          <w:sz w:val="32"/>
          <w:szCs w:val="32"/>
        </w:rPr>
      </w:pPr>
      <w:r>
        <w:rPr>
          <w:rFonts w:hint="eastAsia" w:ascii="仿宋" w:hAnsi="仿宋" w:eastAsia="仿宋"/>
          <w:bCs/>
          <w:color w:val="000000"/>
          <w:sz w:val="32"/>
          <w:szCs w:val="32"/>
        </w:rPr>
        <w:t>5.按规定对区管党政主要领导干部及其他单位主要负责人实施经济责任审计和自然资源资产离任(任中)审计。</w:t>
      </w:r>
    </w:p>
    <w:p>
      <w:pPr>
        <w:pStyle w:val="5"/>
        <w:adjustRightInd w:val="0"/>
        <w:snapToGrid w:val="0"/>
        <w:spacing w:before="93" w:beforeLines="0" w:line="600" w:lineRule="exact"/>
        <w:ind w:firstLine="668" w:firstLineChars="209"/>
        <w:outlineLvl w:val="2"/>
        <w:rPr>
          <w:rFonts w:ascii="仿宋" w:hAnsi="仿宋" w:eastAsia="仿宋"/>
          <w:bCs/>
          <w:color w:val="000000"/>
          <w:sz w:val="32"/>
          <w:szCs w:val="32"/>
        </w:rPr>
      </w:pPr>
      <w:r>
        <w:rPr>
          <w:rFonts w:hint="eastAsia" w:ascii="仿宋" w:hAnsi="仿宋" w:eastAsia="仿宋"/>
          <w:bCs/>
          <w:color w:val="000000"/>
          <w:sz w:val="32"/>
          <w:szCs w:val="32"/>
        </w:rPr>
        <w:t>6.组织实施对国家财经法律法规、规章、政策和宏观调控措施执行情况、财政预算管理及国有资产管理使用等与区级财政收支有关的特定事项进行专项审计调查。</w:t>
      </w:r>
    </w:p>
    <w:p>
      <w:pPr>
        <w:pStyle w:val="5"/>
        <w:adjustRightInd w:val="0"/>
        <w:snapToGrid w:val="0"/>
        <w:spacing w:before="93" w:beforeLines="0" w:line="600" w:lineRule="exact"/>
        <w:ind w:firstLine="668" w:firstLineChars="209"/>
        <w:outlineLvl w:val="2"/>
        <w:rPr>
          <w:rFonts w:ascii="仿宋" w:hAnsi="仿宋" w:eastAsia="仿宋"/>
          <w:bCs/>
          <w:color w:val="000000"/>
          <w:sz w:val="32"/>
          <w:szCs w:val="32"/>
        </w:rPr>
      </w:pPr>
      <w:r>
        <w:rPr>
          <w:rFonts w:hint="eastAsia" w:ascii="仿宋" w:hAnsi="仿宋" w:eastAsia="仿宋"/>
          <w:bCs/>
          <w:color w:val="000000"/>
          <w:sz w:val="32"/>
          <w:szCs w:val="32"/>
        </w:rPr>
        <w:t>7.依法检查审计决定执行情况，督促整改审计查出的问题，依法办理被审计单位对审计决定提请行政复议、行政诉讼或区政府裁决中的有关事项，协助配合有关部门查处相关重大案件。</w:t>
      </w:r>
    </w:p>
    <w:p>
      <w:pPr>
        <w:pStyle w:val="5"/>
        <w:adjustRightInd w:val="0"/>
        <w:snapToGrid w:val="0"/>
        <w:spacing w:before="93" w:beforeLines="0" w:line="600" w:lineRule="exact"/>
        <w:ind w:firstLine="668" w:firstLineChars="209"/>
        <w:outlineLvl w:val="2"/>
        <w:rPr>
          <w:rFonts w:ascii="仿宋" w:hAnsi="仿宋" w:eastAsia="仿宋"/>
          <w:bCs/>
          <w:color w:val="000000"/>
          <w:sz w:val="32"/>
          <w:szCs w:val="32"/>
        </w:rPr>
      </w:pPr>
      <w:r>
        <w:rPr>
          <w:rFonts w:hint="eastAsia" w:ascii="仿宋" w:hAnsi="仿宋" w:eastAsia="仿宋"/>
          <w:bCs/>
          <w:color w:val="000000"/>
          <w:sz w:val="32"/>
          <w:szCs w:val="32"/>
        </w:rPr>
        <w:t>8.指导和监督内部审计工作，核查社会审计机构对依法属于审计监督对象的单位出具的相关审计报告。</w:t>
      </w:r>
    </w:p>
    <w:p>
      <w:pPr>
        <w:pStyle w:val="5"/>
        <w:adjustRightInd w:val="0"/>
        <w:snapToGrid w:val="0"/>
        <w:spacing w:before="93" w:beforeLines="0" w:line="600" w:lineRule="exact"/>
        <w:ind w:firstLine="668" w:firstLineChars="209"/>
        <w:outlineLvl w:val="2"/>
        <w:rPr>
          <w:rFonts w:ascii="仿宋" w:hAnsi="仿宋" w:eastAsia="仿宋"/>
          <w:bCs/>
          <w:color w:val="000000"/>
          <w:sz w:val="32"/>
          <w:szCs w:val="32"/>
        </w:rPr>
      </w:pPr>
      <w:r>
        <w:rPr>
          <w:rFonts w:hint="eastAsia" w:ascii="仿宋" w:hAnsi="仿宋" w:eastAsia="仿宋"/>
          <w:bCs/>
          <w:color w:val="000000"/>
          <w:sz w:val="32"/>
          <w:szCs w:val="32"/>
        </w:rPr>
        <w:t>9.依法组织开展国际组织和外国政府援助、贷款项目审计。</w:t>
      </w:r>
    </w:p>
    <w:p>
      <w:pPr>
        <w:pStyle w:val="5"/>
        <w:adjustRightInd w:val="0"/>
        <w:snapToGrid w:val="0"/>
        <w:spacing w:before="93" w:beforeLines="0" w:line="600" w:lineRule="exact"/>
        <w:ind w:firstLine="668" w:firstLineChars="209"/>
        <w:outlineLvl w:val="2"/>
        <w:rPr>
          <w:rFonts w:ascii="仿宋" w:hAnsi="仿宋" w:eastAsia="仿宋"/>
          <w:bCs/>
          <w:color w:val="000000"/>
          <w:sz w:val="32"/>
          <w:szCs w:val="32"/>
        </w:rPr>
      </w:pPr>
      <w:r>
        <w:rPr>
          <w:rFonts w:hint="eastAsia" w:ascii="仿宋" w:hAnsi="仿宋" w:eastAsia="仿宋"/>
          <w:bCs/>
          <w:color w:val="000000"/>
          <w:sz w:val="32"/>
          <w:szCs w:val="32"/>
        </w:rPr>
        <w:t>10.组织开展信息技术在审计领域的应用。</w:t>
      </w:r>
    </w:p>
    <w:p>
      <w:pPr>
        <w:pStyle w:val="5"/>
        <w:adjustRightInd w:val="0"/>
        <w:snapToGrid w:val="0"/>
        <w:spacing w:before="93" w:beforeLines="0" w:line="600" w:lineRule="exact"/>
        <w:ind w:firstLine="668" w:firstLineChars="209"/>
        <w:outlineLvl w:val="2"/>
        <w:rPr>
          <w:rFonts w:ascii="仿宋" w:hAnsi="仿宋" w:eastAsia="仿宋"/>
          <w:bCs/>
          <w:color w:val="000000"/>
          <w:sz w:val="32"/>
          <w:szCs w:val="32"/>
        </w:rPr>
      </w:pPr>
      <w:r>
        <w:rPr>
          <w:rFonts w:hint="eastAsia" w:ascii="仿宋" w:hAnsi="仿宋" w:eastAsia="仿宋"/>
          <w:bCs/>
          <w:color w:val="000000"/>
          <w:sz w:val="32"/>
          <w:szCs w:val="32"/>
        </w:rPr>
        <w:t>11.负责职责范围内的安全生产和职业健康、生态环境保护、审批服务便民化等工作。</w:t>
      </w:r>
    </w:p>
    <w:p>
      <w:pPr>
        <w:spacing w:line="576" w:lineRule="exact"/>
        <w:ind w:firstLine="640" w:firstLineChars="200"/>
        <w:outlineLvl w:val="1"/>
        <w:rPr>
          <w:rFonts w:ascii="仿宋" w:hAnsi="仿宋" w:eastAsia="仿宋"/>
          <w:bCs/>
          <w:color w:val="000000"/>
          <w:kern w:val="0"/>
          <w:sz w:val="32"/>
          <w:szCs w:val="32"/>
        </w:rPr>
      </w:pPr>
      <w:r>
        <w:rPr>
          <w:rFonts w:hint="eastAsia" w:ascii="仿宋" w:hAnsi="仿宋" w:eastAsia="仿宋"/>
          <w:bCs/>
          <w:color w:val="000000"/>
          <w:kern w:val="0"/>
          <w:sz w:val="32"/>
          <w:szCs w:val="32"/>
        </w:rPr>
        <w:t>12.完成区委、区政府交办的其他任务。</w:t>
      </w:r>
    </w:p>
    <w:p>
      <w:pPr>
        <w:spacing w:line="576" w:lineRule="exact"/>
        <w:ind w:firstLine="640" w:firstLineChars="200"/>
        <w:rPr>
          <w:rFonts w:ascii="仿宋" w:hAnsi="仿宋" w:eastAsia="仿宋"/>
          <w:sz w:val="32"/>
          <w:szCs w:val="32"/>
        </w:rPr>
      </w:pPr>
      <w:r>
        <w:rPr>
          <w:rFonts w:hint="eastAsia" w:ascii="仿宋" w:hAnsi="仿宋" w:eastAsia="仿宋"/>
          <w:bCs/>
          <w:color w:val="000000"/>
          <w:sz w:val="32"/>
          <w:szCs w:val="32"/>
        </w:rPr>
        <w:t>（二）2019年主要工作完成情况：</w:t>
      </w:r>
      <w:r>
        <w:rPr>
          <w:rFonts w:hint="eastAsia" w:ascii="仿宋" w:hAnsi="仿宋" w:eastAsia="仿宋"/>
          <w:sz w:val="32"/>
          <w:szCs w:val="32"/>
        </w:rPr>
        <w:t>全年完成审计项目128个。其中：计划内项目17个，交办项目111个（政府投资项目82个），审计监督资金132.73亿元，查处违规资金246.67万元，管理不规范资金5.06亿元，收缴财政入库117万元，归还原渠道资金469万元，节省财政支出3055.17万元，提出审计建议并采纳155条，促进被审计单位建章立制15项，报送《审计报告》《审计建议》《审计要情》《审计专报》等27份，受到区委区政府主要领导批示，批示率达95%。移送问题线索8件。2019年8月被省审计厅、省人社厅表彰为“四川省审计系统先进集体”。</w:t>
      </w:r>
    </w:p>
    <w:p>
      <w:pPr>
        <w:pStyle w:val="5"/>
        <w:adjustRightInd w:val="0"/>
        <w:snapToGrid w:val="0"/>
        <w:spacing w:before="93" w:beforeLines="0" w:line="600" w:lineRule="exact"/>
        <w:ind w:firstLine="668" w:firstLineChars="209"/>
        <w:outlineLvl w:val="2"/>
        <w:rPr>
          <w:rFonts w:ascii="仿宋" w:hAnsi="仿宋" w:eastAsia="仿宋"/>
          <w:bCs/>
          <w:color w:val="000000"/>
          <w:sz w:val="32"/>
          <w:szCs w:val="32"/>
        </w:rPr>
      </w:pPr>
    </w:p>
    <w:bookmarkEnd w:id="16"/>
    <w:bookmarkEnd w:id="17"/>
    <w:p>
      <w:pPr>
        <w:pStyle w:val="3"/>
        <w:rPr>
          <w:rStyle w:val="17"/>
          <w:b w:val="0"/>
          <w:bCs w:val="0"/>
        </w:rPr>
      </w:pPr>
      <w:bookmarkStart w:id="18" w:name="_Toc15396601"/>
      <w:bookmarkStart w:id="19" w:name="_Toc15377200"/>
      <w:r>
        <w:rPr>
          <w:rFonts w:hint="eastAsia" w:ascii="黑体" w:eastAsia="黑体"/>
          <w:b w:val="0"/>
          <w:color w:val="000000"/>
        </w:rPr>
        <w:t>二、</w:t>
      </w:r>
      <w:r>
        <w:rPr>
          <w:rFonts w:hint="eastAsia" w:ascii="黑体" w:hAnsi="黑体" w:eastAsia="黑体"/>
          <w:b w:val="0"/>
          <w:color w:val="000000"/>
        </w:rPr>
        <w:t>机</w:t>
      </w:r>
      <w:r>
        <w:rPr>
          <w:rStyle w:val="17"/>
          <w:rFonts w:hint="eastAsia" w:ascii="黑体" w:hAnsi="黑体" w:eastAsia="黑体"/>
          <w:b w:val="0"/>
          <w:bCs w:val="0"/>
        </w:rPr>
        <w:t>构设置</w:t>
      </w:r>
      <w:bookmarkEnd w:id="18"/>
      <w:bookmarkEnd w:id="19"/>
    </w:p>
    <w:p>
      <w:pPr>
        <w:pStyle w:val="22"/>
        <w:numPr>
          <w:ilvl w:val="0"/>
          <w:numId w:val="1"/>
        </w:numPr>
        <w:spacing w:line="576" w:lineRule="exact"/>
        <w:ind w:firstLineChars="0"/>
        <w:rPr>
          <w:rFonts w:ascii="仿宋" w:hAnsi="仿宋" w:eastAsia="仿宋"/>
          <w:sz w:val="28"/>
          <w:szCs w:val="28"/>
        </w:rPr>
      </w:pPr>
      <w:bookmarkStart w:id="20" w:name="_Toc15377201"/>
      <w:bookmarkStart w:id="21" w:name="_Toc15378448"/>
      <w:bookmarkStart w:id="22" w:name="_Toc15377432"/>
      <w:bookmarkStart w:id="23" w:name="_Toc15306275"/>
      <w:r>
        <w:rPr>
          <w:rFonts w:hint="eastAsia" w:ascii="仿宋" w:hAnsi="仿宋" w:eastAsia="仿宋"/>
          <w:sz w:val="28"/>
          <w:szCs w:val="28"/>
        </w:rPr>
        <w:t>广元市利州区审计局下属二级单位0个，其中行政单位0个，参照公务员法管理的事业单位0个，其他事业单位0个。</w:t>
      </w:r>
    </w:p>
    <w:p>
      <w:pPr>
        <w:pStyle w:val="5"/>
        <w:numPr>
          <w:ilvl w:val="0"/>
          <w:numId w:val="1"/>
        </w:numPr>
        <w:adjustRightInd w:val="0"/>
        <w:snapToGrid w:val="0"/>
        <w:spacing w:before="93" w:beforeLines="0" w:line="576" w:lineRule="exact"/>
        <w:rPr>
          <w:rFonts w:ascii="仿宋" w:hAnsi="仿宋" w:eastAsia="仿宋"/>
          <w:kern w:val="2"/>
          <w:sz w:val="28"/>
          <w:szCs w:val="28"/>
        </w:rPr>
      </w:pPr>
      <w:r>
        <w:rPr>
          <w:rFonts w:hint="eastAsia" w:ascii="仿宋" w:hAnsi="仿宋" w:eastAsia="仿宋"/>
          <w:kern w:val="2"/>
          <w:sz w:val="28"/>
          <w:szCs w:val="28"/>
        </w:rPr>
        <w:t>纳入广元市利州区审计局2019年度部门决算编制范围的二级预算单位0个。</w:t>
      </w:r>
    </w:p>
    <w:p>
      <w:pPr>
        <w:pStyle w:val="22"/>
        <w:numPr>
          <w:ilvl w:val="0"/>
          <w:numId w:val="1"/>
        </w:numPr>
        <w:spacing w:line="576" w:lineRule="exact"/>
        <w:ind w:firstLineChars="0"/>
        <w:rPr>
          <w:rFonts w:ascii="仿宋" w:hAnsi="仿宋" w:eastAsia="仿宋"/>
          <w:sz w:val="28"/>
          <w:szCs w:val="28"/>
        </w:rPr>
      </w:pPr>
      <w:r>
        <w:rPr>
          <w:rFonts w:hint="eastAsia" w:ascii="仿宋" w:hAnsi="仿宋" w:eastAsia="仿宋"/>
          <w:sz w:val="28"/>
          <w:szCs w:val="28"/>
        </w:rPr>
        <w:t>2019年末实有人数29人，其中：公务员10人、参公3人、机关工勤3人、全额事业人员13人。</w:t>
      </w:r>
      <w:bookmarkEnd w:id="20"/>
      <w:bookmarkEnd w:id="21"/>
      <w:bookmarkEnd w:id="22"/>
      <w:bookmarkEnd w:id="23"/>
    </w:p>
    <w:p>
      <w:pPr>
        <w:pStyle w:val="22"/>
        <w:numPr>
          <w:ilvl w:val="0"/>
          <w:numId w:val="1"/>
        </w:numPr>
        <w:spacing w:line="576" w:lineRule="exact"/>
        <w:ind w:firstLineChars="0"/>
        <w:rPr>
          <w:rFonts w:ascii="仿宋" w:hAnsi="仿宋" w:eastAsia="仿宋"/>
          <w:sz w:val="28"/>
          <w:szCs w:val="28"/>
        </w:rPr>
      </w:pPr>
      <w:r>
        <w:rPr>
          <w:rFonts w:ascii="仿宋" w:hAnsi="仿宋" w:eastAsia="仿宋"/>
          <w:color w:val="000000"/>
          <w:sz w:val="32"/>
          <w:szCs w:val="32"/>
        </w:rPr>
        <w:br w:type="page"/>
      </w:r>
    </w:p>
    <w:p>
      <w:pPr>
        <w:pStyle w:val="2"/>
        <w:ind w:right="440"/>
        <w:jc w:val="right"/>
        <w:rPr>
          <w:rStyle w:val="16"/>
          <w:rFonts w:ascii="黑体" w:hAnsi="黑体" w:eastAsia="黑体"/>
          <w:b w:val="0"/>
          <w:bCs w:val="0"/>
        </w:rPr>
      </w:pPr>
      <w:bookmarkStart w:id="24" w:name="_Toc15377204"/>
      <w:bookmarkStart w:id="25"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16"/>
          <w:rFonts w:hint="eastAsia" w:ascii="黑体" w:hAnsi="黑体" w:eastAsia="黑体"/>
          <w:b w:val="0"/>
          <w:bCs w:val="0"/>
        </w:rPr>
        <w:t>2019年度部门决算情况说明</w:t>
      </w:r>
      <w:bookmarkEnd w:id="24"/>
      <w:bookmarkEnd w:id="25"/>
    </w:p>
    <w:p/>
    <w:p>
      <w:pPr>
        <w:pStyle w:val="22"/>
        <w:numPr>
          <w:ilvl w:val="0"/>
          <w:numId w:val="2"/>
        </w:numPr>
        <w:spacing w:line="600" w:lineRule="exact"/>
        <w:ind w:firstLineChars="0"/>
        <w:outlineLvl w:val="1"/>
        <w:rPr>
          <w:rStyle w:val="17"/>
          <w:rFonts w:ascii="黑体" w:hAnsi="黑体" w:eastAsia="黑体"/>
          <w:b w:val="0"/>
        </w:rPr>
      </w:pPr>
      <w:bookmarkStart w:id="26" w:name="_Toc15377205"/>
      <w:bookmarkStart w:id="27" w:name="_Toc15396603"/>
      <w:r>
        <w:rPr>
          <w:rFonts w:hint="eastAsia" w:ascii="黑体" w:hAnsi="黑体" w:eastAsia="黑体"/>
          <w:color w:val="000000"/>
          <w:sz w:val="32"/>
          <w:szCs w:val="32"/>
        </w:rPr>
        <w:t>收</w:t>
      </w:r>
      <w:r>
        <w:rPr>
          <w:rStyle w:val="17"/>
          <w:rFonts w:hint="eastAsia" w:ascii="黑体" w:hAnsi="黑体" w:eastAsia="黑体"/>
          <w:b w:val="0"/>
        </w:rPr>
        <w:t>入支出决算总体情况说明</w:t>
      </w:r>
      <w:bookmarkEnd w:id="26"/>
      <w:bookmarkEnd w:id="27"/>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入542.77万元，支出541.95万元。与2018年相比，收入增加了0.82万元、支出增加了45.02万元，收入、支出各增长0.15%、9.06%。收入增加的主要原因是人员调资增加预算收入，支出增加的原因是2018年临聘人员绩效工资在2019年考核完成后支付。</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1024" behindDoc="0" locked="0" layoutInCell="1" allowOverlap="1">
            <wp:simplePos x="0" y="0"/>
            <wp:positionH relativeFrom="column">
              <wp:posOffset>161925</wp:posOffset>
            </wp:positionH>
            <wp:positionV relativeFrom="paragraph">
              <wp:posOffset>267970</wp:posOffset>
            </wp:positionV>
            <wp:extent cx="5274310" cy="3076575"/>
            <wp:effectExtent l="0" t="0" r="0" b="0"/>
            <wp:wrapNone/>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jc w:val="left"/>
        <w:rPr>
          <w:rFonts w:ascii="仿宋_GB2312" w:eastAsia="仿宋_GB2312"/>
          <w:color w:val="000000"/>
          <w:sz w:val="32"/>
          <w:szCs w:val="32"/>
        </w:rPr>
      </w:pPr>
    </w:p>
    <w:p>
      <w:pPr>
        <w:spacing w:line="600" w:lineRule="exact"/>
        <w:ind w:left="640"/>
        <w:outlineLvl w:val="1"/>
        <w:rPr>
          <w:rFonts w:ascii="黑体" w:hAnsi="黑体" w:eastAsia="黑体" w:cs="Times New Roman"/>
          <w:bCs/>
          <w:sz w:val="32"/>
          <w:szCs w:val="32"/>
        </w:rPr>
      </w:pPr>
      <w:bookmarkStart w:id="28" w:name="_Toc15396604"/>
      <w:bookmarkStart w:id="29" w:name="_Toc15377206"/>
    </w:p>
    <w:p>
      <w:pPr>
        <w:spacing w:line="600" w:lineRule="exact"/>
        <w:ind w:left="640"/>
        <w:outlineLvl w:val="1"/>
        <w:rPr>
          <w:rFonts w:ascii="黑体" w:hAnsi="黑体" w:eastAsia="黑体" w:cs="Times New Roman"/>
          <w:bCs/>
          <w:sz w:val="32"/>
          <w:szCs w:val="32"/>
        </w:rPr>
      </w:pPr>
    </w:p>
    <w:p>
      <w:pPr>
        <w:spacing w:line="600" w:lineRule="exact"/>
        <w:ind w:left="640"/>
        <w:outlineLvl w:val="1"/>
        <w:rPr>
          <w:rFonts w:ascii="黑体" w:hAnsi="黑体" w:eastAsia="黑体" w:cs="Times New Roman"/>
          <w:bCs/>
          <w:sz w:val="32"/>
          <w:szCs w:val="32"/>
        </w:rPr>
      </w:pPr>
    </w:p>
    <w:p>
      <w:pPr>
        <w:spacing w:line="600" w:lineRule="exact"/>
        <w:ind w:left="640"/>
        <w:outlineLvl w:val="1"/>
        <w:rPr>
          <w:rFonts w:ascii="黑体" w:hAnsi="黑体" w:eastAsia="黑体" w:cs="Times New Roman"/>
          <w:bCs/>
          <w:sz w:val="32"/>
          <w:szCs w:val="32"/>
        </w:rPr>
      </w:pPr>
    </w:p>
    <w:p>
      <w:pPr>
        <w:spacing w:line="600" w:lineRule="exact"/>
        <w:ind w:left="640"/>
        <w:outlineLvl w:val="1"/>
        <w:rPr>
          <w:rFonts w:ascii="黑体" w:hAnsi="黑体" w:eastAsia="黑体" w:cs="Times New Roman"/>
          <w:bCs/>
          <w:sz w:val="32"/>
          <w:szCs w:val="32"/>
        </w:rPr>
      </w:pPr>
    </w:p>
    <w:p>
      <w:pPr>
        <w:spacing w:line="600" w:lineRule="exact"/>
        <w:ind w:left="640"/>
        <w:outlineLvl w:val="1"/>
        <w:rPr>
          <w:rFonts w:ascii="黑体" w:hAnsi="黑体" w:eastAsia="黑体" w:cs="Times New Roman"/>
          <w:bCs/>
          <w:sz w:val="32"/>
          <w:szCs w:val="32"/>
        </w:rPr>
      </w:pPr>
    </w:p>
    <w:p>
      <w:pPr>
        <w:pStyle w:val="22"/>
        <w:spacing w:line="600" w:lineRule="exact"/>
        <w:ind w:left="1360" w:firstLine="0" w:firstLineChars="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Style w:val="17"/>
          <w:rFonts w:ascii="黑体" w:hAnsi="黑体" w:eastAsia="黑体"/>
          <w:b w:val="0"/>
        </w:rPr>
      </w:pPr>
      <w:r>
        <w:rPr>
          <w:rFonts w:hint="eastAsia" w:ascii="黑体" w:hAnsi="黑体" w:eastAsia="黑体"/>
          <w:color w:val="000000"/>
          <w:sz w:val="32"/>
          <w:szCs w:val="32"/>
        </w:rPr>
        <w:t>二、收</w:t>
      </w:r>
      <w:r>
        <w:rPr>
          <w:rStyle w:val="17"/>
          <w:rFonts w:hint="eastAsia" w:ascii="黑体" w:hAnsi="黑体" w:eastAsia="黑体"/>
          <w:b w:val="0"/>
        </w:rPr>
        <w:t>入决算情况说明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9年本年收入合计542.77万元，其中：一般公共预算财政拨款收入542.23万元，占99.9</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；上级补助收入0万元，占0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；其他收入0.54万元，占0.01</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（图2：收入决算结构图）（饼状图）</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1024" behindDoc="0" locked="0" layoutInCell="1" allowOverlap="1">
            <wp:simplePos x="0" y="0"/>
            <wp:positionH relativeFrom="column">
              <wp:posOffset>190500</wp:posOffset>
            </wp:positionH>
            <wp:positionV relativeFrom="paragraph">
              <wp:posOffset>276225</wp:posOffset>
            </wp:positionV>
            <wp:extent cx="5276850" cy="2295525"/>
            <wp:effectExtent l="0" t="0" r="0" b="0"/>
            <wp:wrapNone/>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left="640"/>
        <w:outlineLvl w:val="1"/>
        <w:rPr>
          <w:rStyle w:val="17"/>
          <w:rFonts w:ascii="黑体" w:hAnsi="黑体" w:eastAsia="黑体"/>
          <w:b w:val="0"/>
        </w:rPr>
      </w:pPr>
      <w:bookmarkStart w:id="30" w:name="_Toc15396605"/>
      <w:bookmarkStart w:id="31" w:name="_Toc15377207"/>
      <w:r>
        <w:rPr>
          <w:rFonts w:hint="eastAsia" w:ascii="黑体" w:hAnsi="黑体" w:eastAsia="黑体"/>
          <w:color w:val="000000"/>
          <w:sz w:val="32"/>
          <w:szCs w:val="32"/>
        </w:rPr>
        <w:t>三、支</w:t>
      </w:r>
      <w:r>
        <w:rPr>
          <w:rStyle w:val="17"/>
          <w:rFonts w:hint="eastAsia" w:ascii="黑体" w:hAnsi="黑体" w:eastAsia="黑体"/>
          <w:b w:val="0"/>
        </w:rPr>
        <w:t>出决算情况说明</w:t>
      </w:r>
      <w:bookmarkEnd w:id="30"/>
      <w:bookmarkEnd w:id="31"/>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9年本年支出合计541.95万元，其中：基本支出505.4万元，占93.26</w:t>
      </w:r>
      <w:r>
        <w:rPr>
          <w:rFonts w:ascii="仿宋" w:hAnsi="仿宋" w:eastAsia="仿宋"/>
          <w:color w:val="000000"/>
          <w:sz w:val="32"/>
          <w:szCs w:val="32"/>
        </w:rPr>
        <w:t>%</w:t>
      </w:r>
      <w:r>
        <w:rPr>
          <w:rFonts w:hint="eastAsia" w:ascii="仿宋" w:hAnsi="仿宋" w:eastAsia="仿宋"/>
          <w:color w:val="000000"/>
          <w:sz w:val="32"/>
          <w:szCs w:val="32"/>
        </w:rPr>
        <w:t>；项目支出36.56万元，占6.74</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（图3：支出决算结构图）（饼状图）</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1024" behindDoc="0" locked="0" layoutInCell="1" allowOverlap="1">
            <wp:simplePos x="0" y="0"/>
            <wp:positionH relativeFrom="column">
              <wp:posOffset>-38100</wp:posOffset>
            </wp:positionH>
            <wp:positionV relativeFrom="paragraph">
              <wp:posOffset>285750</wp:posOffset>
            </wp:positionV>
            <wp:extent cx="5276850" cy="2076450"/>
            <wp:effectExtent l="0" t="0" r="0" b="0"/>
            <wp:wrapNone/>
            <wp:docPr id="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17"/>
          <w:rFonts w:ascii="黑体" w:hAnsi="黑体" w:eastAsia="黑体"/>
          <w:b w:val="0"/>
        </w:rPr>
      </w:pPr>
      <w:bookmarkStart w:id="32" w:name="_Toc15377208"/>
      <w:bookmarkStart w:id="33" w:name="_Toc15396606"/>
      <w:r>
        <w:rPr>
          <w:rFonts w:hint="eastAsia" w:ascii="黑体" w:hAnsi="黑体" w:eastAsia="黑体"/>
          <w:color w:val="000000"/>
          <w:sz w:val="32"/>
          <w:szCs w:val="32"/>
        </w:rPr>
        <w:t>四、财</w:t>
      </w:r>
      <w:r>
        <w:rPr>
          <w:rStyle w:val="17"/>
          <w:rFonts w:hint="eastAsia" w:ascii="黑体" w:hAnsi="黑体" w:eastAsia="黑体"/>
          <w:b w:val="0"/>
        </w:rPr>
        <w:t>政拨款收入支出决算总体情况说明</w:t>
      </w:r>
      <w:bookmarkEnd w:id="32"/>
      <w:bookmarkEnd w:id="3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9年财政拨款收入542.23万元、支出541.42万元。。与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8年相比，财政拨款收、支各增加11.65万元、44.95万元，增长2.2</w:t>
      </w:r>
      <w:r>
        <w:rPr>
          <w:rFonts w:ascii="仿宋" w:hAnsi="仿宋" w:eastAsia="仿宋"/>
          <w:color w:val="000000"/>
          <w:sz w:val="32"/>
          <w:szCs w:val="32"/>
        </w:rPr>
        <w:t>%</w:t>
      </w:r>
      <w:r>
        <w:rPr>
          <w:rFonts w:hint="eastAsia" w:ascii="仿宋" w:hAnsi="仿宋" w:eastAsia="仿宋"/>
          <w:color w:val="000000"/>
          <w:sz w:val="32"/>
          <w:szCs w:val="32"/>
        </w:rPr>
        <w:t>、9.05%。收入增加的主要原因是人员调资增加预算收入，支出增加的原因是2018年临聘人员绩效工资在2019年考核完成后支付。</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（图4：财政拨款收、支决算总计变动情况）（柱状图）</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1024" behindDoc="0" locked="0" layoutInCell="1" allowOverlap="1">
            <wp:simplePos x="0" y="0"/>
            <wp:positionH relativeFrom="column">
              <wp:posOffset>123825</wp:posOffset>
            </wp:positionH>
            <wp:positionV relativeFrom="paragraph">
              <wp:posOffset>323850</wp:posOffset>
            </wp:positionV>
            <wp:extent cx="5274310" cy="3076575"/>
            <wp:effectExtent l="0" t="0" r="0" b="0"/>
            <wp:wrapNone/>
            <wp:docPr id="4"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Fonts w:ascii="黑体" w:hAnsi="黑体" w:eastAsia="黑体"/>
          <w:color w:val="000000"/>
          <w:sz w:val="32"/>
          <w:szCs w:val="32"/>
        </w:rPr>
      </w:pPr>
      <w:bookmarkStart w:id="34" w:name="_Toc15396607"/>
      <w:bookmarkStart w:id="35" w:name="_Toc15377209"/>
    </w:p>
    <w:p>
      <w:pPr>
        <w:spacing w:line="600" w:lineRule="exact"/>
        <w:ind w:firstLine="640" w:firstLineChars="200"/>
        <w:outlineLvl w:val="1"/>
        <w:rPr>
          <w:rStyle w:val="17"/>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7"/>
          <w:rFonts w:hint="eastAsia" w:ascii="黑体" w:hAnsi="黑体" w:eastAsia="黑体"/>
          <w:b w:val="0"/>
        </w:rPr>
        <w:t>般公共预算财政拨款支出决算情况说明</w:t>
      </w:r>
      <w:bookmarkEnd w:id="34"/>
      <w:bookmarkEnd w:id="35"/>
    </w:p>
    <w:p>
      <w:pPr>
        <w:spacing w:line="600" w:lineRule="exact"/>
        <w:ind w:firstLine="642" w:firstLineChars="200"/>
        <w:outlineLvl w:val="2"/>
        <w:rPr>
          <w:rFonts w:ascii="仿宋" w:hAnsi="仿宋" w:eastAsia="仿宋"/>
          <w:b/>
          <w:color w:val="000000"/>
          <w:sz w:val="32"/>
          <w:szCs w:val="32"/>
        </w:rPr>
      </w:pPr>
      <w:bookmarkStart w:id="36" w:name="_Toc15377210"/>
      <w:r>
        <w:rPr>
          <w:rFonts w:hint="eastAsia" w:ascii="仿宋" w:hAnsi="仿宋" w:eastAsia="仿宋"/>
          <w:b/>
          <w:color w:val="000000"/>
          <w:sz w:val="32"/>
          <w:szCs w:val="32"/>
        </w:rPr>
        <w:t>（一）一般公共预算财政拨款支出决算总体情况</w:t>
      </w:r>
      <w:bookmarkEnd w:id="36"/>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9年一般公共预算财政拨款支出541.42万元，占本年支出合计的99.9</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8年相比，一般公共预算财政拨款增加44.95万元，增长9.05</w:t>
      </w:r>
      <w:r>
        <w:rPr>
          <w:rFonts w:ascii="仿宋" w:hAnsi="仿宋" w:eastAsia="仿宋"/>
          <w:color w:val="000000"/>
          <w:sz w:val="32"/>
          <w:szCs w:val="32"/>
        </w:rPr>
        <w:t>%</w:t>
      </w:r>
      <w:r>
        <w:rPr>
          <w:rFonts w:hint="eastAsia" w:ascii="仿宋" w:hAnsi="仿宋" w:eastAsia="仿宋"/>
          <w:color w:val="000000"/>
          <w:sz w:val="32"/>
          <w:szCs w:val="32"/>
        </w:rPr>
        <w:t>。支出增加的原因是2018年临聘人员绩效工资在2019年考核完成后支付。</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（图5：一般公共预算财政拨款支出决算变动情况）（柱状图）</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1024" behindDoc="0" locked="0" layoutInCell="1" allowOverlap="1">
            <wp:simplePos x="0" y="0"/>
            <wp:positionH relativeFrom="column">
              <wp:posOffset>28575</wp:posOffset>
            </wp:positionH>
            <wp:positionV relativeFrom="paragraph">
              <wp:posOffset>66675</wp:posOffset>
            </wp:positionV>
            <wp:extent cx="5276850" cy="2143125"/>
            <wp:effectExtent l="0" t="0" r="0" b="0"/>
            <wp:wrapNone/>
            <wp:docPr id="5"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7" w:name="_Toc15377211"/>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7"/>
    </w:p>
    <w:p>
      <w:pPr>
        <w:spacing w:line="576" w:lineRule="exact"/>
        <w:ind w:firstLine="640" w:firstLineChars="200"/>
        <w:rPr>
          <w:rFonts w:ascii="仿宋" w:hAnsi="仿宋" w:eastAsia="仿宋"/>
          <w:sz w:val="28"/>
          <w:szCs w:val="28"/>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9年一般公共预算财政拨款支出541.42万元，主要用于以下方面</w:t>
      </w:r>
      <w:r>
        <w:rPr>
          <w:rFonts w:ascii="仿宋" w:hAnsi="仿宋" w:eastAsia="仿宋"/>
          <w:color w:val="000000"/>
          <w:sz w:val="32"/>
          <w:szCs w:val="32"/>
        </w:rPr>
        <w:t>:</w:t>
      </w:r>
      <w:r>
        <w:rPr>
          <w:rFonts w:hint="eastAsia" w:ascii="仿宋" w:hAnsi="仿宋" w:eastAsia="仿宋"/>
          <w:sz w:val="28"/>
          <w:szCs w:val="28"/>
        </w:rPr>
        <w:t xml:space="preserve"> 一般公共服务201（类）支出464.54万元，占85.8</w:t>
      </w:r>
      <w:r>
        <w:rPr>
          <w:rFonts w:ascii="仿宋" w:hAnsi="仿宋" w:eastAsia="仿宋"/>
          <w:sz w:val="28"/>
          <w:szCs w:val="28"/>
        </w:rPr>
        <w:t>%</w:t>
      </w:r>
      <w:r>
        <w:rPr>
          <w:rFonts w:hint="eastAsia" w:ascii="仿宋" w:hAnsi="仿宋" w:eastAsia="仿宋"/>
          <w:sz w:val="28"/>
          <w:szCs w:val="28"/>
        </w:rPr>
        <w:t>；社会保障和就业支出208（类）35.58万元，占6.57</w:t>
      </w:r>
      <w:r>
        <w:rPr>
          <w:rFonts w:ascii="仿宋" w:hAnsi="仿宋" w:eastAsia="仿宋"/>
          <w:sz w:val="28"/>
          <w:szCs w:val="28"/>
        </w:rPr>
        <w:t>%</w:t>
      </w:r>
      <w:r>
        <w:rPr>
          <w:rFonts w:hint="eastAsia" w:ascii="仿宋" w:hAnsi="仿宋" w:eastAsia="仿宋"/>
          <w:sz w:val="28"/>
          <w:szCs w:val="28"/>
        </w:rPr>
        <w:t>；医疗卫生与计划生育支出210（类）支出14.94万元，占2.76</w:t>
      </w:r>
      <w:r>
        <w:rPr>
          <w:rFonts w:ascii="仿宋" w:hAnsi="仿宋" w:eastAsia="仿宋"/>
          <w:sz w:val="28"/>
          <w:szCs w:val="28"/>
        </w:rPr>
        <w:t>%</w:t>
      </w:r>
      <w:r>
        <w:rPr>
          <w:rFonts w:hint="eastAsia" w:ascii="仿宋" w:hAnsi="仿宋" w:eastAsia="仿宋"/>
          <w:sz w:val="28"/>
          <w:szCs w:val="28"/>
        </w:rPr>
        <w:t>；农林水支出213（类）支出3.81万元，占0.7</w:t>
      </w:r>
      <w:r>
        <w:rPr>
          <w:rFonts w:ascii="仿宋" w:hAnsi="仿宋" w:eastAsia="仿宋"/>
          <w:sz w:val="28"/>
          <w:szCs w:val="28"/>
        </w:rPr>
        <w:t>%</w:t>
      </w:r>
      <w:r>
        <w:rPr>
          <w:rFonts w:hint="eastAsia" w:ascii="仿宋" w:hAnsi="仿宋" w:eastAsia="仿宋"/>
          <w:sz w:val="28"/>
          <w:szCs w:val="28"/>
        </w:rPr>
        <w:t>；住房保障支出221（类）22.55万元，占4.16</w:t>
      </w:r>
      <w:r>
        <w:rPr>
          <w:rFonts w:ascii="仿宋" w:hAnsi="仿宋" w:eastAsia="仿宋"/>
          <w:sz w:val="28"/>
          <w:szCs w:val="28"/>
        </w:rPr>
        <w:t>%</w:t>
      </w:r>
      <w:r>
        <w:rPr>
          <w:rFonts w:hint="eastAsia" w:ascii="仿宋" w:hAnsi="仿宋" w:eastAsia="仿宋"/>
          <w:sz w:val="28"/>
          <w:szCs w:val="28"/>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1024" behindDoc="0" locked="0" layoutInCell="1" allowOverlap="1">
            <wp:simplePos x="0" y="0"/>
            <wp:positionH relativeFrom="column">
              <wp:posOffset>28575</wp:posOffset>
            </wp:positionH>
            <wp:positionV relativeFrom="paragraph">
              <wp:posOffset>91440</wp:posOffset>
            </wp:positionV>
            <wp:extent cx="5229225" cy="2343150"/>
            <wp:effectExtent l="0" t="0" r="0" b="0"/>
            <wp:wrapNone/>
            <wp:docPr id="6"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8" w:name="_Toc15377212"/>
    </w:p>
    <w:p>
      <w:pPr>
        <w:spacing w:line="600" w:lineRule="exact"/>
        <w:ind w:firstLine="642" w:firstLineChars="200"/>
        <w:outlineLvl w:val="2"/>
        <w:rPr>
          <w:rFonts w:ascii="仿宋" w:hAnsi="仿宋" w:eastAsia="仿宋"/>
          <w:b/>
          <w:color w:val="000000"/>
          <w:sz w:val="32"/>
          <w:szCs w:val="32"/>
        </w:rPr>
      </w:pPr>
    </w:p>
    <w:p>
      <w:pPr>
        <w:spacing w:line="600" w:lineRule="exact"/>
        <w:ind w:firstLine="642" w:firstLineChars="200"/>
        <w:outlineLvl w:val="2"/>
        <w:rPr>
          <w:rFonts w:ascii="仿宋" w:hAnsi="仿宋" w:eastAsia="仿宋"/>
          <w:b/>
          <w:color w:val="000000"/>
          <w:sz w:val="32"/>
          <w:szCs w:val="32"/>
        </w:rPr>
      </w:pPr>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8"/>
    </w:p>
    <w:p>
      <w:pPr>
        <w:spacing w:line="600" w:lineRule="exact"/>
        <w:ind w:firstLine="642" w:firstLineChars="200"/>
        <w:outlineLvl w:val="2"/>
        <w:rPr>
          <w:rFonts w:ascii="仿宋" w:hAnsi="仿宋" w:eastAsia="仿宋"/>
          <w:color w:val="FF0000"/>
          <w:sz w:val="32"/>
          <w:szCs w:val="32"/>
        </w:rPr>
      </w:pPr>
      <w:bookmarkStart w:id="39" w:name="_Toc15377444"/>
      <w:bookmarkStart w:id="40" w:name="_Toc15377213"/>
      <w:bookmarkStart w:id="41" w:name="_Toc15378460"/>
      <w:r>
        <w:rPr>
          <w:rFonts w:hint="eastAsia" w:ascii="仿宋" w:hAnsi="仿宋" w:eastAsia="仿宋"/>
          <w:b/>
          <w:color w:val="000000"/>
          <w:sz w:val="32"/>
          <w:szCs w:val="32"/>
        </w:rPr>
        <w:t>2019年般公共预算支出决算数为541.42</w:t>
      </w:r>
      <w:r>
        <w:rPr>
          <w:rFonts w:hint="eastAsia" w:ascii="仿宋" w:hAnsi="仿宋" w:eastAsia="仿宋"/>
          <w:color w:val="000000"/>
          <w:sz w:val="32"/>
          <w:szCs w:val="32"/>
        </w:rPr>
        <w:t>，</w:t>
      </w:r>
      <w:r>
        <w:rPr>
          <w:rStyle w:val="14"/>
          <w:rFonts w:hint="eastAsia" w:ascii="仿宋" w:hAnsi="仿宋" w:eastAsia="仿宋"/>
          <w:bCs/>
          <w:color w:val="000000"/>
          <w:sz w:val="32"/>
          <w:szCs w:val="32"/>
        </w:rPr>
        <w:t>完成预算99.85</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9"/>
      <w:bookmarkEnd w:id="40"/>
      <w:bookmarkEnd w:id="41"/>
    </w:p>
    <w:p>
      <w:pPr>
        <w:spacing w:line="576" w:lineRule="exact"/>
        <w:ind w:firstLine="560" w:firstLineChars="200"/>
        <w:rPr>
          <w:rFonts w:ascii="仿宋" w:hAnsi="仿宋" w:eastAsia="仿宋"/>
          <w:sz w:val="28"/>
          <w:szCs w:val="28"/>
        </w:rPr>
      </w:pPr>
      <w:r>
        <w:rPr>
          <w:rFonts w:hint="eastAsia" w:ascii="仿宋" w:hAnsi="仿宋" w:eastAsia="仿宋"/>
          <w:sz w:val="28"/>
          <w:szCs w:val="28"/>
        </w:rPr>
        <w:t>1.一般公共服务201（类）审计事务08（款）行政运行01（项）</w:t>
      </w:r>
      <w:r>
        <w:rPr>
          <w:rFonts w:ascii="仿宋" w:hAnsi="仿宋" w:eastAsia="仿宋"/>
          <w:b/>
          <w:sz w:val="28"/>
          <w:szCs w:val="28"/>
        </w:rPr>
        <w:t>:</w:t>
      </w:r>
      <w:r>
        <w:rPr>
          <w:rFonts w:ascii="仿宋" w:hAnsi="仿宋" w:eastAsia="仿宋"/>
          <w:sz w:val="28"/>
          <w:szCs w:val="28"/>
        </w:rPr>
        <w:t xml:space="preserve"> </w:t>
      </w:r>
      <w:r>
        <w:rPr>
          <w:rFonts w:hint="eastAsia" w:ascii="仿宋" w:hAnsi="仿宋" w:eastAsia="仿宋"/>
          <w:sz w:val="28"/>
          <w:szCs w:val="28"/>
        </w:rPr>
        <w:t>支出决算为431.79万元，完成预算99.74</w:t>
      </w:r>
      <w:r>
        <w:rPr>
          <w:rFonts w:ascii="仿宋" w:hAnsi="仿宋" w:eastAsia="仿宋"/>
          <w:sz w:val="28"/>
          <w:szCs w:val="28"/>
        </w:rPr>
        <w:t>%</w:t>
      </w:r>
      <w:r>
        <w:rPr>
          <w:rFonts w:hint="eastAsia" w:ascii="仿宋" w:hAnsi="仿宋" w:eastAsia="仿宋"/>
          <w:sz w:val="28"/>
          <w:szCs w:val="28"/>
        </w:rPr>
        <w:t>。</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2.一般公共服务支出201（类）审计事务08（款）一般行政管理事务02（项）：支出决算数30万元，完成预算100</w:t>
      </w:r>
      <w:r>
        <w:rPr>
          <w:rFonts w:ascii="仿宋" w:hAnsi="仿宋" w:eastAsia="仿宋"/>
          <w:sz w:val="28"/>
          <w:szCs w:val="28"/>
        </w:rPr>
        <w:t>%</w:t>
      </w:r>
      <w:r>
        <w:rPr>
          <w:rFonts w:hint="eastAsia" w:ascii="仿宋" w:hAnsi="仿宋" w:eastAsia="仿宋"/>
          <w:sz w:val="28"/>
          <w:szCs w:val="28"/>
        </w:rPr>
        <w:t>。</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3.一般公共服务支出201（类）审计事务08（款）信息化建设06（项）：支出决算数2.75万元，完成预算100</w:t>
      </w:r>
      <w:r>
        <w:rPr>
          <w:rFonts w:ascii="仿宋" w:hAnsi="仿宋" w:eastAsia="仿宋"/>
          <w:sz w:val="28"/>
          <w:szCs w:val="28"/>
        </w:rPr>
        <w:t>%</w:t>
      </w:r>
      <w:r>
        <w:rPr>
          <w:rFonts w:hint="eastAsia" w:ascii="仿宋" w:hAnsi="仿宋" w:eastAsia="仿宋"/>
          <w:sz w:val="28"/>
          <w:szCs w:val="28"/>
        </w:rPr>
        <w:t>。</w:t>
      </w:r>
    </w:p>
    <w:p>
      <w:pPr>
        <w:spacing w:line="576" w:lineRule="exact"/>
        <w:ind w:firstLine="562" w:firstLineChars="200"/>
        <w:rPr>
          <w:rFonts w:ascii="仿宋" w:hAnsi="仿宋" w:eastAsia="仿宋"/>
          <w:sz w:val="28"/>
          <w:szCs w:val="28"/>
        </w:rPr>
      </w:pPr>
      <w:r>
        <w:rPr>
          <w:rFonts w:hint="eastAsia" w:ascii="仿宋" w:hAnsi="仿宋" w:eastAsia="仿宋"/>
          <w:b/>
          <w:sz w:val="28"/>
          <w:szCs w:val="28"/>
        </w:rPr>
        <w:t>4</w:t>
      </w:r>
      <w:r>
        <w:rPr>
          <w:rFonts w:ascii="仿宋" w:hAnsi="仿宋" w:eastAsia="仿宋"/>
          <w:b/>
          <w:sz w:val="28"/>
          <w:szCs w:val="28"/>
        </w:rPr>
        <w:t>.</w:t>
      </w:r>
      <w:r>
        <w:rPr>
          <w:rFonts w:hint="eastAsia" w:ascii="仿宋" w:hAnsi="仿宋" w:eastAsia="仿宋"/>
          <w:sz w:val="28"/>
          <w:szCs w:val="28"/>
        </w:rPr>
        <w:t>社会保障和就业支出208（类）行政事业单位退休05（款）机关事业单位基本养老保险支出05（项）</w:t>
      </w:r>
      <w:r>
        <w:rPr>
          <w:rFonts w:ascii="仿宋" w:hAnsi="仿宋" w:eastAsia="仿宋"/>
          <w:b/>
          <w:sz w:val="28"/>
          <w:szCs w:val="28"/>
        </w:rPr>
        <w:t>:</w:t>
      </w:r>
      <w:r>
        <w:rPr>
          <w:rFonts w:hint="eastAsia" w:ascii="仿宋" w:hAnsi="仿宋" w:eastAsia="仿宋"/>
          <w:sz w:val="28"/>
          <w:szCs w:val="28"/>
        </w:rPr>
        <w:t>支出决算为33.69万元，完成预算100</w:t>
      </w:r>
      <w:r>
        <w:rPr>
          <w:rFonts w:ascii="仿宋" w:hAnsi="仿宋" w:eastAsia="仿宋"/>
          <w:sz w:val="28"/>
          <w:szCs w:val="28"/>
        </w:rPr>
        <w:t>%</w:t>
      </w:r>
      <w:r>
        <w:rPr>
          <w:rFonts w:hint="eastAsia" w:ascii="仿宋" w:hAnsi="仿宋" w:eastAsia="仿宋"/>
          <w:sz w:val="28"/>
          <w:szCs w:val="28"/>
        </w:rPr>
        <w:t>。</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5.208（类）99（款）01（项）</w:t>
      </w:r>
      <w:r>
        <w:rPr>
          <w:rFonts w:ascii="仿宋" w:hAnsi="仿宋" w:eastAsia="仿宋"/>
          <w:sz w:val="28"/>
          <w:szCs w:val="28"/>
        </w:rPr>
        <w:t>:</w:t>
      </w:r>
      <w:r>
        <w:rPr>
          <w:rFonts w:hint="eastAsia" w:ascii="仿宋" w:hAnsi="仿宋" w:eastAsia="仿宋"/>
          <w:sz w:val="28"/>
          <w:szCs w:val="28"/>
        </w:rPr>
        <w:t>支出决算为1.89万元，完成预算100</w:t>
      </w:r>
      <w:r>
        <w:rPr>
          <w:rFonts w:ascii="仿宋" w:hAnsi="仿宋" w:eastAsia="仿宋"/>
          <w:sz w:val="28"/>
          <w:szCs w:val="28"/>
        </w:rPr>
        <w:t>%</w:t>
      </w:r>
      <w:r>
        <w:rPr>
          <w:rFonts w:hint="eastAsia" w:ascii="仿宋" w:hAnsi="仿宋" w:eastAsia="仿宋"/>
          <w:sz w:val="28"/>
          <w:szCs w:val="28"/>
        </w:rPr>
        <w:t>。</w:t>
      </w:r>
    </w:p>
    <w:p>
      <w:pPr>
        <w:spacing w:line="576" w:lineRule="exact"/>
        <w:ind w:firstLine="562" w:firstLineChars="200"/>
        <w:rPr>
          <w:rFonts w:ascii="仿宋" w:hAnsi="仿宋" w:eastAsia="仿宋"/>
          <w:sz w:val="28"/>
          <w:szCs w:val="28"/>
        </w:rPr>
      </w:pPr>
      <w:r>
        <w:rPr>
          <w:rFonts w:hint="eastAsia" w:ascii="仿宋" w:hAnsi="仿宋" w:eastAsia="仿宋"/>
          <w:b/>
          <w:sz w:val="28"/>
          <w:szCs w:val="28"/>
        </w:rPr>
        <w:t>6</w:t>
      </w:r>
      <w:r>
        <w:rPr>
          <w:rFonts w:ascii="仿宋" w:hAnsi="仿宋" w:eastAsia="仿宋"/>
          <w:b/>
          <w:sz w:val="28"/>
          <w:szCs w:val="28"/>
        </w:rPr>
        <w:t>.</w:t>
      </w:r>
      <w:r>
        <w:rPr>
          <w:rFonts w:hint="eastAsia" w:ascii="仿宋" w:hAnsi="仿宋" w:eastAsia="仿宋"/>
          <w:sz w:val="28"/>
          <w:szCs w:val="28"/>
        </w:rPr>
        <w:t>卫生健康支出210（类）行政单位医疗11（款）行政单位医疗01（项）：支出14.94万元</w:t>
      </w:r>
      <w:r>
        <w:rPr>
          <w:rFonts w:hint="eastAsia" w:ascii="仿宋" w:hAnsi="仿宋" w:eastAsia="仿宋"/>
          <w:b/>
          <w:sz w:val="28"/>
          <w:szCs w:val="28"/>
        </w:rPr>
        <w:t>，</w:t>
      </w:r>
      <w:r>
        <w:rPr>
          <w:rFonts w:hint="eastAsia" w:ascii="仿宋" w:hAnsi="仿宋" w:eastAsia="仿宋"/>
          <w:sz w:val="28"/>
          <w:szCs w:val="28"/>
        </w:rPr>
        <w:t>完成预算100</w:t>
      </w:r>
      <w:r>
        <w:rPr>
          <w:rFonts w:ascii="仿宋" w:hAnsi="仿宋" w:eastAsia="仿宋"/>
          <w:sz w:val="28"/>
          <w:szCs w:val="28"/>
        </w:rPr>
        <w:t>%</w:t>
      </w:r>
      <w:r>
        <w:rPr>
          <w:rFonts w:hint="eastAsia" w:ascii="仿宋" w:hAnsi="仿宋" w:eastAsia="仿宋"/>
          <w:sz w:val="28"/>
          <w:szCs w:val="28"/>
        </w:rPr>
        <w:t>。</w:t>
      </w:r>
    </w:p>
    <w:p>
      <w:pPr>
        <w:spacing w:line="576" w:lineRule="exact"/>
        <w:ind w:firstLine="562" w:firstLineChars="200"/>
        <w:rPr>
          <w:rFonts w:ascii="仿宋" w:hAnsi="仿宋" w:eastAsia="仿宋"/>
          <w:sz w:val="28"/>
          <w:szCs w:val="28"/>
        </w:rPr>
      </w:pPr>
      <w:r>
        <w:rPr>
          <w:rFonts w:hint="eastAsia" w:ascii="仿宋" w:hAnsi="仿宋" w:eastAsia="仿宋"/>
          <w:b/>
          <w:sz w:val="28"/>
          <w:szCs w:val="28"/>
        </w:rPr>
        <w:t>7.</w:t>
      </w:r>
      <w:r>
        <w:rPr>
          <w:rFonts w:hint="eastAsia" w:ascii="仿宋" w:hAnsi="仿宋" w:eastAsia="仿宋"/>
          <w:sz w:val="28"/>
          <w:szCs w:val="28"/>
        </w:rPr>
        <w:t>农林水支出213（类）扶贫05（款）其他扶贫支出99（项）：支出3.81万元完成预算100</w:t>
      </w:r>
      <w:r>
        <w:rPr>
          <w:rFonts w:ascii="仿宋" w:hAnsi="仿宋" w:eastAsia="仿宋"/>
          <w:sz w:val="28"/>
          <w:szCs w:val="28"/>
        </w:rPr>
        <w:t>%</w:t>
      </w:r>
      <w:r>
        <w:rPr>
          <w:rFonts w:hint="eastAsia" w:ascii="仿宋" w:hAnsi="仿宋" w:eastAsia="仿宋"/>
          <w:sz w:val="28"/>
          <w:szCs w:val="28"/>
        </w:rPr>
        <w:t>。</w:t>
      </w:r>
    </w:p>
    <w:p>
      <w:pPr>
        <w:spacing w:line="576" w:lineRule="exact"/>
        <w:ind w:firstLine="562" w:firstLineChars="200"/>
        <w:rPr>
          <w:rFonts w:ascii="仿宋" w:hAnsi="仿宋" w:eastAsia="仿宋"/>
          <w:sz w:val="28"/>
          <w:szCs w:val="28"/>
        </w:rPr>
      </w:pPr>
      <w:r>
        <w:rPr>
          <w:rFonts w:hint="eastAsia" w:ascii="仿宋" w:hAnsi="仿宋" w:eastAsia="仿宋"/>
          <w:b/>
          <w:sz w:val="28"/>
          <w:szCs w:val="28"/>
        </w:rPr>
        <w:t>8</w:t>
      </w:r>
      <w:r>
        <w:rPr>
          <w:rFonts w:ascii="仿宋" w:hAnsi="仿宋" w:eastAsia="仿宋"/>
          <w:b/>
          <w:sz w:val="28"/>
          <w:szCs w:val="28"/>
        </w:rPr>
        <w:t>.</w:t>
      </w:r>
      <w:r>
        <w:rPr>
          <w:rFonts w:hint="eastAsia" w:ascii="仿宋" w:hAnsi="仿宋" w:eastAsia="仿宋"/>
          <w:sz w:val="28"/>
          <w:szCs w:val="28"/>
        </w:rPr>
        <w:t>住房保障支出221（类）住房改革支出02（款）住房公积金01（项）</w:t>
      </w:r>
      <w:r>
        <w:rPr>
          <w:rFonts w:ascii="仿宋" w:hAnsi="仿宋" w:eastAsia="仿宋"/>
          <w:b/>
          <w:sz w:val="28"/>
          <w:szCs w:val="28"/>
        </w:rPr>
        <w:t>:</w:t>
      </w:r>
      <w:r>
        <w:rPr>
          <w:rFonts w:hint="eastAsia" w:ascii="仿宋" w:hAnsi="仿宋" w:eastAsia="仿宋"/>
          <w:sz w:val="28"/>
          <w:szCs w:val="28"/>
        </w:rPr>
        <w:t>支出决算为22.25万元，完成预算100</w:t>
      </w:r>
      <w:r>
        <w:rPr>
          <w:rFonts w:ascii="仿宋" w:hAnsi="仿宋" w:eastAsia="仿宋"/>
          <w:sz w:val="28"/>
          <w:szCs w:val="28"/>
        </w:rPr>
        <w:t>%</w:t>
      </w:r>
      <w:r>
        <w:rPr>
          <w:rFonts w:hint="eastAsia" w:ascii="仿宋" w:hAnsi="仿宋" w:eastAsia="仿宋"/>
          <w:sz w:val="28"/>
          <w:szCs w:val="28"/>
        </w:rPr>
        <w:t>。</w:t>
      </w:r>
    </w:p>
    <w:p>
      <w:pPr>
        <w:tabs>
          <w:tab w:val="right" w:pos="8306"/>
        </w:tabs>
        <w:spacing w:line="600" w:lineRule="exact"/>
        <w:ind w:firstLine="640"/>
        <w:outlineLvl w:val="1"/>
        <w:rPr>
          <w:rStyle w:val="17"/>
        </w:rPr>
      </w:pPr>
      <w:bookmarkStart w:id="42" w:name="_Toc15396608"/>
      <w:bookmarkStart w:id="43"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7"/>
          <w:rFonts w:hint="eastAsia" w:ascii="黑体" w:hAnsi="黑体" w:eastAsia="黑体"/>
          <w:b w:val="0"/>
        </w:rPr>
        <w:t>般公共预算财政拨款基本支出决算情况说明</w:t>
      </w:r>
      <w:bookmarkEnd w:id="42"/>
      <w:bookmarkEnd w:id="43"/>
      <w:r>
        <w:rPr>
          <w:rStyle w:val="1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9年一般公共预算财政拨款基本支出504.86万元，其中：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419.39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xml:space="preserve">    日常公用经费85.47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7"/>
          <w:rFonts w:ascii="黑体" w:hAnsi="黑体" w:eastAsia="黑体"/>
          <w:b w:val="0"/>
        </w:rPr>
      </w:pPr>
      <w:bookmarkStart w:id="44" w:name="_Toc15377215"/>
      <w:bookmarkStart w:id="45" w:name="_Toc15396609"/>
      <w:r>
        <w:rPr>
          <w:rFonts w:hint="eastAsia" w:ascii="黑体" w:eastAsia="黑体"/>
          <w:color w:val="000000"/>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44"/>
      <w:bookmarkEnd w:id="45"/>
    </w:p>
    <w:p>
      <w:pPr>
        <w:spacing w:line="600" w:lineRule="exact"/>
        <w:ind w:firstLine="640"/>
        <w:outlineLvl w:val="2"/>
        <w:rPr>
          <w:rFonts w:ascii="仿宋" w:hAnsi="仿宋" w:eastAsia="仿宋"/>
          <w:b/>
          <w:color w:val="000000"/>
          <w:sz w:val="32"/>
          <w:szCs w:val="32"/>
        </w:rPr>
      </w:pPr>
      <w:bookmarkStart w:id="46" w:name="_Toc15377216"/>
      <w:r>
        <w:rPr>
          <w:rFonts w:hint="eastAsia" w:ascii="仿宋" w:hAnsi="仿宋" w:eastAsia="仿宋"/>
          <w:b/>
          <w:color w:val="000000"/>
          <w:sz w:val="32"/>
          <w:szCs w:val="32"/>
        </w:rPr>
        <w:t>（一）“三公”经费财政拨款支出决算总体情况说明</w:t>
      </w:r>
      <w:bookmarkEnd w:id="46"/>
    </w:p>
    <w:p>
      <w:pPr>
        <w:spacing w:line="600" w:lineRule="exact"/>
        <w:ind w:firstLine="640"/>
        <w:rPr>
          <w:rFonts w:ascii="仿宋" w:hAnsi="仿宋" w:eastAsia="仿宋"/>
          <w:b/>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9年“三公”经费财政拨款支出决算为3万元，完成预算的100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7" w:name="_Toc15377217"/>
      <w:r>
        <w:rPr>
          <w:rFonts w:hint="eastAsia" w:ascii="仿宋" w:hAnsi="仿宋" w:eastAsia="仿宋"/>
          <w:b/>
          <w:color w:val="000000"/>
          <w:sz w:val="32"/>
          <w:szCs w:val="32"/>
        </w:rPr>
        <w:t>（二）“三公”经费财政拨款支出决算具体情况说明</w:t>
      </w:r>
      <w:bookmarkEnd w:id="4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9年“三公”经费财政拨款支出决算中，因公出国（境）费支出决算0万元；公务用车购置及运行维护费支出决算0万元；公务接待费支出决算3万元，占100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1024" behindDoc="0" locked="0" layoutInCell="1" allowOverlap="1">
            <wp:simplePos x="0" y="0"/>
            <wp:positionH relativeFrom="column">
              <wp:posOffset>161925</wp:posOffset>
            </wp:positionH>
            <wp:positionV relativeFrom="paragraph">
              <wp:posOffset>247650</wp:posOffset>
            </wp:positionV>
            <wp:extent cx="5276850" cy="2495550"/>
            <wp:effectExtent l="0" t="0" r="0" b="0"/>
            <wp:wrapNone/>
            <wp:docPr id="7"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全年安排因公出国（境）团组0次，出国（境）0人。因公出国（境）支出决算与</w:t>
      </w:r>
      <w:r>
        <w:rPr>
          <w:rFonts w:ascii="仿宋_GB2312" w:eastAsia="仿宋_GB2312"/>
          <w:color w:val="000000"/>
          <w:sz w:val="32"/>
          <w:szCs w:val="32"/>
        </w:rPr>
        <w:t>201</w:t>
      </w:r>
      <w:r>
        <w:rPr>
          <w:rFonts w:hint="eastAsia" w:ascii="仿宋_GB2312" w:eastAsia="仿宋_GB2312"/>
          <w:color w:val="000000"/>
          <w:sz w:val="32"/>
          <w:szCs w:val="32"/>
        </w:rPr>
        <w:t xml:space="preserve">8年0万元持平。 </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公务用车购置及运行维护费支出决算与</w:t>
      </w:r>
      <w:r>
        <w:rPr>
          <w:rFonts w:ascii="仿宋_GB2312" w:eastAsia="仿宋_GB2312"/>
          <w:color w:val="000000"/>
          <w:sz w:val="32"/>
          <w:szCs w:val="32"/>
        </w:rPr>
        <w:t>201</w:t>
      </w:r>
      <w:r>
        <w:rPr>
          <w:rFonts w:hint="eastAsia" w:ascii="仿宋_GB2312" w:eastAsia="仿宋_GB2312"/>
          <w:color w:val="000000"/>
          <w:sz w:val="32"/>
          <w:szCs w:val="32"/>
        </w:rPr>
        <w:t>8年持平。</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3万元，</w:t>
      </w:r>
      <w:r>
        <w:rPr>
          <w:rStyle w:val="14"/>
          <w:rFonts w:hint="eastAsia" w:ascii="仿宋" w:hAnsi="仿宋" w:eastAsia="仿宋"/>
          <w:b w:val="0"/>
          <w:bCs/>
          <w:color w:val="000000"/>
          <w:sz w:val="32"/>
          <w:szCs w:val="32"/>
        </w:rPr>
        <w:t>完成预算的100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公务接待费支出决算与</w:t>
      </w:r>
      <w:r>
        <w:rPr>
          <w:rFonts w:ascii="仿宋_GB2312" w:eastAsia="仿宋_GB2312"/>
          <w:color w:val="000000"/>
          <w:sz w:val="32"/>
          <w:szCs w:val="32"/>
        </w:rPr>
        <w:t>201</w:t>
      </w:r>
      <w:r>
        <w:rPr>
          <w:rFonts w:hint="eastAsia" w:ascii="仿宋_GB2312" w:eastAsia="仿宋_GB2312"/>
          <w:color w:val="000000"/>
          <w:sz w:val="32"/>
          <w:szCs w:val="32"/>
        </w:rPr>
        <w:t>8年持平。</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3</w:t>
      </w:r>
      <w:r>
        <w:rPr>
          <w:rFonts w:hint="eastAsia" w:ascii="仿宋_GB2312" w:eastAsia="仿宋_GB2312"/>
          <w:color w:val="000000"/>
          <w:sz w:val="32"/>
          <w:szCs w:val="32"/>
        </w:rPr>
        <w:t>万元，主要用于执行公务来客接待用餐。国内公务接待35批次，308人次（不包括陪同人员），共计支出3万元，具体内容包括：上级审计部门安排的交叉审计项目接待，上级部门开展工作调研的接待支出，帮扶村招商引资接待客商支出等。</w:t>
      </w:r>
    </w:p>
    <w:p>
      <w:pPr>
        <w:spacing w:line="600" w:lineRule="exact"/>
        <w:ind w:firstLine="642" w:firstLineChars="200"/>
        <w:rPr>
          <w:rFonts w:ascii="仿宋_GB2312" w:eastAsia="仿宋_GB2312"/>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万元，外事接待0批次，0人，共计支出0万元。</w:t>
      </w:r>
      <w:bookmarkStart w:id="48" w:name="_Toc15377218"/>
      <w:bookmarkStart w:id="49" w:name="_Toc15396610"/>
    </w:p>
    <w:p>
      <w:pPr>
        <w:spacing w:line="600" w:lineRule="exact"/>
        <w:ind w:firstLine="640"/>
        <w:outlineLvl w:val="1"/>
        <w:rPr>
          <w:rStyle w:val="17"/>
          <w:rFonts w:ascii="黑体" w:hAnsi="黑体" w:eastAsia="黑体"/>
        </w:rPr>
      </w:pPr>
      <w:r>
        <w:rPr>
          <w:rFonts w:hint="eastAsia" w:ascii="黑体" w:eastAsia="黑体"/>
          <w:color w:val="000000"/>
          <w:sz w:val="32"/>
          <w:szCs w:val="32"/>
        </w:rPr>
        <w:t>八、</w:t>
      </w:r>
      <w:r>
        <w:rPr>
          <w:rStyle w:val="17"/>
          <w:rFonts w:hint="eastAsia" w:ascii="黑体" w:hAnsi="黑体" w:eastAsia="黑体"/>
          <w:b w:val="0"/>
        </w:rPr>
        <w:t>政府性基金预算支出决算情况说明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9年政府性基金预算拨款支出0万元。</w:t>
      </w:r>
    </w:p>
    <w:p>
      <w:pPr>
        <w:numPr>
          <w:ilvl w:val="0"/>
          <w:numId w:val="3"/>
        </w:numPr>
        <w:spacing w:line="600" w:lineRule="exact"/>
        <w:ind w:left="0" w:firstLine="640"/>
        <w:outlineLvl w:val="1"/>
        <w:rPr>
          <w:rStyle w:val="17"/>
          <w:rFonts w:ascii="黑体" w:hAnsi="黑体" w:eastAsia="黑体"/>
          <w:b w:val="0"/>
        </w:rPr>
      </w:pPr>
      <w:bookmarkStart w:id="50" w:name="_Toc15396611"/>
      <w:bookmarkStart w:id="51" w:name="_Toc15377219"/>
      <w:r>
        <w:rPr>
          <w:rStyle w:val="17"/>
          <w:rFonts w:hint="eastAsia" w:ascii="黑体" w:hAnsi="黑体" w:eastAsia="黑体"/>
          <w:b w:val="0"/>
        </w:rPr>
        <w:t>国有资本经营预算支出决算情况说明</w:t>
      </w:r>
      <w:bookmarkEnd w:id="50"/>
      <w:bookmarkEnd w:id="51"/>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spacing w:line="600" w:lineRule="exact"/>
        <w:ind w:firstLine="480" w:firstLineChars="150"/>
        <w:outlineLvl w:val="1"/>
        <w:rPr>
          <w:rStyle w:val="17"/>
          <w:rFonts w:ascii="黑体" w:hAnsi="黑体" w:eastAsia="黑体"/>
        </w:rPr>
      </w:pPr>
      <w:bookmarkStart w:id="52" w:name="_Toc15377221"/>
      <w:bookmarkStart w:id="53" w:name="_Toc15396612"/>
      <w:r>
        <w:rPr>
          <w:rFonts w:hint="eastAsia" w:ascii="黑体" w:hAnsi="黑体" w:eastAsia="黑体"/>
          <w:color w:val="000000"/>
          <w:sz w:val="32"/>
          <w:szCs w:val="32"/>
        </w:rPr>
        <w:t>十</w:t>
      </w:r>
      <w:r>
        <w:rPr>
          <w:rStyle w:val="17"/>
          <w:rFonts w:hint="eastAsia" w:ascii="黑体" w:hAnsi="黑体" w:eastAsia="黑体"/>
        </w:rPr>
        <w:t>、</w:t>
      </w:r>
      <w:r>
        <w:rPr>
          <w:rStyle w:val="17"/>
          <w:rFonts w:hint="eastAsia" w:ascii="黑体" w:hAnsi="黑体" w:eastAsia="黑体"/>
          <w:b w:val="0"/>
        </w:rPr>
        <w:t>其他重要事项的情况说明</w:t>
      </w:r>
      <w:bookmarkEnd w:id="52"/>
      <w:bookmarkEnd w:id="53"/>
    </w:p>
    <w:p>
      <w:pPr>
        <w:spacing w:line="600" w:lineRule="exact"/>
        <w:ind w:firstLine="642" w:firstLineChars="200"/>
        <w:outlineLvl w:val="2"/>
        <w:rPr>
          <w:rStyle w:val="17"/>
          <w:rFonts w:ascii="黑体" w:hAnsi="黑体" w:eastAsia="黑体"/>
        </w:rPr>
      </w:pPr>
      <w:bookmarkStart w:id="54" w:name="_Toc15377222"/>
      <w:r>
        <w:rPr>
          <w:rFonts w:hint="eastAsia" w:ascii="仿宋" w:hAnsi="仿宋" w:eastAsia="仿宋"/>
          <w:b/>
          <w:color w:val="000000"/>
          <w:sz w:val="32"/>
          <w:szCs w:val="32"/>
        </w:rPr>
        <w:t>（一）</w:t>
      </w:r>
      <w:r>
        <w:rPr>
          <w:rStyle w:val="17"/>
          <w:rFonts w:hint="eastAsia" w:ascii="黑体" w:hAnsi="黑体" w:eastAsia="黑体"/>
        </w:rPr>
        <w:t>机关运行经费支出情况</w:t>
      </w:r>
      <w:bookmarkEnd w:id="54"/>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9年，机关运行经费支出85.47万元，比</w:t>
      </w:r>
      <w:r>
        <w:rPr>
          <w:rFonts w:ascii="仿宋_GB2312" w:eastAsia="仿宋_GB2312"/>
          <w:color w:val="000000"/>
          <w:sz w:val="32"/>
          <w:szCs w:val="32"/>
        </w:rPr>
        <w:t>201</w:t>
      </w:r>
      <w:r>
        <w:rPr>
          <w:rFonts w:hint="eastAsia" w:ascii="仿宋_GB2312" w:eastAsia="仿宋_GB2312"/>
          <w:color w:val="000000"/>
          <w:sz w:val="32"/>
          <w:szCs w:val="32"/>
        </w:rPr>
        <w:t>8年增加26万元，增长43.72</w:t>
      </w:r>
      <w:r>
        <w:rPr>
          <w:rFonts w:ascii="仿宋_GB2312" w:eastAsia="仿宋_GB2312"/>
          <w:color w:val="000000"/>
          <w:sz w:val="32"/>
          <w:szCs w:val="32"/>
        </w:rPr>
        <w:t>%</w:t>
      </w:r>
      <w:r>
        <w:rPr>
          <w:rFonts w:hint="eastAsia" w:ascii="仿宋_GB2312" w:eastAsia="仿宋_GB2312"/>
          <w:color w:val="000000"/>
          <w:sz w:val="32"/>
          <w:szCs w:val="32"/>
        </w:rPr>
        <w:t>。主要原因是调入人员购置计算机及新建大数据审计分析室购买设备增加支出。</w:t>
      </w:r>
    </w:p>
    <w:p>
      <w:pPr>
        <w:autoSpaceDE w:val="0"/>
        <w:autoSpaceDN w:val="0"/>
        <w:adjustRightInd w:val="0"/>
        <w:spacing w:line="600" w:lineRule="exact"/>
        <w:ind w:firstLine="642" w:firstLineChars="200"/>
        <w:jc w:val="left"/>
        <w:outlineLvl w:val="2"/>
        <w:rPr>
          <w:rStyle w:val="17"/>
          <w:rFonts w:ascii="黑体" w:hAnsi="黑体" w:eastAsia="黑体"/>
          <w:b w:val="0"/>
        </w:rPr>
      </w:pPr>
      <w:bookmarkStart w:id="55" w:name="_Toc15377223"/>
      <w:r>
        <w:rPr>
          <w:rFonts w:hint="eastAsia" w:ascii="仿宋" w:hAnsi="仿宋" w:eastAsia="仿宋"/>
          <w:b/>
          <w:color w:val="000000"/>
          <w:sz w:val="32"/>
          <w:szCs w:val="32"/>
        </w:rPr>
        <w:t>（二）</w:t>
      </w:r>
      <w:r>
        <w:rPr>
          <w:rStyle w:val="17"/>
          <w:rFonts w:hint="eastAsia" w:ascii="黑体" w:hAnsi="黑体" w:eastAsia="黑体"/>
          <w:b w:val="0"/>
        </w:rPr>
        <w:t>政府采购支出情况</w:t>
      </w:r>
      <w:bookmarkEnd w:id="55"/>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9年，政府采购支出总额0.57万元，其中：政府采购货物支出0.57万元、政府采购工程支出0万元、政府采购服务支出0万元。主要用于购买便携式计算机。授予中小企业合同金额0万元，授予小微企业合同金额0万元。</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6" w:name="_Toc15377224"/>
      <w:r>
        <w:rPr>
          <w:rFonts w:hint="eastAsia" w:ascii="仿宋" w:hAnsi="仿宋" w:eastAsia="仿宋"/>
          <w:b/>
          <w:color w:val="000000"/>
          <w:sz w:val="32"/>
          <w:szCs w:val="32"/>
        </w:rPr>
        <w:t>（三）</w:t>
      </w:r>
      <w:r>
        <w:rPr>
          <w:rStyle w:val="17"/>
          <w:rFonts w:hint="eastAsia" w:ascii="黑体" w:hAnsi="黑体" w:eastAsia="黑体"/>
        </w:rPr>
        <w:t>国有资产占有使用情况</w:t>
      </w:r>
      <w:bookmarkEnd w:id="56"/>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日，共有车辆0辆，单价</w:t>
      </w:r>
      <w:r>
        <w:rPr>
          <w:rFonts w:ascii="仿宋_GB2312" w:eastAsia="仿宋_GB2312"/>
          <w:color w:val="000000"/>
          <w:sz w:val="32"/>
          <w:szCs w:val="32"/>
        </w:rPr>
        <w:t>50</w:t>
      </w:r>
      <w:r>
        <w:rPr>
          <w:rFonts w:hint="eastAsia" w:ascii="仿宋_GB2312" w:eastAsia="仿宋_GB2312"/>
          <w:color w:val="000000"/>
          <w:sz w:val="32"/>
          <w:szCs w:val="32"/>
        </w:rPr>
        <w:t>万元以上通用设备0台（套），单价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0" w:firstLineChars="200"/>
        <w:jc w:val="left"/>
        <w:outlineLvl w:val="2"/>
        <w:rPr>
          <w:rStyle w:val="17"/>
          <w:rFonts w:ascii="黑体" w:hAnsi="黑体" w:eastAsia="黑体"/>
          <w:b w:val="0"/>
        </w:rPr>
      </w:pPr>
      <w:r>
        <w:rPr>
          <w:rStyle w:val="17"/>
          <w:rFonts w:hint="eastAsia" w:ascii="黑体" w:hAnsi="黑体" w:eastAsia="黑体"/>
          <w:b w:val="0"/>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我局在年初预算编制阶段，组织对参加全国、省、市统一审计项目开展了预算事前绩效评估，对该项目编制了绩效目标，预算执行过程中，开展了绩效监控，年终执行完毕后，对该项目开展了绩效目标完成情况自评。</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我局按要求对2019年部门整体支出开展绩效自评，从评价情况来看，能够严格按照现行财政预算管理体制的有关规定和财政部门要求进行预算编制工作，在编制部门</w:t>
      </w:r>
      <w:r>
        <w:rPr>
          <w:rFonts w:ascii="仿宋_GB2312" w:hAnsi="仿宋_GB2312" w:eastAsia="仿宋_GB2312" w:cs="仿宋_GB2312"/>
          <w:sz w:val="32"/>
          <w:szCs w:val="32"/>
        </w:rPr>
        <w:t>预算</w:t>
      </w:r>
      <w:r>
        <w:rPr>
          <w:rFonts w:hint="eastAsia" w:ascii="仿宋_GB2312" w:hAnsi="仿宋_GB2312" w:eastAsia="仿宋_GB2312" w:cs="仿宋_GB2312"/>
          <w:sz w:val="32"/>
          <w:szCs w:val="32"/>
        </w:rPr>
        <w:t>时严格</w:t>
      </w:r>
      <w:r>
        <w:rPr>
          <w:rFonts w:ascii="仿宋_GB2312" w:hAnsi="仿宋_GB2312" w:eastAsia="仿宋_GB2312" w:cs="仿宋_GB2312"/>
          <w:sz w:val="32"/>
          <w:szCs w:val="32"/>
        </w:rPr>
        <w:t>遵循统筹兼顾、勤俭节约、量力而行、讲求绩效和收支平衡的原则</w:t>
      </w:r>
      <w:r>
        <w:rPr>
          <w:rFonts w:hint="eastAsia" w:ascii="仿宋_GB2312" w:hAnsi="仿宋_GB2312" w:eastAsia="仿宋_GB2312" w:cs="仿宋_GB2312"/>
          <w:sz w:val="32"/>
          <w:szCs w:val="32"/>
        </w:rPr>
        <w:t>，在支出过程中严格遵守各项规章制度，“三公”经费从严管理，严格执行“三重一大”制度。在专项经费支出上，做到专款专用，无截留、挪用等现象,实行先有预算、后有执行的支付管理模式。2019年专项资金的预算绩效目标全面实现，无违规使用专项资金的现象。全年支出占预算收入的比例为99.85%，预算执行情况较好。</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我局对2019年度实施的“参加国家审计署、省审计厅、市审计局统一组织审计项目经费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第3个项目进行了资金使用绩效评价。全年预算经费32.75万元，实际执行支付32.75万元，完成预算的100%。</w:t>
      </w:r>
    </w:p>
    <w:p>
      <w:pPr>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本部门在2019年度部门决算中反映“参加国家审计署、省审计厅、市审计局统一审计项目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、“金审三期项目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、“2019年中央对地方审计机关专项补助”等3个项目绩效目标全面完成。</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参加全国、省、市统一项目绩效目标完成情况综述。项目全年预算数20万元，执行数为20万元，完成预算的100%。通过项目实施，保障了上级审计部门安排的参加全国、省、市统一交叉审计项目及上级审计机关抽调审计人员的住宿费、交通费、生活补助、公杂费及办公费等支出，全年完成上级审计部门统一安排交叉审计项目8个，派出审计组8个，上级审计部门临时抽调审计人员参加区域外审计项目9人次。根据全国审计机关审计工作一盘棋的要求，年初预算的参加全国、省、市统一外出审计项目工作经费不能很好的全面保障审计工作的需要，在来年的预算经费安排中应增加预算，保障全面完成审计工作的目标任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2019年中央对地方审计机关专项补助项目绩效目标完成情况综述。该项目收到财政预算拨款10万元，当年已全部使用，主要用了购置审计人员开展审计工作使用的涉密电子计算机及审计电子数据分析室建设，通过该项目的实施实现了对大数据的集中存储与管理，保证了提取的审计数据保密度，提高了审计决策和管理水平，保障了审计工作全覆盖的开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金审三期建设项目目标完成情况综述。该项工程财政预算拨款2.75万元，已经全部使用，以完成了前期准备工作，建立了电子数据分室，购置了用于数据分析、存储的硬件设备，采集了全部预算单位的财务数据和部分业务数据，通过该项目的实施实现了对大数据的集中存储与管理，保证了提取的审计数据保密度，提高了审计决策和管理水平，打破了部门内部制约信息共享的障碍，为实现数据关联分析提供了可能，实现了一级预算单位审计工作全覆盖。根据工作的实际开展情况，该项经费预算严重不足，致使该项工作开展难度较大，为加快推进审计信息化建设，保证履行审计职责必须的力量和经费，在今后的财政预算中应增加开展此项工作的经费保障。</w:t>
      </w:r>
    </w:p>
    <w:tbl>
      <w:tblPr>
        <w:tblStyle w:val="12"/>
        <w:tblpPr w:leftFromText="180" w:rightFromText="180" w:vertAnchor="text" w:horzAnchor="page" w:tblpXSpec="center" w:tblpY="423"/>
        <w:tblOverlap w:val="never"/>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0"/>
        <w:gridCol w:w="1367"/>
        <w:gridCol w:w="1025"/>
        <w:gridCol w:w="2392"/>
        <w:gridCol w:w="2394"/>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参加全国、省、市统一审计项目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广元市利州区审计局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根据审计工作上下一盘棋的总体要求，全年完成全国、省、市交叉审计项目及上级审计机关抽调人员的住宿费、差旅费、接待费、办公费等支出费用。</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完成上级审计部门统一安排交叉审计项目8个，派出审计组8个，上级审计部门临时抽调审计人员参加区域外审计项目9人次.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做好上级审计部门统一安排的交叉审计项目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预计派出8个审计组，完成8个交叉审计项目。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派出8个审计组，完成8个交叉审计项目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坚持审计的独立性，及时完成上级审计部门统一安排的审计工作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将严格执行审计程序，按项目实施方案要求完成审计任务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每个审计项目按照审计实施方案规定的时间完成各项审计任务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办公费、差旅费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全面保障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全面保障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以促进国家重大决策部署贯彻落实、推动现代财政制度建设、促进国家财政经济安全和财政资金规范高效运行为目标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加强审计监督，维护国家财政经济秩序，提高财政资金使用效益，促进廉政建设，保障国民经济健康发展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加强审计监督，维护国家财政经济秩序，提高财政资金使用效益，促进廉政建设，保障国民经济健康发展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坚持依法审计、文明审计、廉洁审计，严格执行审计工作程序和各环节质量控制，确保审计成果经得起历史检验。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充分发挥审计在推进国家治理体系和治理能力中的职能作用，促进财政资金提质增效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发挥审计在推进国家治理体系和治理能力中的职能作用，促进财政资金提质增效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上级审计部门满意度、被审计单位满意度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98%</w:t>
            </w:r>
          </w:p>
        </w:tc>
      </w:tr>
    </w:tbl>
    <w:p>
      <w:p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0"/>
        <w:gridCol w:w="1367"/>
        <w:gridCol w:w="1025"/>
        <w:gridCol w:w="2392"/>
        <w:gridCol w:w="2394"/>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rPr>
              <w:t>2019年中央对地方审计机关专项补助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广元市利州区审计局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6"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持续抓好重大宏观政策跟踪审计。以推动重大政策措施贯彻落实，促进地方经济持续健康发展为目标。坚持“结合审计”和“专项审计”双规并行方式，计划完成了3轮跟踪审计任务。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持续抓好重大宏观政策跟踪审计。以推动重大政策措施贯彻落实，促进地方经济持续健康发展为目标。坚持“结合审计”和“专项审计”双规并行方式，完成了3轮跟踪审计任务。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计划实施轮次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3轮目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安排审计力量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50余人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每轮审计项目按照审计实施方案规定的时间完成各项审计任务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办公费、差旅费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支付10万元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以促进国家重大决策部署贯彻落实、推动现代财政制度建设、促进国家财政经济安全和财政资金规范高效运行为目标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加强审计监督，维护国家财政经济秩序，提高财政资金使用效益，促进廉政建设，保障国民经济健康发展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2019年全区非税收入可减轻企业和社会负担约989万元，</w:t>
            </w:r>
            <w:r>
              <w:rPr>
                <w:rFonts w:ascii="宋体" w:hAnsi="宋体" w:cs="宋体"/>
                <w:color w:val="000000"/>
                <w:sz w:val="24"/>
              </w:rPr>
              <w:t>企业社保累计减费</w:t>
            </w:r>
            <w:r>
              <w:rPr>
                <w:rFonts w:hint="eastAsia" w:ascii="宋体" w:hAnsi="宋体" w:cs="宋体"/>
                <w:color w:val="000000"/>
                <w:sz w:val="24"/>
              </w:rPr>
              <w:t>约</w:t>
            </w:r>
            <w:r>
              <w:rPr>
                <w:rFonts w:ascii="宋体" w:hAnsi="宋体" w:cs="宋体"/>
                <w:color w:val="000000"/>
                <w:sz w:val="24"/>
              </w:rPr>
              <w:t>1341.14万元</w:t>
            </w:r>
            <w:r>
              <w:rPr>
                <w:rFonts w:hint="eastAsia" w:ascii="宋体" w:hAnsi="宋体" w:cs="宋体"/>
                <w:color w:val="000000"/>
                <w:sz w:val="24"/>
              </w:rPr>
              <w:t xml:space="preserve">，清理拖欠民营企业账款2309.95万元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坚持依法审计、文明审计、廉洁审计，严格执行审计工作程序和各环节质量控制，确保审计成果经得起历史检验。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充分发挥审计在推进国家治理体系和治理能力中的职能作用，促进财政资金提质增效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揭示问题并督促被审计单位整改9条，推动相关部门建章立制5项，在促进政令畅通，重大政策落地方面发挥了积极作用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上级审计部门满意度、被审计单位满意度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98%</w:t>
            </w:r>
          </w:p>
        </w:tc>
      </w:tr>
    </w:tbl>
    <w:p>
      <w:p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0"/>
        <w:gridCol w:w="1367"/>
        <w:gridCol w:w="1025"/>
        <w:gridCol w:w="2392"/>
        <w:gridCol w:w="2394"/>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rPr>
              <w:t>金审工程三期建设项目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广元市利州区审计局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2.75万元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2.75万元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2.75万元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2.75万元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完成金审三期建设的硬件设施投入。</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建立数据分析室1个，购置云技术办公服务器1台、6台终端设备，以及1台专用数据存储计算机。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建立数据分析室</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购置云技术办公服务器、终端设备，台专用数据存储计算机。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购置云技术办公服务器1台、6台终端设备，以及1台专用数据存储计算机。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购置云技术办公服务器1台、6台终端设备，以及1台专用数据存储计算机。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2019年建成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按照预算执行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2.75万元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2.75万元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kern w:val="0"/>
                <w:sz w:val="24"/>
              </w:rPr>
              <w:t xml:space="preserve">组织实施区本级财政及区级一级预算部门（单位）预算执行和决算（草案）审计监督全覆盖，节约审计成本。 </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86个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 86个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努力推动审计监督全覆盖</w:t>
            </w:r>
            <w:r>
              <w:rPr>
                <w:rFonts w:hint="eastAsia" w:ascii="宋体" w:hAnsi="宋体" w:cs="宋体"/>
                <w:color w:val="000000"/>
                <w:sz w:val="24"/>
              </w:rPr>
              <w:t xml:space="preserve">  </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 逐年提高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 逐年提高</w:t>
            </w:r>
          </w:p>
        </w:tc>
      </w:tr>
    </w:tbl>
    <w:p>
      <w:pPr>
        <w:spacing w:line="580" w:lineRule="exact"/>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我局按要求对2019年部门整体支出绩效评价情况开展自评，《广元市利州区审计局2019年部门整体支出绩效评价报告》见附件（附件1）。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本部门自行组织对参加全国、省、市统一审计项目、2019年中央对地方审计机关专项补助、金审工程三期建设项目开展了绩效评价，资金绩效评价报告见附件（附件2）。</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left="0" w:firstLine="660" w:firstLineChars="150"/>
        <w:jc w:val="center"/>
        <w:outlineLvl w:val="0"/>
        <w:rPr>
          <w:rStyle w:val="16"/>
          <w:rFonts w:ascii="黑体" w:hAnsi="黑体" w:eastAsia="黑体"/>
          <w:b w:val="0"/>
        </w:rPr>
      </w:pPr>
      <w:bookmarkStart w:id="57" w:name="_Toc15377225"/>
      <w:bookmarkStart w:id="58" w:name="_Toc15396613"/>
      <w:r>
        <w:rPr>
          <w:rFonts w:hint="eastAsia" w:ascii="黑体" w:hAnsi="黑体" w:eastAsia="黑体"/>
          <w:color w:val="000000"/>
          <w:sz w:val="44"/>
          <w:szCs w:val="44"/>
        </w:rPr>
        <w:t>名</w:t>
      </w:r>
      <w:r>
        <w:rPr>
          <w:rStyle w:val="16"/>
          <w:rFonts w:hint="eastAsia" w:ascii="黑体" w:hAnsi="黑体" w:eastAsia="黑体"/>
          <w:b w:val="0"/>
        </w:rPr>
        <w:t>词解释</w:t>
      </w:r>
      <w:bookmarkEnd w:id="57"/>
      <w:bookmarkEnd w:id="58"/>
    </w:p>
    <w:p>
      <w:pPr>
        <w:spacing w:line="600" w:lineRule="exact"/>
        <w:jc w:val="left"/>
        <w:rPr>
          <w:rFonts w:ascii="宋体"/>
          <w:b/>
          <w:color w:val="000000"/>
          <w:sz w:val="44"/>
          <w:szCs w:val="44"/>
        </w:rPr>
      </w:pPr>
    </w:p>
    <w:p>
      <w:pPr>
        <w:pStyle w:val="21"/>
        <w:spacing w:line="560" w:lineRule="exact"/>
        <w:ind w:firstLine="552" w:firstLineChars="200"/>
        <w:rPr>
          <w:rFonts w:hAnsi="仿宋"/>
          <w:spacing w:val="-2"/>
          <w:sz w:val="28"/>
          <w:szCs w:val="28"/>
        </w:rPr>
      </w:pPr>
      <w:r>
        <w:rPr>
          <w:rFonts w:hAnsi="仿宋"/>
          <w:spacing w:val="-2"/>
          <w:sz w:val="28"/>
          <w:szCs w:val="28"/>
        </w:rPr>
        <w:t>1.</w:t>
      </w:r>
      <w:r>
        <w:rPr>
          <w:rFonts w:hint="eastAsia" w:hAnsi="仿宋"/>
          <w:spacing w:val="-2"/>
          <w:sz w:val="28"/>
          <w:szCs w:val="28"/>
        </w:rPr>
        <w:t>财政拨款收入：指单位从同级财政部门取得的财政预算资金。</w:t>
      </w:r>
    </w:p>
    <w:p>
      <w:pPr>
        <w:pStyle w:val="21"/>
        <w:spacing w:line="560" w:lineRule="exact"/>
        <w:ind w:firstLine="552" w:firstLineChars="200"/>
        <w:rPr>
          <w:rFonts w:hAnsi="仿宋"/>
          <w:spacing w:val="-2"/>
          <w:sz w:val="28"/>
          <w:szCs w:val="28"/>
        </w:rPr>
      </w:pPr>
      <w:r>
        <w:rPr>
          <w:rFonts w:hint="eastAsia" w:hAnsi="仿宋"/>
          <w:spacing w:val="-2"/>
          <w:sz w:val="28"/>
          <w:szCs w:val="28"/>
        </w:rPr>
        <w:t>2</w:t>
      </w:r>
      <w:r>
        <w:rPr>
          <w:rFonts w:hAnsi="仿宋"/>
          <w:spacing w:val="-2"/>
          <w:sz w:val="28"/>
          <w:szCs w:val="28"/>
        </w:rPr>
        <w:t>.</w:t>
      </w:r>
      <w:r>
        <w:rPr>
          <w:rFonts w:hint="eastAsia" w:hAnsi="仿宋"/>
          <w:spacing w:val="-2"/>
          <w:sz w:val="28"/>
          <w:szCs w:val="28"/>
        </w:rPr>
        <w:t>其他收入：指单位取得的除上述收入以外的各项收入。主要是利息收入（收入类型）等。</w:t>
      </w:r>
      <w:r>
        <w:rPr>
          <w:rFonts w:hAnsi="仿宋"/>
          <w:spacing w:val="-2"/>
          <w:sz w:val="28"/>
          <w:szCs w:val="28"/>
        </w:rPr>
        <w:t xml:space="preserve"> </w:t>
      </w:r>
    </w:p>
    <w:p>
      <w:pPr>
        <w:pStyle w:val="21"/>
        <w:spacing w:line="560" w:lineRule="exact"/>
        <w:ind w:firstLine="552" w:firstLineChars="200"/>
        <w:rPr>
          <w:rFonts w:hAnsi="仿宋"/>
          <w:spacing w:val="-2"/>
          <w:sz w:val="28"/>
          <w:szCs w:val="28"/>
        </w:rPr>
      </w:pPr>
      <w:r>
        <w:rPr>
          <w:rFonts w:hint="eastAsia" w:hAnsi="仿宋"/>
          <w:spacing w:val="-2"/>
          <w:sz w:val="28"/>
          <w:szCs w:val="28"/>
        </w:rPr>
        <w:t>3</w:t>
      </w:r>
      <w:r>
        <w:rPr>
          <w:rFonts w:hAnsi="仿宋"/>
          <w:spacing w:val="-2"/>
          <w:sz w:val="28"/>
          <w:szCs w:val="28"/>
        </w:rPr>
        <w:t>.</w:t>
      </w:r>
      <w:r>
        <w:rPr>
          <w:rFonts w:hint="eastAsia" w:hAnsi="仿宋"/>
          <w:spacing w:val="-2"/>
          <w:sz w:val="28"/>
          <w:szCs w:val="28"/>
        </w:rPr>
        <w:t>年初结转和结余：指以前年度尚未完成、结转到本年按有关规定继续使用的资金。</w:t>
      </w:r>
      <w:r>
        <w:rPr>
          <w:rFonts w:hAnsi="仿宋"/>
          <w:spacing w:val="-2"/>
          <w:sz w:val="28"/>
          <w:szCs w:val="28"/>
        </w:rPr>
        <w:t xml:space="preserve"> </w:t>
      </w:r>
    </w:p>
    <w:p>
      <w:pPr>
        <w:pStyle w:val="21"/>
        <w:spacing w:line="560" w:lineRule="exact"/>
        <w:ind w:firstLine="552" w:firstLineChars="200"/>
        <w:rPr>
          <w:rFonts w:hAnsi="仿宋"/>
          <w:spacing w:val="-2"/>
          <w:sz w:val="28"/>
          <w:szCs w:val="28"/>
        </w:rPr>
      </w:pPr>
      <w:r>
        <w:rPr>
          <w:rFonts w:hint="eastAsia" w:hAnsi="仿宋"/>
          <w:spacing w:val="-2"/>
          <w:sz w:val="28"/>
          <w:szCs w:val="28"/>
        </w:rPr>
        <w:t>4</w:t>
      </w:r>
      <w:r>
        <w:rPr>
          <w:rFonts w:hAnsi="仿宋"/>
          <w:spacing w:val="-2"/>
          <w:sz w:val="28"/>
          <w:szCs w:val="28"/>
        </w:rPr>
        <w:t>.</w:t>
      </w:r>
      <w:r>
        <w:rPr>
          <w:rFonts w:hint="eastAsia" w:hAnsi="仿宋"/>
          <w:spacing w:val="-2"/>
          <w:sz w:val="28"/>
          <w:szCs w:val="28"/>
        </w:rPr>
        <w:t>结余分配：指事业单位按照事业单位会计制度的规定从非财政补助结余中分配的事业基金和职工福利基金等。</w:t>
      </w:r>
    </w:p>
    <w:p>
      <w:pPr>
        <w:pStyle w:val="21"/>
        <w:spacing w:line="560" w:lineRule="exact"/>
        <w:ind w:firstLine="552" w:firstLineChars="200"/>
        <w:rPr>
          <w:rFonts w:hAnsi="仿宋"/>
          <w:spacing w:val="-2"/>
          <w:sz w:val="28"/>
          <w:szCs w:val="28"/>
        </w:rPr>
      </w:pPr>
      <w:r>
        <w:rPr>
          <w:rFonts w:hint="eastAsia" w:hAnsi="仿宋"/>
          <w:spacing w:val="-2"/>
          <w:sz w:val="28"/>
          <w:szCs w:val="28"/>
        </w:rPr>
        <w:t>5、年末结转和结余：指单位按有关规定结转到下年或以后年度继续使用的资金。</w:t>
      </w:r>
    </w:p>
    <w:p>
      <w:pPr>
        <w:pStyle w:val="21"/>
        <w:spacing w:line="576" w:lineRule="exact"/>
        <w:ind w:firstLine="552" w:firstLineChars="200"/>
        <w:jc w:val="both"/>
        <w:rPr>
          <w:rFonts w:hAnsi="仿宋"/>
          <w:spacing w:val="-2"/>
          <w:sz w:val="28"/>
          <w:szCs w:val="28"/>
        </w:rPr>
      </w:pPr>
      <w:r>
        <w:rPr>
          <w:rFonts w:hint="eastAsia" w:hAnsi="仿宋"/>
          <w:spacing w:val="-2"/>
          <w:sz w:val="28"/>
          <w:szCs w:val="28"/>
        </w:rPr>
        <w:t>6</w:t>
      </w:r>
      <w:r>
        <w:rPr>
          <w:rFonts w:hAnsi="仿宋"/>
          <w:spacing w:val="-2"/>
          <w:sz w:val="28"/>
          <w:szCs w:val="28"/>
        </w:rPr>
        <w:t>.</w:t>
      </w:r>
      <w:r>
        <w:rPr>
          <w:rFonts w:hint="eastAsia" w:hAnsi="仿宋"/>
          <w:spacing w:val="-2"/>
          <w:sz w:val="28"/>
          <w:szCs w:val="28"/>
        </w:rPr>
        <w:t>一般公共服务201类08（款）01（项）：指行政单位的基本支出。</w:t>
      </w:r>
    </w:p>
    <w:p>
      <w:pPr>
        <w:pStyle w:val="21"/>
        <w:spacing w:line="576" w:lineRule="exact"/>
        <w:ind w:firstLine="560" w:firstLineChars="200"/>
        <w:jc w:val="both"/>
        <w:rPr>
          <w:rFonts w:hAnsi="仿宋"/>
          <w:sz w:val="28"/>
          <w:szCs w:val="28"/>
        </w:rPr>
      </w:pPr>
      <w:r>
        <w:rPr>
          <w:rFonts w:hint="eastAsia" w:hAnsi="仿宋"/>
          <w:sz w:val="28"/>
          <w:szCs w:val="28"/>
        </w:rPr>
        <w:t>7</w:t>
      </w:r>
      <w:r>
        <w:rPr>
          <w:rFonts w:hAnsi="仿宋"/>
          <w:sz w:val="28"/>
          <w:szCs w:val="28"/>
        </w:rPr>
        <w:t>.</w:t>
      </w:r>
      <w:r>
        <w:rPr>
          <w:rFonts w:hint="eastAsia" w:hAnsi="仿宋"/>
          <w:sz w:val="28"/>
          <w:szCs w:val="28"/>
        </w:rPr>
        <w:t xml:space="preserve"> 一般公共服务201（类08（款）02（项）：指行政单位未单独设置项级科目的其他项目支出。</w:t>
      </w:r>
    </w:p>
    <w:p>
      <w:pPr>
        <w:pStyle w:val="21"/>
        <w:spacing w:line="576" w:lineRule="exact"/>
        <w:ind w:firstLine="560" w:firstLineChars="200"/>
        <w:jc w:val="both"/>
        <w:rPr>
          <w:rFonts w:hAnsi="仿宋"/>
          <w:sz w:val="28"/>
          <w:szCs w:val="28"/>
        </w:rPr>
      </w:pPr>
      <w:r>
        <w:rPr>
          <w:rFonts w:hint="eastAsia" w:hAnsi="仿宋"/>
          <w:sz w:val="28"/>
          <w:szCs w:val="28"/>
        </w:rPr>
        <w:t>8.社会保障和就业208（类）05（款）05（项）：指机关事业单位实施养老保险制度由单位缴纳的基本养老保险支出。</w:t>
      </w:r>
    </w:p>
    <w:p>
      <w:pPr>
        <w:pStyle w:val="21"/>
        <w:spacing w:line="576" w:lineRule="exact"/>
        <w:ind w:firstLine="560" w:firstLineChars="200"/>
        <w:jc w:val="both"/>
        <w:rPr>
          <w:rFonts w:hAnsi="仿宋"/>
          <w:sz w:val="28"/>
          <w:szCs w:val="28"/>
        </w:rPr>
      </w:pPr>
      <w:r>
        <w:rPr>
          <w:rFonts w:hint="eastAsia" w:hAnsi="仿宋"/>
          <w:sz w:val="28"/>
          <w:szCs w:val="28"/>
        </w:rPr>
        <w:t>9.社会保障和就业208（类）05（款）06（项）：指机关事业单位实施养老保险制度由单位实际缴纳的职业年金支出。</w:t>
      </w:r>
    </w:p>
    <w:p>
      <w:pPr>
        <w:pStyle w:val="21"/>
        <w:spacing w:line="576" w:lineRule="exact"/>
        <w:ind w:firstLine="560" w:firstLineChars="200"/>
        <w:jc w:val="both"/>
        <w:rPr>
          <w:rFonts w:hAnsi="仿宋"/>
          <w:sz w:val="28"/>
          <w:szCs w:val="28"/>
        </w:rPr>
      </w:pPr>
      <w:r>
        <w:rPr>
          <w:rFonts w:hint="eastAsia" w:hAnsi="仿宋"/>
          <w:sz w:val="28"/>
          <w:szCs w:val="28"/>
        </w:rPr>
        <w:t>10.医疗卫生与计划生育210（类）11（款）01（项）：指财政部门集中安排的行政单位基本医疗保险缴费经费，未参加医疗保险的行政单位的公费医疗经费，按国家规定享受离休人员、红军战士待遇人员的医疗经费。</w:t>
      </w:r>
    </w:p>
    <w:p>
      <w:pPr>
        <w:pStyle w:val="21"/>
        <w:spacing w:line="576" w:lineRule="exact"/>
        <w:ind w:firstLine="560" w:firstLineChars="200"/>
        <w:jc w:val="both"/>
        <w:rPr>
          <w:rFonts w:hAnsi="仿宋"/>
          <w:sz w:val="28"/>
          <w:szCs w:val="28"/>
        </w:rPr>
      </w:pPr>
      <w:r>
        <w:rPr>
          <w:rFonts w:hint="eastAsia" w:hAnsi="仿宋"/>
          <w:sz w:val="28"/>
          <w:szCs w:val="28"/>
        </w:rPr>
        <w:t>11.农林水213（类）05（款）99（项）：指其他用于扶贫方面的支出。</w:t>
      </w:r>
    </w:p>
    <w:p>
      <w:pPr>
        <w:pStyle w:val="21"/>
        <w:spacing w:line="576" w:lineRule="exact"/>
        <w:ind w:firstLine="560" w:firstLineChars="200"/>
        <w:jc w:val="both"/>
        <w:rPr>
          <w:rFonts w:hAnsi="仿宋"/>
          <w:sz w:val="28"/>
          <w:szCs w:val="28"/>
        </w:rPr>
      </w:pPr>
      <w:r>
        <w:rPr>
          <w:rFonts w:hint="eastAsia" w:hAnsi="仿宋"/>
          <w:sz w:val="28"/>
          <w:szCs w:val="28"/>
        </w:rPr>
        <w:t>12</w:t>
      </w:r>
      <w:r>
        <w:rPr>
          <w:rFonts w:hAnsi="仿宋"/>
          <w:sz w:val="28"/>
          <w:szCs w:val="28"/>
        </w:rPr>
        <w:t>.</w:t>
      </w:r>
      <w:r>
        <w:rPr>
          <w:rFonts w:hint="eastAsia" w:hAnsi="仿宋"/>
          <w:sz w:val="28"/>
          <w:szCs w:val="28"/>
        </w:rPr>
        <w:t>住房保障221（类）02（款）01（项）：指行政单位按人力资源和社会保障部、财政部规定的基本工资和津贴补贴及规定比例为职工缴纳的住房公积金。</w:t>
      </w:r>
    </w:p>
    <w:p>
      <w:pPr>
        <w:spacing w:line="576"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13.基本支出：指为保障机构正常运转、完成日常工作任务而发生的人员支出和公用支出。</w:t>
      </w:r>
    </w:p>
    <w:p>
      <w:pPr>
        <w:spacing w:line="576"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14.项目支出：指在基本支出之外为完成特定行政任务和事业发展目标所发生的支出。</w:t>
      </w:r>
      <w:r>
        <w:rPr>
          <w:rFonts w:ascii="仿宋" w:hAnsi="仿宋" w:eastAsia="仿宋"/>
          <w:color w:val="000000"/>
          <w:sz w:val="28"/>
          <w:szCs w:val="28"/>
        </w:rPr>
        <w:t xml:space="preserve"> </w:t>
      </w:r>
    </w:p>
    <w:p>
      <w:pPr>
        <w:spacing w:line="576"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15.经营支出：指事业单位在专业业务活动及其辅助活动之外开展非独立核算经营活动发生的支出。</w:t>
      </w:r>
    </w:p>
    <w:p>
      <w:pPr>
        <w:pStyle w:val="21"/>
        <w:spacing w:line="576" w:lineRule="exact"/>
        <w:ind w:firstLine="560" w:firstLineChars="200"/>
        <w:jc w:val="both"/>
        <w:rPr>
          <w:rFonts w:hAnsi="仿宋"/>
          <w:sz w:val="28"/>
          <w:szCs w:val="28"/>
        </w:rPr>
      </w:pPr>
      <w:r>
        <w:rPr>
          <w:rFonts w:hint="eastAsia" w:hAnsi="仿宋"/>
          <w:sz w:val="28"/>
          <w:szCs w:val="28"/>
        </w:rPr>
        <w:t>16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1"/>
        <w:spacing w:line="576" w:lineRule="exact"/>
        <w:ind w:firstLine="560" w:firstLineChars="200"/>
        <w:jc w:val="both"/>
        <w:rPr>
          <w:rFonts w:hAnsi="仿宋"/>
          <w:b/>
          <w:sz w:val="28"/>
          <w:szCs w:val="28"/>
        </w:rPr>
      </w:pPr>
      <w:r>
        <w:rPr>
          <w:rFonts w:hint="eastAsia" w:hAnsi="仿宋"/>
          <w:sz w:val="28"/>
          <w:szCs w:val="28"/>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1"/>
        <w:spacing w:line="576" w:lineRule="exact"/>
        <w:ind w:firstLine="883" w:firstLineChars="200"/>
        <w:jc w:val="both"/>
        <w:rPr>
          <w:rFonts w:ascii="宋体" w:hAnsi="宋体"/>
          <w:b/>
          <w:sz w:val="44"/>
          <w:szCs w:val="44"/>
        </w:rPr>
      </w:pPr>
    </w:p>
    <w:p>
      <w:pPr>
        <w:rPr>
          <w:rFonts w:ascii="仿宋_GB2312" w:eastAsia="仿宋_GB2312"/>
          <w:color w:val="000000"/>
          <w:sz w:val="32"/>
          <w:szCs w:val="32"/>
        </w:rPr>
      </w:pPr>
    </w:p>
    <w:p>
      <w:pPr>
        <w:spacing w:line="600" w:lineRule="exact"/>
        <w:outlineLvl w:val="0"/>
        <w:rPr>
          <w:rStyle w:val="16"/>
          <w:rFonts w:ascii="黑体" w:hAnsi="黑体" w:eastAsia="黑体"/>
          <w:b w:val="0"/>
        </w:rPr>
      </w:pPr>
      <w:bookmarkStart w:id="59" w:name="_Toc15377226"/>
      <w:r>
        <w:rPr>
          <w:rFonts w:ascii="宋体"/>
          <w:b/>
          <w:color w:val="000000"/>
          <w:sz w:val="44"/>
          <w:szCs w:val="44"/>
        </w:rPr>
        <w:br w:type="page"/>
      </w:r>
      <w:bookmarkStart w:id="60" w:name="_Toc15396614"/>
      <w:r>
        <w:rPr>
          <w:rFonts w:hint="eastAsia" w:ascii="黑体" w:hAnsi="黑体" w:eastAsia="黑体"/>
          <w:color w:val="000000"/>
          <w:sz w:val="44"/>
          <w:szCs w:val="44"/>
        </w:rPr>
        <w:t>第</w:t>
      </w:r>
      <w:r>
        <w:rPr>
          <w:rStyle w:val="16"/>
          <w:rFonts w:hint="eastAsia" w:ascii="黑体" w:hAnsi="黑体" w:eastAsia="黑体"/>
          <w:b w:val="0"/>
        </w:rPr>
        <w:t>四部分 附件</w:t>
      </w:r>
      <w:bookmarkEnd w:id="60"/>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rPr>
      </w:pPr>
      <w:r>
        <w:rPr>
          <w:rFonts w:hint="eastAsia" w:ascii="方正小标宋简体" w:hAnsi="宋体" w:eastAsia="方正小标宋简体"/>
          <w:color w:val="000000"/>
          <w:kern w:val="0"/>
          <w:sz w:val="40"/>
          <w:szCs w:val="44"/>
        </w:rPr>
        <w:t>广元市利州区审计局</w:t>
      </w:r>
      <w:r>
        <w:rPr>
          <w:rFonts w:ascii="方正小标宋简体" w:hAnsi="宋体" w:eastAsia="方正小标宋简体"/>
          <w:color w:val="000000"/>
          <w:kern w:val="0"/>
          <w:sz w:val="40"/>
          <w:szCs w:val="44"/>
        </w:rPr>
        <w:t>2019年</w:t>
      </w:r>
    </w:p>
    <w:p>
      <w:pPr>
        <w:spacing w:line="600" w:lineRule="exact"/>
        <w:jc w:val="center"/>
        <w:rPr>
          <w:rFonts w:ascii="方正小标宋简体" w:hAnsi="宋体" w:eastAsia="方正小标宋简体"/>
          <w:color w:val="000000"/>
          <w:kern w:val="0"/>
          <w:sz w:val="40"/>
          <w:szCs w:val="44"/>
        </w:rPr>
      </w:pPr>
      <w:r>
        <w:rPr>
          <w:rFonts w:ascii="方正小标宋简体" w:hAnsi="宋体" w:eastAsia="方正小标宋简体"/>
          <w:color w:val="000000"/>
          <w:kern w:val="0"/>
          <w:sz w:val="40"/>
          <w:szCs w:val="44"/>
        </w:rPr>
        <w:t>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方正楷体简体" w:eastAsia="方正楷体简体"/>
          <w:sz w:val="32"/>
          <w:szCs w:val="32"/>
        </w:rPr>
      </w:pPr>
      <w:r>
        <w:rPr>
          <w:rFonts w:hint="eastAsia" w:ascii="方正楷体简体" w:eastAsia="方正楷体简体"/>
          <w:sz w:val="32"/>
          <w:szCs w:val="32"/>
        </w:rPr>
        <w:t>（一）机构组成。</w:t>
      </w:r>
    </w:p>
    <w:p>
      <w:pPr>
        <w:widowControl/>
        <w:adjustRightInd w:val="0"/>
        <w:snapToGrid w:val="0"/>
        <w:spacing w:line="580" w:lineRule="exact"/>
        <w:ind w:firstLine="560" w:firstLineChars="200"/>
        <w:contextualSpacing/>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广元市利州区审计局内部机构设置情况：6股1室3中心：即区委审计办秘书股、办公室（计划与法规股）、财政审计股（电子数据审计股）、经济责任审计股(行政事业审计股)、农业农村审计股（自然资源与生态环境审计股）、固定资产投资审计股、企业和外资审计股、固定资产投资审计中心、审计信息中心、财政监督检查事务中心。</w:t>
      </w:r>
    </w:p>
    <w:p>
      <w:pPr>
        <w:widowControl/>
        <w:adjustRightInd w:val="0"/>
        <w:snapToGrid w:val="0"/>
        <w:spacing w:line="580" w:lineRule="exact"/>
        <w:ind w:firstLine="640" w:firstLineChars="200"/>
        <w:contextualSpacing/>
        <w:jc w:val="left"/>
        <w:rPr>
          <w:rFonts w:ascii="方正楷体简体" w:eastAsia="方正楷体简体"/>
          <w:sz w:val="32"/>
          <w:szCs w:val="32"/>
        </w:rPr>
      </w:pPr>
      <w:r>
        <w:rPr>
          <w:rFonts w:hint="eastAsia" w:ascii="方正楷体简体" w:eastAsia="方正楷体简体"/>
          <w:sz w:val="32"/>
          <w:szCs w:val="32"/>
        </w:rPr>
        <w:t>（二）机构职能。</w:t>
      </w:r>
    </w:p>
    <w:p>
      <w:pPr>
        <w:widowControl/>
        <w:adjustRightInd w:val="0"/>
        <w:snapToGrid w:val="0"/>
        <w:spacing w:line="580" w:lineRule="exact"/>
        <w:ind w:firstLine="560" w:firstLineChars="200"/>
        <w:contextualSpacing/>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主管全区审计工作。负责对区级财政收支和法律法规规定属于审计监督范围的财务收支的真实、合法和效益进行审计监督，对公共资金、国有资产、国有资源和领导干部履行经济责任情况实行审计全覆盖，对领导干部实行自然资源资产离任(任中)审计，对国家、省、市、区有关重大政策措施贯彻落实情况进行跟踪审计。对审计、专项审计调查和核查社会审计机构相关审计报告的结果承担责任，并负有督促被审计单位整改的责任。</w:t>
      </w:r>
    </w:p>
    <w:p>
      <w:pPr>
        <w:widowControl/>
        <w:adjustRightInd w:val="0"/>
        <w:snapToGrid w:val="0"/>
        <w:spacing w:line="580" w:lineRule="exact"/>
        <w:ind w:firstLine="560" w:firstLineChars="200"/>
        <w:contextualSpacing/>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贯彻执行国家有关审计工作的方针政策和法律法规。拟订全区审计规范性文件，负责本系统、本部门依法行政工作。制定并组织实施全区专业领域审计工作规划。对直接审计、调查和核查的事项依法进行审计评价，作出审计决定或提出审计建议。</w:t>
      </w:r>
    </w:p>
    <w:p>
      <w:pPr>
        <w:widowControl/>
        <w:adjustRightInd w:val="0"/>
        <w:snapToGrid w:val="0"/>
        <w:spacing w:line="580" w:lineRule="exact"/>
        <w:ind w:firstLine="560" w:firstLineChars="200"/>
        <w:contextualSpacing/>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3.向区委审计委员会提出年度区级预算执行和其他财政支出情况审计报告。向区政府和市审计局提出年度区级预算执行和其他财政收支情况的审计结果报告。受区政府委托向区人大常委会提出区级预算执行和其他财政收支情况的审计工作报告、审计查出问题整改情况报告。向区委、区政府报告对其他事项的审计和专项审计调查情况及结果。依法向社会公布审计结果。向区直有关部门和乡镇党委、政府，街道党工委、办事处通报审计情况和审计结果。</w:t>
      </w:r>
    </w:p>
    <w:p>
      <w:pPr>
        <w:widowControl/>
        <w:adjustRightInd w:val="0"/>
        <w:snapToGrid w:val="0"/>
        <w:spacing w:line="580" w:lineRule="exact"/>
        <w:ind w:firstLine="560" w:firstLineChars="200"/>
        <w:contextualSpacing/>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直接审计下列事项，出具审计报告，在法定职权范围内作出审计决定，包括国家、省、市、区有关重大政策措施贯彻落实情况；区级预算执行情况和其他财政收支，区直各部门（含直属单位）预算执行情况、决算草案和其他财政收支；乡镇（街道）预算执行情况、财政决算和其他财政收支；使用区级财政资金的事业单位（含直属单位）和社会团体的财务收支；区级政府投资和以区级政府投资为主的建设项目的预算执行情况和决算，区级重大公共工程项目的资金管理使用和建设运营情况；自然资源管理、污染防治和生态保护与修复情况；区属国有企业、国有资本占控股或主导地位的企业境内外资产、负债和损益；有关社会保障基金、社会捐赠资金、安全生产和职业健康财政资金以及其他基金、资金的财务收支；法律法规规定的其他事项。</w:t>
      </w:r>
    </w:p>
    <w:p>
      <w:pPr>
        <w:widowControl/>
        <w:adjustRightInd w:val="0"/>
        <w:snapToGrid w:val="0"/>
        <w:spacing w:line="580" w:lineRule="exact"/>
        <w:ind w:firstLine="560" w:firstLineChars="200"/>
        <w:contextualSpacing/>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5.按规定对区管党政主要领导干部及其他单位主要负责人实施经济责任审计和自然资源资产离任(任中)审计。</w:t>
      </w:r>
    </w:p>
    <w:p>
      <w:pPr>
        <w:widowControl/>
        <w:adjustRightInd w:val="0"/>
        <w:snapToGrid w:val="0"/>
        <w:spacing w:line="580" w:lineRule="exact"/>
        <w:ind w:firstLine="560" w:firstLineChars="200"/>
        <w:contextualSpacing/>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6.组织实施对国家财经法律法规、规章、政策和宏观调控措施执行情况、财政预算管理及国有资产管理使用等与区级财政收支有关的特定事项进行专项审计调查。</w:t>
      </w:r>
    </w:p>
    <w:p>
      <w:pPr>
        <w:widowControl/>
        <w:adjustRightInd w:val="0"/>
        <w:snapToGrid w:val="0"/>
        <w:spacing w:line="580" w:lineRule="exact"/>
        <w:ind w:firstLine="560" w:firstLineChars="200"/>
        <w:contextualSpacing/>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7.依法检查审计决定执行情况，督促整改审计查出的问题，依法办理被审计单位对审计决定提请行政复议、行政诉讼或区政府裁决中的有关事项，协助配合有关部门查处相关重大案件。</w:t>
      </w:r>
    </w:p>
    <w:p>
      <w:pPr>
        <w:widowControl/>
        <w:adjustRightInd w:val="0"/>
        <w:snapToGrid w:val="0"/>
        <w:spacing w:line="580" w:lineRule="exact"/>
        <w:ind w:firstLine="560" w:firstLineChars="200"/>
        <w:contextualSpacing/>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8.指导和监督内部审计工作，核查社会审计机构对依法属于审计监督对象的单位出具的相关审计报告。</w:t>
      </w:r>
    </w:p>
    <w:p>
      <w:pPr>
        <w:widowControl/>
        <w:adjustRightInd w:val="0"/>
        <w:snapToGrid w:val="0"/>
        <w:spacing w:line="580" w:lineRule="exact"/>
        <w:ind w:firstLine="560" w:firstLineChars="200"/>
        <w:contextualSpacing/>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9.依法组织开展国际组织和外国政府援助、贷款项目审计。</w:t>
      </w:r>
    </w:p>
    <w:p>
      <w:pPr>
        <w:widowControl/>
        <w:adjustRightInd w:val="0"/>
        <w:snapToGrid w:val="0"/>
        <w:spacing w:line="580" w:lineRule="exact"/>
        <w:ind w:firstLine="560" w:firstLineChars="200"/>
        <w:contextualSpacing/>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10.组织开展信息技术在审计领域的应用。</w:t>
      </w:r>
    </w:p>
    <w:p>
      <w:pPr>
        <w:widowControl/>
        <w:adjustRightInd w:val="0"/>
        <w:snapToGrid w:val="0"/>
        <w:spacing w:line="580" w:lineRule="exact"/>
        <w:ind w:firstLine="560" w:firstLineChars="200"/>
        <w:contextualSpacing/>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11.负责职责范围内的安全生产和职业健康、生态环境保护、审批服务便民化等工作。</w:t>
      </w:r>
    </w:p>
    <w:p>
      <w:pPr>
        <w:widowControl/>
        <w:adjustRightInd w:val="0"/>
        <w:snapToGrid w:val="0"/>
        <w:spacing w:line="580" w:lineRule="exact"/>
        <w:ind w:firstLine="560" w:firstLineChars="200"/>
        <w:contextualSpacing/>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12.完成区委、区政府交办的其他任务。</w:t>
      </w:r>
    </w:p>
    <w:p>
      <w:pPr>
        <w:widowControl/>
        <w:adjustRightInd w:val="0"/>
        <w:snapToGrid w:val="0"/>
        <w:spacing w:line="580" w:lineRule="exact"/>
        <w:ind w:firstLine="640" w:firstLineChars="200"/>
        <w:contextualSpacing/>
        <w:jc w:val="left"/>
        <w:rPr>
          <w:rFonts w:ascii="方正楷体简体" w:eastAsia="方正楷体简体"/>
          <w:sz w:val="32"/>
          <w:szCs w:val="32"/>
        </w:rPr>
      </w:pPr>
      <w:r>
        <w:rPr>
          <w:rFonts w:hint="eastAsia" w:ascii="方正楷体简体" w:eastAsia="方正楷体简体"/>
          <w:sz w:val="32"/>
          <w:szCs w:val="32"/>
        </w:rPr>
        <w:t>（三）人员概况。</w:t>
      </w:r>
    </w:p>
    <w:p>
      <w:pPr>
        <w:spacing w:line="576" w:lineRule="exact"/>
        <w:ind w:firstLine="560" w:firstLineChars="200"/>
        <w:outlineLvl w:val="1"/>
        <w:rPr>
          <w:rFonts w:ascii="仿宋" w:hAnsi="仿宋" w:eastAsia="仿宋" w:cs="仿宋"/>
          <w:color w:val="000000"/>
          <w:kern w:val="0"/>
          <w:sz w:val="28"/>
          <w:szCs w:val="28"/>
        </w:rPr>
      </w:pPr>
      <w:r>
        <w:rPr>
          <w:rFonts w:hint="eastAsia" w:ascii="仿宋" w:hAnsi="仿宋" w:eastAsia="仿宋" w:cs="仿宋"/>
          <w:color w:val="000000"/>
          <w:kern w:val="0"/>
          <w:sz w:val="28"/>
          <w:szCs w:val="28"/>
        </w:rPr>
        <w:t>2019年末实有人数29人，其中：公务员10人、参公3人、机关工勤3人、全额事业人员13人。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spacing w:line="576" w:lineRule="exact"/>
        <w:ind w:firstLine="560" w:firstLineChars="200"/>
        <w:outlineLvl w:val="1"/>
        <w:rPr>
          <w:rFonts w:ascii="仿宋" w:hAnsi="仿宋" w:eastAsia="仿宋"/>
          <w:color w:val="000000"/>
          <w:sz w:val="32"/>
          <w:szCs w:val="32"/>
        </w:rPr>
      </w:pPr>
      <w:r>
        <w:rPr>
          <w:rFonts w:ascii="仿宋" w:hAnsi="仿宋" w:eastAsia="仿宋" w:cs="仿宋"/>
          <w:color w:val="000000"/>
          <w:kern w:val="0"/>
          <w:sz w:val="28"/>
          <w:szCs w:val="28"/>
        </w:rPr>
        <w:t>201</w:t>
      </w:r>
      <w:r>
        <w:rPr>
          <w:rFonts w:hint="eastAsia" w:ascii="仿宋" w:hAnsi="仿宋" w:eastAsia="仿宋" w:cs="仿宋"/>
          <w:color w:val="000000"/>
          <w:kern w:val="0"/>
          <w:sz w:val="28"/>
          <w:szCs w:val="28"/>
        </w:rPr>
        <w:t>9年财政拨款预算收入合计542.23万元，其中：一般公共预算财政拨款收入542.23万元。</w:t>
      </w:r>
      <w:r>
        <w:rPr>
          <w:rFonts w:ascii="仿宋" w:hAnsi="仿宋" w:eastAsia="仿宋"/>
          <w:color w:val="000000"/>
          <w:sz w:val="32"/>
          <w:szCs w:val="32"/>
        </w:rPr>
        <w:t xml:space="preserve"> </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spacing w:line="576" w:lineRule="exact"/>
        <w:ind w:firstLine="560" w:firstLineChars="200"/>
        <w:outlineLvl w:val="1"/>
        <w:rPr>
          <w:rFonts w:ascii="仿宋" w:hAnsi="仿宋" w:eastAsia="仿宋" w:cs="仿宋"/>
          <w:color w:val="000000"/>
          <w:kern w:val="0"/>
          <w:sz w:val="28"/>
          <w:szCs w:val="28"/>
        </w:rPr>
      </w:pPr>
      <w:r>
        <w:rPr>
          <w:rFonts w:ascii="仿宋" w:hAnsi="仿宋" w:eastAsia="仿宋" w:cs="仿宋"/>
          <w:color w:val="000000"/>
          <w:kern w:val="0"/>
          <w:sz w:val="28"/>
          <w:szCs w:val="28"/>
        </w:rPr>
        <w:t>201</w:t>
      </w:r>
      <w:r>
        <w:rPr>
          <w:rFonts w:hint="eastAsia" w:ascii="仿宋" w:hAnsi="仿宋" w:eastAsia="仿宋" w:cs="仿宋"/>
          <w:color w:val="000000"/>
          <w:kern w:val="0"/>
          <w:sz w:val="28"/>
          <w:szCs w:val="28"/>
        </w:rPr>
        <w:t>9年一般公共预算财政拨款支出541.42万元，其中基本支出504.86万元，项目支出36.56万元。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spacing w:line="576" w:lineRule="exact"/>
        <w:ind w:firstLine="560" w:firstLineChars="200"/>
        <w:outlineLvl w:val="1"/>
        <w:rPr>
          <w:rFonts w:ascii="仿宋" w:hAnsi="仿宋" w:eastAsia="仿宋" w:cs="仿宋"/>
          <w:color w:val="000000"/>
          <w:kern w:val="0"/>
          <w:sz w:val="28"/>
          <w:szCs w:val="28"/>
        </w:rPr>
      </w:pPr>
      <w:r>
        <w:rPr>
          <w:rFonts w:hint="eastAsia" w:ascii="仿宋" w:hAnsi="仿宋" w:eastAsia="仿宋" w:cs="仿宋"/>
          <w:color w:val="000000"/>
          <w:kern w:val="0"/>
          <w:sz w:val="28"/>
          <w:szCs w:val="28"/>
        </w:rPr>
        <w:t>广元市利州区审计局严格按照现行财政预算管理体制的有关规定和财政部门要求进行预算编制工作，在编制部门</w:t>
      </w:r>
      <w:r>
        <w:rPr>
          <w:rFonts w:ascii="仿宋" w:hAnsi="仿宋" w:eastAsia="仿宋" w:cs="仿宋"/>
          <w:color w:val="000000"/>
          <w:kern w:val="0"/>
          <w:sz w:val="28"/>
          <w:szCs w:val="28"/>
        </w:rPr>
        <w:t>预算</w:t>
      </w:r>
      <w:r>
        <w:rPr>
          <w:rFonts w:hint="eastAsia" w:ascii="仿宋" w:hAnsi="仿宋" w:eastAsia="仿宋" w:cs="仿宋"/>
          <w:color w:val="000000"/>
          <w:kern w:val="0"/>
          <w:sz w:val="28"/>
          <w:szCs w:val="28"/>
        </w:rPr>
        <w:t>时严格</w:t>
      </w:r>
      <w:r>
        <w:rPr>
          <w:rFonts w:ascii="仿宋" w:hAnsi="仿宋" w:eastAsia="仿宋" w:cs="仿宋"/>
          <w:color w:val="000000"/>
          <w:kern w:val="0"/>
          <w:sz w:val="28"/>
          <w:szCs w:val="28"/>
        </w:rPr>
        <w:t>遵循统筹兼顾、勤俭节约、量力而行、讲求绩效和收支平衡的原则</w:t>
      </w:r>
      <w:r>
        <w:rPr>
          <w:rFonts w:hint="eastAsia" w:ascii="仿宋" w:hAnsi="仿宋" w:eastAsia="仿宋" w:cs="仿宋"/>
          <w:color w:val="000000"/>
          <w:kern w:val="0"/>
          <w:sz w:val="28"/>
          <w:szCs w:val="28"/>
        </w:rPr>
        <w:t>，在支出过程中严格遵守各项规章制定，“三公”经费从严管理，在资金支出过程中严格执行“三重一大”制度，认真执行联审会签审核制度。在专项资金支出上，做到专款专用，无截留、挪用等现象。实行先有预算、后有执行的资金支付模式。专项资金的预算绩效目标全面完成，无违规使用专项资金的现象，全年支出占收入的比例为99.85%.</w:t>
      </w:r>
    </w:p>
    <w:p>
      <w:pPr>
        <w:widowControl/>
        <w:adjustRightInd w:val="0"/>
        <w:snapToGrid w:val="0"/>
        <w:spacing w:line="580" w:lineRule="exact"/>
        <w:ind w:firstLine="640" w:firstLineChars="200"/>
        <w:contextualSpacing/>
        <w:jc w:val="left"/>
        <w:rPr>
          <w:rFonts w:ascii="仿宋" w:hAnsi="仿宋" w:eastAsia="仿宋"/>
          <w:color w:val="000000"/>
          <w:sz w:val="32"/>
          <w:szCs w:val="32"/>
        </w:rPr>
      </w:pPr>
      <w:r>
        <w:rPr>
          <w:rFonts w:hint="eastAsia" w:ascii="黑体" w:hAnsi="黑体" w:eastAsia="黑体"/>
          <w:color w:val="000000"/>
          <w:sz w:val="32"/>
          <w:szCs w:val="32"/>
        </w:rPr>
        <w:t>（二）结果应用情况</w:t>
      </w:r>
      <w:r>
        <w:rPr>
          <w:rFonts w:hint="eastAsia" w:ascii="仿宋" w:hAnsi="仿宋" w:eastAsia="仿宋"/>
          <w:color w:val="000000"/>
          <w:sz w:val="32"/>
          <w:szCs w:val="32"/>
        </w:rPr>
        <w:t>。</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此次绩效评价的目的是：严格落实《预算法》及省、市、区绩效管理的有关规定，进一步规范财政资金的管理，强化财政资金支出绩效理念，提升部门责任意识，提高资金使用</w:t>
      </w:r>
      <w:bookmarkStart w:id="75" w:name="_GoBack"/>
      <w:bookmarkEnd w:id="75"/>
      <w:r>
        <w:rPr>
          <w:rFonts w:hint="eastAsia" w:ascii="仿宋" w:hAnsi="仿宋" w:eastAsia="仿宋"/>
          <w:color w:val="000000"/>
          <w:sz w:val="32"/>
          <w:szCs w:val="32"/>
        </w:rPr>
        <w:t>效益，促进审计事业发展。</w:t>
      </w:r>
    </w:p>
    <w:p>
      <w:pPr>
        <w:spacing w:line="576"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在区委、区政府和上级审计部门的领导正确领导下，紧紧围绕区委、区政府决策部署和中心工作，继续坚持“固本强基、扩面提质、创新突破、全面提升”工作方针和“跨越发展”总基调，以聚焦打好“三大攻坚战”为重点，以创新审计方式为突破，以提升审计质效为核心，聚力服务“九项工作大比武”，全面依法履行审计监督职责，持续深化审计铁军建设，为全区奋力实现“九个争先，三年攀高”目标任务，较好地发挥了保障全区经济社会健康运行的“免疫系统”功能和服务于地方治理的作用。</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全年完成审计项目128个。其中：计划内项目17个，交办项目111个（政府投资项目82个），审计监督资金132.73亿元，查处违规资金246.67万元，管理不规范资金5.06亿元，收缴财政入库117万元，归还原渠道资金469万元，节省财政支出3055.17万元，提出审计建议并采纳155条，促进被审计单位建章立制15项，报送《审计报告》《审计建议》《审计要情》《审计专报》等27份，受到区委区政府主要领导批示，批示率达95%。移送问题线索8件（其中：移送区纪委6件）。2019年8月我局被省审计厅、省人社厅表彰为“四川省审计系统先进集体”，2015年-2017年度易地扶贫搬迁等三项扶贫资金专项审计调查项目荣获2019年度省审计厅“一等奖”。</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spacing w:line="576" w:lineRule="exact"/>
        <w:ind w:firstLine="560" w:firstLineChars="200"/>
        <w:rPr>
          <w:rFonts w:ascii="楷体" w:hAnsi="楷体" w:eastAsia="楷体" w:cs="仿宋_GB2312"/>
          <w:sz w:val="28"/>
          <w:szCs w:val="28"/>
        </w:rPr>
      </w:pPr>
      <w:r>
        <w:rPr>
          <w:rFonts w:ascii="楷体" w:hAnsi="楷体" w:eastAsia="楷体" w:cs="仿宋_GB2312"/>
          <w:sz w:val="28"/>
          <w:szCs w:val="28"/>
        </w:rPr>
        <w:t>（一）评价结论。</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根据绩效评价的要求，成立了绩效评价工作领导小组，对照绩效评价方案进行研究和部署，党组成员及各股室负责人全程参与，按照绩效评价方案的要求，对照各实施项目的内容全面评价。在评价过程中发现问题，查找原因，及时纠正偏差，为下一步开展工作夯实基础。</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根据对我局2019年整体支出绩效评价体系和绩效情况的检查，2019年部门整体绩效评价自评分为95分，为“优”等级。</w:t>
      </w:r>
    </w:p>
    <w:p>
      <w:pPr>
        <w:spacing w:line="576" w:lineRule="exact"/>
        <w:ind w:firstLine="640" w:firstLineChars="200"/>
        <w:rPr>
          <w:rFonts w:ascii="仿宋" w:hAnsi="仿宋" w:eastAsia="仿宋"/>
          <w:sz w:val="32"/>
          <w:szCs w:val="32"/>
        </w:rPr>
      </w:pPr>
      <w:r>
        <w:rPr>
          <w:rFonts w:ascii="仿宋" w:hAnsi="仿宋" w:eastAsia="仿宋"/>
          <w:sz w:val="32"/>
          <w:szCs w:val="32"/>
        </w:rPr>
        <w:t>（二）存在问题。</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经费支出管理项目还有待进一步细化和量化，强化机关经费预算管理的刚性约束，项目支出按预算和工作进度执行，进一步规范各项支出。</w:t>
      </w:r>
    </w:p>
    <w:p>
      <w:pPr>
        <w:spacing w:line="576" w:lineRule="exact"/>
        <w:ind w:firstLine="640" w:firstLineChars="200"/>
        <w:rPr>
          <w:rFonts w:ascii="仿宋" w:hAnsi="仿宋" w:eastAsia="仿宋"/>
          <w:sz w:val="32"/>
          <w:szCs w:val="32"/>
        </w:rPr>
      </w:pPr>
      <w:r>
        <w:rPr>
          <w:rFonts w:ascii="仿宋" w:hAnsi="仿宋" w:eastAsia="仿宋"/>
          <w:sz w:val="32"/>
          <w:szCs w:val="32"/>
        </w:rPr>
        <w:t>（三）改进建议。</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进一步提高部门预算基本支出的财政保障力度，将开展审计业务所需工作经费全额纳入财政预算。</w:t>
      </w:r>
    </w:p>
    <w:p>
      <w:pPr>
        <w:spacing w:line="580" w:lineRule="exact"/>
        <w:rPr>
          <w:rFonts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576" w:lineRule="exact"/>
        <w:jc w:val="center"/>
        <w:rPr>
          <w:rFonts w:ascii="方正小标宋简体" w:hAnsi="仿宋" w:eastAsia="方正小标宋简体" w:cs="方正小标宋简体"/>
          <w:sz w:val="32"/>
          <w:szCs w:val="32"/>
        </w:rPr>
      </w:pPr>
      <w:r>
        <w:rPr>
          <w:rFonts w:hint="eastAsia" w:ascii="方正小标宋简体" w:hAnsi="仿宋" w:eastAsia="方正小标宋简体" w:cs="方正小标宋简体"/>
          <w:sz w:val="32"/>
          <w:szCs w:val="32"/>
        </w:rPr>
        <w:t>参加全国、省、市统一审计项目经费项目</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 w:hAnsi="仿宋" w:eastAsia="仿宋"/>
          <w:sz w:val="28"/>
          <w:szCs w:val="28"/>
        </w:rPr>
      </w:pPr>
      <w:r>
        <w:rPr>
          <w:rFonts w:hint="eastAsia" w:ascii="仿宋" w:hAnsi="仿宋" w:eastAsia="仿宋"/>
          <w:sz w:val="28"/>
          <w:szCs w:val="28"/>
        </w:rPr>
        <w:t>根据审计工作上下一盘棋的总体要求，集中力量，上下联动，完成了审计署安排的“宏观政策措施落实情况跟踪审计项目”、省审计厅安排的“殡葬服务专项审计调查”及市审计局安排的“旺苍县人民检察院检察长履行经济责任审计”等8个上下联动及交叉审计项目。完成了外出参加审计人员的计机关的住宿费、差旅费、接待费及办公费等支出。</w:t>
      </w:r>
    </w:p>
    <w:p>
      <w:pPr>
        <w:spacing w:line="576" w:lineRule="exact"/>
        <w:ind w:firstLine="560" w:firstLineChars="200"/>
        <w:rPr>
          <w:rFonts w:ascii="黑体" w:hAnsi="黑体" w:eastAsia="黑体"/>
          <w:sz w:val="28"/>
          <w:szCs w:val="28"/>
        </w:rPr>
      </w:pPr>
      <w:r>
        <w:rPr>
          <w:rFonts w:hint="eastAsia" w:ascii="黑体" w:hAnsi="黑体" w:eastAsia="黑体"/>
          <w:sz w:val="28"/>
          <w:szCs w:val="28"/>
        </w:rPr>
        <w:t>二</w:t>
      </w:r>
      <w:r>
        <w:rPr>
          <w:rFonts w:ascii="黑体" w:hAnsi="黑体" w:eastAsia="黑体"/>
          <w:sz w:val="28"/>
          <w:szCs w:val="28"/>
        </w:rPr>
        <w:t>、评价结论及绩效分析</w:t>
      </w:r>
    </w:p>
    <w:p>
      <w:pPr>
        <w:spacing w:line="576" w:lineRule="exact"/>
        <w:ind w:firstLine="560" w:firstLineChars="200"/>
        <w:rPr>
          <w:rFonts w:ascii="楷体" w:hAnsi="楷体" w:eastAsia="楷体"/>
          <w:sz w:val="28"/>
          <w:szCs w:val="28"/>
        </w:rPr>
      </w:pPr>
      <w:r>
        <w:rPr>
          <w:rFonts w:ascii="楷体" w:hAnsi="楷体" w:eastAsia="楷体"/>
          <w:sz w:val="28"/>
          <w:szCs w:val="28"/>
        </w:rPr>
        <w:t>（一）评价结论</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实施的8个审计项目审计监督财政资金14.37亿元，查处违规金额115万元，管理不规范资金8030万元，节约财政资金1341.14万元，减轻企业负担989万元，清理拖欠民营企业欠款2309.95万元，促进单位简章立制13项，提出审计建议25条。该项工作的开展取得了良好的经济效益和社会效益。</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2019年全面完成国家、省、市审计部门安排的交叉审计项目8个，完成自行实施的审计项目的区外调查取证工作及上级审计部门对审计人员的抽调工作的经费保障。加强审计机关廉政建设，提高审计工作质量，有效的履行审计监督职责，维护审计机关良好形象，构建审计机关廉政体系和“八不准”及“四严禁”审计纪律的要求，全面保障开展审计工作所需要的经费，杜绝审计人员与被审计对象发生不正当的经济关系。</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对外出审计人员在外出期间发生的差旅费，严格按照《广元市利州区机关事业单位差旅费管理办法》的规定，厉行节约，反对浪费，廉洁从审，节约开支，严格控制各项费用开支成本，实行项目经费封顶控制，低于控制线据实报销，最大程度的发挥财政资金的使用效益。</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项目按照审计方案规定的内容全面完成，加强审计监督，维护国家财政经济秩序，提高财政资金使用效益，促进廉政建设，保障国民经济社会健康发展，揭示和反映经济社会领域的新情况、新问题、新趋势，促进党中央的决策部署落地落实，推动全面深化改革，促进依法治国，推进廉政建设。审计项目完成后，依照法律规定的职责和程序，对审计结果在区人民政府门户网站向社会进行了公布 。</w:t>
      </w:r>
    </w:p>
    <w:p>
      <w:pPr>
        <w:adjustRightInd w:val="0"/>
        <w:snapToGrid w:val="0"/>
        <w:spacing w:line="600" w:lineRule="exact"/>
        <w:ind w:firstLine="481" w:firstLineChars="15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spacing w:line="600" w:lineRule="exact"/>
        <w:ind w:firstLine="640"/>
        <w:rPr>
          <w:rFonts w:ascii="仿宋" w:hAnsi="仿宋" w:eastAsia="仿宋"/>
          <w:sz w:val="28"/>
          <w:szCs w:val="28"/>
        </w:rPr>
      </w:pPr>
      <w:r>
        <w:rPr>
          <w:rFonts w:hint="eastAsia" w:ascii="仿宋" w:hAnsi="仿宋" w:eastAsia="仿宋"/>
          <w:sz w:val="28"/>
          <w:szCs w:val="28"/>
        </w:rPr>
        <w:t>根据绩效评价的要求，成立了绩效评价工作领导小组，对照绩效评价方案进行研究和部署，党组成员及各股室负责人全程参与，按照绩效评价方案的要求，对照各实施项目的内容全面评价。在评价过程中按照年初的项目预算绩效目标申报表的指标设置产出数量、质量、时效、成本，以及经济效益、社会效益、生态效益、可持续影响、服务对象满意度等等指标开展项目绩效评价, 在评价过程中发现问题，查找原因，及时纠正偏差，为全面完成绩效目标制度措施。</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 w:hAnsi="仿宋" w:eastAsia="仿宋"/>
          <w:sz w:val="28"/>
          <w:szCs w:val="28"/>
        </w:rPr>
      </w:pPr>
      <w:r>
        <w:rPr>
          <w:rFonts w:hint="eastAsia" w:ascii="仿宋" w:hAnsi="仿宋" w:eastAsia="仿宋"/>
          <w:sz w:val="28"/>
          <w:szCs w:val="28"/>
        </w:rPr>
        <w:t>该项目年初预算申报20万元，年度区财政预算批复20万元。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仿宋" w:hAnsi="仿宋" w:eastAsia="仿宋"/>
          <w:sz w:val="28"/>
          <w:szCs w:val="28"/>
        </w:rPr>
      </w:pPr>
      <w:r>
        <w:rPr>
          <w:rFonts w:hint="eastAsia" w:ascii="仿宋" w:hAnsi="仿宋" w:eastAsia="仿宋"/>
          <w:sz w:val="28"/>
          <w:szCs w:val="28"/>
        </w:rPr>
        <w:t>项目全年预算数20万元，执行数为20万元，完成预算的100%。通过项目实施，保障了上级审计部门安排的参加全国、省、市统一交叉审计项目及上级审计机关抽调审计人员的住宿费、交通费、生活补助、公杂费及办公费等支出.</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建立了《广元市利州区审计外出审计经费管理办法》，对外出审计人员在外出期间发生的差旅费，严格按照该办法及《广元市利州区机关事业单位差旅费管理办法》的规定执行，厉行节约，反对浪费，廉洁从审，节约开支，严格控制各项费用开支成本，实行项目经费封顶控制，低于控制线据实报销，最大程度的发挥财政资金的使用效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 w:hAnsi="仿宋" w:eastAsia="仿宋"/>
          <w:sz w:val="28"/>
          <w:szCs w:val="28"/>
        </w:rPr>
      </w:pPr>
      <w:r>
        <w:rPr>
          <w:rFonts w:hint="eastAsia" w:ascii="仿宋" w:hAnsi="仿宋" w:eastAsia="仿宋"/>
          <w:sz w:val="28"/>
          <w:szCs w:val="28"/>
        </w:rPr>
        <w:t>全年完成上级审计部门统一安排交叉审计项目8个，派出审计组8个，上级审计部门临时抽调审计人员参加区域外审计项目9人次。根据全国审计机关审计工作一盘棋的要求，年初预算的参加全国、省、市统一外出审计项目工作经费不能很好的全面保障审计工作的需要，在来年的预算经费安排中应增加预算，保障全面完成审计工作的目标任务</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spacing w:line="576" w:lineRule="exact"/>
        <w:ind w:firstLine="560" w:firstLineChars="200"/>
        <w:rPr>
          <w:rFonts w:ascii="仿宋" w:hAnsi="仿宋" w:eastAsia="仿宋"/>
          <w:sz w:val="28"/>
          <w:szCs w:val="28"/>
        </w:rPr>
      </w:pPr>
      <w:r>
        <w:rPr>
          <w:rFonts w:hint="eastAsia" w:ascii="仿宋" w:hAnsi="仿宋" w:eastAsia="仿宋"/>
          <w:sz w:val="28"/>
          <w:szCs w:val="28"/>
        </w:rPr>
        <w:t>实施的8个审计项目审计监督财政资金14.37亿元，查处违规金额115万元，管理不规范资金8030万元，节约财政资金1341.14万元，减轻企业负担989万元，清理拖欠民营企业欠款2309.95万元，促进单位简章立制13项，提出审计建议25条。该项工作的开展取得了良好的经济效益和社会效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全面保障了上级审计部门安排的审计任务及审计业务的区外审计调查的经费，在项目审计中严格执行“四严禁”工作要求和审计“八不准”工作纪律。通过该项目的实施促进被审计单位遵守财经秩序，促进规范管理，提高了资金使用绩效，维护了财政资金的安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根据全国审计机关审计工作一盘棋的要求，年初预算的参加全国、省、市统一外出审计项目工作经费不能很好的全面保障审计工作的需要。</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76" w:lineRule="exact"/>
        <w:ind w:firstLine="560" w:firstLineChars="200"/>
        <w:rPr>
          <w:rStyle w:val="16"/>
          <w:rFonts w:ascii="仿宋" w:hAnsi="仿宋" w:eastAsia="仿宋"/>
          <w:b w:val="0"/>
          <w:bCs w:val="0"/>
          <w:kern w:val="2"/>
          <w:sz w:val="28"/>
          <w:szCs w:val="28"/>
        </w:rPr>
      </w:pPr>
      <w:r>
        <w:rPr>
          <w:rFonts w:hint="eastAsia" w:ascii="仿宋" w:hAnsi="仿宋" w:eastAsia="仿宋"/>
          <w:sz w:val="28"/>
          <w:szCs w:val="28"/>
        </w:rPr>
        <w:t>为全面落实上级审计部门安排下达的审计任务，希望在来年的财政经费预算安排中增加经费预算，保障履行职责所必须的经费。</w:t>
      </w:r>
    </w:p>
    <w:p>
      <w:pPr>
        <w:widowControl/>
        <w:jc w:val="left"/>
        <w:rPr>
          <w:rStyle w:val="16"/>
          <w:rFonts w:ascii="黑体" w:hAnsi="黑体" w:eastAsia="黑体"/>
          <w:b w:val="0"/>
        </w:rPr>
      </w:pPr>
      <w:r>
        <w:rPr>
          <w:rStyle w:val="16"/>
          <w:rFonts w:ascii="黑体" w:hAnsi="黑体" w:eastAsia="黑体"/>
          <w:b w:val="0"/>
        </w:rPr>
        <w:br w:type="page"/>
      </w:r>
    </w:p>
    <w:p>
      <w:pPr>
        <w:spacing w:line="576" w:lineRule="exact"/>
        <w:jc w:val="left"/>
        <w:rPr>
          <w:rFonts w:ascii="方正小标宋简体" w:hAnsi="仿宋" w:eastAsia="方正小标宋简体" w:cs="方正小标宋简体"/>
          <w:sz w:val="32"/>
          <w:szCs w:val="32"/>
        </w:rPr>
      </w:pPr>
    </w:p>
    <w:p>
      <w:pPr>
        <w:spacing w:line="576"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2019年中央对地方审计机关</w:t>
      </w:r>
    </w:p>
    <w:p>
      <w:pPr>
        <w:spacing w:line="576"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专项补助</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 w:hAnsi="仿宋" w:eastAsia="仿宋"/>
          <w:sz w:val="28"/>
          <w:szCs w:val="28"/>
        </w:rPr>
      </w:pPr>
      <w:r>
        <w:rPr>
          <w:rFonts w:hint="eastAsia" w:ascii="仿宋" w:hAnsi="仿宋" w:eastAsia="仿宋"/>
          <w:sz w:val="28"/>
          <w:szCs w:val="28"/>
        </w:rPr>
        <w:t>根据审计工作上下一盘棋的总体要求，集中力量，上下联动，完成了审计署安排的“宏观政策措施落实情况跟踪审计项目”。</w:t>
      </w:r>
    </w:p>
    <w:p>
      <w:pPr>
        <w:spacing w:line="576" w:lineRule="exact"/>
        <w:ind w:firstLine="560" w:firstLineChars="200"/>
        <w:rPr>
          <w:rFonts w:ascii="黑体" w:hAnsi="黑体" w:eastAsia="黑体"/>
          <w:sz w:val="28"/>
          <w:szCs w:val="28"/>
        </w:rPr>
      </w:pPr>
      <w:r>
        <w:rPr>
          <w:rFonts w:hint="eastAsia" w:ascii="黑体" w:hAnsi="黑体" w:eastAsia="黑体"/>
          <w:sz w:val="28"/>
          <w:szCs w:val="28"/>
        </w:rPr>
        <w:t>二</w:t>
      </w:r>
      <w:r>
        <w:rPr>
          <w:rFonts w:ascii="黑体" w:hAnsi="黑体" w:eastAsia="黑体"/>
          <w:sz w:val="28"/>
          <w:szCs w:val="28"/>
        </w:rPr>
        <w:t>、评价结论及绩效分析</w:t>
      </w:r>
    </w:p>
    <w:p>
      <w:pPr>
        <w:spacing w:line="576" w:lineRule="exact"/>
        <w:ind w:firstLine="560" w:firstLineChars="200"/>
        <w:rPr>
          <w:rFonts w:ascii="楷体" w:hAnsi="楷体" w:eastAsia="楷体"/>
          <w:sz w:val="28"/>
          <w:szCs w:val="28"/>
        </w:rPr>
      </w:pPr>
      <w:r>
        <w:rPr>
          <w:rFonts w:ascii="楷体" w:hAnsi="楷体" w:eastAsia="楷体"/>
          <w:sz w:val="28"/>
          <w:szCs w:val="28"/>
        </w:rPr>
        <w:t>（一）评价结论</w:t>
      </w:r>
    </w:p>
    <w:p>
      <w:pPr>
        <w:adjustRightInd w:val="0"/>
        <w:snapToGrid w:val="0"/>
        <w:spacing w:line="600" w:lineRule="exact"/>
        <w:ind w:firstLine="720"/>
        <w:rPr>
          <w:rFonts w:ascii="楷体_GB2312" w:hAnsi="宋体" w:eastAsia="楷体_GB2312"/>
          <w:b/>
          <w:sz w:val="32"/>
          <w:szCs w:val="32"/>
          <w:lang w:val="zh-CN"/>
        </w:rPr>
      </w:pPr>
      <w:r>
        <w:rPr>
          <w:rFonts w:hint="eastAsia" w:ascii="仿宋" w:hAnsi="仿宋" w:eastAsia="仿宋"/>
          <w:sz w:val="32"/>
          <w:szCs w:val="32"/>
        </w:rPr>
        <w:t>以推动重大政策措施贯彻落实，促进地方经济持续健康发展为目标。坚持“结合审计”和“专项审计”双规并行方式，完成了3轮跟踪审计任务。先后组织审计力量54人次，对放管服改革、清理拖欠民营企业中小企业账款、减税降费、实施乡村振兴战略、就业补助资金和失业保险基金、脱贫攻坚、贯彻落实过“紧日子”要求等12个领域开展了跟踪审计。</w:t>
      </w:r>
      <w:r>
        <w:rPr>
          <w:rFonts w:hint="eastAsia" w:ascii="楷体_GB2312" w:hAnsi="宋体" w:eastAsia="楷体_GB2312"/>
          <w:b/>
          <w:sz w:val="32"/>
          <w:szCs w:val="32"/>
          <w:lang w:val="zh-CN"/>
        </w:rPr>
        <w:t>（二）项目绩效目标。</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根据审计署统一安排完成对放管服改革、清理拖欠民营企业中小企业账款、减税降费、实施乡村振兴战略、就业补助资金和失业保险基金、脱贫攻坚、贯彻落实过“紧日子”要求等12个领域开展了跟踪审计任务。</w:t>
      </w:r>
    </w:p>
    <w:p>
      <w:pPr>
        <w:adjustRightInd w:val="0"/>
        <w:snapToGrid w:val="0"/>
        <w:spacing w:line="600" w:lineRule="exact"/>
        <w:ind w:firstLine="481" w:firstLineChars="15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spacing w:line="600" w:lineRule="exact"/>
        <w:ind w:firstLine="640"/>
        <w:rPr>
          <w:rFonts w:ascii="仿宋" w:hAnsi="仿宋" w:eastAsia="仿宋"/>
          <w:sz w:val="32"/>
          <w:szCs w:val="32"/>
        </w:rPr>
      </w:pPr>
      <w:r>
        <w:rPr>
          <w:rFonts w:hint="eastAsia" w:ascii="仿宋" w:hAnsi="仿宋" w:eastAsia="仿宋"/>
          <w:sz w:val="32"/>
          <w:szCs w:val="32"/>
        </w:rPr>
        <w:t>根据绩效评价的要求，成立了绩效评价工作领导小组，对照绩效评价方案进行研究和部署，党组成员及各股室负责人全程参与，按照绩效评价方案的要求，对照各实施项目的内容全面评价。在评价过程中按照年初的项目预算绩效目标申报表的指标设置产出数量、质量、时效、成本，以及经济效益、社会效益、生态效益、可持续影响、服务对象满意度等等指标开展项目绩效评价, 在评价过程中发现问题，查找原因，及时纠正偏差，为全面完成绩效目标制度措施。</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 w:hAnsi="仿宋" w:eastAsia="仿宋"/>
          <w:sz w:val="32"/>
          <w:szCs w:val="32"/>
        </w:rPr>
      </w:pPr>
      <w:r>
        <w:rPr>
          <w:rFonts w:hint="eastAsia" w:ascii="仿宋" w:hAnsi="仿宋" w:eastAsia="仿宋"/>
          <w:sz w:val="32"/>
          <w:szCs w:val="32"/>
        </w:rPr>
        <w:t>该项目年中追加预算10万元，年度区财政预算批复10万元。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仿宋" w:hAnsi="仿宋" w:eastAsia="仿宋"/>
          <w:sz w:val="32"/>
          <w:szCs w:val="32"/>
        </w:rPr>
      </w:pPr>
      <w:r>
        <w:rPr>
          <w:rFonts w:hint="eastAsia" w:ascii="仿宋" w:hAnsi="仿宋" w:eastAsia="仿宋"/>
          <w:sz w:val="32"/>
          <w:szCs w:val="32"/>
        </w:rPr>
        <w:t>项目全年预算数10万元，实现支付10万元，完成预算的100%。通过项目实施，保障了审计人员的住宿费、交通费、生活补助、公杂费及办公费等支出。</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 w:hAnsi="仿宋" w:eastAsia="仿宋"/>
          <w:sz w:val="32"/>
          <w:szCs w:val="32"/>
        </w:rPr>
      </w:pPr>
      <w:r>
        <w:rPr>
          <w:rFonts w:hint="eastAsia" w:ascii="仿宋" w:hAnsi="仿宋" w:eastAsia="仿宋"/>
          <w:sz w:val="32"/>
          <w:szCs w:val="32"/>
        </w:rPr>
        <w:t>建立了《广元市利州区审计外出审计经费管理办法》，对外出审计人员在外出期间发生的差旅费，严格按照该办法及《广元市利州区机关事业单位差旅费管理办法》的规定执行，厉行节约，反对浪费，廉洁从审，节约开支，严格控制各项费用开支成本，实行项目经费封顶控制，低于控制线据实报销，最大程度的发挥财政资金的使用效益。</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三、项目实施及管理情况</w:t>
      </w:r>
    </w:p>
    <w:p>
      <w:pPr>
        <w:adjustRightInd w:val="0"/>
        <w:snapToGrid w:val="0"/>
        <w:spacing w:line="600" w:lineRule="exact"/>
        <w:ind w:firstLine="720"/>
        <w:rPr>
          <w:rFonts w:ascii="仿宋_GB2312" w:hAnsi="仿宋_GB2312" w:eastAsia="仿宋_GB2312" w:cs="仿宋_GB2312"/>
          <w:sz w:val="32"/>
          <w:szCs w:val="32"/>
        </w:rPr>
      </w:pPr>
      <w:r>
        <w:rPr>
          <w:rFonts w:hint="eastAsia" w:ascii="仿宋" w:hAnsi="仿宋" w:eastAsia="仿宋"/>
          <w:sz w:val="32"/>
          <w:szCs w:val="32"/>
        </w:rPr>
        <w:t>宏观政策措施落实情况跟踪审计以推动重大政策措施贯彻落实，促进地方经济持续健康发展为目标。坚持“结合审计”和“专项审计”双规并行方式，由财政审计股牵头，各业务股室按分工统一完成。</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仿宋" w:hAnsi="仿宋" w:eastAsia="仿宋"/>
          <w:sz w:val="32"/>
          <w:szCs w:val="32"/>
        </w:rPr>
      </w:pPr>
      <w:r>
        <w:rPr>
          <w:rFonts w:hint="eastAsia" w:ascii="仿宋" w:hAnsi="仿宋" w:eastAsia="仿宋"/>
          <w:sz w:val="32"/>
          <w:szCs w:val="32"/>
        </w:rPr>
        <w:t>抽查政府部门、企业、社会团体、重点项目145个，监督资金7.04亿元。通过审计，全区一体化平台的各类审批事项已达</w:t>
      </w:r>
      <w:r>
        <w:rPr>
          <w:rFonts w:ascii="仿宋" w:hAnsi="仿宋" w:eastAsia="仿宋"/>
          <w:sz w:val="32"/>
          <w:szCs w:val="32"/>
        </w:rPr>
        <w:t>1</w:t>
      </w:r>
      <w:r>
        <w:rPr>
          <w:rFonts w:hint="eastAsia" w:ascii="仿宋" w:hAnsi="仿宋" w:eastAsia="仿宋"/>
          <w:sz w:val="32"/>
          <w:szCs w:val="32"/>
        </w:rPr>
        <w:t>300余</w:t>
      </w:r>
      <w:r>
        <w:rPr>
          <w:rFonts w:ascii="仿宋" w:hAnsi="仿宋" w:eastAsia="仿宋"/>
          <w:sz w:val="32"/>
          <w:szCs w:val="32"/>
        </w:rPr>
        <w:t>项，</w:t>
      </w:r>
      <w:r>
        <w:rPr>
          <w:rFonts w:hint="eastAsia" w:ascii="仿宋" w:hAnsi="仿宋" w:eastAsia="仿宋"/>
          <w:sz w:val="32"/>
          <w:szCs w:val="32"/>
        </w:rPr>
        <w:t>2019年全区非税收入可减轻企业和社会负担约989万元，</w:t>
      </w:r>
      <w:r>
        <w:rPr>
          <w:rFonts w:ascii="仿宋" w:hAnsi="仿宋" w:eastAsia="仿宋"/>
          <w:sz w:val="32"/>
          <w:szCs w:val="32"/>
        </w:rPr>
        <w:t>企业社保累计减费</w:t>
      </w:r>
      <w:r>
        <w:rPr>
          <w:rFonts w:hint="eastAsia" w:ascii="仿宋" w:hAnsi="仿宋" w:eastAsia="仿宋"/>
          <w:sz w:val="32"/>
          <w:szCs w:val="32"/>
        </w:rPr>
        <w:t>约</w:t>
      </w:r>
      <w:r>
        <w:rPr>
          <w:rFonts w:ascii="仿宋" w:hAnsi="仿宋" w:eastAsia="仿宋"/>
          <w:sz w:val="32"/>
          <w:szCs w:val="32"/>
        </w:rPr>
        <w:t>1341.14万元</w:t>
      </w:r>
      <w:r>
        <w:rPr>
          <w:rFonts w:hint="eastAsia" w:ascii="仿宋" w:hAnsi="仿宋" w:eastAsia="仿宋"/>
          <w:sz w:val="32"/>
          <w:szCs w:val="32"/>
        </w:rPr>
        <w:t>，清理拖欠民营企业账款2309.95万元，揭示问题并督促被审计单位整改9条，推动相关部门建章立制5项，在促进政令畅通，重大政策落地方面发挥了积极作用。</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全面保障了上级审计部门安排的审计任务及审计业务的区外审计调查的经费，在项目审计中严格执行“四严禁”工作要求和审计“八不准”工作纪律。通过该项目的实施促进被审计单位遵守财经秩序，促进规范管理，提高了资金使用绩效，维护了财政资金的安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rPr>
          <w:rFonts w:ascii="仿宋_GB2312" w:hAnsi="仿宋_GB2312" w:eastAsia="仿宋_GB2312" w:cs="仿宋_GB2312"/>
          <w:sz w:val="32"/>
          <w:szCs w:val="32"/>
        </w:rPr>
      </w:pPr>
      <w:r>
        <w:rPr>
          <w:rFonts w:hint="eastAsia" w:ascii="仿宋_GB2312" w:hAnsi="宋体" w:eastAsia="仿宋_GB2312"/>
          <w:sz w:val="32"/>
          <w:szCs w:val="32"/>
          <w:lang w:val="zh-CN"/>
        </w:rPr>
        <w:t>无</w:t>
      </w:r>
    </w:p>
    <w:p>
      <w:pPr>
        <w:widowControl/>
        <w:jc w:val="left"/>
        <w:rPr>
          <w:rStyle w:val="16"/>
          <w:rFonts w:ascii="黑体" w:hAnsi="黑体" w:eastAsia="黑体"/>
          <w:b w:val="0"/>
        </w:rPr>
      </w:pPr>
    </w:p>
    <w:p>
      <w:pPr>
        <w:spacing w:line="576" w:lineRule="exact"/>
        <w:jc w:val="center"/>
        <w:rPr>
          <w:rFonts w:ascii="方正小标宋简体" w:hAnsi="仿宋" w:eastAsia="方正小标宋简体" w:cs="方正小标宋简体"/>
          <w:sz w:val="32"/>
          <w:szCs w:val="32"/>
        </w:rPr>
      </w:pPr>
      <w:r>
        <w:rPr>
          <w:rFonts w:hint="eastAsia" w:ascii="方正小标宋简体" w:hAnsi="仿宋" w:eastAsia="方正小标宋简体" w:cs="方正小标宋简体"/>
          <w:sz w:val="32"/>
          <w:szCs w:val="32"/>
        </w:rPr>
        <w:t>金审工程三期项目建设</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 w:hAnsi="仿宋" w:eastAsia="仿宋"/>
          <w:sz w:val="28"/>
          <w:szCs w:val="28"/>
        </w:rPr>
      </w:pPr>
      <w:r>
        <w:rPr>
          <w:rFonts w:hint="eastAsia" w:ascii="仿宋" w:hAnsi="仿宋" w:eastAsia="仿宋"/>
          <w:sz w:val="28"/>
          <w:szCs w:val="28"/>
        </w:rPr>
        <w:t>根据加强审计信息化建设，广泛应用现代审计技术，推广“总体分析、发现疑点、分散核实、系统研究”的数字化审计模式的工作需要，2019年完成“金审工程”三期建设的推进工作的硬件设施投入，建立审计数据分析室，购置云技术办公服务器1台、6台终端设备，以及1台专用数据存储计算机。</w:t>
      </w:r>
    </w:p>
    <w:p>
      <w:pPr>
        <w:spacing w:line="576" w:lineRule="exact"/>
        <w:ind w:firstLine="560" w:firstLineChars="200"/>
        <w:rPr>
          <w:rFonts w:ascii="黑体" w:hAnsi="黑体" w:eastAsia="黑体"/>
          <w:sz w:val="28"/>
          <w:szCs w:val="28"/>
        </w:rPr>
      </w:pPr>
      <w:r>
        <w:rPr>
          <w:rFonts w:hint="eastAsia" w:ascii="黑体" w:hAnsi="黑体" w:eastAsia="黑体"/>
          <w:sz w:val="28"/>
          <w:szCs w:val="28"/>
        </w:rPr>
        <w:t>二</w:t>
      </w:r>
      <w:r>
        <w:rPr>
          <w:rFonts w:ascii="黑体" w:hAnsi="黑体" w:eastAsia="黑体"/>
          <w:sz w:val="28"/>
          <w:szCs w:val="28"/>
        </w:rPr>
        <w:t>、评价结论及绩效分析</w:t>
      </w:r>
    </w:p>
    <w:p>
      <w:pPr>
        <w:spacing w:line="576" w:lineRule="exact"/>
        <w:ind w:firstLine="560" w:firstLineChars="200"/>
        <w:rPr>
          <w:rFonts w:ascii="楷体" w:hAnsi="楷体" w:eastAsia="楷体"/>
          <w:sz w:val="28"/>
          <w:szCs w:val="28"/>
        </w:rPr>
      </w:pPr>
      <w:r>
        <w:rPr>
          <w:rFonts w:ascii="楷体" w:hAnsi="楷体" w:eastAsia="楷体"/>
          <w:sz w:val="28"/>
          <w:szCs w:val="28"/>
        </w:rPr>
        <w:t>（一）评价结论</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数据分析室全面建成，新建了《审计电子数据采集存储和使用管理办法》《网络安全管理制度》等5项工作制度，着重强调使用计算机网络安全“七不准”，坚持以制度管人、管事。配置</w:t>
      </w:r>
      <w:r>
        <w:rPr>
          <w:rFonts w:ascii="仿宋" w:hAnsi="仿宋" w:eastAsia="仿宋"/>
          <w:sz w:val="28"/>
          <w:szCs w:val="28"/>
        </w:rPr>
        <w:t>了专职管理人员，</w:t>
      </w:r>
      <w:r>
        <w:rPr>
          <w:rFonts w:hint="eastAsia" w:ascii="仿宋" w:hAnsi="仿宋" w:eastAsia="仿宋"/>
          <w:sz w:val="28"/>
          <w:szCs w:val="28"/>
        </w:rPr>
        <w:t>计算机全部达到内外网隔离，将散布在审计人员手中的财务和业务数据统一收集到数据分析室集中管理。</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spacing w:line="576" w:lineRule="exact"/>
        <w:ind w:firstLine="560" w:firstLineChars="200"/>
        <w:rPr>
          <w:rFonts w:ascii="仿宋" w:hAnsi="仿宋" w:eastAsia="仿宋"/>
          <w:sz w:val="28"/>
          <w:szCs w:val="28"/>
        </w:rPr>
      </w:pPr>
      <w:r>
        <w:rPr>
          <w:rFonts w:hint="eastAsia" w:ascii="仿宋" w:hAnsi="仿宋" w:eastAsia="仿宋"/>
          <w:sz w:val="28"/>
          <w:szCs w:val="28"/>
        </w:rPr>
        <w:t>建立了电子数据分室，购置了用于数据分析、存储的硬件设备，采集了全部预算单位的财务数据和部分业务数据，通过该项目的实施实现了对大数据的集中存储与管理，保证了提取的审计数据保密度，提高了审计决策和管理水平，打破了部门内部制约信息共享的障碍，为实现数据关联分析提供了可能，实现了一级预算单位审计工作全覆盖。根据工作的实际开展情况，该项经费预算严重不足，致使该项工作开展难度较大，为加快推进审计信息化建设，保证履行审计职责必须的力量和经费，在今后的财政预算中应增加开展此项工作的经费保障。</w:t>
      </w:r>
    </w:p>
    <w:p>
      <w:pPr>
        <w:adjustRightInd w:val="0"/>
        <w:snapToGrid w:val="0"/>
        <w:spacing w:line="600" w:lineRule="exact"/>
        <w:ind w:firstLine="481" w:firstLineChars="15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spacing w:line="600" w:lineRule="exact"/>
        <w:ind w:firstLine="640"/>
        <w:rPr>
          <w:rFonts w:ascii="仿宋" w:hAnsi="仿宋" w:eastAsia="仿宋"/>
          <w:sz w:val="28"/>
          <w:szCs w:val="28"/>
        </w:rPr>
      </w:pPr>
      <w:r>
        <w:rPr>
          <w:rFonts w:hint="eastAsia" w:ascii="仿宋" w:hAnsi="仿宋" w:eastAsia="仿宋"/>
          <w:sz w:val="28"/>
          <w:szCs w:val="28"/>
        </w:rPr>
        <w:t>根据绩效评价的要求，成立了绩效评价工作领导小组，对照绩效评价方案进行研究和部署，党组成员及各股室负责人全程参与，按照绩效评价方案的要求，对照各实施项目的内容全面评价。在评价过程中按照年初的项目预算绩效目标申报表的指标设置产出数量、质量、时效、成本，以及经济效益、社会效益、生态效益、可持续影响、服务对象满意度等等指标开展项目绩效评价, 在评价过程中发现问题，查找原因，及时纠正偏差，为全面完成绩效目标制度措施。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 w:hAnsi="仿宋" w:eastAsia="仿宋"/>
          <w:sz w:val="28"/>
          <w:szCs w:val="28"/>
        </w:rPr>
      </w:pPr>
      <w:r>
        <w:rPr>
          <w:rFonts w:hint="eastAsia" w:ascii="仿宋" w:hAnsi="仿宋" w:eastAsia="仿宋"/>
          <w:sz w:val="28"/>
          <w:szCs w:val="28"/>
        </w:rPr>
        <w:t>该项目年中追加预算2.75元，区财政预算批复2.75万元。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left="210" w:leftChars="100" w:firstLine="720"/>
        <w:rPr>
          <w:rFonts w:ascii="仿宋" w:hAnsi="仿宋" w:eastAsia="仿宋"/>
          <w:sz w:val="28"/>
          <w:szCs w:val="28"/>
        </w:rPr>
      </w:pPr>
      <w:r>
        <w:rPr>
          <w:rFonts w:hint="eastAsia" w:ascii="仿宋" w:hAnsi="仿宋" w:eastAsia="仿宋"/>
          <w:sz w:val="28"/>
          <w:szCs w:val="28"/>
        </w:rPr>
        <w:t>项目全年预算数2.75万元，执行数为2.75万元，完成预算的100%。通过项目实施，通过该项目的实施实现了对大数据的集中存储与管理，保证了提取的审计数据保密度，提高了审计决策和管理水平，打破了部门内部制约信息共享的障碍，为实现数据关联分析提供了可能，实现了一级预算单位审计工作全覆盖。</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 w:hAnsi="仿宋" w:eastAsia="仿宋" w:cs="仿宋"/>
          <w:sz w:val="32"/>
          <w:szCs w:val="32"/>
        </w:rPr>
      </w:pPr>
      <w:r>
        <w:rPr>
          <w:rFonts w:hint="eastAsia" w:ascii="仿宋" w:hAnsi="仿宋" w:eastAsia="仿宋" w:cs="仿宋"/>
          <w:sz w:val="32"/>
          <w:szCs w:val="32"/>
        </w:rPr>
        <w:t>把数据分析室建设作为开展大数据审计工作的首要任务，并作为“一把手”工程，作为全局工作的重中之重，打破分管领域股室界限，统筹整合、全面谋划、强力推进、整体落实。</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仿宋_GB2312" w:hAnsi="仿宋_GB2312" w:eastAsia="仿宋_GB2312" w:cs="仿宋_GB2312"/>
          <w:sz w:val="32"/>
          <w:szCs w:val="32"/>
        </w:rPr>
      </w:pPr>
      <w:r>
        <w:rPr>
          <w:rFonts w:hint="eastAsia" w:ascii="仿宋" w:hAnsi="仿宋" w:eastAsia="仿宋" w:cs="仿宋"/>
          <w:sz w:val="32"/>
          <w:szCs w:val="32"/>
        </w:rPr>
        <w:t>坚持“数据先行”和“以数据立项”的工作要求，2019年在财政审计、扶贫资金审计、重大政府投资项目跟踪审计等项目运用及尝试了大数据分析方法，特比是在自然资源资产离任（任中）审计充分运用地理信息数据分析技术，实现了“向信息化要资源，向大数据要效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项目全面建成,绩效目标全部实现</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根据工作的实际开展情况，该项经费预算严重不足，致使该项工作开展难度较大，为加快推进审计信息化建设，保证履行审计职责必须的力量和经费，在今后的财政预算中应增加开展此项工作的经费保障。</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经费严重不足，需增加资金预算</w:t>
      </w:r>
    </w:p>
    <w:p>
      <w:pPr>
        <w:spacing w:line="580" w:lineRule="exact"/>
        <w:ind w:firstLine="640"/>
        <w:rPr>
          <w:rFonts w:ascii="仿宋" w:hAnsi="仿宋" w:eastAsia="仿宋" w:cs="仿宋"/>
          <w:sz w:val="32"/>
          <w:szCs w:val="32"/>
        </w:rPr>
      </w:pPr>
    </w:p>
    <w:p>
      <w:pPr>
        <w:widowControl/>
        <w:jc w:val="left"/>
        <w:rPr>
          <w:rStyle w:val="16"/>
          <w:rFonts w:ascii="黑体" w:hAnsi="黑体" w:eastAsia="黑体"/>
          <w:b w:val="0"/>
        </w:rPr>
      </w:pPr>
    </w:p>
    <w:p>
      <w:pPr>
        <w:spacing w:line="600" w:lineRule="exact"/>
        <w:outlineLvl w:val="0"/>
        <w:rPr>
          <w:rFonts w:ascii="黑体" w:hAnsi="黑体" w:eastAsia="黑体"/>
          <w:color w:val="000000"/>
          <w:sz w:val="44"/>
          <w:szCs w:val="44"/>
        </w:rPr>
      </w:pPr>
      <w:bookmarkStart w:id="61" w:name="_Toc15396618"/>
    </w:p>
    <w:p>
      <w:pPr>
        <w:spacing w:line="600" w:lineRule="exact"/>
        <w:jc w:val="center"/>
        <w:outlineLvl w:val="0"/>
        <w:rPr>
          <w:rStyle w:val="16"/>
          <w:rFonts w:ascii="黑体" w:hAnsi="黑体" w:eastAsia="黑体"/>
          <w:b w:val="0"/>
        </w:rPr>
      </w:pPr>
      <w:r>
        <w:rPr>
          <w:rFonts w:hint="eastAsia" w:ascii="黑体" w:hAnsi="黑体" w:eastAsia="黑体"/>
          <w:color w:val="000000"/>
          <w:sz w:val="44"/>
          <w:szCs w:val="44"/>
        </w:rPr>
        <w:t>第</w:t>
      </w:r>
      <w:r>
        <w:rPr>
          <w:rStyle w:val="16"/>
          <w:rFonts w:hint="eastAsia" w:ascii="黑体" w:hAnsi="黑体" w:eastAsia="黑体"/>
          <w:b w:val="0"/>
        </w:rPr>
        <w:t>五部分 附表</w:t>
      </w:r>
      <w:bookmarkEnd w:id="59"/>
      <w:bookmarkEnd w:id="61"/>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2" w:name="_Toc15396619"/>
      <w:r>
        <w:rPr>
          <w:rFonts w:hint="eastAsia" w:ascii="仿宋" w:hAnsi="仿宋" w:eastAsia="仿宋"/>
          <w:b w:val="0"/>
          <w:color w:val="000000"/>
        </w:rPr>
        <w:t>一、收</w:t>
      </w:r>
      <w:r>
        <w:rPr>
          <w:rStyle w:val="17"/>
          <w:rFonts w:hint="eastAsia" w:ascii="仿宋" w:hAnsi="仿宋" w:eastAsia="仿宋"/>
          <w:b w:val="0"/>
          <w:bCs w:val="0"/>
        </w:rPr>
        <w:t>入支出决算总表</w:t>
      </w:r>
      <w:bookmarkEnd w:id="62"/>
    </w:p>
    <w:p>
      <w:pPr>
        <w:pStyle w:val="3"/>
        <w:rPr>
          <w:rFonts w:ascii="仿宋" w:hAnsi="仿宋" w:eastAsia="仿宋"/>
          <w:color w:val="000000"/>
        </w:rPr>
      </w:pPr>
      <w:bookmarkStart w:id="63" w:name="_Toc15396620"/>
      <w:r>
        <w:rPr>
          <w:rFonts w:hint="eastAsia" w:ascii="仿宋" w:hAnsi="仿宋" w:eastAsia="仿宋"/>
          <w:b w:val="0"/>
          <w:color w:val="000000"/>
        </w:rPr>
        <w:t>二、收</w:t>
      </w:r>
      <w:r>
        <w:rPr>
          <w:rStyle w:val="17"/>
          <w:rFonts w:hint="eastAsia" w:ascii="仿宋" w:hAnsi="仿宋" w:eastAsia="仿宋"/>
          <w:b w:val="0"/>
          <w:bCs w:val="0"/>
        </w:rPr>
        <w:t>入决算表</w:t>
      </w:r>
      <w:bookmarkEnd w:id="63"/>
    </w:p>
    <w:p>
      <w:pPr>
        <w:pStyle w:val="3"/>
        <w:rPr>
          <w:rFonts w:ascii="仿宋" w:hAnsi="仿宋" w:eastAsia="仿宋"/>
          <w:color w:val="000000"/>
        </w:rPr>
      </w:pPr>
      <w:bookmarkStart w:id="64" w:name="_Toc15396621"/>
      <w:r>
        <w:rPr>
          <w:rStyle w:val="17"/>
          <w:rFonts w:hint="eastAsia" w:ascii="仿宋" w:hAnsi="仿宋" w:eastAsia="仿宋"/>
          <w:b w:val="0"/>
          <w:bCs w:val="0"/>
        </w:rPr>
        <w:t>三、</w:t>
      </w:r>
      <w:r>
        <w:rPr>
          <w:rFonts w:hint="eastAsia" w:ascii="仿宋" w:hAnsi="仿宋" w:eastAsia="仿宋"/>
          <w:b w:val="0"/>
          <w:color w:val="000000"/>
        </w:rPr>
        <w:t>支</w:t>
      </w:r>
      <w:r>
        <w:rPr>
          <w:rStyle w:val="17"/>
          <w:rFonts w:hint="eastAsia" w:ascii="仿宋" w:hAnsi="仿宋" w:eastAsia="仿宋"/>
          <w:b w:val="0"/>
          <w:bCs w:val="0"/>
        </w:rPr>
        <w:t>出决算表</w:t>
      </w:r>
      <w:bookmarkEnd w:id="64"/>
    </w:p>
    <w:p>
      <w:pPr>
        <w:pStyle w:val="3"/>
        <w:rPr>
          <w:rFonts w:ascii="仿宋" w:hAnsi="仿宋" w:eastAsia="仿宋"/>
          <w:b w:val="0"/>
          <w:color w:val="000000"/>
        </w:rPr>
      </w:pPr>
      <w:bookmarkStart w:id="65" w:name="_Toc15396622"/>
      <w:r>
        <w:rPr>
          <w:rStyle w:val="17"/>
          <w:rFonts w:hint="eastAsia" w:ascii="仿宋" w:hAnsi="仿宋" w:eastAsia="仿宋"/>
          <w:b w:val="0"/>
          <w:bCs w:val="0"/>
        </w:rPr>
        <w:t>四、</w:t>
      </w:r>
      <w:r>
        <w:rPr>
          <w:rFonts w:hint="eastAsia" w:ascii="仿宋" w:hAnsi="仿宋" w:eastAsia="仿宋"/>
          <w:b w:val="0"/>
          <w:color w:val="000000"/>
        </w:rPr>
        <w:t>财</w:t>
      </w:r>
      <w:r>
        <w:rPr>
          <w:rStyle w:val="17"/>
          <w:rFonts w:hint="eastAsia" w:ascii="仿宋" w:hAnsi="仿宋" w:eastAsia="仿宋"/>
          <w:b w:val="0"/>
          <w:bCs w:val="0"/>
        </w:rPr>
        <w:t>政拨款收入支出决算总表</w:t>
      </w:r>
      <w:bookmarkEnd w:id="65"/>
    </w:p>
    <w:p>
      <w:pPr>
        <w:pStyle w:val="3"/>
        <w:rPr>
          <w:rStyle w:val="17"/>
          <w:rFonts w:ascii="仿宋" w:hAnsi="仿宋" w:eastAsia="仿宋"/>
          <w:b w:val="0"/>
          <w:bCs w:val="0"/>
        </w:rPr>
      </w:pPr>
      <w:bookmarkStart w:id="66" w:name="_Toc15396623"/>
      <w:r>
        <w:rPr>
          <w:rStyle w:val="17"/>
          <w:rFonts w:hint="eastAsia" w:ascii="仿宋" w:hAnsi="仿宋" w:eastAsia="仿宋"/>
          <w:b w:val="0"/>
          <w:bCs w:val="0"/>
        </w:rPr>
        <w:t>五、</w:t>
      </w:r>
      <w:r>
        <w:rPr>
          <w:rFonts w:hint="eastAsia" w:ascii="仿宋" w:hAnsi="仿宋" w:eastAsia="仿宋"/>
          <w:b w:val="0"/>
          <w:color w:val="000000"/>
        </w:rPr>
        <w:t>财</w:t>
      </w:r>
      <w:r>
        <w:rPr>
          <w:rStyle w:val="17"/>
          <w:rFonts w:hint="eastAsia" w:ascii="仿宋" w:hAnsi="仿宋" w:eastAsia="仿宋"/>
          <w:b w:val="0"/>
          <w:bCs w:val="0"/>
        </w:rPr>
        <w:t>政拨款支出决算明细表</w:t>
      </w:r>
      <w:bookmarkEnd w:id="66"/>
      <w:bookmarkStart w:id="67" w:name="_Toc15396624"/>
    </w:p>
    <w:p>
      <w:pPr>
        <w:pStyle w:val="3"/>
        <w:rPr>
          <w:rFonts w:ascii="仿宋" w:hAnsi="仿宋" w:eastAsia="仿宋"/>
          <w:color w:val="000000"/>
        </w:rPr>
      </w:pPr>
      <w:r>
        <w:rPr>
          <w:rStyle w:val="17"/>
          <w:rFonts w:hint="eastAsia" w:ascii="仿宋" w:hAnsi="仿宋" w:eastAsia="仿宋"/>
          <w:b w:val="0"/>
          <w:bCs w:val="0"/>
        </w:rPr>
        <w:t>六、</w:t>
      </w:r>
      <w:r>
        <w:rPr>
          <w:rFonts w:hint="eastAsia" w:ascii="仿宋" w:hAnsi="仿宋" w:eastAsia="仿宋"/>
          <w:b w:val="0"/>
          <w:color w:val="000000"/>
        </w:rPr>
        <w:t>一</w:t>
      </w:r>
      <w:r>
        <w:rPr>
          <w:rStyle w:val="17"/>
          <w:rFonts w:hint="eastAsia" w:ascii="仿宋" w:hAnsi="仿宋" w:eastAsia="仿宋"/>
          <w:b w:val="0"/>
          <w:bCs w:val="0"/>
        </w:rPr>
        <w:t>般公共预算财政拨款支出决算表</w:t>
      </w:r>
      <w:bookmarkEnd w:id="67"/>
    </w:p>
    <w:p>
      <w:pPr>
        <w:pStyle w:val="3"/>
        <w:rPr>
          <w:rFonts w:ascii="仿宋" w:hAnsi="仿宋" w:eastAsia="仿宋"/>
          <w:color w:val="000000"/>
        </w:rPr>
      </w:pPr>
      <w:bookmarkStart w:id="68" w:name="_Toc15396625"/>
      <w:r>
        <w:rPr>
          <w:rStyle w:val="17"/>
          <w:rFonts w:hint="eastAsia" w:ascii="仿宋" w:hAnsi="仿宋" w:eastAsia="仿宋"/>
          <w:b w:val="0"/>
          <w:bCs w:val="0"/>
        </w:rPr>
        <w:t>七、</w:t>
      </w:r>
      <w:r>
        <w:rPr>
          <w:rFonts w:hint="eastAsia" w:ascii="仿宋" w:hAnsi="仿宋" w:eastAsia="仿宋"/>
          <w:b w:val="0"/>
          <w:color w:val="000000"/>
        </w:rPr>
        <w:t>一</w:t>
      </w:r>
      <w:r>
        <w:rPr>
          <w:rStyle w:val="17"/>
          <w:rFonts w:hint="eastAsia" w:ascii="仿宋" w:hAnsi="仿宋" w:eastAsia="仿宋"/>
          <w:b w:val="0"/>
          <w:bCs w:val="0"/>
        </w:rPr>
        <w:t>般公共预算财政拨款支出决算明细表</w:t>
      </w:r>
      <w:bookmarkEnd w:id="68"/>
    </w:p>
    <w:p>
      <w:pPr>
        <w:pStyle w:val="3"/>
        <w:rPr>
          <w:rFonts w:ascii="仿宋" w:hAnsi="仿宋" w:eastAsia="仿宋"/>
          <w:color w:val="000000"/>
        </w:rPr>
      </w:pPr>
      <w:bookmarkStart w:id="69" w:name="_Toc15396626"/>
      <w:r>
        <w:rPr>
          <w:rStyle w:val="17"/>
          <w:rFonts w:hint="eastAsia" w:ascii="仿宋" w:hAnsi="仿宋" w:eastAsia="仿宋"/>
          <w:b w:val="0"/>
          <w:bCs w:val="0"/>
        </w:rPr>
        <w:t>八、</w:t>
      </w:r>
      <w:r>
        <w:rPr>
          <w:rFonts w:hint="eastAsia" w:ascii="仿宋" w:hAnsi="仿宋" w:eastAsia="仿宋"/>
          <w:b w:val="0"/>
          <w:color w:val="000000"/>
        </w:rPr>
        <w:t>一</w:t>
      </w:r>
      <w:r>
        <w:rPr>
          <w:rStyle w:val="17"/>
          <w:rFonts w:hint="eastAsia" w:ascii="仿宋" w:hAnsi="仿宋" w:eastAsia="仿宋"/>
          <w:b w:val="0"/>
          <w:bCs w:val="0"/>
        </w:rPr>
        <w:t>般公共预算财政拨款基本支出决算表</w:t>
      </w:r>
      <w:bookmarkEnd w:id="69"/>
    </w:p>
    <w:p>
      <w:pPr>
        <w:pStyle w:val="3"/>
        <w:rPr>
          <w:rFonts w:ascii="仿宋" w:hAnsi="仿宋" w:eastAsia="仿宋"/>
          <w:color w:val="000000"/>
        </w:rPr>
      </w:pPr>
      <w:bookmarkStart w:id="70" w:name="_Toc15396627"/>
      <w:r>
        <w:rPr>
          <w:rStyle w:val="17"/>
          <w:rFonts w:hint="eastAsia" w:ascii="仿宋" w:hAnsi="仿宋" w:eastAsia="仿宋"/>
          <w:b w:val="0"/>
          <w:bCs w:val="0"/>
        </w:rPr>
        <w:t>九、</w:t>
      </w:r>
      <w:r>
        <w:rPr>
          <w:rFonts w:hint="eastAsia" w:ascii="仿宋" w:hAnsi="仿宋" w:eastAsia="仿宋"/>
          <w:b w:val="0"/>
          <w:color w:val="000000"/>
        </w:rPr>
        <w:t>一</w:t>
      </w:r>
      <w:r>
        <w:rPr>
          <w:rStyle w:val="17"/>
          <w:rFonts w:hint="eastAsia" w:ascii="仿宋" w:hAnsi="仿宋" w:eastAsia="仿宋"/>
          <w:b w:val="0"/>
          <w:bCs w:val="0"/>
        </w:rPr>
        <w:t>般公共预算财政拨款项目支出决算表</w:t>
      </w:r>
      <w:bookmarkEnd w:id="70"/>
    </w:p>
    <w:p>
      <w:pPr>
        <w:pStyle w:val="3"/>
        <w:rPr>
          <w:rFonts w:ascii="仿宋" w:hAnsi="仿宋" w:eastAsia="仿宋"/>
          <w:color w:val="000000"/>
        </w:rPr>
      </w:pPr>
      <w:bookmarkStart w:id="71" w:name="_Toc15396628"/>
      <w:r>
        <w:rPr>
          <w:rStyle w:val="17"/>
          <w:rFonts w:hint="eastAsia" w:ascii="仿宋" w:hAnsi="仿宋" w:eastAsia="仿宋"/>
          <w:b w:val="0"/>
          <w:bCs w:val="0"/>
        </w:rPr>
        <w:t>十、</w:t>
      </w:r>
      <w:r>
        <w:rPr>
          <w:rFonts w:hint="eastAsia" w:ascii="仿宋" w:hAnsi="仿宋" w:eastAsia="仿宋"/>
          <w:b w:val="0"/>
          <w:color w:val="000000"/>
        </w:rPr>
        <w:t>一</w:t>
      </w:r>
      <w:r>
        <w:rPr>
          <w:rStyle w:val="17"/>
          <w:rFonts w:hint="eastAsia" w:ascii="仿宋" w:hAnsi="仿宋" w:eastAsia="仿宋"/>
          <w:b w:val="0"/>
          <w:bCs w:val="0"/>
        </w:rPr>
        <w:t>般公共预算财政拨款“三公”经费支出决算表</w:t>
      </w:r>
      <w:bookmarkEnd w:id="71"/>
    </w:p>
    <w:p>
      <w:pPr>
        <w:pStyle w:val="3"/>
        <w:rPr>
          <w:rFonts w:ascii="仿宋" w:hAnsi="仿宋" w:eastAsia="仿宋"/>
          <w:color w:val="000000"/>
        </w:rPr>
      </w:pPr>
      <w:bookmarkStart w:id="72" w:name="_Toc15396629"/>
      <w:r>
        <w:rPr>
          <w:rStyle w:val="17"/>
          <w:rFonts w:hint="eastAsia" w:ascii="仿宋" w:hAnsi="仿宋" w:eastAsia="仿宋"/>
          <w:b w:val="0"/>
          <w:bCs w:val="0"/>
        </w:rPr>
        <w:t>十一、</w:t>
      </w:r>
      <w:r>
        <w:rPr>
          <w:rFonts w:hint="eastAsia" w:ascii="仿宋" w:hAnsi="仿宋" w:eastAsia="仿宋"/>
          <w:b w:val="0"/>
          <w:color w:val="000000"/>
        </w:rPr>
        <w:t>政</w:t>
      </w:r>
      <w:r>
        <w:rPr>
          <w:rStyle w:val="17"/>
          <w:rFonts w:hint="eastAsia" w:ascii="仿宋" w:hAnsi="仿宋" w:eastAsia="仿宋"/>
          <w:b w:val="0"/>
          <w:bCs w:val="0"/>
        </w:rPr>
        <w:t>府性基金预算财政拨款收入支出决算表</w:t>
      </w:r>
      <w:bookmarkEnd w:id="72"/>
    </w:p>
    <w:p>
      <w:pPr>
        <w:pStyle w:val="3"/>
        <w:rPr>
          <w:rFonts w:ascii="仿宋" w:hAnsi="仿宋" w:eastAsia="仿宋"/>
          <w:color w:val="000000"/>
        </w:rPr>
      </w:pPr>
      <w:bookmarkStart w:id="73" w:name="_Toc15396630"/>
      <w:r>
        <w:rPr>
          <w:rStyle w:val="17"/>
          <w:rFonts w:hint="eastAsia" w:ascii="仿宋" w:hAnsi="仿宋" w:eastAsia="仿宋"/>
          <w:b w:val="0"/>
          <w:bCs w:val="0"/>
        </w:rPr>
        <w:t>十二、</w:t>
      </w:r>
      <w:r>
        <w:rPr>
          <w:rFonts w:hint="eastAsia" w:ascii="仿宋" w:hAnsi="仿宋" w:eastAsia="仿宋"/>
          <w:b w:val="0"/>
          <w:color w:val="000000"/>
        </w:rPr>
        <w:t>政</w:t>
      </w:r>
      <w:r>
        <w:rPr>
          <w:rStyle w:val="17"/>
          <w:rFonts w:hint="eastAsia" w:ascii="仿宋" w:hAnsi="仿宋" w:eastAsia="仿宋"/>
          <w:b w:val="0"/>
          <w:bCs w:val="0"/>
        </w:rPr>
        <w:t>府性基金预算财政拨款“三公”经费支出决算表</w:t>
      </w:r>
      <w:bookmarkEnd w:id="73"/>
    </w:p>
    <w:p>
      <w:pPr>
        <w:pStyle w:val="3"/>
        <w:rPr>
          <w:rFonts w:ascii="仿宋" w:hAnsi="仿宋" w:eastAsia="仿宋"/>
          <w:color w:val="000000"/>
        </w:rPr>
      </w:pPr>
      <w:bookmarkStart w:id="74" w:name="_Toc15396631"/>
      <w:r>
        <w:rPr>
          <w:rStyle w:val="17"/>
          <w:rFonts w:hint="eastAsia" w:ascii="仿宋" w:hAnsi="仿宋" w:eastAsia="仿宋"/>
          <w:b w:val="0"/>
          <w:bCs w:val="0"/>
        </w:rPr>
        <w:t>十三、</w:t>
      </w:r>
      <w:r>
        <w:rPr>
          <w:rFonts w:hint="eastAsia" w:ascii="仿宋" w:hAnsi="仿宋" w:eastAsia="仿宋"/>
          <w:b w:val="0"/>
          <w:color w:val="000000"/>
        </w:rPr>
        <w:t>国</w:t>
      </w:r>
      <w:r>
        <w:rPr>
          <w:rStyle w:val="17"/>
          <w:rFonts w:hint="eastAsia" w:ascii="仿宋" w:hAnsi="仿宋" w:eastAsia="仿宋"/>
          <w:b w:val="0"/>
          <w:bCs w:val="0"/>
        </w:rPr>
        <w:t>有资本经营预算支出决算表</w:t>
      </w:r>
      <w:bookmarkEnd w:id="74"/>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Cambria">
    <w:altName w:val="Arial"/>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Arial">
    <w:panose1 w:val="020B0604020202020204"/>
    <w:charset w:val="00"/>
    <w:family w:val="auto"/>
    <w:pitch w:val="default"/>
    <w:sig w:usb0="00007A87" w:usb1="80000000" w:usb2="00000008" w:usb3="00000000" w:csb0="400001FF" w:csb1="FFFF0000"/>
  </w:font>
  <w:font w:name="Lucida Sans">
    <w:panose1 w:val="020B0602030504020204"/>
    <w:charset w:val="01"/>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楷体简体">
    <w:altName w:val="方正楷体_GBK"/>
    <w:panose1 w:val="00000000000000000000"/>
    <w:charset w:val="86"/>
    <w:family w:val="auto"/>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Comic Sans MS">
    <w:panose1 w:val="030F0702030302020204"/>
    <w:charset w:val="00"/>
    <w:family w:val="auto"/>
    <w:pitch w:val="default"/>
    <w:sig w:usb0="00000287" w:usb1="00000000" w:usb2="00000000" w:usb3="00000000" w:csb0="2000009F"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0266198"/>
      <w:docPartObj>
        <w:docPartGallery w:val="AutoText"/>
      </w:docPartObj>
    </w:sdtPr>
    <w:sdtEndPr>
      <w:rPr>
        <w:sz w:val="28"/>
        <w:szCs w:val="28"/>
      </w:rPr>
    </w:sdtEndPr>
    <w:sdtContent>
      <w:p>
        <w:pPr>
          <w:pStyle w:val="8"/>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- 38 -</w:t>
        </w:r>
        <w:r>
          <w:rPr>
            <w:sz w:val="28"/>
            <w:szCs w:val="28"/>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rsids>
    <w:rsidRoot w:val="00000000"/>
    <w:rsid w:val="1B3B30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link w:val="17"/>
    <w:qFormat/>
    <w:uiPriority w:val="0"/>
    <w:pPr>
      <w:keepNext/>
      <w:keepLines/>
      <w:widowControl w:val="0"/>
      <w:spacing w:before="260" w:after="260" w:line="415" w:lineRule="auto"/>
      <w:outlineLvl w:val="1"/>
    </w:pPr>
    <w:rPr>
      <w:rFonts w:ascii="Cambria" w:hAnsi="Cambria" w:eastAsia="宋体" w:cs="Times New Roman"/>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before="30" w:beforeLines="30"/>
    </w:pPr>
    <w:rPr>
      <w:rFonts w:ascii="仿宋_GB2312" w:eastAsia="仿宋_GB2312"/>
      <w:kern w:val="0"/>
      <w:sz w:val="30"/>
    </w:rPr>
  </w:style>
  <w:style w:type="paragraph" w:styleId="6">
    <w:name w:val="toc 3"/>
    <w:basedOn w:val="1"/>
    <w:next w:val="1"/>
    <w:qFormat/>
    <w:uiPriority w:val="0"/>
    <w:pPr>
      <w:tabs>
        <w:tab w:val="right" w:leader="dot" w:pos="8296"/>
      </w:tabs>
      <w:ind w:left="400" w:leftChars="4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0"/>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0"/>
    <w:pPr>
      <w:tabs>
        <w:tab w:val="right" w:leader="dot" w:pos="8296"/>
      </w:tabs>
      <w:ind w:left="200" w:leftChars="200"/>
    </w:p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customStyle="1" w:styleId="16">
    <w:name w:val="heading 1 Char"/>
    <w:basedOn w:val="13"/>
    <w:link w:val="2"/>
    <w:qFormat/>
    <w:uiPriority w:val="0"/>
    <w:rPr>
      <w:rFonts w:ascii="Times New Roman" w:hAnsi="Times New Roman" w:eastAsia="宋体" w:cs="Times New Roman"/>
      <w:b/>
      <w:bCs/>
      <w:kern w:val="44"/>
      <w:sz w:val="44"/>
      <w:szCs w:val="44"/>
      <w:lang w:val="en-US" w:eastAsia="zh-CN" w:bidi="ar-SA"/>
    </w:rPr>
  </w:style>
  <w:style w:type="character" w:customStyle="1" w:styleId="17">
    <w:name w:val="heading 2 Char"/>
    <w:basedOn w:val="13"/>
    <w:link w:val="3"/>
    <w:qFormat/>
    <w:uiPriority w:val="0"/>
    <w:rPr>
      <w:rFonts w:ascii="Cambria" w:hAnsi="Times New Roman" w:eastAsia="宋体" w:cs="Times New Roman"/>
      <w:b/>
      <w:bCs/>
      <w:kern w:val="2"/>
      <w:sz w:val="32"/>
      <w:szCs w:val="32"/>
      <w:lang w:val="en-US" w:eastAsia="zh-CN" w:bidi="ar-SA"/>
    </w:rPr>
  </w:style>
  <w:style w:type="character" w:customStyle="1" w:styleId="18">
    <w:name w:val="Header Char"/>
    <w:basedOn w:val="13"/>
    <w:uiPriority w:val="0"/>
    <w:rPr>
      <w:rFonts w:ascii="Times New Roman" w:hAnsi="Times New Roman"/>
      <w:sz w:val="18"/>
      <w:szCs w:val="18"/>
    </w:rPr>
  </w:style>
  <w:style w:type="character" w:customStyle="1" w:styleId="19">
    <w:name w:val="Footer Char"/>
    <w:basedOn w:val="13"/>
    <w:qFormat/>
    <w:uiPriority w:val="0"/>
    <w:rPr>
      <w:rFonts w:ascii="Times New Roman" w:hAnsi="Times New Roman"/>
      <w:sz w:val="18"/>
      <w:szCs w:val="18"/>
    </w:rPr>
  </w:style>
  <w:style w:type="character" w:customStyle="1" w:styleId="20">
    <w:name w:val="Body Text Char"/>
    <w:basedOn w:val="13"/>
    <w:qFormat/>
    <w:uiPriority w:val="0"/>
    <w:rPr>
      <w:rFonts w:ascii="Times New Roman" w:hAnsi="Times New Roman"/>
      <w:szCs w:val="24"/>
    </w:rPr>
  </w:style>
  <w:style w:type="paragraph" w:customStyle="1" w:styleId="21">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2">
    <w:name w:val="List Paragraph"/>
    <w:basedOn w:val="1"/>
    <w:qFormat/>
    <w:uiPriority w:val="0"/>
    <w:pPr>
      <w:ind w:firstLine="200" w:firstLineChars="200"/>
    </w:pPr>
  </w:style>
  <w:style w:type="paragraph" w:customStyle="1" w:styleId="23">
    <w:name w:val="TOC 标题1"/>
    <w:basedOn w:val="2"/>
    <w:next w:val="1"/>
    <w:qFormat/>
    <w:uiPriority w:val="0"/>
    <w:pPr>
      <w:keepNext/>
      <w:keepLines/>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4">
    <w:name w:val="TOC 标题2"/>
    <w:basedOn w:val="2"/>
    <w:next w:val="1"/>
    <w:qFormat/>
    <w:uiPriority w:val="0"/>
    <w:pPr>
      <w:keepNext/>
      <w:keepLines/>
      <w:widowControl/>
      <w:spacing w:before="480" w:after="0" w:line="276" w:lineRule="auto"/>
      <w:jc w:val="left"/>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2018</c:v>
                </c:pt>
              </c:strCache>
            </c:strRef>
          </c:tx>
          <c:spPr>
            <a:solidFill>
              <a:srgbClr val="4F81BD"/>
            </a:solidFill>
          </c:spPr>
          <c:invertIfNegative val="false"/>
          <c:dLbls>
            <c:dLbl>
              <c:idx val="0"/>
              <c:delete val="true"/>
            </c:dLbl>
            <c:dLbl>
              <c:idx val="1"/>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'Sheet1'!$B$2:$B$3</c:f>
              <c:numCache>
                <c:formatCode>General</c:formatCode>
                <c:ptCount val="2"/>
                <c:pt idx="0">
                  <c:v>541.95</c:v>
                </c:pt>
                <c:pt idx="1">
                  <c:v>496.93</c:v>
                </c:pt>
              </c:numCache>
            </c:numRef>
          </c:val>
        </c:ser>
        <c:ser>
          <c:idx val="1"/>
          <c:order val="1"/>
          <c:tx>
            <c:strRef>
              <c:f>'Sheet1'!$C$1</c:f>
              <c:strCache>
                <c:ptCount val="1"/>
                <c:pt idx="0">
                  <c:v>2019</c:v>
                </c:pt>
              </c:strCache>
            </c:strRef>
          </c:tx>
          <c:spPr>
            <a:solidFill>
              <a:srgbClr val="C0504D"/>
            </a:solidFill>
          </c:spPr>
          <c:invertIfNegative val="false"/>
          <c:dLbls>
            <c:dLbl>
              <c:idx val="0"/>
              <c:delete val="true"/>
            </c:dLbl>
            <c:dLbl>
              <c:idx val="1"/>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'Sheet1'!$C$2:$C$3</c:f>
              <c:numCache>
                <c:formatCode>General</c:formatCode>
                <c:ptCount val="2"/>
                <c:pt idx="0">
                  <c:v>542.77</c:v>
                </c:pt>
                <c:pt idx="1">
                  <c:v>541.95</c:v>
                </c:pt>
              </c:numCache>
            </c:numRef>
          </c:val>
        </c:ser>
        <c:dLbls>
          <c:showLegendKey val="false"/>
          <c:showVal val="false"/>
          <c:showCatName val="false"/>
          <c:showSerName val="false"/>
          <c:showPercent val="false"/>
          <c:showBubbleSize val="false"/>
        </c:dLbls>
        <c:gapWidth val="150"/>
        <c:axId val="0"/>
        <c:axId val="1"/>
      </c:barChart>
      <c:catAx>
        <c:axId val="0"/>
        <c:scaling>
          <c:orientation val="minMax"/>
        </c:scaling>
        <c:delete val="false"/>
        <c:axPos val="b"/>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crossAx val="1"/>
        <c:crosses val="autoZero"/>
        <c:auto val="true"/>
        <c:lblAlgn val="ctr"/>
        <c:lblOffset val="100"/>
        <c:noMultiLvlLbl val="false"/>
      </c:catAx>
      <c:valAx>
        <c:axId val="1"/>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crossAx val="0"/>
        <c:crossesAt val="1"/>
        <c:crossBetween val="between"/>
      </c:valAx>
      <c:spPr>
        <a:solidFill>
          <a:srgbClr val="FFFFFF"/>
        </a:solidFill>
      </c:spPr>
    </c:plotArea>
    <c:legend>
      <c:legendPos val="r"/>
      <c:layout/>
      <c:overlay val="false"/>
      <c:spPr>
        <a:noFill/>
        <a:ln>
          <a:noFill/>
        </a:ln>
      </c:spPr>
      <c:txPr>
        <a:bodyPr rot="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legend>
    <c:plotVisOnly val="true"/>
    <c:dispBlanksAs val="gap"/>
    <c:showDLblsOverMax val="false"/>
  </c:chart>
  <c:txPr>
    <a:bodyPr/>
    <a:lstStyle/>
    <a:p>
      <a:pPr>
        <a:defRPr lang="zh-CN" sz="10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26486877"/>
          <c:y val="0.15851393"/>
          <c:w val="0.6027342"/>
          <c:h val="0.7754386"/>
        </c:manualLayout>
      </c:layout>
      <c:pieChart>
        <c:varyColors val="true"/>
        <c:ser>
          <c:idx val="0"/>
          <c:order val="0"/>
          <c:tx>
            <c:strRef>
              <c:f>'Sheet1 (2)'!$B$1</c:f>
              <c:strCache>
                <c:ptCount val="1"/>
                <c:pt idx="0">
                  <c:v>收入</c:v>
                </c:pt>
              </c:strCache>
            </c:strRef>
          </c:tx>
          <c:spPr>
            <a:solidFill>
              <a:srgbClr val="4F81BD"/>
            </a:solidFill>
          </c:spPr>
          <c:explosion val="0"/>
          <c:dPt>
            <c:idx val="0"/>
            <c:bubble3D val="false"/>
            <c:spPr>
              <a:solidFill>
                <a:srgbClr val="4572A7"/>
              </a:solidFill>
            </c:spPr>
          </c:dPt>
          <c:dPt>
            <c:idx val="1"/>
            <c:bubble3D val="false"/>
            <c:spPr>
              <a:solidFill>
                <a:srgbClr val="AA4643"/>
              </a:solidFill>
            </c:spPr>
          </c:dPt>
          <c:dPt>
            <c:idx val="2"/>
            <c:bubble3D val="false"/>
            <c:spPr>
              <a:solidFill>
                <a:srgbClr val="89A54E"/>
              </a:solidFill>
            </c:spPr>
          </c:dPt>
          <c:dPt>
            <c:idx val="3"/>
            <c:bubble3D val="false"/>
            <c:spPr>
              <a:solidFill>
                <a:srgbClr val="71588F"/>
              </a:solidFill>
            </c:spPr>
          </c:dPt>
          <c:dPt>
            <c:idx val="4"/>
            <c:bubble3D val="false"/>
            <c:spPr>
              <a:solidFill>
                <a:srgbClr val="4198AF"/>
              </a:solidFill>
            </c:spPr>
          </c:dPt>
          <c:dPt>
            <c:idx val="5"/>
            <c:bubble3D val="false"/>
            <c:spPr>
              <a:solidFill>
                <a:srgbClr val="DB843D"/>
              </a:solidFill>
            </c:spPr>
          </c:dPt>
          <c:dPt>
            <c:idx val="6"/>
            <c:bubble3D val="false"/>
            <c:spPr>
              <a:solidFill>
                <a:srgbClr val="FF0000"/>
              </a:solidFill>
              <a:ln w="6350">
                <a:solidFill>
                  <a:srgbClr val="FF0000"/>
                </a:solidFill>
                <a:prstDash val="solid"/>
              </a:ln>
            </c:spPr>
          </c:dPt>
          <c:dLbls>
            <c:dLbl>
              <c:idx val="0"/>
              <c:delete val="true"/>
            </c:dLbl>
            <c:dLbl>
              <c:idx val="1"/>
              <c:delete val="true"/>
            </c:dLbl>
            <c:dLbl>
              <c:idx val="2"/>
              <c:delete val="true"/>
            </c:dLbl>
            <c:dLbl>
              <c:idx val="3"/>
              <c:delete val="true"/>
            </c:dLbl>
            <c:dLbl>
              <c:idx val="4"/>
              <c:delete val="true"/>
            </c:dLbl>
            <c:dLbl>
              <c:idx val="5"/>
              <c:delete val="true"/>
            </c:dLbl>
            <c:dLbl>
              <c:idx val="6"/>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bestFit"/>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(2)'!$A$2:$A$8</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 (2)'!$B$2:$B$8</c:f>
              <c:numCache>
                <c:formatCode>General</c:formatCode>
                <c:ptCount val="7"/>
                <c:pt idx="0">
                  <c:v>542.33</c:v>
                </c:pt>
                <c:pt idx="1">
                  <c:v>0</c:v>
                </c:pt>
                <c:pt idx="2">
                  <c:v>0</c:v>
                </c:pt>
                <c:pt idx="3">
                  <c:v>0</c:v>
                </c:pt>
                <c:pt idx="4">
                  <c:v>0</c:v>
                </c:pt>
                <c:pt idx="5">
                  <c:v>0</c:v>
                </c:pt>
                <c:pt idx="6">
                  <c:v>0.54</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manualLayout>
          <c:xMode val="edge"/>
          <c:yMode val="edge"/>
          <c:x val="0.6533011"/>
          <c:y val="0.094231084"/>
          <c:w val="0.32984465"/>
          <c:h val="0.8751082"/>
        </c:manualLayout>
      </c:layout>
      <c:overlay val="false"/>
      <c:spPr>
        <a:noFill/>
        <a:ln>
          <a:noFill/>
        </a:ln>
      </c:spPr>
      <c:txPr>
        <a:bodyPr rot="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legend>
    <c:plotVisOnly val="true"/>
    <c:dispBlanksAs val="zero"/>
    <c:showDLblsOverMax val="false"/>
  </c:chart>
  <c:txPr>
    <a:bodyPr/>
    <a:lstStyle/>
    <a:p>
      <a:pPr>
        <a:defRPr lang="zh-CN" sz="10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26486877"/>
          <c:y val="0.1750258"/>
          <c:w val="0.6990501"/>
          <c:h val="0.7754386"/>
        </c:manualLayout>
      </c:layout>
      <c:pieChart>
        <c:varyColors val="true"/>
        <c:ser>
          <c:idx val="0"/>
          <c:order val="0"/>
          <c:tx>
            <c:strRef>
              <c:f>'Sheet1 (3)'!$B$1</c:f>
              <c:strCache>
                <c:ptCount val="1"/>
                <c:pt idx="0">
                  <c:v>支出</c:v>
                </c:pt>
              </c:strCache>
            </c:strRef>
          </c:tx>
          <c:spPr>
            <a:solidFill>
              <a:srgbClr val="4F81BD"/>
            </a:solidFill>
          </c:spPr>
          <c:explosion val="25"/>
          <c:dPt>
            <c:idx val="0"/>
            <c:bubble3D val="false"/>
            <c:spPr>
              <a:solidFill>
                <a:srgbClr val="4F81BD"/>
              </a:solidFill>
            </c:spPr>
          </c:dPt>
          <c:dPt>
            <c:idx val="1"/>
            <c:bubble3D val="false"/>
            <c:spPr>
              <a:solidFill>
                <a:srgbClr val="C0504D"/>
              </a:solidFill>
            </c:spPr>
          </c:dPt>
          <c:dPt>
            <c:idx val="2"/>
            <c:bubble3D val="false"/>
            <c:spPr>
              <a:solidFill>
                <a:srgbClr val="9BBB59"/>
              </a:solidFill>
            </c:spPr>
          </c:dPt>
          <c:dPt>
            <c:idx val="3"/>
            <c:bubble3D val="false"/>
            <c:spPr>
              <a:solidFill>
                <a:srgbClr val="8064A2"/>
              </a:solidFill>
            </c:spPr>
          </c:dPt>
          <c:dPt>
            <c:idx val="4"/>
            <c:bubble3D val="false"/>
            <c:spPr>
              <a:solidFill>
                <a:srgbClr val="4BACC6"/>
              </a:solidFill>
            </c:spPr>
          </c:dPt>
          <c:dLbls>
            <c:dLbl>
              <c:idx val="0"/>
              <c:delete val="true"/>
            </c:dLbl>
            <c:dLbl>
              <c:idx val="1"/>
              <c:delete val="true"/>
            </c:dLbl>
            <c:dLbl>
              <c:idx val="2"/>
              <c:delete val="true"/>
            </c:dLbl>
            <c:dLbl>
              <c:idx val="3"/>
              <c:delete val="true"/>
            </c:dLbl>
            <c:dLbl>
              <c:idx val="4"/>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bestFit"/>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(3)'!$A$2:$A$6</c:f>
              <c:strCache>
                <c:ptCount val="5"/>
                <c:pt idx="0">
                  <c:v>基本支出</c:v>
                </c:pt>
                <c:pt idx="1">
                  <c:v>项目支出</c:v>
                </c:pt>
                <c:pt idx="2">
                  <c:v>上缴上级支出</c:v>
                </c:pt>
                <c:pt idx="3">
                  <c:v>经营支出</c:v>
                </c:pt>
                <c:pt idx="4">
                  <c:v>附属单位补助支出</c:v>
                </c:pt>
              </c:strCache>
            </c:strRef>
          </c:cat>
          <c:val>
            <c:numRef>
              <c:f>'Sheet1 (3)'!$B$2:$B$6</c:f>
              <c:numCache>
                <c:formatCode>General</c:formatCode>
                <c:ptCount val="5"/>
                <c:pt idx="0">
                  <c:v>505.4</c:v>
                </c:pt>
                <c:pt idx="1">
                  <c:v>36.56</c:v>
                </c:pt>
                <c:pt idx="2">
                  <c:v>0</c:v>
                </c:pt>
                <c:pt idx="3">
                  <c:v>0</c:v>
                </c:pt>
                <c:pt idx="4">
                  <c:v>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c:spPr>
      <c:txPr>
        <a:bodyPr rot="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legend>
    <c:plotVisOnly val="true"/>
    <c:dispBlanksAs val="zero"/>
    <c:showDLblsOverMax val="false"/>
  </c:chart>
  <c:txPr>
    <a:bodyPr/>
    <a:lstStyle/>
    <a:p>
      <a:pPr>
        <a:defRPr lang="zh-CN" sz="10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 (4)'!$B$1</c:f>
              <c:strCache>
                <c:ptCount val="1"/>
                <c:pt idx="0">
                  <c:v>2018</c:v>
                </c:pt>
              </c:strCache>
            </c:strRef>
          </c:tx>
          <c:spPr>
            <a:solidFill>
              <a:srgbClr val="4F81BD"/>
            </a:solidFill>
          </c:spPr>
          <c:invertIfNegative val="false"/>
          <c:dLbls>
            <c:dLbl>
              <c:idx val="0"/>
              <c:delete val="true"/>
            </c:dLbl>
            <c:dLbl>
              <c:idx val="1"/>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(4)'!$A$2:$A$3</c:f>
              <c:strCache>
                <c:ptCount val="2"/>
                <c:pt idx="0">
                  <c:v>收入</c:v>
                </c:pt>
                <c:pt idx="1">
                  <c:v>支出</c:v>
                </c:pt>
              </c:strCache>
            </c:strRef>
          </c:cat>
          <c:val>
            <c:numRef>
              <c:f>'Sheet1 (4)'!$B$2:$B$3</c:f>
              <c:numCache>
                <c:formatCode>General</c:formatCode>
                <c:ptCount val="2"/>
                <c:pt idx="0">
                  <c:v>530.58</c:v>
                </c:pt>
                <c:pt idx="1">
                  <c:v>496.47</c:v>
                </c:pt>
              </c:numCache>
            </c:numRef>
          </c:val>
        </c:ser>
        <c:ser>
          <c:idx val="1"/>
          <c:order val="1"/>
          <c:tx>
            <c:strRef>
              <c:f>'Sheet1 (4)'!$C$1</c:f>
              <c:strCache>
                <c:ptCount val="1"/>
                <c:pt idx="0">
                  <c:v>2019</c:v>
                </c:pt>
              </c:strCache>
            </c:strRef>
          </c:tx>
          <c:spPr>
            <a:solidFill>
              <a:srgbClr val="C0504D"/>
            </a:solidFill>
          </c:spPr>
          <c:invertIfNegative val="false"/>
          <c:dLbls>
            <c:dLbl>
              <c:idx val="0"/>
              <c:delete val="true"/>
            </c:dLbl>
            <c:dLbl>
              <c:idx val="1"/>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(4)'!$A$2:$A$3</c:f>
              <c:strCache>
                <c:ptCount val="2"/>
                <c:pt idx="0">
                  <c:v>收入</c:v>
                </c:pt>
                <c:pt idx="1">
                  <c:v>支出</c:v>
                </c:pt>
              </c:strCache>
            </c:strRef>
          </c:cat>
          <c:val>
            <c:numRef>
              <c:f>'Sheet1 (4)'!$C$2:$C$3</c:f>
              <c:numCache>
                <c:formatCode>General</c:formatCode>
                <c:ptCount val="2"/>
                <c:pt idx="0">
                  <c:v>542.23</c:v>
                </c:pt>
                <c:pt idx="1">
                  <c:v>541.42</c:v>
                </c:pt>
              </c:numCache>
            </c:numRef>
          </c:val>
        </c:ser>
        <c:dLbls>
          <c:showLegendKey val="false"/>
          <c:showVal val="false"/>
          <c:showCatName val="false"/>
          <c:showSerName val="false"/>
          <c:showPercent val="false"/>
          <c:showBubbleSize val="false"/>
        </c:dLbls>
        <c:gapWidth val="150"/>
        <c:axId val="1"/>
      </c:barChart>
      <c:catAx>
        <c:axId val="0"/>
        <c:scaling>
          <c:orientation val="minMax"/>
        </c:scaling>
        <c:delete val="false"/>
        <c:axPos val="b"/>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crossAx val="1"/>
        <c:crosses val="autoZero"/>
        <c:auto val="false"/>
        <c:lblAlgn val="ctr"/>
        <c:lblOffset val="100"/>
        <c:noMultiLvlLbl val="false"/>
      </c:catAx>
      <c:valAx>
        <c:axId val="1"/>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crossAx val="0"/>
        <c:crosses val="autoZero"/>
        <c:crossBetween val="between"/>
      </c:valAx>
      <c:spPr>
        <a:solidFill>
          <a:schemeClr val="bg1"/>
        </a:solidFill>
        <a:ln>
          <a:noFill/>
        </a:ln>
        <a:effectLst/>
      </c:spPr>
    </c:plotArea>
    <c:legend>
      <c:legendPos val="r"/>
      <c:layout/>
      <c:overlay val="false"/>
      <c:spPr>
        <a:noFill/>
        <a:ln>
          <a:noFill/>
        </a:ln>
      </c:spPr>
      <c:txPr>
        <a:bodyPr rot="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legend>
    <c:plotVisOnly val="true"/>
    <c:dispBlanksAs val="gap"/>
    <c:showDLblsOverMax val="false"/>
  </c:chart>
  <c:txPr>
    <a:bodyPr/>
    <a:lstStyle/>
    <a:p>
      <a:pPr>
        <a:defRPr lang="zh-CN" sz="10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 (5)'!$B$1</c:f>
              <c:strCache>
                <c:ptCount val="1"/>
                <c:pt idx="0">
                  <c:v>2018</c:v>
                </c:pt>
              </c:strCache>
            </c:strRef>
          </c:tx>
          <c:spPr>
            <a:solidFill>
              <a:srgbClr val="4F81BD"/>
            </a:solidFill>
          </c:spPr>
          <c:invertIfNegative val="false"/>
          <c:dLbls>
            <c:dLbl>
              <c:idx val="0"/>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(5)'!$A$2</c:f>
              <c:strCache>
                <c:ptCount val="1"/>
                <c:pt idx="0">
                  <c:v>一般公共预算财政支出</c:v>
                </c:pt>
              </c:strCache>
            </c:strRef>
          </c:cat>
          <c:val>
            <c:numRef>
              <c:f>Sheet1 (5)!$B$2</c:f>
              <c:numCache>
                <c:formatCode>General</c:formatCode>
                <c:ptCount val="1"/>
                <c:pt idx="0">
                  <c:v>496.47</c:v>
                </c:pt>
              </c:numCache>
            </c:numRef>
          </c:val>
        </c:ser>
        <c:ser>
          <c:idx val="1"/>
          <c:order val="1"/>
          <c:tx>
            <c:strRef>
              <c:f>'Sheet1 (5)'!$C$1</c:f>
              <c:strCache>
                <c:ptCount val="1"/>
                <c:pt idx="0">
                  <c:v>2019</c:v>
                </c:pt>
              </c:strCache>
            </c:strRef>
          </c:tx>
          <c:spPr>
            <a:solidFill>
              <a:srgbClr val="C0504D"/>
            </a:solidFill>
          </c:spPr>
          <c:invertIfNegative val="false"/>
          <c:dLbls>
            <c:dLbl>
              <c:idx val="0"/>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(5)'!$A$2</c:f>
              <c:strCache>
                <c:ptCount val="1"/>
                <c:pt idx="0">
                  <c:v>一般公共预算财政支出</c:v>
                </c:pt>
              </c:strCache>
            </c:strRef>
          </c:cat>
          <c:val>
            <c:numRef>
              <c:f>Sheet1 (5)!$C$2</c:f>
              <c:numCache>
                <c:formatCode>General</c:formatCode>
                <c:ptCount val="1"/>
                <c:pt idx="0">
                  <c:v>541.42</c:v>
                </c:pt>
              </c:numCache>
            </c:numRef>
          </c:val>
        </c:ser>
        <c:dLbls>
          <c:showLegendKey val="false"/>
          <c:showVal val="false"/>
          <c:showCatName val="false"/>
          <c:showSerName val="false"/>
          <c:showPercent val="false"/>
          <c:showBubbleSize val="false"/>
        </c:dLbls>
        <c:gapWidth val="150"/>
        <c:axId val="0"/>
        <c:axId val="1"/>
      </c:barChart>
      <c:catAx>
        <c:axId val="0"/>
        <c:scaling>
          <c:orientation val="minMax"/>
        </c:scaling>
        <c:delete val="false"/>
        <c:axPos val="b"/>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crossAx val="1"/>
        <c:crosses val="autoZero"/>
        <c:auto val="true"/>
        <c:lblAlgn val="ctr"/>
        <c:lblOffset val="100"/>
        <c:noMultiLvlLbl val="false"/>
      </c:catAx>
      <c:valAx>
        <c:axId val="1"/>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crossAx val="0"/>
        <c:crossesAt val="1"/>
        <c:crossBetween val="between"/>
      </c:valAx>
      <c:spPr>
        <a:solidFill>
          <a:srgbClr val="FFFFFF"/>
        </a:solidFill>
      </c:spPr>
    </c:plotArea>
    <c:legend>
      <c:legendPos val="r"/>
      <c:layout/>
      <c:overlay val="false"/>
      <c:spPr>
        <a:noFill/>
        <a:ln>
          <a:noFill/>
        </a:ln>
      </c:spPr>
      <c:txPr>
        <a:bodyPr rot="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legend>
    <c:plotVisOnly val="true"/>
    <c:dispBlanksAs val="gap"/>
    <c:showDLblsOverMax val="false"/>
  </c:chart>
  <c:txPr>
    <a:bodyPr/>
    <a:lstStyle/>
    <a:p>
      <a:pPr>
        <a:defRPr lang="zh-CN" sz="10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 (6)'!$B$1</c:f>
              <c:strCache>
                <c:ptCount val="1"/>
                <c:pt idx="0">
                  <c:v>2019</c:v>
                </c:pt>
              </c:strCache>
            </c:strRef>
          </c:tx>
          <c:spPr>
            <a:solidFill>
              <a:srgbClr val="4F81BD"/>
            </a:solidFill>
          </c:spPr>
          <c:explosion val="25"/>
          <c:dPt>
            <c:idx val="0"/>
            <c:bubble3D val="false"/>
            <c:spPr>
              <a:solidFill>
                <a:srgbClr val="4F81BD"/>
              </a:solidFill>
            </c:spPr>
          </c:dPt>
          <c:dPt>
            <c:idx val="1"/>
            <c:bubble3D val="false"/>
            <c:spPr>
              <a:solidFill>
                <a:srgbClr val="C0504D"/>
              </a:solidFill>
            </c:spPr>
          </c:dPt>
          <c:dPt>
            <c:idx val="2"/>
            <c:bubble3D val="false"/>
            <c:spPr>
              <a:solidFill>
                <a:srgbClr val="9BBB59"/>
              </a:solidFill>
            </c:spPr>
          </c:dPt>
          <c:dPt>
            <c:idx val="3"/>
            <c:bubble3D val="false"/>
            <c:spPr>
              <a:solidFill>
                <a:srgbClr val="8064A2"/>
              </a:solidFill>
            </c:spPr>
          </c:dPt>
          <c:dPt>
            <c:idx val="4"/>
            <c:bubble3D val="false"/>
            <c:spPr>
              <a:solidFill>
                <a:srgbClr val="4BACC6"/>
              </a:solidFill>
            </c:spPr>
          </c:dPt>
          <c:dLbls>
            <c:dLbl>
              <c:idx val="0"/>
              <c:delete val="true"/>
            </c:dLbl>
            <c:dLbl>
              <c:idx val="1"/>
              <c:delete val="true"/>
            </c:dLbl>
            <c:dLbl>
              <c:idx val="2"/>
              <c:delete val="true"/>
            </c:dLbl>
            <c:dLbl>
              <c:idx val="3"/>
              <c:delete val="true"/>
            </c:dLbl>
            <c:dLbl>
              <c:idx val="4"/>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bestFit"/>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(6)'!$A$2:$A$6</c:f>
              <c:strCache>
                <c:ptCount val="5"/>
                <c:pt idx="0">
                  <c:v>一般公共服务支出</c:v>
                </c:pt>
                <c:pt idx="1">
                  <c:v>社会保障和就业支出</c:v>
                </c:pt>
                <c:pt idx="2">
                  <c:v>医疗卫生与计划生育支出</c:v>
                </c:pt>
                <c:pt idx="3">
                  <c:v>农林水支出</c:v>
                </c:pt>
                <c:pt idx="4">
                  <c:v>住房保障支出</c:v>
                </c:pt>
              </c:strCache>
            </c:strRef>
          </c:cat>
          <c:val>
            <c:numRef>
              <c:f>'Sheet1 (6)'!$B$2:$B$6</c:f>
              <c:numCache>
                <c:formatCode>General</c:formatCode>
                <c:ptCount val="5"/>
                <c:pt idx="0">
                  <c:v>464.54</c:v>
                </c:pt>
                <c:pt idx="1">
                  <c:v>35.58</c:v>
                </c:pt>
                <c:pt idx="2">
                  <c:v>14.94</c:v>
                </c:pt>
                <c:pt idx="3">
                  <c:v>3.81</c:v>
                </c:pt>
                <c:pt idx="4">
                  <c:v>22.55</c:v>
                </c:pt>
              </c:numCache>
            </c:numRef>
          </c:val>
        </c:ser>
        <c:dLbls>
          <c:showLegendKey val="false"/>
          <c:showVal val="false"/>
          <c:showCatName val="false"/>
          <c:showSerName val="false"/>
          <c:showPercent val="false"/>
          <c:showBubbleSize val="false"/>
          <c:showLeaderLines val="true"/>
        </c:dLbls>
        <c:firstSliceAng val="0"/>
      </c:pieChart>
      <c:spPr>
        <a:noFill/>
      </c:spPr>
    </c:plotArea>
    <c:legend>
      <c:legendPos val="r"/>
      <c:layout/>
      <c:overlay val="false"/>
      <c:spPr>
        <a:noFill/>
        <a:ln>
          <a:noFill/>
        </a:ln>
      </c:spPr>
      <c:txPr>
        <a:bodyPr rot="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legend>
    <c:plotVisOnly val="true"/>
    <c:dispBlanksAs val="zero"/>
    <c:showDLblsOverMax val="false"/>
  </c:chart>
  <c:txPr>
    <a:bodyPr/>
    <a:lstStyle/>
    <a:p>
      <a:pPr>
        <a:defRPr lang="zh-CN" sz="10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26474128"/>
          <c:y val="0.11908397"/>
          <c:w val="0.6029254"/>
          <c:h val="0.7231552"/>
        </c:manualLayout>
      </c:layout>
      <c:pieChart>
        <c:varyColors val="true"/>
        <c:ser>
          <c:idx val="0"/>
          <c:order val="0"/>
          <c:tx>
            <c:strRef>
              <c:f>'Sheet1 (7)'!$B$1</c:f>
              <c:strCache>
                <c:ptCount val="1"/>
                <c:pt idx="0">
                  <c:v>列1</c:v>
                </c:pt>
              </c:strCache>
            </c:strRef>
          </c:tx>
          <c:spPr>
            <a:solidFill>
              <a:srgbClr val="4F81BD"/>
            </a:solidFill>
          </c:spPr>
          <c:explosion val="25"/>
          <c:dPt>
            <c:idx val="0"/>
            <c:bubble3D val="false"/>
            <c:spPr>
              <a:solidFill>
                <a:srgbClr val="4F81BD"/>
              </a:solidFill>
            </c:spPr>
          </c:dPt>
          <c:dPt>
            <c:idx val="1"/>
            <c:bubble3D val="false"/>
            <c:spPr>
              <a:solidFill>
                <a:srgbClr val="C0504D"/>
              </a:solidFill>
            </c:spPr>
          </c:dPt>
          <c:dPt>
            <c:idx val="2"/>
            <c:bubble3D val="false"/>
            <c:spPr>
              <a:solidFill>
                <a:srgbClr val="9BBB59"/>
              </a:solidFill>
            </c:spPr>
          </c:dPt>
          <c:dLbls>
            <c:dLbl>
              <c:idx val="0"/>
              <c:delete val="true"/>
            </c:dLbl>
            <c:dLbl>
              <c:idx val="1"/>
              <c:delete val="true"/>
            </c:dLbl>
            <c:dLbl>
              <c:idx val="2"/>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bestFit"/>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(7)'!$A$2:$A$4</c:f>
              <c:strCache>
                <c:ptCount val="3"/>
                <c:pt idx="0">
                  <c:v>因公出国（境）费</c:v>
                </c:pt>
                <c:pt idx="1">
                  <c:v>公务用车购置及运行维护费</c:v>
                </c:pt>
                <c:pt idx="2">
                  <c:v>公务接待费</c:v>
                </c:pt>
              </c:strCache>
            </c:strRef>
          </c:cat>
          <c:val>
            <c:numRef>
              <c:f>'Sheet1 (7)'!$B$2:$B$4</c:f>
              <c:numCache>
                <c:formatCode>General</c:formatCode>
                <c:ptCount val="3"/>
                <c:pt idx="0">
                  <c:v>0</c:v>
                </c:pt>
                <c:pt idx="1">
                  <c:v>0</c:v>
                </c:pt>
                <c:pt idx="2">
                  <c:v>3</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c:spPr>
      <c:txPr>
        <a:bodyPr rot="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legend>
    <c:plotVisOnly val="true"/>
    <c:dispBlanksAs val="zero"/>
    <c:showDLblsOverMax val="false"/>
  </c:chart>
  <c:txPr>
    <a:bodyPr/>
    <a:lstStyle/>
    <a:p>
      <a:pPr>
        <a:defRPr lang="zh-CN" sz="10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false"/>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四川省财政厅</Company>
  <Pages>41</Pages>
  <Words>0</Words>
  <Characters>13806</Characters>
  <Lines>0</Lines>
  <Paragraphs>380</Paragraphs>
  <TotalTime>0</TotalTime>
  <ScaleCrop>false</ScaleCrop>
  <LinksUpToDate>false</LinksUpToDate>
  <CharactersWithSpaces>18408</CharactersWithSpaces>
  <Application>WPS Office_11.8.2.9980_F1E327BC-269C-435d-A152-05C5408002CA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2020-09-08T16:44:00Z</dcterms:created>
  <dc:creator>曹颖</dc:creator>
  <cp:lastModifiedBy>user</cp:lastModifiedBy>
  <cp:lastPrinted>2020-07-23T10:58:00Z</cp:lastPrinted>
  <dcterms:modified xsi:type="dcterms:W3CDTF">2025-01-08T15:02:43Z</dcterms:modified>
  <dc:title>四川省***</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