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ABB399">
      <w:pPr>
        <w:pStyle w:val="2"/>
        <w:jc w:val="center"/>
        <w:rPr>
          <w:rFonts w:hint="eastAsia" w:ascii="方正小标宋简体" w:hAnsi="宋体" w:eastAsia="方正小标宋简体" w:cs="Times New Roman"/>
          <w:color w:val="auto"/>
          <w:kern w:val="2"/>
          <w:sz w:val="44"/>
          <w:szCs w:val="44"/>
          <w:highlight w:val="none"/>
          <w:lang w:val="en-US" w:eastAsia="zh-CN" w:bidi="ar-SA"/>
        </w:rPr>
      </w:pPr>
    </w:p>
    <w:p w14:paraId="1D3F9F8D">
      <w:pPr>
        <w:widowControl/>
        <w:jc w:val="center"/>
        <w:rPr>
          <w:rFonts w:hint="eastAsia" w:ascii="方正小标宋简体" w:hAnsi="宋体" w:eastAsia="方正小标宋简体" w:cs="Times New Roman"/>
          <w:color w:val="auto"/>
          <w:w w:val="90"/>
          <w:kern w:val="2"/>
          <w:sz w:val="44"/>
          <w:szCs w:val="44"/>
          <w:highlight w:val="none"/>
          <w:lang w:val="en-US" w:eastAsia="zh-CN" w:bidi="ar-SA"/>
        </w:rPr>
      </w:pPr>
      <w:r>
        <w:rPr>
          <w:rFonts w:hint="eastAsia" w:ascii="方正小标宋简体" w:hAnsi="宋体" w:eastAsia="方正小标宋简体" w:cs="Times New Roman"/>
          <w:color w:val="auto"/>
          <w:w w:val="90"/>
          <w:kern w:val="2"/>
          <w:sz w:val="44"/>
          <w:szCs w:val="44"/>
          <w:highlight w:val="none"/>
          <w:lang w:val="en-US" w:eastAsia="zh-CN" w:bidi="ar-SA"/>
        </w:rPr>
        <w:t>2024年度广元市利州区农业农村局部门决算</w:t>
      </w:r>
    </w:p>
    <w:p w14:paraId="6DFFDF86">
      <w:pPr>
        <w:widowControl/>
        <w:jc w:val="center"/>
        <w:rPr>
          <w:rFonts w:ascii="黑体" w:hAnsi="黑体" w:eastAsia="黑体"/>
          <w:color w:val="auto"/>
          <w:sz w:val="48"/>
          <w:szCs w:val="48"/>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目录</w:t>
      </w:r>
    </w:p>
    <w:sdt>
      <w:sdtPr>
        <w:rPr>
          <w:rFonts w:ascii="宋体" w:hAnsi="宋体"/>
          <w:highlight w:val="none"/>
        </w:rPr>
        <w:id w:val="1663683086"/>
        <w:docPartObj>
          <w:docPartGallery w:val="Table of Contents"/>
          <w:docPartUnique/>
        </w:docPartObj>
      </w:sdtPr>
      <w:sdtEndPr>
        <w:rPr>
          <w:rFonts w:ascii="宋体" w:hAnsi="宋体"/>
          <w:b/>
          <w:highlight w:val="none"/>
        </w:rPr>
      </w:sdtEndPr>
      <w:sdtContent>
        <w:p w14:paraId="3F4CB945">
          <w:pPr>
            <w:pStyle w:val="2"/>
            <w:spacing w:before="93" w:beforeLines="0"/>
            <w:jc w:val="center"/>
            <w:rPr>
              <w:highlight w:val="none"/>
            </w:rPr>
          </w:pPr>
          <w:r>
            <w:rPr>
              <w:rFonts w:hint="eastAsia"/>
              <w:highlight w:val="none"/>
            </w:rPr>
            <w:t>公开时间</w:t>
          </w:r>
          <w:r>
            <w:rPr>
              <w:rFonts w:hint="eastAsia"/>
              <w:highlight w:val="none"/>
              <w:lang w:eastAsia="zh-CN"/>
            </w:rPr>
            <w:t>：</w:t>
          </w:r>
          <w:r>
            <w:rPr>
              <w:rFonts w:hint="eastAsia"/>
              <w:highlight w:val="none"/>
            </w:rPr>
            <w:t>202</w:t>
          </w:r>
          <w:r>
            <w:rPr>
              <w:rFonts w:hint="eastAsia"/>
              <w:highlight w:val="none"/>
              <w:lang w:val="en-US" w:eastAsia="zh-CN"/>
            </w:rPr>
            <w:t>5</w:t>
          </w:r>
          <w:r>
            <w:rPr>
              <w:rFonts w:hint="eastAsia"/>
              <w:highlight w:val="none"/>
            </w:rPr>
            <w:t>年</w:t>
          </w:r>
          <w:r>
            <w:rPr>
              <w:rFonts w:hint="eastAsia"/>
              <w:highlight w:val="none"/>
              <w:lang w:val="en-US" w:eastAsia="zh-CN"/>
            </w:rPr>
            <w:t>9</w:t>
          </w:r>
          <w:r>
            <w:rPr>
              <w:rFonts w:hint="eastAsia"/>
              <w:highlight w:val="none"/>
            </w:rPr>
            <w:t>月</w:t>
          </w:r>
          <w:r>
            <w:rPr>
              <w:rFonts w:hint="eastAsia"/>
              <w:highlight w:val="none"/>
              <w:lang w:val="en-US" w:eastAsia="zh-CN"/>
            </w:rPr>
            <w:t>29</w:t>
          </w:r>
          <w:r>
            <w:rPr>
              <w:rFonts w:hint="eastAsia"/>
              <w:highlight w:val="none"/>
            </w:rPr>
            <w:t>日</w:t>
          </w:r>
          <w:bookmarkStart w:id="66" w:name="_GoBack"/>
          <w:bookmarkEnd w:id="66"/>
        </w:p>
        <w:p w14:paraId="4DCDBD6C">
          <w:pPr>
            <w:pStyle w:val="34"/>
            <w:tabs>
              <w:tab w:val="right" w:leader="dot" w:pos="8845"/>
            </w:tabs>
            <w:spacing w:line="576" w:lineRule="exact"/>
            <w:jc w:val="both"/>
            <w:rPr>
              <w:rFonts w:ascii="仿宋" w:hAnsi="仿宋" w:eastAsia="仿宋" w:cs="仿宋"/>
              <w:sz w:val="32"/>
              <w:szCs w:val="32"/>
              <w:highlight w:val="none"/>
            </w:rPr>
          </w:pPr>
        </w:p>
        <w:p w14:paraId="35427AAE">
          <w:pPr>
            <w:pStyle w:val="18"/>
            <w:tabs>
              <w:tab w:val="right" w:leader="dot" w:pos="8845"/>
            </w:tabs>
          </w:pPr>
          <w:r>
            <w:rPr>
              <w:rFonts w:hint="eastAsia" w:ascii="Lucida Sans" w:hAnsi="仿宋" w:eastAsia="仿宋" w:cs="仿宋"/>
              <w:sz w:val="36"/>
              <w:szCs w:val="36"/>
              <w:highlight w:val="none"/>
            </w:rPr>
            <w:fldChar w:fldCharType="begin"/>
          </w:r>
          <w:r>
            <w:rPr>
              <w:rFonts w:hint="eastAsia" w:ascii="Lucida Sans" w:hAnsi="仿宋" w:eastAsia="仿宋" w:cs="仿宋"/>
              <w:sz w:val="36"/>
              <w:szCs w:val="36"/>
              <w:highlight w:val="none"/>
            </w:rPr>
            <w:instrText xml:space="preserve">TOC \o "1-2" \h \u </w:instrText>
          </w:r>
          <w:r>
            <w:rPr>
              <w:rFonts w:hint="eastAsia" w:ascii="Lucida Sans" w:hAnsi="仿宋" w:eastAsia="仿宋" w:cs="仿宋"/>
              <w:sz w:val="36"/>
              <w:szCs w:val="36"/>
              <w:highlight w:val="none"/>
            </w:rPr>
            <w:fldChar w:fldCharType="separate"/>
          </w: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_Toc270078760 </w:instrText>
          </w:r>
          <w:r>
            <w:rPr>
              <w:rFonts w:hint="eastAsia" w:ascii="Lucida Sans" w:hAnsi="仿宋" w:eastAsia="仿宋" w:cs="仿宋"/>
              <w:szCs w:val="36"/>
              <w:highlight w:val="none"/>
            </w:rPr>
            <w:fldChar w:fldCharType="separate"/>
          </w:r>
          <w:r>
            <w:rPr>
              <w:rFonts w:hint="eastAsia" w:ascii="黑体" w:hAnsi="黑体" w:eastAsia="黑体"/>
              <w:highlight w:val="none"/>
            </w:rPr>
            <w:t xml:space="preserve">第一部分 </w:t>
          </w:r>
          <w:r>
            <w:rPr>
              <w:rFonts w:hint="eastAsia" w:ascii="黑体" w:hAnsi="黑体" w:eastAsia="黑体"/>
              <w:bCs w:val="0"/>
              <w:highlight w:val="none"/>
            </w:rPr>
            <w:t>部门概况</w:t>
          </w:r>
          <w:r>
            <w:tab/>
          </w:r>
          <w:r>
            <w:fldChar w:fldCharType="begin"/>
          </w:r>
          <w:r>
            <w:instrText xml:space="preserve"> PAGEREF _Toc270078760 \h </w:instrText>
          </w:r>
          <w:r>
            <w:fldChar w:fldCharType="separate"/>
          </w:r>
          <w:r>
            <w:t>- 4 -</w:t>
          </w:r>
          <w:r>
            <w:fldChar w:fldCharType="end"/>
          </w:r>
          <w:r>
            <w:rPr>
              <w:rFonts w:hint="eastAsia" w:ascii="Lucida Sans" w:hAnsi="仿宋" w:eastAsia="仿宋" w:cs="仿宋"/>
              <w:szCs w:val="36"/>
              <w:highlight w:val="none"/>
            </w:rPr>
            <w:fldChar w:fldCharType="end"/>
          </w:r>
        </w:p>
        <w:p w14:paraId="59BBA744">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_Toc1510836603 </w:instrText>
          </w:r>
          <w:r>
            <w:rPr>
              <w:rFonts w:hint="eastAsia" w:ascii="Lucida Sans" w:hAnsi="仿宋" w:eastAsia="仿宋" w:cs="仿宋"/>
              <w:szCs w:val="36"/>
              <w:highlight w:val="none"/>
            </w:rPr>
            <w:fldChar w:fldCharType="separate"/>
          </w:r>
          <w:r>
            <w:rPr>
              <w:rFonts w:hint="eastAsia" w:ascii="黑体" w:hAnsi="黑体" w:eastAsia="黑体"/>
              <w:bCs w:val="0"/>
              <w:lang w:eastAsia="zh-CN"/>
            </w:rPr>
            <w:t xml:space="preserve">一、 </w:t>
          </w:r>
          <w:r>
            <w:rPr>
              <w:rFonts w:hint="eastAsia" w:ascii="黑体" w:hAnsi="黑体" w:eastAsia="黑体"/>
              <w:bCs w:val="0"/>
              <w:highlight w:val="none"/>
              <w:lang w:eastAsia="zh-CN"/>
            </w:rPr>
            <w:t>部门职责</w:t>
          </w:r>
          <w:r>
            <w:tab/>
          </w:r>
          <w:r>
            <w:fldChar w:fldCharType="begin"/>
          </w:r>
          <w:r>
            <w:instrText xml:space="preserve"> PAGEREF _Toc1510836603 \h </w:instrText>
          </w:r>
          <w:r>
            <w:fldChar w:fldCharType="separate"/>
          </w:r>
          <w:r>
            <w:t>- 4 -</w:t>
          </w:r>
          <w:r>
            <w:fldChar w:fldCharType="end"/>
          </w:r>
          <w:r>
            <w:rPr>
              <w:rFonts w:hint="eastAsia" w:ascii="Lucida Sans" w:hAnsi="仿宋" w:eastAsia="仿宋" w:cs="仿宋"/>
              <w:szCs w:val="36"/>
              <w:highlight w:val="none"/>
            </w:rPr>
            <w:fldChar w:fldCharType="end"/>
          </w:r>
        </w:p>
        <w:p w14:paraId="714FCFF8">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_Toc1156050426 </w:instrText>
          </w:r>
          <w:r>
            <w:rPr>
              <w:rFonts w:hint="eastAsia" w:ascii="Lucida Sans" w:hAnsi="仿宋" w:eastAsia="仿宋" w:cs="仿宋"/>
              <w:szCs w:val="36"/>
              <w:highlight w:val="none"/>
            </w:rPr>
            <w:fldChar w:fldCharType="separate"/>
          </w:r>
          <w:r>
            <w:rPr>
              <w:rFonts w:hint="eastAsia" w:ascii="黑体" w:hAnsi="黑体" w:eastAsia="黑体"/>
              <w:lang w:val="en-US" w:eastAsia="zh-CN"/>
            </w:rPr>
            <w:t xml:space="preserve">二、 </w:t>
          </w:r>
          <w:r>
            <w:rPr>
              <w:rFonts w:hint="eastAsia" w:ascii="黑体" w:hAnsi="黑体" w:eastAsia="黑体"/>
              <w:highlight w:val="none"/>
              <w:lang w:val="en-US" w:eastAsia="zh-CN"/>
            </w:rPr>
            <w:t>机构设置</w:t>
          </w:r>
          <w:r>
            <w:tab/>
          </w:r>
          <w:r>
            <w:fldChar w:fldCharType="begin"/>
          </w:r>
          <w:r>
            <w:instrText xml:space="preserve"> PAGEREF _Toc1156050426 \h </w:instrText>
          </w:r>
          <w:r>
            <w:fldChar w:fldCharType="separate"/>
          </w:r>
          <w:r>
            <w:t>- 9 -</w:t>
          </w:r>
          <w:r>
            <w:fldChar w:fldCharType="end"/>
          </w:r>
          <w:r>
            <w:rPr>
              <w:rFonts w:hint="eastAsia" w:ascii="Lucida Sans" w:hAnsi="仿宋" w:eastAsia="仿宋" w:cs="仿宋"/>
              <w:szCs w:val="36"/>
              <w:highlight w:val="none"/>
            </w:rPr>
            <w:fldChar w:fldCharType="end"/>
          </w:r>
        </w:p>
        <w:p w14:paraId="226421F0">
          <w:pPr>
            <w:pStyle w:val="18"/>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_Toc517319435 </w:instrText>
          </w:r>
          <w:r>
            <w:rPr>
              <w:rFonts w:hint="eastAsia" w:ascii="Lucida Sans" w:hAnsi="仿宋" w:eastAsia="仿宋" w:cs="仿宋"/>
              <w:szCs w:val="36"/>
              <w:highlight w:val="none"/>
            </w:rPr>
            <w:fldChar w:fldCharType="separate"/>
          </w:r>
          <w:r>
            <w:rPr>
              <w:rFonts w:hint="eastAsia" w:ascii="黑体" w:hAnsi="黑体" w:eastAsia="黑体"/>
              <w:bCs/>
              <w:highlight w:val="none"/>
            </w:rPr>
            <w:t xml:space="preserve">第二部分 </w:t>
          </w:r>
          <w:r>
            <w:rPr>
              <w:rFonts w:hint="eastAsia" w:ascii="黑体" w:hAnsi="黑体" w:eastAsia="黑体"/>
              <w:bCs/>
              <w:highlight w:val="none"/>
              <w:lang w:val="en-US" w:eastAsia="zh-CN"/>
            </w:rPr>
            <w:t>2024年度</w:t>
          </w:r>
          <w:r>
            <w:rPr>
              <w:rFonts w:hint="eastAsia" w:ascii="黑体" w:hAnsi="黑体" w:eastAsia="黑体"/>
              <w:bCs/>
              <w:highlight w:val="none"/>
            </w:rPr>
            <w:t>部门决算情况说明</w:t>
          </w:r>
          <w:r>
            <w:tab/>
          </w:r>
          <w:r>
            <w:fldChar w:fldCharType="begin"/>
          </w:r>
          <w:r>
            <w:instrText xml:space="preserve"> PAGEREF _Toc517319435 \h </w:instrText>
          </w:r>
          <w:r>
            <w:fldChar w:fldCharType="separate"/>
          </w:r>
          <w:r>
            <w:t>- 10 -</w:t>
          </w:r>
          <w:r>
            <w:fldChar w:fldCharType="end"/>
          </w:r>
          <w:r>
            <w:rPr>
              <w:rFonts w:hint="eastAsia" w:ascii="Lucida Sans" w:hAnsi="仿宋" w:eastAsia="仿宋" w:cs="仿宋"/>
              <w:szCs w:val="36"/>
              <w:highlight w:val="none"/>
            </w:rPr>
            <w:fldChar w:fldCharType="end"/>
          </w:r>
        </w:p>
        <w:p w14:paraId="2E1E7595">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_Toc1278931502 </w:instrText>
          </w:r>
          <w:r>
            <w:rPr>
              <w:rFonts w:hint="eastAsia" w:ascii="Lucida Sans" w:hAnsi="仿宋" w:eastAsia="仿宋" w:cs="仿宋"/>
              <w:szCs w:val="36"/>
              <w:highlight w:val="none"/>
            </w:rPr>
            <w:fldChar w:fldCharType="separate"/>
          </w:r>
          <w:r>
            <w:rPr>
              <w:rFonts w:hint="default" w:ascii="黑体" w:hAnsi="黑体" w:eastAsia="黑体" w:cs="黑体"/>
              <w:bCs/>
              <w:szCs w:val="32"/>
            </w:rPr>
            <w:t xml:space="preserve">一、 </w:t>
          </w:r>
          <w:r>
            <w:rPr>
              <w:rFonts w:hint="eastAsia" w:ascii="黑体" w:hAnsi="黑体" w:eastAsia="黑体"/>
              <w:szCs w:val="32"/>
              <w:highlight w:val="none"/>
            </w:rPr>
            <w:t>收</w:t>
          </w:r>
          <w:r>
            <w:rPr>
              <w:rFonts w:hint="eastAsia" w:ascii="黑体" w:hAnsi="黑体" w:eastAsia="黑体"/>
              <w:highlight w:val="none"/>
            </w:rPr>
            <w:t>入支出决算总体情况说明</w:t>
          </w:r>
          <w:r>
            <w:tab/>
          </w:r>
          <w:r>
            <w:fldChar w:fldCharType="begin"/>
          </w:r>
          <w:r>
            <w:instrText xml:space="preserve"> PAGEREF _Toc1278931502 \h </w:instrText>
          </w:r>
          <w:r>
            <w:fldChar w:fldCharType="separate"/>
          </w:r>
          <w:r>
            <w:t>- 10 -</w:t>
          </w:r>
          <w:r>
            <w:fldChar w:fldCharType="end"/>
          </w:r>
          <w:r>
            <w:rPr>
              <w:rFonts w:hint="eastAsia" w:ascii="Lucida Sans" w:hAnsi="仿宋" w:eastAsia="仿宋" w:cs="仿宋"/>
              <w:szCs w:val="36"/>
              <w:highlight w:val="none"/>
            </w:rPr>
            <w:fldChar w:fldCharType="end"/>
          </w:r>
        </w:p>
        <w:p w14:paraId="19D9AD6A">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_Toc484103130 </w:instrText>
          </w:r>
          <w:r>
            <w:rPr>
              <w:rFonts w:hint="eastAsia" w:ascii="Lucida Sans" w:hAnsi="仿宋" w:eastAsia="仿宋" w:cs="仿宋"/>
              <w:szCs w:val="36"/>
              <w:highlight w:val="none"/>
            </w:rPr>
            <w:fldChar w:fldCharType="separate"/>
          </w:r>
          <w:r>
            <w:rPr>
              <w:rFonts w:hint="eastAsia" w:ascii="黑体" w:hAnsi="黑体" w:eastAsia="黑体" w:cs="黑体"/>
              <w:bCs/>
              <w:szCs w:val="32"/>
              <w:highlight w:val="none"/>
            </w:rPr>
            <w:t>二、收入决算情况说明</w:t>
          </w:r>
          <w:r>
            <w:tab/>
          </w:r>
          <w:r>
            <w:fldChar w:fldCharType="begin"/>
          </w:r>
          <w:r>
            <w:instrText xml:space="preserve"> PAGEREF _Toc484103130 \h </w:instrText>
          </w:r>
          <w:r>
            <w:fldChar w:fldCharType="separate"/>
          </w:r>
          <w:r>
            <w:t>- 10 -</w:t>
          </w:r>
          <w:r>
            <w:fldChar w:fldCharType="end"/>
          </w:r>
          <w:r>
            <w:rPr>
              <w:rFonts w:hint="eastAsia" w:ascii="Lucida Sans" w:hAnsi="仿宋" w:eastAsia="仿宋" w:cs="仿宋"/>
              <w:szCs w:val="36"/>
              <w:highlight w:val="none"/>
            </w:rPr>
            <w:fldChar w:fldCharType="end"/>
          </w:r>
        </w:p>
        <w:p w14:paraId="0E548DFA">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_Toc539297285 </w:instrText>
          </w:r>
          <w:r>
            <w:rPr>
              <w:rFonts w:hint="eastAsia" w:ascii="Lucida Sans" w:hAnsi="仿宋" w:eastAsia="仿宋" w:cs="仿宋"/>
              <w:szCs w:val="36"/>
              <w:highlight w:val="none"/>
            </w:rPr>
            <w:fldChar w:fldCharType="separate"/>
          </w:r>
          <w:r>
            <w:rPr>
              <w:rFonts w:hint="eastAsia" w:ascii="黑体" w:hAnsi="黑体" w:eastAsia="黑体" w:cs="黑体"/>
              <w:highlight w:val="none"/>
              <w:shd w:val="clear" w:color="auto" w:fill="auto"/>
            </w:rPr>
            <w:t>三、支出决算情况说明</w:t>
          </w:r>
          <w:r>
            <w:tab/>
          </w:r>
          <w:r>
            <w:fldChar w:fldCharType="begin"/>
          </w:r>
          <w:r>
            <w:instrText xml:space="preserve"> PAGEREF _Toc539297285 \h </w:instrText>
          </w:r>
          <w:r>
            <w:fldChar w:fldCharType="separate"/>
          </w:r>
          <w:r>
            <w:t>- 11 -</w:t>
          </w:r>
          <w:r>
            <w:fldChar w:fldCharType="end"/>
          </w:r>
          <w:r>
            <w:rPr>
              <w:rFonts w:hint="eastAsia" w:ascii="Lucida Sans" w:hAnsi="仿宋" w:eastAsia="仿宋" w:cs="仿宋"/>
              <w:szCs w:val="36"/>
              <w:highlight w:val="none"/>
            </w:rPr>
            <w:fldChar w:fldCharType="end"/>
          </w:r>
        </w:p>
        <w:p w14:paraId="07A6C653">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_Toc2041026616 </w:instrText>
          </w:r>
          <w:r>
            <w:rPr>
              <w:rFonts w:hint="eastAsia" w:ascii="Lucida Sans" w:hAnsi="仿宋" w:eastAsia="仿宋" w:cs="仿宋"/>
              <w:szCs w:val="36"/>
              <w:highlight w:val="none"/>
            </w:rPr>
            <w:fldChar w:fldCharType="separate"/>
          </w:r>
          <w:r>
            <w:rPr>
              <w:rFonts w:hint="eastAsia" w:ascii="黑体" w:hAnsi="黑体" w:eastAsia="黑体"/>
              <w:szCs w:val="32"/>
              <w:highlight w:val="none"/>
            </w:rPr>
            <w:t>四、财</w:t>
          </w:r>
          <w:r>
            <w:rPr>
              <w:rFonts w:hint="eastAsia" w:ascii="黑体" w:hAnsi="黑体" w:eastAsia="黑体"/>
              <w:highlight w:val="none"/>
            </w:rPr>
            <w:t>政拨款收入支出决算总体情况说明</w:t>
          </w:r>
          <w:r>
            <w:tab/>
          </w:r>
          <w:r>
            <w:fldChar w:fldCharType="begin"/>
          </w:r>
          <w:r>
            <w:instrText xml:space="preserve"> PAGEREF _Toc2041026616 \h </w:instrText>
          </w:r>
          <w:r>
            <w:fldChar w:fldCharType="separate"/>
          </w:r>
          <w:r>
            <w:t>- 12 -</w:t>
          </w:r>
          <w:r>
            <w:fldChar w:fldCharType="end"/>
          </w:r>
          <w:r>
            <w:rPr>
              <w:rFonts w:hint="eastAsia" w:ascii="Lucida Sans" w:hAnsi="仿宋" w:eastAsia="仿宋" w:cs="仿宋"/>
              <w:szCs w:val="36"/>
              <w:highlight w:val="none"/>
            </w:rPr>
            <w:fldChar w:fldCharType="end"/>
          </w:r>
        </w:p>
        <w:p w14:paraId="71657BBF">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_Toc1152534862 </w:instrText>
          </w:r>
          <w:r>
            <w:rPr>
              <w:rFonts w:hint="eastAsia" w:ascii="Lucida Sans" w:hAnsi="仿宋" w:eastAsia="仿宋" w:cs="仿宋"/>
              <w:szCs w:val="36"/>
              <w:highlight w:val="none"/>
            </w:rPr>
            <w:fldChar w:fldCharType="separate"/>
          </w:r>
          <w:r>
            <w:rPr>
              <w:rFonts w:hint="eastAsia" w:ascii="黑体" w:hAnsi="黑体" w:eastAsia="黑体"/>
              <w:szCs w:val="32"/>
              <w:highlight w:val="none"/>
            </w:rPr>
            <w:t>五、一般公共预算财政拨款支出决算情况说明</w:t>
          </w:r>
          <w:r>
            <w:tab/>
          </w:r>
          <w:r>
            <w:fldChar w:fldCharType="begin"/>
          </w:r>
          <w:r>
            <w:instrText xml:space="preserve"> PAGEREF _Toc1152534862 \h </w:instrText>
          </w:r>
          <w:r>
            <w:fldChar w:fldCharType="separate"/>
          </w:r>
          <w:r>
            <w:t>- 12 -</w:t>
          </w:r>
          <w:r>
            <w:fldChar w:fldCharType="end"/>
          </w:r>
          <w:r>
            <w:rPr>
              <w:rFonts w:hint="eastAsia" w:ascii="Lucida Sans" w:hAnsi="仿宋" w:eastAsia="仿宋" w:cs="仿宋"/>
              <w:szCs w:val="36"/>
              <w:highlight w:val="none"/>
            </w:rPr>
            <w:fldChar w:fldCharType="end"/>
          </w:r>
        </w:p>
        <w:p w14:paraId="30C31792">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_Toc186978542 </w:instrText>
          </w:r>
          <w:r>
            <w:rPr>
              <w:rFonts w:hint="eastAsia" w:ascii="Lucida Sans" w:hAnsi="仿宋" w:eastAsia="仿宋" w:cs="仿宋"/>
              <w:szCs w:val="36"/>
              <w:highlight w:val="none"/>
            </w:rPr>
            <w:fldChar w:fldCharType="separate"/>
          </w:r>
          <w:r>
            <w:rPr>
              <w:rFonts w:hint="eastAsia" w:ascii="黑体" w:hAnsi="黑体" w:eastAsia="黑体" w:cs="黑体"/>
              <w:bCs/>
              <w:szCs w:val="32"/>
              <w:highlight w:val="none"/>
              <w:shd w:val="clear" w:color="auto" w:fill="auto"/>
            </w:rPr>
            <w:t>六、一般公共预算财政拨款基本支出决算情况说明</w:t>
          </w:r>
          <w:r>
            <w:tab/>
          </w:r>
          <w:r>
            <w:fldChar w:fldCharType="begin"/>
          </w:r>
          <w:r>
            <w:instrText xml:space="preserve"> PAGEREF _Toc186978542 \h </w:instrText>
          </w:r>
          <w:r>
            <w:fldChar w:fldCharType="separate"/>
          </w:r>
          <w:r>
            <w:t>- 17 -</w:t>
          </w:r>
          <w:r>
            <w:fldChar w:fldCharType="end"/>
          </w:r>
          <w:r>
            <w:rPr>
              <w:rFonts w:hint="eastAsia" w:ascii="Lucida Sans" w:hAnsi="仿宋" w:eastAsia="仿宋" w:cs="仿宋"/>
              <w:szCs w:val="36"/>
              <w:highlight w:val="none"/>
            </w:rPr>
            <w:fldChar w:fldCharType="end"/>
          </w:r>
        </w:p>
        <w:p w14:paraId="21804C7B">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_Toc110422985 </w:instrText>
          </w:r>
          <w:r>
            <w:rPr>
              <w:rFonts w:hint="eastAsia" w:ascii="Lucida Sans" w:hAnsi="仿宋" w:eastAsia="仿宋" w:cs="仿宋"/>
              <w:szCs w:val="36"/>
              <w:highlight w:val="none"/>
            </w:rPr>
            <w:fldChar w:fldCharType="separate"/>
          </w:r>
          <w:r>
            <w:rPr>
              <w:rFonts w:hint="eastAsia" w:ascii="黑体" w:hAnsi="Calibri" w:eastAsia="黑体"/>
              <w:szCs w:val="32"/>
              <w:highlight w:val="none"/>
            </w:rPr>
            <w:t>七、财政拨款“三公”经费支出决算情况说明</w:t>
          </w:r>
          <w:r>
            <w:tab/>
          </w:r>
          <w:r>
            <w:fldChar w:fldCharType="begin"/>
          </w:r>
          <w:r>
            <w:instrText xml:space="preserve"> PAGEREF _Toc110422985 \h </w:instrText>
          </w:r>
          <w:r>
            <w:fldChar w:fldCharType="separate"/>
          </w:r>
          <w:r>
            <w:t>- 18 -</w:t>
          </w:r>
          <w:r>
            <w:fldChar w:fldCharType="end"/>
          </w:r>
          <w:r>
            <w:rPr>
              <w:rFonts w:hint="eastAsia" w:ascii="Lucida Sans" w:hAnsi="仿宋" w:eastAsia="仿宋" w:cs="仿宋"/>
              <w:szCs w:val="36"/>
              <w:highlight w:val="none"/>
            </w:rPr>
            <w:fldChar w:fldCharType="end"/>
          </w:r>
        </w:p>
        <w:p w14:paraId="1D1CB6F6">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_Toc2089136322 </w:instrText>
          </w:r>
          <w:r>
            <w:rPr>
              <w:rFonts w:hint="eastAsia" w:ascii="Lucida Sans" w:hAnsi="仿宋" w:eastAsia="仿宋" w:cs="仿宋"/>
              <w:szCs w:val="36"/>
              <w:highlight w:val="none"/>
            </w:rPr>
            <w:fldChar w:fldCharType="separate"/>
          </w:r>
          <w:r>
            <w:rPr>
              <w:rFonts w:hint="eastAsia" w:ascii="黑体" w:eastAsia="黑体"/>
              <w:szCs w:val="32"/>
              <w:highlight w:val="none"/>
            </w:rPr>
            <w:t>八、</w:t>
          </w:r>
          <w:r>
            <w:rPr>
              <w:rFonts w:hint="eastAsia" w:ascii="黑体" w:hAnsi="黑体" w:eastAsia="黑体"/>
              <w:highlight w:val="none"/>
            </w:rPr>
            <w:t>政府性基金预算支出决算情况说明</w:t>
          </w:r>
          <w:r>
            <w:tab/>
          </w:r>
          <w:r>
            <w:fldChar w:fldCharType="begin"/>
          </w:r>
          <w:r>
            <w:instrText xml:space="preserve"> PAGEREF _Toc2089136322 \h </w:instrText>
          </w:r>
          <w:r>
            <w:fldChar w:fldCharType="separate"/>
          </w:r>
          <w:r>
            <w:t>- 20 -</w:t>
          </w:r>
          <w:r>
            <w:fldChar w:fldCharType="end"/>
          </w:r>
          <w:r>
            <w:rPr>
              <w:rFonts w:hint="eastAsia" w:ascii="Lucida Sans" w:hAnsi="仿宋" w:eastAsia="仿宋" w:cs="仿宋"/>
              <w:szCs w:val="36"/>
              <w:highlight w:val="none"/>
            </w:rPr>
            <w:fldChar w:fldCharType="end"/>
          </w:r>
        </w:p>
        <w:p w14:paraId="52F3DD4C">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_Toc1943536075 </w:instrText>
          </w:r>
          <w:r>
            <w:rPr>
              <w:rFonts w:hint="eastAsia" w:ascii="Lucida Sans" w:hAnsi="仿宋" w:eastAsia="仿宋" w:cs="仿宋"/>
              <w:szCs w:val="36"/>
              <w:highlight w:val="none"/>
            </w:rPr>
            <w:fldChar w:fldCharType="separate"/>
          </w:r>
          <w:r>
            <w:rPr>
              <w:rFonts w:hint="eastAsia" w:ascii="黑体" w:hAnsi="黑体" w:eastAsia="黑体"/>
            </w:rPr>
            <w:t xml:space="preserve">九、 </w:t>
          </w:r>
          <w:r>
            <w:rPr>
              <w:rFonts w:hint="eastAsia" w:ascii="黑体" w:hAnsi="黑体" w:eastAsia="黑体"/>
              <w:highlight w:val="none"/>
            </w:rPr>
            <w:t>国有资本经营预算支出决算情况说明</w:t>
          </w:r>
          <w:r>
            <w:tab/>
          </w:r>
          <w:r>
            <w:fldChar w:fldCharType="begin"/>
          </w:r>
          <w:r>
            <w:instrText xml:space="preserve"> PAGEREF _Toc1943536075 \h </w:instrText>
          </w:r>
          <w:r>
            <w:fldChar w:fldCharType="separate"/>
          </w:r>
          <w:r>
            <w:t>- 20 -</w:t>
          </w:r>
          <w:r>
            <w:fldChar w:fldCharType="end"/>
          </w:r>
          <w:r>
            <w:rPr>
              <w:rFonts w:hint="eastAsia" w:ascii="Lucida Sans" w:hAnsi="仿宋" w:eastAsia="仿宋" w:cs="仿宋"/>
              <w:szCs w:val="36"/>
              <w:highlight w:val="none"/>
            </w:rPr>
            <w:fldChar w:fldCharType="end"/>
          </w:r>
        </w:p>
        <w:p w14:paraId="37A196A4">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_Toc1640616673 </w:instrText>
          </w:r>
          <w:r>
            <w:rPr>
              <w:rFonts w:hint="eastAsia" w:ascii="Lucida Sans" w:hAnsi="仿宋" w:eastAsia="仿宋" w:cs="仿宋"/>
              <w:szCs w:val="36"/>
              <w:highlight w:val="none"/>
            </w:rPr>
            <w:fldChar w:fldCharType="separate"/>
          </w:r>
          <w:r>
            <w:rPr>
              <w:rFonts w:hint="eastAsia" w:ascii="黑体" w:hAnsi="黑体" w:eastAsia="黑体"/>
            </w:rPr>
            <w:t xml:space="preserve">十、 </w:t>
          </w:r>
          <w:r>
            <w:rPr>
              <w:rFonts w:hint="eastAsia" w:ascii="黑体" w:hAnsi="黑体" w:eastAsia="黑体"/>
              <w:highlight w:val="none"/>
            </w:rPr>
            <w:t>其他重要事项的情况说明</w:t>
          </w:r>
          <w:r>
            <w:tab/>
          </w:r>
          <w:r>
            <w:fldChar w:fldCharType="begin"/>
          </w:r>
          <w:r>
            <w:instrText xml:space="preserve"> PAGEREF _Toc1640616673 \h </w:instrText>
          </w:r>
          <w:r>
            <w:fldChar w:fldCharType="separate"/>
          </w:r>
          <w:r>
            <w:t>- 20 -</w:t>
          </w:r>
          <w:r>
            <w:fldChar w:fldCharType="end"/>
          </w:r>
          <w:r>
            <w:rPr>
              <w:rFonts w:hint="eastAsia" w:ascii="Lucida Sans" w:hAnsi="仿宋" w:eastAsia="仿宋" w:cs="仿宋"/>
              <w:szCs w:val="36"/>
              <w:highlight w:val="none"/>
            </w:rPr>
            <w:fldChar w:fldCharType="end"/>
          </w:r>
        </w:p>
        <w:p w14:paraId="1FB2B83E">
          <w:pPr>
            <w:pStyle w:val="18"/>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_Toc685625707 </w:instrText>
          </w:r>
          <w:r>
            <w:rPr>
              <w:rFonts w:hint="eastAsia" w:ascii="Lucida Sans" w:hAnsi="仿宋" w:eastAsia="仿宋" w:cs="仿宋"/>
              <w:szCs w:val="36"/>
              <w:highlight w:val="none"/>
            </w:rPr>
            <w:fldChar w:fldCharType="separate"/>
          </w:r>
          <w:r>
            <w:rPr>
              <w:rFonts w:hint="eastAsia" w:ascii="黑体" w:hAnsi="黑体" w:eastAsia="黑体" w:cs="方正小标宋简体"/>
              <w:highlight w:val="none"/>
              <w:shd w:val="clear" w:color="auto" w:fill="auto"/>
            </w:rPr>
            <w:t>第三部分名词解释</w:t>
          </w:r>
          <w:r>
            <w:tab/>
          </w:r>
          <w:r>
            <w:fldChar w:fldCharType="begin"/>
          </w:r>
          <w:r>
            <w:instrText xml:space="preserve"> PAGEREF _Toc685625707 \h </w:instrText>
          </w:r>
          <w:r>
            <w:fldChar w:fldCharType="separate"/>
          </w:r>
          <w:r>
            <w:t>- 23 -</w:t>
          </w:r>
          <w:r>
            <w:fldChar w:fldCharType="end"/>
          </w:r>
          <w:r>
            <w:rPr>
              <w:rFonts w:hint="eastAsia" w:ascii="Lucida Sans" w:hAnsi="仿宋" w:eastAsia="仿宋" w:cs="仿宋"/>
              <w:szCs w:val="36"/>
              <w:highlight w:val="none"/>
            </w:rPr>
            <w:fldChar w:fldCharType="end"/>
          </w:r>
        </w:p>
        <w:p w14:paraId="6CE23239">
          <w:pPr>
            <w:pStyle w:val="18"/>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_Toc1981163569 </w:instrText>
          </w:r>
          <w:r>
            <w:rPr>
              <w:rFonts w:hint="eastAsia" w:ascii="Lucida Sans" w:hAnsi="仿宋" w:eastAsia="仿宋" w:cs="仿宋"/>
              <w:szCs w:val="36"/>
              <w:highlight w:val="none"/>
            </w:rPr>
            <w:fldChar w:fldCharType="separate"/>
          </w:r>
          <w:r>
            <w:rPr>
              <w:rFonts w:hint="eastAsia" w:ascii="黑体" w:hAnsi="黑体" w:eastAsia="黑体" w:cs="方正小标宋简体"/>
              <w:highlight w:val="none"/>
              <w:shd w:val="clear" w:color="auto" w:fill="auto"/>
            </w:rPr>
            <w:t>第四部分附件</w:t>
          </w:r>
          <w:r>
            <w:tab/>
          </w:r>
          <w:r>
            <w:fldChar w:fldCharType="begin"/>
          </w:r>
          <w:r>
            <w:instrText xml:space="preserve"> PAGEREF _Toc1981163569 \h </w:instrText>
          </w:r>
          <w:r>
            <w:fldChar w:fldCharType="separate"/>
          </w:r>
          <w:r>
            <w:t>- 30 -</w:t>
          </w:r>
          <w:r>
            <w:fldChar w:fldCharType="end"/>
          </w:r>
          <w:r>
            <w:rPr>
              <w:rFonts w:hint="eastAsia" w:ascii="Lucida Sans" w:hAnsi="仿宋" w:eastAsia="仿宋" w:cs="仿宋"/>
              <w:szCs w:val="36"/>
              <w:highlight w:val="none"/>
            </w:rPr>
            <w:fldChar w:fldCharType="end"/>
          </w:r>
        </w:p>
        <w:p w14:paraId="41EBD892">
          <w:pPr>
            <w:pStyle w:val="18"/>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_Toc1295250396 </w:instrText>
          </w:r>
          <w:r>
            <w:rPr>
              <w:rFonts w:hint="eastAsia" w:ascii="Lucida Sans" w:hAnsi="仿宋" w:eastAsia="仿宋" w:cs="仿宋"/>
              <w:szCs w:val="36"/>
              <w:highlight w:val="none"/>
            </w:rPr>
            <w:fldChar w:fldCharType="separate"/>
          </w:r>
          <w:r>
            <w:rPr>
              <w:rFonts w:hint="eastAsia" w:ascii="黑体" w:hAnsi="黑体" w:eastAsia="黑体" w:cs="方正小标宋简体"/>
              <w:highlight w:val="none"/>
              <w:shd w:val="clear" w:color="auto" w:fill="auto"/>
            </w:rPr>
            <w:t>第五部分附表</w:t>
          </w:r>
          <w:r>
            <w:tab/>
          </w:r>
          <w:r>
            <w:fldChar w:fldCharType="begin"/>
          </w:r>
          <w:r>
            <w:instrText xml:space="preserve"> PAGEREF _Toc1295250396 \h </w:instrText>
          </w:r>
          <w:r>
            <w:fldChar w:fldCharType="separate"/>
          </w:r>
          <w:r>
            <w:t>224</w:t>
          </w:r>
          <w:r>
            <w:fldChar w:fldCharType="end"/>
          </w:r>
          <w:r>
            <w:rPr>
              <w:rFonts w:hint="eastAsia" w:ascii="Lucida Sans" w:hAnsi="仿宋" w:eastAsia="仿宋" w:cs="仿宋"/>
              <w:szCs w:val="36"/>
              <w:highlight w:val="none"/>
            </w:rPr>
            <w:fldChar w:fldCharType="end"/>
          </w:r>
        </w:p>
        <w:p w14:paraId="2B4A673D">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_Toc664133002 </w:instrText>
          </w:r>
          <w:r>
            <w:rPr>
              <w:rFonts w:hint="eastAsia" w:ascii="Lucida Sans" w:hAnsi="仿宋" w:eastAsia="仿宋" w:cs="仿宋"/>
              <w:szCs w:val="36"/>
              <w:highlight w:val="none"/>
            </w:rPr>
            <w:fldChar w:fldCharType="separate"/>
          </w:r>
          <w:r>
            <w:rPr>
              <w:rFonts w:hint="eastAsia" w:ascii="黑体" w:eastAsia="黑体"/>
              <w:szCs w:val="32"/>
              <w:highlight w:val="none"/>
            </w:rPr>
            <w:t>一、收入支出决算总表</w:t>
          </w:r>
          <w:r>
            <w:tab/>
          </w:r>
          <w:r>
            <w:fldChar w:fldCharType="begin"/>
          </w:r>
          <w:r>
            <w:instrText xml:space="preserve"> PAGEREF _Toc664133002 \h </w:instrText>
          </w:r>
          <w:r>
            <w:fldChar w:fldCharType="separate"/>
          </w:r>
          <w:r>
            <w:t>224</w:t>
          </w:r>
          <w:r>
            <w:fldChar w:fldCharType="end"/>
          </w:r>
          <w:r>
            <w:rPr>
              <w:rFonts w:hint="eastAsia" w:ascii="Lucida Sans" w:hAnsi="仿宋" w:eastAsia="仿宋" w:cs="仿宋"/>
              <w:szCs w:val="36"/>
              <w:highlight w:val="none"/>
            </w:rPr>
            <w:fldChar w:fldCharType="end"/>
          </w:r>
        </w:p>
        <w:p w14:paraId="43EBF667">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_Toc1211954413 </w:instrText>
          </w:r>
          <w:r>
            <w:rPr>
              <w:rFonts w:hint="eastAsia" w:ascii="Lucida Sans" w:hAnsi="仿宋" w:eastAsia="仿宋" w:cs="仿宋"/>
              <w:szCs w:val="36"/>
              <w:highlight w:val="none"/>
            </w:rPr>
            <w:fldChar w:fldCharType="separate"/>
          </w:r>
          <w:r>
            <w:rPr>
              <w:rFonts w:hint="eastAsia" w:ascii="黑体" w:eastAsia="黑体"/>
              <w:szCs w:val="32"/>
              <w:highlight w:val="none"/>
            </w:rPr>
            <w:t>二、收入决算表</w:t>
          </w:r>
          <w:r>
            <w:tab/>
          </w:r>
          <w:r>
            <w:fldChar w:fldCharType="begin"/>
          </w:r>
          <w:r>
            <w:instrText xml:space="preserve"> PAGEREF _Toc1211954413 \h </w:instrText>
          </w:r>
          <w:r>
            <w:fldChar w:fldCharType="separate"/>
          </w:r>
          <w:r>
            <w:t>224</w:t>
          </w:r>
          <w:r>
            <w:fldChar w:fldCharType="end"/>
          </w:r>
          <w:r>
            <w:rPr>
              <w:rFonts w:hint="eastAsia" w:ascii="Lucida Sans" w:hAnsi="仿宋" w:eastAsia="仿宋" w:cs="仿宋"/>
              <w:szCs w:val="36"/>
              <w:highlight w:val="none"/>
            </w:rPr>
            <w:fldChar w:fldCharType="end"/>
          </w:r>
        </w:p>
        <w:p w14:paraId="117D1F8D">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_Toc1188155282 </w:instrText>
          </w:r>
          <w:r>
            <w:rPr>
              <w:rFonts w:hint="eastAsia" w:ascii="Lucida Sans" w:hAnsi="仿宋" w:eastAsia="仿宋" w:cs="仿宋"/>
              <w:szCs w:val="36"/>
              <w:highlight w:val="none"/>
            </w:rPr>
            <w:fldChar w:fldCharType="separate"/>
          </w:r>
          <w:r>
            <w:rPr>
              <w:rFonts w:hint="eastAsia" w:ascii="黑体" w:eastAsia="黑体"/>
              <w:szCs w:val="32"/>
              <w:highlight w:val="none"/>
            </w:rPr>
            <w:t>三、支出决算表</w:t>
          </w:r>
          <w:r>
            <w:tab/>
          </w:r>
          <w:r>
            <w:fldChar w:fldCharType="begin"/>
          </w:r>
          <w:r>
            <w:instrText xml:space="preserve"> PAGEREF _Toc1188155282 \h </w:instrText>
          </w:r>
          <w:r>
            <w:fldChar w:fldCharType="separate"/>
          </w:r>
          <w:r>
            <w:t>224</w:t>
          </w:r>
          <w:r>
            <w:fldChar w:fldCharType="end"/>
          </w:r>
          <w:r>
            <w:rPr>
              <w:rFonts w:hint="eastAsia" w:ascii="Lucida Sans" w:hAnsi="仿宋" w:eastAsia="仿宋" w:cs="仿宋"/>
              <w:szCs w:val="36"/>
              <w:highlight w:val="none"/>
            </w:rPr>
            <w:fldChar w:fldCharType="end"/>
          </w:r>
        </w:p>
        <w:p w14:paraId="5C091FD9">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_Toc1562572240 </w:instrText>
          </w:r>
          <w:r>
            <w:rPr>
              <w:rFonts w:hint="eastAsia" w:ascii="Lucida Sans" w:hAnsi="仿宋" w:eastAsia="仿宋" w:cs="仿宋"/>
              <w:szCs w:val="36"/>
              <w:highlight w:val="none"/>
            </w:rPr>
            <w:fldChar w:fldCharType="separate"/>
          </w:r>
          <w:r>
            <w:rPr>
              <w:rFonts w:hint="eastAsia" w:ascii="黑体" w:eastAsia="黑体"/>
              <w:szCs w:val="32"/>
              <w:highlight w:val="none"/>
            </w:rPr>
            <w:t>四、财政拨款收入支出决算总表</w:t>
          </w:r>
          <w:r>
            <w:tab/>
          </w:r>
          <w:r>
            <w:fldChar w:fldCharType="begin"/>
          </w:r>
          <w:r>
            <w:instrText xml:space="preserve"> PAGEREF _Toc1562572240 \h </w:instrText>
          </w:r>
          <w:r>
            <w:fldChar w:fldCharType="separate"/>
          </w:r>
          <w:r>
            <w:t>224</w:t>
          </w:r>
          <w:r>
            <w:fldChar w:fldCharType="end"/>
          </w:r>
          <w:r>
            <w:rPr>
              <w:rFonts w:hint="eastAsia" w:ascii="Lucida Sans" w:hAnsi="仿宋" w:eastAsia="仿宋" w:cs="仿宋"/>
              <w:szCs w:val="36"/>
              <w:highlight w:val="none"/>
            </w:rPr>
            <w:fldChar w:fldCharType="end"/>
          </w:r>
        </w:p>
        <w:p w14:paraId="6501EEAF">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_Toc1337659155 </w:instrText>
          </w:r>
          <w:r>
            <w:rPr>
              <w:rFonts w:hint="eastAsia" w:ascii="Lucida Sans" w:hAnsi="仿宋" w:eastAsia="仿宋" w:cs="仿宋"/>
              <w:szCs w:val="36"/>
              <w:highlight w:val="none"/>
            </w:rPr>
            <w:fldChar w:fldCharType="separate"/>
          </w:r>
          <w:r>
            <w:rPr>
              <w:rFonts w:hint="eastAsia" w:ascii="黑体" w:eastAsia="黑体"/>
              <w:szCs w:val="32"/>
              <w:highlight w:val="none"/>
            </w:rPr>
            <w:t>五、财政拨款支出决算明细表</w:t>
          </w:r>
          <w:r>
            <w:tab/>
          </w:r>
          <w:r>
            <w:fldChar w:fldCharType="begin"/>
          </w:r>
          <w:r>
            <w:instrText xml:space="preserve"> PAGEREF _Toc1337659155 \h </w:instrText>
          </w:r>
          <w:r>
            <w:fldChar w:fldCharType="separate"/>
          </w:r>
          <w:r>
            <w:t>224</w:t>
          </w:r>
          <w:r>
            <w:fldChar w:fldCharType="end"/>
          </w:r>
          <w:r>
            <w:rPr>
              <w:rFonts w:hint="eastAsia" w:ascii="Lucida Sans" w:hAnsi="仿宋" w:eastAsia="仿宋" w:cs="仿宋"/>
              <w:szCs w:val="36"/>
              <w:highlight w:val="none"/>
            </w:rPr>
            <w:fldChar w:fldCharType="end"/>
          </w:r>
        </w:p>
        <w:p w14:paraId="4D7BEB75">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_Toc1900700242 </w:instrText>
          </w:r>
          <w:r>
            <w:rPr>
              <w:rFonts w:hint="eastAsia" w:ascii="Lucida Sans" w:hAnsi="仿宋" w:eastAsia="仿宋" w:cs="仿宋"/>
              <w:szCs w:val="36"/>
              <w:highlight w:val="none"/>
            </w:rPr>
            <w:fldChar w:fldCharType="separate"/>
          </w:r>
          <w:r>
            <w:rPr>
              <w:rFonts w:hint="eastAsia" w:ascii="黑体" w:eastAsia="黑体"/>
              <w:szCs w:val="32"/>
              <w:highlight w:val="none"/>
            </w:rPr>
            <w:t>六、一般公共预算财政拨款支出决算表</w:t>
          </w:r>
          <w:r>
            <w:tab/>
          </w:r>
          <w:r>
            <w:fldChar w:fldCharType="begin"/>
          </w:r>
          <w:r>
            <w:instrText xml:space="preserve"> PAGEREF _Toc1900700242 \h </w:instrText>
          </w:r>
          <w:r>
            <w:fldChar w:fldCharType="separate"/>
          </w:r>
          <w:r>
            <w:t>224</w:t>
          </w:r>
          <w:r>
            <w:fldChar w:fldCharType="end"/>
          </w:r>
          <w:r>
            <w:rPr>
              <w:rFonts w:hint="eastAsia" w:ascii="Lucida Sans" w:hAnsi="仿宋" w:eastAsia="仿宋" w:cs="仿宋"/>
              <w:szCs w:val="36"/>
              <w:highlight w:val="none"/>
            </w:rPr>
            <w:fldChar w:fldCharType="end"/>
          </w:r>
        </w:p>
        <w:p w14:paraId="40416F70">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_Toc1430449975 </w:instrText>
          </w:r>
          <w:r>
            <w:rPr>
              <w:rFonts w:hint="eastAsia" w:ascii="Lucida Sans" w:hAnsi="仿宋" w:eastAsia="仿宋" w:cs="仿宋"/>
              <w:szCs w:val="36"/>
              <w:highlight w:val="none"/>
            </w:rPr>
            <w:fldChar w:fldCharType="separate"/>
          </w:r>
          <w:r>
            <w:rPr>
              <w:rFonts w:hint="eastAsia" w:ascii="黑体" w:eastAsia="黑体"/>
              <w:szCs w:val="32"/>
              <w:highlight w:val="none"/>
            </w:rPr>
            <w:t>七、一般公共预算财政拨款支出决算明细表</w:t>
          </w:r>
          <w:r>
            <w:tab/>
          </w:r>
          <w:r>
            <w:fldChar w:fldCharType="begin"/>
          </w:r>
          <w:r>
            <w:instrText xml:space="preserve"> PAGEREF _Toc1430449975 \h </w:instrText>
          </w:r>
          <w:r>
            <w:fldChar w:fldCharType="separate"/>
          </w:r>
          <w:r>
            <w:t>224</w:t>
          </w:r>
          <w:r>
            <w:fldChar w:fldCharType="end"/>
          </w:r>
          <w:r>
            <w:rPr>
              <w:rFonts w:hint="eastAsia" w:ascii="Lucida Sans" w:hAnsi="仿宋" w:eastAsia="仿宋" w:cs="仿宋"/>
              <w:szCs w:val="36"/>
              <w:highlight w:val="none"/>
            </w:rPr>
            <w:fldChar w:fldCharType="end"/>
          </w:r>
        </w:p>
        <w:p w14:paraId="22703175">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_Toc1307885347 </w:instrText>
          </w:r>
          <w:r>
            <w:rPr>
              <w:rFonts w:hint="eastAsia" w:ascii="Lucida Sans" w:hAnsi="仿宋" w:eastAsia="仿宋" w:cs="仿宋"/>
              <w:szCs w:val="36"/>
              <w:highlight w:val="none"/>
            </w:rPr>
            <w:fldChar w:fldCharType="separate"/>
          </w:r>
          <w:r>
            <w:rPr>
              <w:rFonts w:hint="eastAsia" w:ascii="黑体" w:eastAsia="黑体"/>
              <w:szCs w:val="32"/>
              <w:highlight w:val="none"/>
            </w:rPr>
            <w:t>八、一般公共预算财政拨款基本支出决算表</w:t>
          </w:r>
          <w:r>
            <w:tab/>
          </w:r>
          <w:r>
            <w:fldChar w:fldCharType="begin"/>
          </w:r>
          <w:r>
            <w:instrText xml:space="preserve"> PAGEREF _Toc1307885347 \h </w:instrText>
          </w:r>
          <w:r>
            <w:fldChar w:fldCharType="separate"/>
          </w:r>
          <w:r>
            <w:t>224</w:t>
          </w:r>
          <w:r>
            <w:fldChar w:fldCharType="end"/>
          </w:r>
          <w:r>
            <w:rPr>
              <w:rFonts w:hint="eastAsia" w:ascii="Lucida Sans" w:hAnsi="仿宋" w:eastAsia="仿宋" w:cs="仿宋"/>
              <w:szCs w:val="36"/>
              <w:highlight w:val="none"/>
            </w:rPr>
            <w:fldChar w:fldCharType="end"/>
          </w:r>
        </w:p>
        <w:p w14:paraId="409B4F77">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_Toc1016945161 </w:instrText>
          </w:r>
          <w:r>
            <w:rPr>
              <w:rFonts w:hint="eastAsia" w:ascii="Lucida Sans" w:hAnsi="仿宋" w:eastAsia="仿宋" w:cs="仿宋"/>
              <w:szCs w:val="36"/>
              <w:highlight w:val="none"/>
            </w:rPr>
            <w:fldChar w:fldCharType="separate"/>
          </w:r>
          <w:r>
            <w:rPr>
              <w:rFonts w:hint="eastAsia" w:ascii="黑体" w:eastAsia="黑体"/>
              <w:szCs w:val="32"/>
              <w:highlight w:val="none"/>
            </w:rPr>
            <w:t>九、一般公共预算财政拨款项目支出决算表</w:t>
          </w:r>
          <w:r>
            <w:tab/>
          </w:r>
          <w:r>
            <w:fldChar w:fldCharType="begin"/>
          </w:r>
          <w:r>
            <w:instrText xml:space="preserve"> PAGEREF _Toc1016945161 \h </w:instrText>
          </w:r>
          <w:r>
            <w:fldChar w:fldCharType="separate"/>
          </w:r>
          <w:r>
            <w:t>224</w:t>
          </w:r>
          <w:r>
            <w:fldChar w:fldCharType="end"/>
          </w:r>
          <w:r>
            <w:rPr>
              <w:rFonts w:hint="eastAsia" w:ascii="Lucida Sans" w:hAnsi="仿宋" w:eastAsia="仿宋" w:cs="仿宋"/>
              <w:szCs w:val="36"/>
              <w:highlight w:val="none"/>
            </w:rPr>
            <w:fldChar w:fldCharType="end"/>
          </w:r>
        </w:p>
        <w:p w14:paraId="1E642BB2">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_Toc830856590 </w:instrText>
          </w:r>
          <w:r>
            <w:rPr>
              <w:rFonts w:hint="eastAsia" w:ascii="Lucida Sans" w:hAnsi="仿宋" w:eastAsia="仿宋" w:cs="仿宋"/>
              <w:szCs w:val="36"/>
              <w:highlight w:val="none"/>
            </w:rPr>
            <w:fldChar w:fldCharType="separate"/>
          </w:r>
          <w:r>
            <w:rPr>
              <w:rFonts w:hint="eastAsia" w:ascii="黑体" w:eastAsia="黑体"/>
              <w:szCs w:val="32"/>
              <w:highlight w:val="none"/>
            </w:rPr>
            <w:t>十、政府性基金预算财政拨款收入支出决算表</w:t>
          </w:r>
          <w:r>
            <w:tab/>
          </w:r>
          <w:r>
            <w:fldChar w:fldCharType="begin"/>
          </w:r>
          <w:r>
            <w:instrText xml:space="preserve"> PAGEREF _Toc830856590 \h </w:instrText>
          </w:r>
          <w:r>
            <w:fldChar w:fldCharType="separate"/>
          </w:r>
          <w:r>
            <w:t>224</w:t>
          </w:r>
          <w:r>
            <w:fldChar w:fldCharType="end"/>
          </w:r>
          <w:r>
            <w:rPr>
              <w:rFonts w:hint="eastAsia" w:ascii="Lucida Sans" w:hAnsi="仿宋" w:eastAsia="仿宋" w:cs="仿宋"/>
              <w:szCs w:val="36"/>
              <w:highlight w:val="none"/>
            </w:rPr>
            <w:fldChar w:fldCharType="end"/>
          </w:r>
        </w:p>
        <w:p w14:paraId="1BA92443">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_Toc840658911 </w:instrText>
          </w:r>
          <w:r>
            <w:rPr>
              <w:rFonts w:hint="eastAsia" w:ascii="Lucida Sans" w:hAnsi="仿宋" w:eastAsia="仿宋" w:cs="仿宋"/>
              <w:szCs w:val="36"/>
              <w:highlight w:val="none"/>
            </w:rPr>
            <w:fldChar w:fldCharType="separate"/>
          </w:r>
          <w:r>
            <w:rPr>
              <w:rFonts w:hint="eastAsia" w:ascii="黑体" w:eastAsia="黑体"/>
              <w:szCs w:val="32"/>
              <w:highlight w:val="none"/>
            </w:rPr>
            <w:t>十一、国有资本经营预算财政拨款收入支出决算表</w:t>
          </w:r>
          <w:r>
            <w:tab/>
          </w:r>
          <w:r>
            <w:fldChar w:fldCharType="begin"/>
          </w:r>
          <w:r>
            <w:instrText xml:space="preserve"> PAGEREF _Toc840658911 \h </w:instrText>
          </w:r>
          <w:r>
            <w:fldChar w:fldCharType="separate"/>
          </w:r>
          <w:r>
            <w:t>224</w:t>
          </w:r>
          <w:r>
            <w:fldChar w:fldCharType="end"/>
          </w:r>
          <w:r>
            <w:rPr>
              <w:rFonts w:hint="eastAsia" w:ascii="Lucida Sans" w:hAnsi="仿宋" w:eastAsia="仿宋" w:cs="仿宋"/>
              <w:szCs w:val="36"/>
              <w:highlight w:val="none"/>
            </w:rPr>
            <w:fldChar w:fldCharType="end"/>
          </w:r>
        </w:p>
        <w:p w14:paraId="684AB084">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_Toc644817610 </w:instrText>
          </w:r>
          <w:r>
            <w:rPr>
              <w:rFonts w:hint="eastAsia" w:ascii="Lucida Sans" w:hAnsi="仿宋" w:eastAsia="仿宋" w:cs="仿宋"/>
              <w:szCs w:val="36"/>
              <w:highlight w:val="none"/>
            </w:rPr>
            <w:fldChar w:fldCharType="separate"/>
          </w:r>
          <w:r>
            <w:rPr>
              <w:rFonts w:hint="eastAsia" w:ascii="黑体" w:eastAsia="黑体"/>
              <w:szCs w:val="32"/>
              <w:highlight w:val="none"/>
            </w:rPr>
            <w:t>十二、国有资本经营预算财政拨款支出决算表</w:t>
          </w:r>
          <w:r>
            <w:tab/>
          </w:r>
          <w:r>
            <w:fldChar w:fldCharType="begin"/>
          </w:r>
          <w:r>
            <w:instrText xml:space="preserve"> PAGEREF _Toc644817610 \h </w:instrText>
          </w:r>
          <w:r>
            <w:fldChar w:fldCharType="separate"/>
          </w:r>
          <w:r>
            <w:t>224</w:t>
          </w:r>
          <w:r>
            <w:fldChar w:fldCharType="end"/>
          </w:r>
          <w:r>
            <w:rPr>
              <w:rFonts w:hint="eastAsia" w:ascii="Lucida Sans" w:hAnsi="仿宋" w:eastAsia="仿宋" w:cs="仿宋"/>
              <w:szCs w:val="36"/>
              <w:highlight w:val="none"/>
            </w:rPr>
            <w:fldChar w:fldCharType="end"/>
          </w:r>
        </w:p>
        <w:p w14:paraId="6A45531C">
          <w:pPr>
            <w:pStyle w:val="23"/>
            <w:tabs>
              <w:tab w:val="right" w:leader="dot" w:pos="8845"/>
            </w:tabs>
          </w:pPr>
          <w:r>
            <w:rPr>
              <w:rFonts w:hint="eastAsia" w:ascii="Lucida Sans" w:hAnsi="仿宋" w:eastAsia="仿宋" w:cs="仿宋"/>
              <w:szCs w:val="36"/>
              <w:highlight w:val="none"/>
            </w:rPr>
            <w:fldChar w:fldCharType="begin"/>
          </w:r>
          <w:r>
            <w:rPr>
              <w:rFonts w:hint="eastAsia" w:ascii="Lucida Sans" w:hAnsi="仿宋" w:eastAsia="仿宋" w:cs="仿宋"/>
              <w:szCs w:val="36"/>
              <w:highlight w:val="none"/>
            </w:rPr>
            <w:instrText xml:space="preserve"> HYPERLINK \l _Toc1120219128 </w:instrText>
          </w:r>
          <w:r>
            <w:rPr>
              <w:rFonts w:hint="eastAsia" w:ascii="Lucida Sans" w:hAnsi="仿宋" w:eastAsia="仿宋" w:cs="仿宋"/>
              <w:szCs w:val="36"/>
              <w:highlight w:val="none"/>
            </w:rPr>
            <w:fldChar w:fldCharType="separate"/>
          </w:r>
          <w:r>
            <w:rPr>
              <w:rFonts w:hint="eastAsia" w:ascii="黑体" w:eastAsia="黑体"/>
              <w:szCs w:val="32"/>
              <w:highlight w:val="none"/>
            </w:rPr>
            <w:t>十三、财政拨款“三公”经费支出决算表</w:t>
          </w:r>
          <w:r>
            <w:tab/>
          </w:r>
          <w:r>
            <w:fldChar w:fldCharType="begin"/>
          </w:r>
          <w:r>
            <w:instrText xml:space="preserve"> PAGEREF _Toc1120219128 \h </w:instrText>
          </w:r>
          <w:r>
            <w:fldChar w:fldCharType="separate"/>
          </w:r>
          <w:r>
            <w:t>224</w:t>
          </w:r>
          <w:r>
            <w:fldChar w:fldCharType="end"/>
          </w:r>
          <w:r>
            <w:rPr>
              <w:rFonts w:hint="eastAsia" w:ascii="Lucida Sans" w:hAnsi="仿宋" w:eastAsia="仿宋" w:cs="仿宋"/>
              <w:szCs w:val="36"/>
              <w:highlight w:val="none"/>
            </w:rPr>
            <w:fldChar w:fldCharType="end"/>
          </w:r>
        </w:p>
        <w:p w14:paraId="65C3A202">
          <w:pPr>
            <w:widowControl/>
            <w:spacing w:line="576" w:lineRule="exact"/>
            <w:rPr>
              <w:highlight w:val="none"/>
            </w:rPr>
          </w:pPr>
          <w:r>
            <w:rPr>
              <w:rFonts w:hint="eastAsia" w:ascii="Lucida Sans" w:hAnsi="仿宋" w:eastAsia="仿宋" w:cs="仿宋"/>
              <w:szCs w:val="36"/>
              <w:highlight w:val="none"/>
            </w:rPr>
            <w:fldChar w:fldCharType="end"/>
          </w:r>
        </w:p>
      </w:sdtContent>
    </w:sdt>
    <w:p w14:paraId="1A0B94B2">
      <w:pPr>
        <w:rPr>
          <w:highlight w:val="none"/>
        </w:rPr>
        <w:sectPr>
          <w:footerReference r:id="rId4" w:type="first"/>
          <w:footerReference r:id="rId3" w:type="default"/>
          <w:pgSz w:w="11906" w:h="16838"/>
          <w:pgMar w:top="2098" w:right="1474" w:bottom="1984" w:left="1587" w:header="851" w:footer="1474" w:gutter="0"/>
          <w:pgNumType w:start="1"/>
          <w:cols w:space="720" w:num="1"/>
          <w:titlePg/>
          <w:docGrid w:type="lines" w:linePitch="312" w:charSpace="0"/>
        </w:sectPr>
      </w:pPr>
      <w:r>
        <w:rPr>
          <w:rFonts w:hint="eastAsia" w:ascii="方正小标宋简体" w:hAnsi="方正小标宋简体" w:eastAsia="方正小标宋简体" w:cs="方正小标宋简体"/>
          <w:bCs/>
          <w:sz w:val="44"/>
          <w:szCs w:val="44"/>
          <w:highlight w:val="none"/>
        </w:rPr>
        <w:br w:type="page"/>
      </w:r>
    </w:p>
    <w:p w14:paraId="0FE64A98">
      <w:pPr>
        <w:widowControl/>
        <w:spacing w:line="440" w:lineRule="exact"/>
        <w:jc w:val="left"/>
        <w:rPr>
          <w:rFonts w:ascii="仿宋" w:hAnsi="仿宋" w:eastAsia="仿宋"/>
          <w:bCs/>
          <w:color w:val="auto"/>
          <w:kern w:val="44"/>
          <w:sz w:val="24"/>
          <w:highlight w:val="none"/>
        </w:rPr>
      </w:pPr>
    </w:p>
    <w:p w14:paraId="3DE4E27F">
      <w:pPr>
        <w:pStyle w:val="3"/>
        <w:jc w:val="center"/>
        <w:rPr>
          <w:rStyle w:val="40"/>
          <w:rFonts w:ascii="黑体" w:hAnsi="黑体" w:eastAsia="黑体"/>
          <w:b/>
          <w:bCs w:val="0"/>
          <w:color w:val="auto"/>
          <w:highlight w:val="none"/>
        </w:rPr>
      </w:pPr>
      <w:bookmarkStart w:id="0" w:name="_Toc270078760"/>
      <w:r>
        <w:rPr>
          <w:rFonts w:hint="eastAsia" w:ascii="黑体" w:hAnsi="黑体" w:eastAsia="黑体"/>
          <w:b w:val="0"/>
          <w:color w:val="auto"/>
          <w:highlight w:val="none"/>
        </w:rPr>
        <w:t xml:space="preserve">第一部分 </w:t>
      </w:r>
      <w:r>
        <w:rPr>
          <w:rStyle w:val="40"/>
          <w:rFonts w:hint="eastAsia" w:ascii="黑体" w:hAnsi="黑体" w:eastAsia="黑体"/>
          <w:b w:val="0"/>
          <w:bCs w:val="0"/>
          <w:color w:val="auto"/>
          <w:highlight w:val="none"/>
        </w:rPr>
        <w:t>部门概况</w:t>
      </w:r>
      <w:bookmarkEnd w:id="0"/>
    </w:p>
    <w:p w14:paraId="2F800A22">
      <w:pPr>
        <w:widowControl/>
        <w:jc w:val="left"/>
        <w:rPr>
          <w:rFonts w:ascii="黑体" w:eastAsia="黑体"/>
          <w:color w:val="auto"/>
          <w:sz w:val="32"/>
          <w:szCs w:val="32"/>
          <w:highlight w:val="none"/>
        </w:rPr>
      </w:pPr>
    </w:p>
    <w:p w14:paraId="5698922D">
      <w:pPr>
        <w:pStyle w:val="4"/>
        <w:numPr>
          <w:ilvl w:val="0"/>
          <w:numId w:val="1"/>
        </w:numPr>
        <w:rPr>
          <w:rStyle w:val="41"/>
          <w:rFonts w:hint="eastAsia" w:ascii="黑体" w:hAnsi="黑体" w:eastAsia="黑体"/>
          <w:b w:val="0"/>
          <w:bCs w:val="0"/>
          <w:color w:val="auto"/>
          <w:highlight w:val="none"/>
          <w:lang w:eastAsia="zh-CN"/>
        </w:rPr>
      </w:pPr>
      <w:bookmarkStart w:id="1" w:name="_Toc1510836603"/>
      <w:r>
        <w:rPr>
          <w:rStyle w:val="41"/>
          <w:rFonts w:hint="eastAsia" w:ascii="黑体" w:hAnsi="黑体" w:eastAsia="黑体"/>
          <w:b w:val="0"/>
          <w:bCs w:val="0"/>
          <w:color w:val="auto"/>
          <w:highlight w:val="none"/>
          <w:lang w:eastAsia="zh-CN"/>
        </w:rPr>
        <w:t>部门职责</w:t>
      </w:r>
      <w:bookmarkEnd w:id="1"/>
    </w:p>
    <w:p w14:paraId="728533B0">
      <w:pPr>
        <w:suppressAutoHyphens/>
        <w:bidi w:val="0"/>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区农业农村局贯彻落实党中央关于“三农”工作的方针政策和省委、市委、区委的决策部署，在履行职责过程中坚持和加强党对“三农”工作的集中统一领导。主要职责是：</w:t>
      </w:r>
    </w:p>
    <w:p w14:paraId="33930CDF">
      <w:pPr>
        <w:suppressAutoHyphens/>
        <w:bidi w:val="0"/>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统筹研究和组织实施全区“三农”工作的发展战略、中长期规划、重大政策。贯彻执行国家有关种植业、畜牧业、渔业、农业机械化等农业领域工作的法律、法规、政策以及省委省政府、市委市政府、区委区政府关于“三农”方面的决策部署。参与涉农的财税、价格、收储、金融保险、进出口等政策制定。</w:t>
      </w:r>
    </w:p>
    <w:p w14:paraId="70F7597E">
      <w:pPr>
        <w:suppressAutoHyphens/>
        <w:bidi w:val="0"/>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2.统筹实施乡村振兴战略。统筹推动发展农村社会事业、农村公共服务、农村文化、农村基础设施。指导农业遗产的保护传承和开发利用。指导农村精神文明和优秀农耕文化建设。</w:t>
      </w:r>
    </w:p>
    <w:p w14:paraId="6455C1C3">
      <w:pPr>
        <w:suppressAutoHyphens/>
        <w:bidi w:val="0"/>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拟订深化全区农村经济体制改革和巩固完善农村基本经营制度的政策措施。负责农民承包地、农村宅基地管理和改革有关工作。负责农村集体产权制度改革，指导农村集体经济组织发展、集体资产和财务管理工作。拟订农业产业化经营的发展规划与政策并组织实施，指导农民合作经济组织、农业社会化服务体系、新型农业经营主体建设与发展。指导、监督减轻农民负担工作。</w:t>
      </w:r>
    </w:p>
    <w:p w14:paraId="75EACCC8">
      <w:pPr>
        <w:suppressAutoHyphens/>
        <w:bidi w:val="0"/>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指导全区乡村特色产业、农产品加工业（产地初加工）、休闲农业和乡村企业发展工作。指导特色农产品优势区建设和管理工作。组织拟订并实施现代农业园区的政策与规划，负责现代农业园区评定工作。培育、保护和发展农产品品牌，组织协调“菜篮子”工程有关工作。负责农业信息体系建设，推动数字农业发展。发布农业农村经济信息，监测分析农业农村经济运行。承担农业统计工作。</w:t>
      </w:r>
    </w:p>
    <w:p w14:paraId="379F0F0E">
      <w:pPr>
        <w:suppressAutoHyphens/>
        <w:bidi w:val="0"/>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负责全区种植业、畜牧业、渔业等农业产业和农业机械化的监督管理。指导粮食等农产品生产。指导粮食生产功能区和重要农产品生产保护区建设和管理工作。组织构建现代农业产业体系、生产体系、经营体系，指导农业标准化、规模化生产。落实促进粮油、畜禽、水产等主要农产品生产发展的相关政策措施，引导农业产业结构调整和产品品质改善，促进农业绿色发展。负责渔政渔港、网具监督管理。</w:t>
      </w:r>
    </w:p>
    <w:p w14:paraId="2509DC26">
      <w:pPr>
        <w:suppressAutoHyphens/>
        <w:bidi w:val="0"/>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负责拟订全区农业全产业机械化、智能化、数字化发展规划并组织实施。组织开展农业机械技术攻关和技术开发，引进、示范和推广农业机械新技术、新机具，指导全区农业机械基础设施的规划建设和管理工作。指导设施农业、农机库棚、机电提灌、机耕道等基础设施建设。</w:t>
      </w:r>
    </w:p>
    <w:p w14:paraId="26659B87">
      <w:pPr>
        <w:suppressAutoHyphens/>
        <w:bidi w:val="0"/>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负责全区农产品质量安全监督管理。组织开展农产品质量安全监测、追溯、风险评估。参与拟订初级农产品质量安全地方标准并会同有关部门组织实施。指导农业检验检测体系建设。依法组织实施符合安全标准的农产品生产基地认定、产品认证、农产品地理标志登记保护和监督管理。</w:t>
      </w:r>
    </w:p>
    <w:p w14:paraId="5396DCC7">
      <w:pPr>
        <w:suppressAutoHyphens/>
        <w:bidi w:val="0"/>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8.组织开展全区农业资源区划和资源保护工作。负责农用地、渔业水域以及农业生物物种资源的保护与管理，负责水生野生动植物保护、耕地及永久基本农田质量保护工作。负责农村能源建设和农业资源环境工作。指导农产品产地环境管理和农业清洁生产，提出划定农产品禁止生产区域的政策建议，指导设施农业、生态循环农业、节水农业发展以及农村可再生能源综合开发利用、农业生物质能产业发展。</w:t>
      </w:r>
    </w:p>
    <w:p w14:paraId="6E20F964">
      <w:pPr>
        <w:suppressAutoHyphens/>
        <w:bidi w:val="0"/>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9.负责全区有关农业生产资料和农业投入品的监督管理。组织农业生产资料市场体系建设，承担农作物种子（种苗）、食用菌种、蚕种、饲草良种、种畜禽、水产苗种、农药、兽药（渔药）、饲料、饲料添加剂等农业生产资料的监督管理职责。牵头负责“瘦肉精”监督管理，监督管理兽医医疗器械、肥料登记。拟订有关农业生产资料地方标准并监督实施，会同有关部门监督实施农业生产资料国家标准。组织兽医医政、兽药（渔药）药政药检工作，负责执业兽医和畜禽屠宰行业管理。</w:t>
      </w:r>
    </w:p>
    <w:p w14:paraId="7CE02C65">
      <w:pPr>
        <w:suppressAutoHyphens/>
        <w:bidi w:val="0"/>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10.负责全区农业防灾减灾、农作物重大病虫害防治工作。会同有关部门制定动植物防疫检疫政策并指导实施。负责动植物防疫检疫体系建设，组织监督管理区内动植物防疫检疫工作，依法组织扑灭疫情。组织植物检疫性有害生物普查。牵头管理外来农业物种。监测、核查、发布农业灾情，组织种子、种苗、化肥、兽药（渔药）等农业生产救灾物资的储备和调拨，提出生产救灾资金安排建议，指导紧急救灾和灾后生产恢复。</w:t>
      </w:r>
    </w:p>
    <w:p w14:paraId="79F02C9C">
      <w:pPr>
        <w:suppressAutoHyphens/>
        <w:bidi w:val="0"/>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11.负责全区农业投资管理。提出农业投融资体制机制改革建议。参与农村金融、农业保险的政策拟订和改革试点。编制中央、省、市、区投资安排的农业投资项目建设规划，提出农业投资规模和方向、扶持农业农村发展财政项目的建议，按国务院、省政府、农业农村部、市政府、农业农村厅、区政府和市农业农村局规定权限审批农业投资项目，负责农业投资项目资金安排和监督管理。</w:t>
      </w:r>
    </w:p>
    <w:p w14:paraId="7DE6A163">
      <w:pPr>
        <w:suppressAutoHyphens/>
        <w:bidi w:val="0"/>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12.负责全区农田建设管理。拟订农田建设发展规划，提出农田建设项目需求建议。负责全区农田建设管理、高标准农田建设和耕地质量管理。编制农业综合开发项目、农田建设项目、农田整治项目、农田水利建设项目，并组织实施和管理。</w:t>
      </w:r>
    </w:p>
    <w:p w14:paraId="7AE438DF">
      <w:pPr>
        <w:suppressAutoHyphens/>
        <w:bidi w:val="0"/>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13.制定全区农业科研、农技推广的规划、计划和有关政策并组织实施，牵头推动农业科技体制改革和农业科技创新体系建设。指导农业产业技术体系和农技推广体系建设，组织农作物、畜禽、水产养殖等新品种育种攻关和农业先进技术引进、试验、转化、示范、推广。负责农业转基因生物安全监督管理和农业植物新品种保护。</w:t>
      </w:r>
    </w:p>
    <w:p w14:paraId="7102E881">
      <w:pPr>
        <w:suppressAutoHyphens/>
        <w:bidi w:val="0"/>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14.指导全区农业农村人才工作。制定农业农村人才队伍建设规划并组织实施。指导农业教育和农业职业技能开发。承担新型职业农民培育、农业科技人才培养和农村实用人才培训工作。</w:t>
      </w:r>
    </w:p>
    <w:p w14:paraId="5ACFB363">
      <w:pPr>
        <w:suppressAutoHyphens/>
        <w:bidi w:val="0"/>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15.牵头开展全区农业对外合作工作。承办政府间农业涉外事务，参与拟订农业对外开放政策和外向型农业发展规划，指导外向型农业发展。组织开展农业贸易促进和有关国际交流合作，落实对外援助政策，具体执行有关农业援外项目。组织开展农业投资促进活动，推动农业开放合作。 </w:t>
      </w:r>
    </w:p>
    <w:p w14:paraId="7FE13B55">
      <w:pPr>
        <w:suppressAutoHyphens/>
        <w:bidi w:val="0"/>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16.编制全区烟叶种植规划方案，督促检查烟叶种植方案贯彻落实。协调烟草工业、商业做好相关工作。组织实施区级烟草扶持项目。</w:t>
      </w:r>
    </w:p>
    <w:p w14:paraId="25137604">
      <w:pPr>
        <w:suppressAutoHyphens/>
        <w:bidi w:val="0"/>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17.统筹协调和监督指导全区农业综合执法。负责监督指导重大案件查处和跨区域执法的组织协调工作。负责区本级的涉农违法案件办理。推进农业依法行政。</w:t>
      </w:r>
    </w:p>
    <w:p w14:paraId="12ED75C0">
      <w:pPr>
        <w:suppressAutoHyphens/>
        <w:bidi w:val="0"/>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18.依法依规负责农业安全生产和职业健康监督管理工作。负责农业机械、农（兽）药、饲料、渔业、畜禽屠宰行业安全生产和职业健康的监督管理。负责组织实施农村沼气项目的安全生产和职业健康监督管理。对农业园区的安全生产和职业健康工作实施行业监督管理。负责制定职责范围内的安全生产年度监督检查计划并组织实施。</w:t>
      </w:r>
    </w:p>
    <w:p w14:paraId="143A7862">
      <w:pPr>
        <w:suppressAutoHyphens/>
        <w:bidi w:val="0"/>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19.负责职责范围内的生态环境保护、审批服务便民化等工作。</w:t>
      </w:r>
    </w:p>
    <w:p w14:paraId="4D02D2F1">
      <w:pPr>
        <w:suppressAutoHyphens/>
        <w:bidi w:val="0"/>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20.完成区委、区政府交办的其他任务。</w:t>
      </w:r>
    </w:p>
    <w:p w14:paraId="43B95AB4">
      <w:pPr>
        <w:pStyle w:val="4"/>
        <w:numPr>
          <w:ilvl w:val="0"/>
          <w:numId w:val="1"/>
        </w:numPr>
        <w:ind w:left="0" w:leftChars="0" w:firstLine="0" w:firstLineChars="0"/>
        <w:rPr>
          <w:rFonts w:hint="eastAsia" w:ascii="黑体" w:hAnsi="黑体" w:eastAsia="黑体"/>
          <w:b w:val="0"/>
          <w:color w:val="auto"/>
          <w:highlight w:val="none"/>
          <w:lang w:val="en-US" w:eastAsia="zh-CN"/>
        </w:rPr>
      </w:pPr>
      <w:bookmarkStart w:id="2" w:name="_Toc1156050426"/>
      <w:r>
        <w:rPr>
          <w:rFonts w:hint="eastAsia" w:ascii="黑体" w:hAnsi="黑体" w:eastAsia="黑体"/>
          <w:b w:val="0"/>
          <w:color w:val="auto"/>
          <w:highlight w:val="none"/>
          <w:lang w:val="en-US" w:eastAsia="zh-CN"/>
        </w:rPr>
        <w:t>机构设置</w:t>
      </w:r>
      <w:bookmarkEnd w:id="2"/>
    </w:p>
    <w:p w14:paraId="301230E9">
      <w:pPr>
        <w:suppressAutoHyphens/>
        <w:bidi w:val="0"/>
        <w:ind w:firstLine="800" w:firstLineChars="2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广元市利州区农业农村局属一级预算单位，现有独立编制机构数13个，其中行政机构数1个，参照公务员编制机构数3个，财政补助独立事业编制机构数8个。</w:t>
      </w:r>
      <w:r>
        <w:rPr>
          <w:rFonts w:hint="eastAsia" w:ascii="仿宋_GB2312" w:hAnsi="仿宋_GB2312" w:eastAsia="仿宋_GB2312" w:cs="仿宋_GB2312"/>
          <w:color w:val="auto"/>
          <w:sz w:val="32"/>
          <w:szCs w:val="32"/>
          <w:highlight w:val="none"/>
          <w:lang w:val="en-US" w:eastAsia="zh-CN"/>
        </w:rPr>
        <w:br w:type="page"/>
      </w:r>
    </w:p>
    <w:p w14:paraId="73278BFF">
      <w:pPr>
        <w:pStyle w:val="3"/>
        <w:ind w:right="440"/>
        <w:jc w:val="center"/>
        <w:rPr>
          <w:color w:val="auto"/>
          <w:highlight w:val="none"/>
        </w:rPr>
      </w:pPr>
      <w:bookmarkStart w:id="3" w:name="_Toc517319435"/>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2024年度</w:t>
      </w:r>
      <w:r>
        <w:rPr>
          <w:rStyle w:val="40"/>
          <w:rFonts w:hint="eastAsia" w:ascii="黑体" w:hAnsi="黑体" w:eastAsia="黑体"/>
          <w:b w:val="0"/>
          <w:bCs/>
          <w:color w:val="auto"/>
          <w:highlight w:val="none"/>
        </w:rPr>
        <w:t>部门决算情况说明</w:t>
      </w:r>
      <w:bookmarkEnd w:id="3"/>
    </w:p>
    <w:p w14:paraId="54607A3C">
      <w:pPr>
        <w:pStyle w:val="42"/>
        <w:numPr>
          <w:ilvl w:val="0"/>
          <w:numId w:val="2"/>
        </w:numPr>
        <w:spacing w:line="600" w:lineRule="exact"/>
        <w:ind w:firstLineChars="0"/>
        <w:outlineLvl w:val="1"/>
        <w:rPr>
          <w:rFonts w:ascii="黑体" w:hAnsi="黑体" w:eastAsia="黑体" w:cs="黑体"/>
          <w:bCs/>
          <w:sz w:val="32"/>
          <w:szCs w:val="32"/>
          <w:highlight w:val="none"/>
        </w:rPr>
      </w:pPr>
      <w:bookmarkStart w:id="4" w:name="_Toc15377205"/>
      <w:bookmarkStart w:id="5" w:name="_Toc1278931502"/>
      <w:bookmarkStart w:id="6" w:name="_Toc15396603"/>
      <w:r>
        <w:rPr>
          <w:rFonts w:hint="eastAsia" w:ascii="黑体" w:hAnsi="黑体" w:eastAsia="黑体"/>
          <w:color w:val="auto"/>
          <w:sz w:val="32"/>
          <w:szCs w:val="32"/>
          <w:highlight w:val="none"/>
        </w:rPr>
        <w:t>收</w:t>
      </w:r>
      <w:r>
        <w:rPr>
          <w:rStyle w:val="41"/>
          <w:rFonts w:hint="eastAsia" w:ascii="黑体" w:hAnsi="黑体" w:eastAsia="黑体"/>
          <w:b w:val="0"/>
          <w:color w:val="auto"/>
          <w:highlight w:val="none"/>
        </w:rPr>
        <w:t>入支出决算总体情况说明</w:t>
      </w:r>
      <w:bookmarkEnd w:id="4"/>
      <w:bookmarkEnd w:id="5"/>
      <w:bookmarkEnd w:id="6"/>
    </w:p>
    <w:p w14:paraId="4B73BD42">
      <w:pPr>
        <w:suppressAutoHyphens/>
        <w:bidi w:val="0"/>
        <w:spacing w:line="600" w:lineRule="exact"/>
        <w:ind w:firstLine="640" w:firstLineChars="200"/>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2024年度收、支总计均为19299.99万元。与2023年相比，收、支总计各增加361.26万元，增加</w:t>
      </w:r>
      <w:r>
        <w:rPr>
          <w:rFonts w:hint="eastAsia" w:ascii="仿宋_GB2312" w:hAnsi="仿宋_GB2312" w:eastAsia="仿宋_GB2312" w:cs="仿宋_GB2312"/>
          <w:color w:val="auto"/>
          <w:sz w:val="32"/>
          <w:szCs w:val="32"/>
          <w:highlight w:val="none"/>
          <w:lang w:val="en-US" w:eastAsia="zh-CN"/>
        </w:rPr>
        <w:t>1.91</w:t>
      </w:r>
      <w:r>
        <w:rPr>
          <w:rFonts w:hint="eastAsia" w:ascii="仿宋_GB2312" w:hAnsi="仿宋_GB2312" w:eastAsia="仿宋_GB2312" w:cs="仿宋_GB2312"/>
          <w:color w:val="auto"/>
          <w:sz w:val="32"/>
          <w:szCs w:val="32"/>
          <w:highlight w:val="none"/>
          <w:lang w:eastAsia="zh-CN"/>
        </w:rPr>
        <w:t>%。主要变动原因是机构改革乡村振兴局并入，人员增加，项目增加。</w:t>
      </w:r>
    </w:p>
    <w:p w14:paraId="38D4D63A">
      <w:pPr>
        <w:pStyle w:val="2"/>
        <w:spacing w:before="93" w:beforeLines="0"/>
        <w:jc w:val="center"/>
        <w:outlineLvl w:val="9"/>
        <w:rPr>
          <w:highlight w:val="none"/>
        </w:rPr>
      </w:pPr>
      <w:r>
        <w:rPr>
          <w:highlight w:val="none"/>
        </w:rPr>
        <w:drawing>
          <wp:inline distT="0" distB="0" distL="114300" distR="114300">
            <wp:extent cx="4829175" cy="2847975"/>
            <wp:effectExtent l="0" t="0" r="952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4829175" cy="2847975"/>
                    </a:xfrm>
                    <a:prstGeom prst="rect">
                      <a:avLst/>
                    </a:prstGeom>
                    <a:noFill/>
                    <a:ln>
                      <a:noFill/>
                    </a:ln>
                  </pic:spPr>
                </pic:pic>
              </a:graphicData>
            </a:graphic>
          </wp:inline>
        </w:drawing>
      </w:r>
    </w:p>
    <w:p w14:paraId="5ED0B8C8">
      <w:pPr>
        <w:pStyle w:val="2"/>
        <w:spacing w:before="93" w:beforeLines="0"/>
        <w:jc w:val="center"/>
        <w:outlineLvl w:val="9"/>
        <w:rPr>
          <w:rFonts w:ascii="CESI仿宋-GB2312" w:hAnsi="仿宋" w:eastAsia="CESI仿宋-GB2312" w:cs="CESI仿宋-GB2312"/>
          <w:b/>
          <w:bCs/>
          <w:color w:val="000000"/>
          <w:sz w:val="24"/>
          <w:highlight w:val="none"/>
        </w:rPr>
      </w:pPr>
      <w:r>
        <w:rPr>
          <w:rFonts w:hint="eastAsia" w:ascii="CESI仿宋-GB2312" w:hAnsi="仿宋" w:eastAsia="CESI仿宋-GB2312" w:cs="CESI仿宋-GB2312"/>
          <w:b/>
          <w:bCs/>
          <w:color w:val="000000"/>
          <w:sz w:val="24"/>
          <w:highlight w:val="none"/>
        </w:rPr>
        <w:t>图</w:t>
      </w:r>
      <w:r>
        <w:rPr>
          <w:rFonts w:ascii="CESI仿宋-GB2312" w:hAnsi="仿宋" w:eastAsia="CESI仿宋-GB2312" w:cs="CESI仿宋-GB2312"/>
          <w:b/>
          <w:bCs/>
          <w:color w:val="000000"/>
          <w:sz w:val="24"/>
          <w:highlight w:val="none"/>
        </w:rPr>
        <w:t>1</w:t>
      </w:r>
      <w:r>
        <w:rPr>
          <w:rFonts w:hint="eastAsia" w:ascii="CESI仿宋-GB2312" w:hAnsi="仿宋" w:eastAsia="CESI仿宋-GB2312" w:cs="CESI仿宋-GB2312"/>
          <w:b/>
          <w:bCs/>
          <w:color w:val="000000"/>
          <w:sz w:val="24"/>
          <w:highlight w:val="none"/>
          <w:lang w:eastAsia="zh-CN"/>
        </w:rPr>
        <w:t>：</w:t>
      </w:r>
      <w:r>
        <w:rPr>
          <w:rFonts w:hint="eastAsia" w:ascii="CESI仿宋-GB2312" w:hAnsi="仿宋" w:eastAsia="CESI仿宋-GB2312" w:cs="CESI仿宋-GB2312"/>
          <w:b/>
          <w:bCs/>
          <w:color w:val="000000"/>
          <w:sz w:val="24"/>
          <w:highlight w:val="none"/>
        </w:rPr>
        <w:t>收入支出决算总体</w:t>
      </w:r>
      <w:r>
        <w:rPr>
          <w:rFonts w:ascii="CESI仿宋-GB2312" w:hAnsi="仿宋" w:eastAsia="CESI仿宋-GB2312" w:cs="CESI仿宋-GB2312"/>
          <w:b/>
          <w:bCs/>
          <w:color w:val="000000"/>
          <w:sz w:val="24"/>
          <w:highlight w:val="none"/>
        </w:rPr>
        <w:t>情况图</w:t>
      </w:r>
    </w:p>
    <w:p w14:paraId="209515F2">
      <w:pPr>
        <w:spacing w:line="576" w:lineRule="exact"/>
        <w:ind w:firstLine="640" w:firstLineChars="200"/>
        <w:outlineLvl w:val="1"/>
        <w:rPr>
          <w:rFonts w:ascii="黑体" w:hAnsi="黑体" w:eastAsia="黑体" w:cs="黑体"/>
          <w:bCs/>
          <w:sz w:val="32"/>
          <w:szCs w:val="32"/>
          <w:highlight w:val="none"/>
        </w:rPr>
      </w:pPr>
      <w:bookmarkStart w:id="7" w:name="_Toc484103130"/>
      <w:r>
        <w:rPr>
          <w:rFonts w:hint="eastAsia" w:ascii="黑体" w:hAnsi="黑体" w:eastAsia="黑体" w:cs="黑体"/>
          <w:bCs/>
          <w:sz w:val="32"/>
          <w:szCs w:val="32"/>
          <w:highlight w:val="none"/>
        </w:rPr>
        <w:t>二、收入决算情况说明</w:t>
      </w:r>
      <w:bookmarkEnd w:id="7"/>
    </w:p>
    <w:p w14:paraId="4DF1E8EC">
      <w:pPr>
        <w:pStyle w:val="2"/>
        <w:spacing w:before="93" w:beforeLines="0" w:line="576" w:lineRule="exact"/>
        <w:ind w:firstLine="640" w:firstLineChars="20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2024年本年收入合计19,299.99万元，其中：一般公共预算财政拨款收入19,299.99万元，占100%。</w:t>
      </w:r>
    </w:p>
    <w:p w14:paraId="473014B0">
      <w:pPr>
        <w:pStyle w:val="2"/>
        <w:spacing w:before="93" w:beforeLines="0"/>
        <w:jc w:val="center"/>
        <w:rPr>
          <w:rFonts w:ascii="CESI仿宋-GB2312" w:hAnsi="仿宋" w:eastAsia="CESI仿宋-GB2312" w:cs="CESI仿宋-GB2312"/>
          <w:b/>
          <w:bCs/>
          <w:color w:val="000000"/>
          <w:sz w:val="24"/>
          <w:highlight w:val="none"/>
        </w:rPr>
      </w:pPr>
      <w:r>
        <w:rPr>
          <w:highlight w:val="none"/>
        </w:rPr>
        <w:drawing>
          <wp:inline distT="0" distB="0" distL="114300" distR="114300">
            <wp:extent cx="4838700" cy="2771775"/>
            <wp:effectExtent l="0" t="0" r="0"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4838700" cy="2771775"/>
                    </a:xfrm>
                    <a:prstGeom prst="rect">
                      <a:avLst/>
                    </a:prstGeom>
                    <a:noFill/>
                    <a:ln>
                      <a:noFill/>
                    </a:ln>
                  </pic:spPr>
                </pic:pic>
              </a:graphicData>
            </a:graphic>
          </wp:inline>
        </w:drawing>
      </w:r>
    </w:p>
    <w:p w14:paraId="4B908A7F">
      <w:pPr>
        <w:pStyle w:val="2"/>
        <w:spacing w:before="93" w:beforeLines="0"/>
        <w:jc w:val="center"/>
        <w:rPr>
          <w:rFonts w:ascii="CESI仿宋-GB2312" w:hAnsi="仿宋" w:eastAsia="CESI仿宋-GB2312" w:cs="CESI仿宋-GB2312"/>
          <w:b/>
          <w:bCs/>
          <w:color w:val="000000"/>
          <w:sz w:val="24"/>
          <w:highlight w:val="none"/>
        </w:rPr>
      </w:pPr>
      <w:r>
        <w:rPr>
          <w:rFonts w:hint="eastAsia" w:ascii="CESI仿宋-GB2312" w:hAnsi="仿宋" w:eastAsia="CESI仿宋-GB2312" w:cs="CESI仿宋-GB2312"/>
          <w:b/>
          <w:bCs/>
          <w:color w:val="000000"/>
          <w:sz w:val="24"/>
          <w:highlight w:val="none"/>
        </w:rPr>
        <w:t>图2</w:t>
      </w:r>
      <w:r>
        <w:rPr>
          <w:rFonts w:hint="eastAsia" w:ascii="CESI仿宋-GB2312" w:hAnsi="仿宋" w:eastAsia="CESI仿宋-GB2312" w:cs="CESI仿宋-GB2312"/>
          <w:b/>
          <w:bCs/>
          <w:color w:val="000000"/>
          <w:sz w:val="24"/>
          <w:highlight w:val="none"/>
          <w:lang w:eastAsia="zh-CN"/>
        </w:rPr>
        <w:t>：</w:t>
      </w:r>
      <w:r>
        <w:rPr>
          <w:rFonts w:hint="eastAsia" w:ascii="CESI仿宋-GB2312" w:hAnsi="仿宋" w:eastAsia="CESI仿宋-GB2312" w:cs="CESI仿宋-GB2312"/>
          <w:b/>
          <w:bCs/>
          <w:color w:val="000000"/>
          <w:sz w:val="24"/>
          <w:highlight w:val="none"/>
        </w:rPr>
        <w:t>收入决算结构图</w:t>
      </w:r>
    </w:p>
    <w:p w14:paraId="4A66B396">
      <w:pPr>
        <w:spacing w:line="576" w:lineRule="exact"/>
        <w:ind w:firstLine="640" w:firstLineChars="200"/>
        <w:outlineLvl w:val="1"/>
        <w:rPr>
          <w:rStyle w:val="33"/>
          <w:rFonts w:hint="eastAsia" w:ascii="黑体" w:hAnsi="黑体" w:eastAsia="黑体" w:cs="黑体"/>
          <w:b w:val="0"/>
          <w:highlight w:val="none"/>
          <w:shd w:val="clear" w:color="auto" w:fill="auto"/>
        </w:rPr>
      </w:pPr>
      <w:bookmarkStart w:id="8" w:name="_Toc539297285"/>
      <w:r>
        <w:rPr>
          <w:rStyle w:val="33"/>
          <w:rFonts w:hint="eastAsia" w:ascii="黑体" w:hAnsi="黑体" w:eastAsia="黑体" w:cs="黑体"/>
          <w:b w:val="0"/>
          <w:highlight w:val="none"/>
          <w:shd w:val="clear" w:color="auto" w:fill="auto"/>
        </w:rPr>
        <w:t>三、支出决算情况说明</w:t>
      </w:r>
      <w:bookmarkEnd w:id="8"/>
    </w:p>
    <w:p w14:paraId="7A01B9D8">
      <w:pPr>
        <w:pStyle w:val="2"/>
        <w:spacing w:before="93" w:beforeLines="0" w:line="576" w:lineRule="exact"/>
        <w:ind w:firstLine="640" w:firstLineChars="20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2024年本年支出合计19,299.99万元，其中</w:t>
      </w:r>
      <w:r>
        <w:rPr>
          <w:rFonts w:hint="eastAsia" w:hAnsi="仿宋_GB2312" w:cs="仿宋_GB2312"/>
          <w:color w:val="auto"/>
          <w:kern w:val="2"/>
          <w:sz w:val="32"/>
          <w:szCs w:val="32"/>
          <w:highlight w:val="none"/>
          <w:lang w:val="en-US" w:eastAsia="zh-CN" w:bidi="ar-SA"/>
        </w:rPr>
        <w:t>：</w:t>
      </w:r>
      <w:r>
        <w:rPr>
          <w:rFonts w:hint="eastAsia" w:ascii="仿宋_GB2312" w:hAnsi="仿宋_GB2312" w:eastAsia="仿宋_GB2312" w:cs="仿宋_GB2312"/>
          <w:color w:val="auto"/>
          <w:kern w:val="2"/>
          <w:sz w:val="32"/>
          <w:szCs w:val="32"/>
          <w:highlight w:val="none"/>
          <w:lang w:val="en-US" w:eastAsia="zh-CN" w:bidi="ar-SA"/>
        </w:rPr>
        <w:t>基本支出2,614.04万元，占13.54%；项目支出16,685.95万元占86.46%。</w:t>
      </w:r>
    </w:p>
    <w:p w14:paraId="2EF742FE">
      <w:pPr>
        <w:pStyle w:val="2"/>
        <w:spacing w:before="93" w:beforeLines="0"/>
        <w:jc w:val="center"/>
        <w:rPr>
          <w:rFonts w:ascii="仿宋" w:hAnsi="仿宋" w:eastAsia="仿宋"/>
          <w:sz w:val="32"/>
          <w:szCs w:val="32"/>
          <w:highlight w:val="none"/>
        </w:rPr>
      </w:pPr>
      <w:r>
        <w:rPr>
          <w:highlight w:val="none"/>
        </w:rPr>
        <w:drawing>
          <wp:inline distT="0" distB="0" distL="114300" distR="114300">
            <wp:extent cx="4838700" cy="2771775"/>
            <wp:effectExtent l="0" t="0" r="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a:off x="0" y="0"/>
                      <a:ext cx="4838700" cy="2771775"/>
                    </a:xfrm>
                    <a:prstGeom prst="rect">
                      <a:avLst/>
                    </a:prstGeom>
                    <a:noFill/>
                    <a:ln>
                      <a:noFill/>
                    </a:ln>
                  </pic:spPr>
                </pic:pic>
              </a:graphicData>
            </a:graphic>
          </wp:inline>
        </w:drawing>
      </w:r>
    </w:p>
    <w:p w14:paraId="1359B476">
      <w:pPr>
        <w:pStyle w:val="2"/>
        <w:spacing w:before="93" w:beforeLines="0"/>
        <w:jc w:val="center"/>
        <w:rPr>
          <w:rFonts w:ascii="仿宋" w:hAnsi="仿宋" w:eastAsia="仿宋" w:cs="仿宋"/>
          <w:b/>
          <w:bCs/>
          <w:color w:val="000000"/>
          <w:sz w:val="24"/>
          <w:highlight w:val="none"/>
        </w:rPr>
      </w:pPr>
      <w:r>
        <w:rPr>
          <w:rFonts w:hint="eastAsia" w:ascii="仿宋" w:hAnsi="仿宋" w:eastAsia="仿宋" w:cs="仿宋"/>
          <w:b/>
          <w:bCs/>
          <w:color w:val="000000"/>
          <w:sz w:val="24"/>
          <w:highlight w:val="none"/>
        </w:rPr>
        <w:t>图3</w:t>
      </w:r>
      <w:r>
        <w:rPr>
          <w:rFonts w:hint="eastAsia" w:ascii="仿宋" w:hAnsi="仿宋" w:eastAsia="仿宋" w:cs="仿宋"/>
          <w:b/>
          <w:bCs/>
          <w:color w:val="000000"/>
          <w:sz w:val="24"/>
          <w:highlight w:val="none"/>
          <w:lang w:eastAsia="zh-CN"/>
        </w:rPr>
        <w:t>：</w:t>
      </w:r>
      <w:r>
        <w:rPr>
          <w:rFonts w:hint="eastAsia" w:ascii="仿宋" w:hAnsi="仿宋" w:eastAsia="仿宋" w:cs="仿宋"/>
          <w:b/>
          <w:bCs/>
          <w:color w:val="000000"/>
          <w:sz w:val="24"/>
          <w:highlight w:val="none"/>
        </w:rPr>
        <w:t>支出决算结构图</w:t>
      </w:r>
    </w:p>
    <w:p w14:paraId="66D2D92B">
      <w:pPr>
        <w:spacing w:line="576" w:lineRule="exact"/>
        <w:ind w:firstLine="640" w:firstLineChars="200"/>
        <w:outlineLvl w:val="1"/>
        <w:rPr>
          <w:rStyle w:val="33"/>
          <w:rFonts w:ascii="黑体" w:hAnsi="黑体" w:eastAsia="黑体"/>
          <w:b w:val="0"/>
          <w:highlight w:val="none"/>
        </w:rPr>
      </w:pPr>
      <w:bookmarkStart w:id="9" w:name="_Toc2041026616"/>
      <w:bookmarkStart w:id="10" w:name="_Toc15396606"/>
      <w:bookmarkStart w:id="11" w:name="_Toc15377208"/>
      <w:r>
        <w:rPr>
          <w:rFonts w:hint="eastAsia" w:ascii="黑体" w:hAnsi="黑体" w:eastAsia="黑体"/>
          <w:sz w:val="32"/>
          <w:szCs w:val="32"/>
          <w:highlight w:val="none"/>
        </w:rPr>
        <w:t>四、财</w:t>
      </w:r>
      <w:r>
        <w:rPr>
          <w:rStyle w:val="33"/>
          <w:rFonts w:hint="eastAsia" w:ascii="黑体" w:hAnsi="黑体" w:eastAsia="黑体"/>
          <w:b w:val="0"/>
          <w:highlight w:val="none"/>
        </w:rPr>
        <w:t>政拨款收入支出决算总体情况说明</w:t>
      </w:r>
      <w:bookmarkEnd w:id="9"/>
      <w:bookmarkEnd w:id="10"/>
      <w:bookmarkEnd w:id="11"/>
    </w:p>
    <w:p w14:paraId="0ED76823">
      <w:pPr>
        <w:suppressAutoHyphens/>
        <w:bidi w:val="0"/>
        <w:spacing w:line="600" w:lineRule="exact"/>
        <w:ind w:firstLine="64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2024年度财政拨款收、支总计均为19,299.99万元。与2023年相比，财政拨款收、支总计各增加361.26万元，增加</w:t>
      </w:r>
      <w:r>
        <w:rPr>
          <w:rFonts w:hint="eastAsia" w:ascii="仿宋_GB2312" w:hAnsi="仿宋_GB2312" w:eastAsia="仿宋_GB2312" w:cs="仿宋_GB2312"/>
          <w:color w:val="auto"/>
          <w:sz w:val="32"/>
          <w:szCs w:val="32"/>
          <w:highlight w:val="none"/>
          <w:lang w:val="en-US" w:eastAsia="zh-CN"/>
        </w:rPr>
        <w:t>1.91</w:t>
      </w:r>
      <w:r>
        <w:rPr>
          <w:rFonts w:hint="eastAsia" w:ascii="仿宋_GB2312" w:hAnsi="仿宋_GB2312" w:eastAsia="仿宋_GB2312" w:cs="仿宋_GB2312"/>
          <w:color w:val="auto"/>
          <w:sz w:val="32"/>
          <w:szCs w:val="32"/>
          <w:highlight w:val="none"/>
          <w:lang w:eastAsia="zh-CN"/>
        </w:rPr>
        <w:t>%。主要变动原因是机构改革乡村振兴局并入，人员增加，项目增加。</w:t>
      </w:r>
    </w:p>
    <w:p w14:paraId="3071A050">
      <w:pPr>
        <w:pStyle w:val="2"/>
        <w:spacing w:before="93" w:beforeLines="0"/>
        <w:jc w:val="center"/>
        <w:rPr>
          <w:rFonts w:ascii="Lucida Sans" w:hAnsi="仿宋" w:eastAsia="仿宋" w:cs="仿宋"/>
          <w:b/>
          <w:bCs/>
          <w:color w:val="000000"/>
          <w:sz w:val="24"/>
          <w:highlight w:val="none"/>
        </w:rPr>
      </w:pPr>
      <w:r>
        <w:rPr>
          <w:highlight w:val="none"/>
        </w:rPr>
        <w:drawing>
          <wp:inline distT="0" distB="0" distL="114300" distR="114300">
            <wp:extent cx="4829175" cy="2847975"/>
            <wp:effectExtent l="0" t="0" r="952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4829175" cy="2847975"/>
                    </a:xfrm>
                    <a:prstGeom prst="rect">
                      <a:avLst/>
                    </a:prstGeom>
                    <a:noFill/>
                    <a:ln>
                      <a:noFill/>
                    </a:ln>
                  </pic:spPr>
                </pic:pic>
              </a:graphicData>
            </a:graphic>
          </wp:inline>
        </w:drawing>
      </w:r>
    </w:p>
    <w:p w14:paraId="307213B8">
      <w:pPr>
        <w:pStyle w:val="2"/>
        <w:spacing w:before="93" w:beforeLines="0"/>
        <w:jc w:val="center"/>
        <w:rPr>
          <w:rFonts w:ascii="仿宋" w:hAnsi="仿宋" w:eastAsia="仿宋" w:cs="仿宋"/>
          <w:b/>
          <w:bCs/>
          <w:color w:val="000000"/>
          <w:sz w:val="24"/>
          <w:highlight w:val="none"/>
        </w:rPr>
      </w:pPr>
      <w:r>
        <w:rPr>
          <w:rFonts w:hint="eastAsia" w:ascii="仿宋" w:hAnsi="仿宋" w:eastAsia="仿宋" w:cs="仿宋"/>
          <w:b/>
          <w:bCs/>
          <w:color w:val="000000"/>
          <w:sz w:val="24"/>
          <w:highlight w:val="none"/>
        </w:rPr>
        <w:t>图4</w:t>
      </w:r>
      <w:r>
        <w:rPr>
          <w:rFonts w:hint="eastAsia" w:ascii="仿宋" w:hAnsi="仿宋" w:eastAsia="仿宋" w:cs="仿宋"/>
          <w:b/>
          <w:bCs/>
          <w:color w:val="000000"/>
          <w:sz w:val="24"/>
          <w:highlight w:val="none"/>
          <w:lang w:eastAsia="zh-CN"/>
        </w:rPr>
        <w:t>：</w:t>
      </w:r>
      <w:r>
        <w:rPr>
          <w:rFonts w:hint="eastAsia" w:ascii="仿宋" w:hAnsi="仿宋" w:eastAsia="仿宋" w:cs="仿宋"/>
          <w:b/>
          <w:bCs/>
          <w:color w:val="000000"/>
          <w:sz w:val="24"/>
          <w:highlight w:val="none"/>
        </w:rPr>
        <w:t>财政拨款收、支决算总计变动情况</w:t>
      </w:r>
    </w:p>
    <w:p w14:paraId="4F2AF48B">
      <w:pPr>
        <w:suppressAutoHyphens/>
        <w:bidi w:val="0"/>
        <w:spacing w:line="600" w:lineRule="exact"/>
        <w:ind w:firstLine="640" w:firstLineChars="200"/>
        <w:outlineLvl w:val="1"/>
        <w:rPr>
          <w:rFonts w:hint="eastAsia" w:ascii="黑体" w:hAnsi="黑体" w:eastAsia="黑体"/>
          <w:color w:val="auto"/>
          <w:sz w:val="32"/>
          <w:szCs w:val="32"/>
          <w:highlight w:val="none"/>
        </w:rPr>
      </w:pPr>
      <w:bookmarkStart w:id="12" w:name="_Toc15377209"/>
      <w:bookmarkStart w:id="13" w:name="_Toc1152534862"/>
      <w:bookmarkStart w:id="14" w:name="_Toc15396607"/>
      <w:r>
        <w:rPr>
          <w:rFonts w:hint="eastAsia" w:ascii="黑体" w:hAnsi="黑体" w:eastAsia="黑体"/>
          <w:color w:val="auto"/>
          <w:sz w:val="32"/>
          <w:szCs w:val="32"/>
          <w:highlight w:val="none"/>
        </w:rPr>
        <w:t>五、一般公共预算财政拨款支出决算情况说明</w:t>
      </w:r>
      <w:bookmarkEnd w:id="12"/>
      <w:bookmarkEnd w:id="13"/>
      <w:bookmarkEnd w:id="14"/>
    </w:p>
    <w:p w14:paraId="40766D40">
      <w:pPr>
        <w:suppressAutoHyphens/>
        <w:bidi w:val="0"/>
        <w:spacing w:line="600" w:lineRule="exact"/>
        <w:ind w:firstLine="643" w:firstLineChars="200"/>
        <w:outlineLvl w:val="2"/>
        <w:rPr>
          <w:rFonts w:hint="eastAsia" w:ascii="仿宋_GB2312" w:hAnsi="仿宋_GB2312" w:eastAsia="仿宋_GB2312" w:cs="仿宋_GB2312"/>
          <w:b/>
          <w:color w:val="auto"/>
          <w:sz w:val="32"/>
          <w:szCs w:val="32"/>
          <w:highlight w:val="none"/>
        </w:rPr>
      </w:pPr>
      <w:bookmarkStart w:id="15" w:name="_Toc15377210"/>
      <w:r>
        <w:rPr>
          <w:rFonts w:hint="eastAsia" w:ascii="仿宋_GB2312" w:hAnsi="仿宋_GB2312" w:eastAsia="仿宋_GB2312" w:cs="仿宋_GB2312"/>
          <w:b/>
          <w:color w:val="auto"/>
          <w:sz w:val="32"/>
          <w:szCs w:val="32"/>
          <w:highlight w:val="none"/>
        </w:rPr>
        <w:t>（一）一般公共预算财政拨款支出决算总体情况</w:t>
      </w:r>
      <w:bookmarkEnd w:id="15"/>
    </w:p>
    <w:p w14:paraId="24057B02">
      <w:pPr>
        <w:suppressAutoHyphens/>
        <w:bidi w:val="0"/>
        <w:spacing w:line="60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2024年一般公共预算财政拨款支出19,299.99万元，占本年支出合计的</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lang w:eastAsia="zh-CN"/>
        </w:rPr>
        <w:t>%。与2023年相比，一般公共预算财政拨款支出增加779.42万元，增加4</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lang w:eastAsia="zh-CN"/>
        </w:rPr>
        <w:t>%。主要变动原因是机构改革乡村振兴局并入，人员增加，项目增加。</w:t>
      </w:r>
    </w:p>
    <w:p w14:paraId="357FED5B">
      <w:pPr>
        <w:pStyle w:val="2"/>
        <w:spacing w:before="93" w:beforeLines="0"/>
        <w:jc w:val="center"/>
        <w:rPr>
          <w:rFonts w:ascii="Lucida Sans" w:hAnsi="仿宋" w:eastAsia="仿宋"/>
          <w:sz w:val="32"/>
          <w:szCs w:val="32"/>
          <w:highlight w:val="none"/>
        </w:rPr>
      </w:pPr>
      <w:r>
        <w:rPr>
          <w:highlight w:val="none"/>
        </w:rPr>
        <w:drawing>
          <wp:inline distT="0" distB="0" distL="114300" distR="114300">
            <wp:extent cx="4829175" cy="2847975"/>
            <wp:effectExtent l="0" t="0" r="9525"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a:stretch>
                      <a:fillRect/>
                    </a:stretch>
                  </pic:blipFill>
                  <pic:spPr>
                    <a:xfrm>
                      <a:off x="0" y="0"/>
                      <a:ext cx="4829175" cy="2847975"/>
                    </a:xfrm>
                    <a:prstGeom prst="rect">
                      <a:avLst/>
                    </a:prstGeom>
                    <a:noFill/>
                    <a:ln>
                      <a:noFill/>
                    </a:ln>
                  </pic:spPr>
                </pic:pic>
              </a:graphicData>
            </a:graphic>
          </wp:inline>
        </w:drawing>
      </w:r>
    </w:p>
    <w:p w14:paraId="6302FC53">
      <w:pPr>
        <w:pStyle w:val="2"/>
        <w:spacing w:before="93" w:beforeLines="0"/>
        <w:jc w:val="center"/>
        <w:rPr>
          <w:rFonts w:ascii="CESI仿宋-GB2312" w:hAnsi="仿宋" w:eastAsia="CESI仿宋-GB2312" w:cs="CESI仿宋-GB2312"/>
          <w:b/>
          <w:bCs/>
          <w:color w:val="000000"/>
          <w:sz w:val="24"/>
          <w:highlight w:val="none"/>
        </w:rPr>
      </w:pPr>
      <w:r>
        <w:rPr>
          <w:rFonts w:hint="eastAsia" w:ascii="CESI仿宋-GB2312" w:hAnsi="仿宋" w:eastAsia="CESI仿宋-GB2312" w:cs="CESI仿宋-GB2312"/>
          <w:b/>
          <w:bCs/>
          <w:color w:val="000000"/>
          <w:sz w:val="24"/>
          <w:highlight w:val="none"/>
        </w:rPr>
        <w:t>图5</w:t>
      </w:r>
      <w:r>
        <w:rPr>
          <w:rFonts w:hint="eastAsia" w:ascii="CESI仿宋-GB2312" w:hAnsi="仿宋" w:eastAsia="CESI仿宋-GB2312" w:cs="CESI仿宋-GB2312"/>
          <w:b/>
          <w:bCs/>
          <w:color w:val="000000"/>
          <w:sz w:val="24"/>
          <w:highlight w:val="none"/>
          <w:lang w:eastAsia="zh-CN"/>
        </w:rPr>
        <w:t>：</w:t>
      </w:r>
      <w:r>
        <w:rPr>
          <w:rFonts w:hint="eastAsia" w:ascii="CESI仿宋-GB2312" w:hAnsi="仿宋" w:eastAsia="CESI仿宋-GB2312" w:cs="CESI仿宋-GB2312"/>
          <w:b/>
          <w:bCs/>
          <w:color w:val="000000"/>
          <w:sz w:val="24"/>
          <w:highlight w:val="none"/>
        </w:rPr>
        <w:t>一般公共预算财政拨款支出决算变动情况</w:t>
      </w:r>
    </w:p>
    <w:p w14:paraId="5362B80A">
      <w:pPr>
        <w:suppressAutoHyphens/>
        <w:bidi w:val="0"/>
        <w:spacing w:line="600" w:lineRule="exact"/>
        <w:ind w:firstLine="643" w:firstLineChars="200"/>
        <w:outlineLvl w:val="2"/>
        <w:rPr>
          <w:rFonts w:hint="eastAsia" w:ascii="仿宋_GB2312" w:hAnsi="仿宋_GB2312" w:eastAsia="仿宋_GB2312" w:cs="仿宋_GB2312"/>
          <w:b/>
          <w:color w:val="auto"/>
          <w:sz w:val="32"/>
          <w:szCs w:val="32"/>
          <w:highlight w:val="none"/>
        </w:rPr>
      </w:pPr>
      <w:bookmarkStart w:id="16" w:name="_Toc15377211"/>
      <w:r>
        <w:rPr>
          <w:rFonts w:hint="eastAsia" w:ascii="仿宋_GB2312" w:hAnsi="仿宋_GB2312" w:eastAsia="仿宋_GB2312" w:cs="仿宋_GB2312"/>
          <w:b/>
          <w:color w:val="auto"/>
          <w:sz w:val="32"/>
          <w:szCs w:val="32"/>
          <w:highlight w:val="none"/>
        </w:rPr>
        <w:t>（二）一般公共预算财政拨款支出决算结构情况</w:t>
      </w:r>
      <w:bookmarkEnd w:id="16"/>
    </w:p>
    <w:p w14:paraId="69132D4F">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2024年一般公共预算财政拨款支出19299.99万元，主要用于以下方面:</w:t>
      </w:r>
      <w:r>
        <w:rPr>
          <w:rFonts w:hint="eastAsia" w:ascii="仿宋_GB2312" w:hAnsi="仿宋_GB2312" w:eastAsia="仿宋_GB2312" w:cs="仿宋_GB2312"/>
          <w:b/>
          <w:color w:val="auto"/>
          <w:sz w:val="32"/>
          <w:szCs w:val="32"/>
          <w:highlight w:val="none"/>
        </w:rPr>
        <w:t>一般公共服务支出</w:t>
      </w:r>
      <w:r>
        <w:rPr>
          <w:rFonts w:hint="eastAsia" w:ascii="仿宋_GB2312" w:hAnsi="仿宋_GB2312" w:eastAsia="仿宋_GB2312" w:cs="仿宋_GB2312"/>
          <w:color w:val="auto"/>
          <w:sz w:val="32"/>
          <w:szCs w:val="32"/>
          <w:highlight w:val="none"/>
          <w:lang w:val="en-US" w:eastAsia="zh-CN"/>
        </w:rPr>
        <w:t>3.5</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0.02</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color w:val="auto"/>
          <w:sz w:val="32"/>
          <w:szCs w:val="32"/>
          <w:highlight w:val="none"/>
        </w:rPr>
        <w:t>社会保障和就业支出</w:t>
      </w:r>
      <w:r>
        <w:rPr>
          <w:rFonts w:hint="eastAsia" w:ascii="仿宋_GB2312" w:hAnsi="仿宋_GB2312" w:eastAsia="仿宋_GB2312" w:cs="仿宋_GB2312"/>
          <w:color w:val="auto"/>
          <w:sz w:val="32"/>
          <w:szCs w:val="32"/>
          <w:highlight w:val="none"/>
        </w:rPr>
        <w:t>327.3万元，占1.</w:t>
      </w:r>
      <w:r>
        <w:rPr>
          <w:rFonts w:hint="eastAsia" w:ascii="仿宋_GB2312" w:hAnsi="仿宋_GB2312" w:eastAsia="仿宋_GB2312" w:cs="仿宋_GB2312"/>
          <w:color w:val="auto"/>
          <w:sz w:val="32"/>
          <w:szCs w:val="32"/>
          <w:highlight w:val="none"/>
          <w:lang w:val="en-US" w:eastAsia="zh-CN"/>
        </w:rPr>
        <w:t>69</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color w:val="auto"/>
          <w:sz w:val="32"/>
          <w:szCs w:val="32"/>
          <w:highlight w:val="none"/>
        </w:rPr>
        <w:t>卫生健康支出</w:t>
      </w:r>
      <w:r>
        <w:rPr>
          <w:rFonts w:hint="eastAsia" w:ascii="仿宋_GB2312" w:hAnsi="仿宋_GB2312" w:eastAsia="仿宋_GB2312" w:cs="仿宋_GB2312"/>
          <w:color w:val="auto"/>
          <w:sz w:val="32"/>
          <w:szCs w:val="32"/>
          <w:highlight w:val="none"/>
        </w:rPr>
        <w:t>7</w:t>
      </w:r>
      <w:r>
        <w:rPr>
          <w:rFonts w:hint="eastAsia" w:ascii="仿宋_GB2312" w:hAnsi="仿宋_GB2312" w:eastAsia="仿宋_GB2312" w:cs="仿宋_GB2312"/>
          <w:color w:val="auto"/>
          <w:sz w:val="32"/>
          <w:szCs w:val="32"/>
          <w:highlight w:val="none"/>
          <w:lang w:val="en-US" w:eastAsia="zh-CN"/>
        </w:rPr>
        <w:t>5.95</w:t>
      </w:r>
      <w:r>
        <w:rPr>
          <w:rFonts w:hint="eastAsia" w:ascii="仿宋_GB2312" w:hAnsi="仿宋_GB2312" w:eastAsia="仿宋_GB2312" w:cs="仿宋_GB2312"/>
          <w:color w:val="auto"/>
          <w:sz w:val="32"/>
          <w:szCs w:val="32"/>
          <w:highlight w:val="none"/>
        </w:rPr>
        <w:t>万元，占0.</w:t>
      </w:r>
      <w:r>
        <w:rPr>
          <w:rFonts w:hint="eastAsia" w:ascii="仿宋_GB2312" w:hAnsi="仿宋_GB2312" w:eastAsia="仿宋_GB2312" w:cs="仿宋_GB2312"/>
          <w:color w:val="auto"/>
          <w:sz w:val="32"/>
          <w:szCs w:val="32"/>
          <w:highlight w:val="none"/>
          <w:lang w:val="en-US" w:eastAsia="zh-CN"/>
        </w:rPr>
        <w:t>39</w:t>
      </w:r>
      <w:r>
        <w:rPr>
          <w:rFonts w:hint="eastAsia" w:ascii="仿宋_GB2312" w:hAnsi="仿宋_GB2312" w:eastAsia="仿宋_GB2312" w:cs="仿宋_GB2312"/>
          <w:color w:val="auto"/>
          <w:sz w:val="32"/>
          <w:szCs w:val="32"/>
          <w:highlight w:val="none"/>
        </w:rPr>
        <w:t>%；</w:t>
      </w:r>
      <w:r>
        <w:rPr>
          <w:rFonts w:hint="eastAsia" w:ascii="仿宋" w:hAnsi="仿宋" w:eastAsia="仿宋" w:cs="仿宋"/>
          <w:b/>
          <w:bCs/>
          <w:sz w:val="32"/>
          <w:szCs w:val="32"/>
          <w:highlight w:val="none"/>
        </w:rPr>
        <w:t>节能环保支出</w:t>
      </w:r>
      <w:r>
        <w:rPr>
          <w:rFonts w:hint="eastAsia" w:ascii="仿宋_GB2312" w:hAnsi="仿宋_GB2312" w:eastAsia="仿宋_GB2312" w:cs="仿宋_GB2312"/>
          <w:color w:val="auto"/>
          <w:sz w:val="32"/>
          <w:szCs w:val="32"/>
          <w:highlight w:val="none"/>
          <w:lang w:val="en-US" w:eastAsia="zh-CN"/>
        </w:rPr>
        <w:t>90</w:t>
      </w:r>
      <w:r>
        <w:rPr>
          <w:rFonts w:hint="eastAsia" w:ascii="仿宋_GB2312" w:hAnsi="仿宋_GB2312" w:eastAsia="仿宋_GB2312" w:cs="仿宋_GB2312"/>
          <w:color w:val="auto"/>
          <w:sz w:val="32"/>
          <w:szCs w:val="32"/>
          <w:highlight w:val="none"/>
        </w:rPr>
        <w:t>万，占</w:t>
      </w:r>
      <w:r>
        <w:rPr>
          <w:rFonts w:hint="eastAsia" w:ascii="仿宋_GB2312" w:hAnsi="仿宋_GB2312" w:eastAsia="仿宋_GB2312" w:cs="仿宋_GB2312"/>
          <w:color w:val="auto"/>
          <w:sz w:val="32"/>
          <w:szCs w:val="32"/>
          <w:highlight w:val="none"/>
          <w:lang w:val="en-US" w:eastAsia="zh-CN"/>
        </w:rPr>
        <w:t>0.47</w:t>
      </w:r>
      <w:r>
        <w:rPr>
          <w:rFonts w:hint="eastAsia" w:ascii="仿宋_GB2312" w:hAnsi="仿宋_GB2312" w:eastAsia="仿宋_GB2312" w:cs="仿宋_GB2312"/>
          <w:color w:val="auto"/>
          <w:sz w:val="32"/>
          <w:szCs w:val="32"/>
          <w:highlight w:val="none"/>
        </w:rPr>
        <w:t>%；</w:t>
      </w:r>
      <w:r>
        <w:rPr>
          <w:rFonts w:hint="eastAsia" w:ascii="仿宋" w:hAnsi="仿宋" w:eastAsia="仿宋" w:cs="仿宋"/>
          <w:b/>
          <w:bCs/>
          <w:sz w:val="32"/>
          <w:szCs w:val="32"/>
          <w:highlight w:val="none"/>
        </w:rPr>
        <w:t>城乡社区支出</w:t>
      </w:r>
      <w:r>
        <w:rPr>
          <w:rFonts w:hint="eastAsia" w:ascii="仿宋_GB2312" w:hAnsi="仿宋_GB2312" w:eastAsia="仿宋_GB2312" w:cs="仿宋_GB2312"/>
          <w:color w:val="auto"/>
          <w:sz w:val="32"/>
          <w:szCs w:val="32"/>
          <w:highlight w:val="none"/>
          <w:lang w:val="en-US" w:eastAsia="zh-CN"/>
        </w:rPr>
        <w:t>61.1</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0.32</w:t>
      </w:r>
      <w:r>
        <w:rPr>
          <w:rFonts w:hint="eastAsia" w:ascii="仿宋_GB2312" w:hAnsi="仿宋_GB2312" w:eastAsia="仿宋_GB2312" w:cs="仿宋_GB2312"/>
          <w:color w:val="auto"/>
          <w:sz w:val="32"/>
          <w:szCs w:val="32"/>
          <w:highlight w:val="none"/>
        </w:rPr>
        <w:t>%；</w:t>
      </w:r>
      <w:r>
        <w:rPr>
          <w:rFonts w:hint="eastAsia" w:ascii="仿宋" w:hAnsi="仿宋" w:eastAsia="仿宋" w:cs="仿宋"/>
          <w:b/>
          <w:bCs/>
          <w:sz w:val="32"/>
          <w:szCs w:val="32"/>
          <w:highlight w:val="none"/>
        </w:rPr>
        <w:t>农林水支出</w:t>
      </w:r>
      <w:r>
        <w:rPr>
          <w:rFonts w:hint="eastAsia" w:ascii="仿宋_GB2312" w:hAnsi="仿宋_GB2312" w:eastAsia="仿宋_GB2312" w:cs="仿宋_GB2312"/>
          <w:color w:val="auto"/>
          <w:sz w:val="32"/>
          <w:szCs w:val="32"/>
          <w:highlight w:val="none"/>
        </w:rPr>
        <w:t>18554.46万元，占9</w:t>
      </w:r>
      <w:r>
        <w:rPr>
          <w:rFonts w:hint="eastAsia" w:ascii="仿宋_GB2312" w:hAnsi="仿宋_GB2312" w:eastAsia="仿宋_GB2312" w:cs="仿宋_GB2312"/>
          <w:color w:val="auto"/>
          <w:sz w:val="32"/>
          <w:szCs w:val="32"/>
          <w:highlight w:val="none"/>
          <w:lang w:val="en-US" w:eastAsia="zh-CN"/>
        </w:rPr>
        <w:t>6.14</w:t>
      </w:r>
      <w:r>
        <w:rPr>
          <w:rFonts w:hint="eastAsia" w:ascii="仿宋_GB2312" w:hAnsi="仿宋_GB2312" w:eastAsia="仿宋_GB2312" w:cs="仿宋_GB2312"/>
          <w:color w:val="auto"/>
          <w:sz w:val="32"/>
          <w:szCs w:val="32"/>
          <w:highlight w:val="none"/>
        </w:rPr>
        <w:t>%；</w:t>
      </w:r>
      <w:r>
        <w:rPr>
          <w:rFonts w:hint="eastAsia" w:ascii="仿宋" w:hAnsi="仿宋" w:eastAsia="仿宋" w:cs="仿宋"/>
          <w:b/>
          <w:bCs/>
          <w:sz w:val="32"/>
          <w:szCs w:val="32"/>
          <w:highlight w:val="none"/>
        </w:rPr>
        <w:t>住房保障支出</w:t>
      </w:r>
      <w:r>
        <w:rPr>
          <w:rFonts w:hint="eastAsia" w:ascii="仿宋_GB2312" w:hAnsi="仿宋_GB2312" w:eastAsia="仿宋_GB2312" w:cs="仿宋_GB2312"/>
          <w:color w:val="auto"/>
          <w:sz w:val="32"/>
          <w:szCs w:val="32"/>
          <w:highlight w:val="none"/>
          <w:lang w:val="en-US" w:eastAsia="zh-CN"/>
        </w:rPr>
        <w:t>176.26</w:t>
      </w:r>
      <w:r>
        <w:rPr>
          <w:rFonts w:hint="eastAsia" w:ascii="仿宋_GB2312" w:hAnsi="仿宋_GB2312" w:eastAsia="仿宋_GB2312" w:cs="仿宋_GB2312"/>
          <w:color w:val="auto"/>
          <w:sz w:val="32"/>
          <w:szCs w:val="32"/>
          <w:highlight w:val="none"/>
        </w:rPr>
        <w:t>万元，占0.</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1%；</w:t>
      </w:r>
      <w:r>
        <w:rPr>
          <w:rFonts w:hint="eastAsia" w:ascii="仿宋" w:hAnsi="仿宋" w:eastAsia="仿宋" w:cs="仿宋"/>
          <w:b/>
          <w:bCs/>
          <w:sz w:val="32"/>
          <w:szCs w:val="32"/>
          <w:highlight w:val="none"/>
        </w:rPr>
        <w:t>粮油物资储备支出</w:t>
      </w: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1.41</w:t>
      </w:r>
      <w:r>
        <w:rPr>
          <w:rFonts w:hint="eastAsia" w:ascii="仿宋_GB2312" w:hAnsi="仿宋_GB2312" w:eastAsia="仿宋_GB2312" w:cs="仿宋_GB2312"/>
          <w:color w:val="auto"/>
          <w:sz w:val="32"/>
          <w:szCs w:val="32"/>
          <w:highlight w:val="none"/>
        </w:rPr>
        <w:t>万元；占0.</w:t>
      </w:r>
      <w:r>
        <w:rPr>
          <w:rFonts w:hint="eastAsia" w:ascii="仿宋_GB2312" w:hAnsi="仿宋_GB2312" w:eastAsia="仿宋_GB2312" w:cs="仿宋_GB2312"/>
          <w:color w:val="auto"/>
          <w:sz w:val="32"/>
          <w:szCs w:val="32"/>
          <w:highlight w:val="none"/>
          <w:lang w:val="en-US" w:eastAsia="zh-CN"/>
        </w:rPr>
        <w:t>06</w:t>
      </w:r>
      <w:r>
        <w:rPr>
          <w:rFonts w:hint="eastAsia" w:ascii="仿宋_GB2312" w:hAnsi="仿宋_GB2312" w:eastAsia="仿宋_GB2312" w:cs="仿宋_GB2312"/>
          <w:color w:val="auto"/>
          <w:sz w:val="32"/>
          <w:szCs w:val="32"/>
          <w:highlight w:val="none"/>
        </w:rPr>
        <w:t>%。</w:t>
      </w:r>
    </w:p>
    <w:p w14:paraId="137B5FEA">
      <w:pPr>
        <w:pStyle w:val="2"/>
        <w:spacing w:before="93" w:beforeLines="0"/>
        <w:jc w:val="center"/>
        <w:rPr>
          <w:rFonts w:ascii="CESI仿宋-GB2312" w:hAnsi="仿宋" w:eastAsia="CESI仿宋-GB2312" w:cs="CESI仿宋-GB2312"/>
          <w:sz w:val="32"/>
          <w:szCs w:val="32"/>
          <w:highlight w:val="none"/>
        </w:rPr>
      </w:pPr>
      <w:r>
        <w:rPr>
          <w:highlight w:val="none"/>
        </w:rPr>
        <w:drawing>
          <wp:inline distT="0" distB="0" distL="114300" distR="114300">
            <wp:extent cx="4171950" cy="2867025"/>
            <wp:effectExtent l="0" t="0" r="0"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6"/>
                    <a:stretch>
                      <a:fillRect/>
                    </a:stretch>
                  </pic:blipFill>
                  <pic:spPr>
                    <a:xfrm>
                      <a:off x="0" y="0"/>
                      <a:ext cx="4171950" cy="2867025"/>
                    </a:xfrm>
                    <a:prstGeom prst="rect">
                      <a:avLst/>
                    </a:prstGeom>
                    <a:noFill/>
                    <a:ln>
                      <a:noFill/>
                    </a:ln>
                  </pic:spPr>
                </pic:pic>
              </a:graphicData>
            </a:graphic>
          </wp:inline>
        </w:drawing>
      </w:r>
    </w:p>
    <w:p w14:paraId="6BE43ECF">
      <w:pPr>
        <w:pStyle w:val="2"/>
        <w:spacing w:before="93" w:beforeLines="0"/>
        <w:jc w:val="center"/>
        <w:rPr>
          <w:rFonts w:ascii="仿宋" w:hAnsi="仿宋" w:eastAsia="仿宋" w:cs="仿宋"/>
          <w:b/>
          <w:bCs/>
          <w:color w:val="000000"/>
          <w:sz w:val="24"/>
          <w:highlight w:val="none"/>
        </w:rPr>
      </w:pPr>
      <w:r>
        <w:rPr>
          <w:rFonts w:hint="eastAsia" w:ascii="仿宋" w:hAnsi="仿宋" w:eastAsia="仿宋" w:cs="仿宋"/>
          <w:b/>
          <w:bCs/>
          <w:color w:val="000000"/>
          <w:sz w:val="24"/>
          <w:highlight w:val="none"/>
        </w:rPr>
        <w:t>图6</w:t>
      </w:r>
      <w:r>
        <w:rPr>
          <w:rFonts w:hint="eastAsia" w:ascii="仿宋" w:hAnsi="仿宋" w:eastAsia="仿宋" w:cs="仿宋"/>
          <w:b/>
          <w:bCs/>
          <w:color w:val="000000"/>
          <w:sz w:val="24"/>
          <w:highlight w:val="none"/>
          <w:lang w:eastAsia="zh-CN"/>
        </w:rPr>
        <w:t>：</w:t>
      </w:r>
      <w:r>
        <w:rPr>
          <w:rFonts w:hint="eastAsia" w:ascii="仿宋" w:hAnsi="仿宋" w:eastAsia="仿宋" w:cs="仿宋"/>
          <w:b/>
          <w:bCs/>
          <w:color w:val="000000"/>
          <w:sz w:val="24"/>
          <w:highlight w:val="none"/>
        </w:rPr>
        <w:t>一般公共预算财政拨款支出决算结构</w:t>
      </w:r>
    </w:p>
    <w:p w14:paraId="1AE49AEE">
      <w:pPr>
        <w:suppressAutoHyphens/>
        <w:bidi w:val="0"/>
        <w:spacing w:line="600" w:lineRule="exact"/>
        <w:ind w:firstLine="643" w:firstLineChars="200"/>
        <w:outlineLvl w:val="2"/>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（三）一般公共预算财政拨款支出决算具体情况</w:t>
      </w:r>
    </w:p>
    <w:p w14:paraId="4C5CC7BC">
      <w:pPr>
        <w:suppressAutoHyphens/>
        <w:bidi w:val="0"/>
        <w:spacing w:line="600" w:lineRule="exact"/>
        <w:ind w:firstLine="643" w:firstLineChars="200"/>
        <w:outlineLvl w:val="9"/>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lang w:eastAsia="zh-CN"/>
        </w:rPr>
        <w:t>2024年一般公共预算支出决算数为19299.99万元，完成预算100%。其中：</w:t>
      </w:r>
    </w:p>
    <w:p w14:paraId="54138D01">
      <w:pPr>
        <w:spacing w:line="544" w:lineRule="exact"/>
        <w:ind w:firstLine="643" w:firstLineChars="200"/>
        <w:rPr>
          <w:rStyle w:val="29"/>
          <w:rFonts w:hint="eastAsia" w:ascii="仿宋_GB2312" w:hAnsi="仿宋_GB2312" w:eastAsia="仿宋_GB2312" w:cs="仿宋_GB2312"/>
          <w:bCs/>
          <w:color w:val="auto"/>
          <w:sz w:val="32"/>
          <w:szCs w:val="32"/>
          <w:highlight w:val="none"/>
        </w:rPr>
      </w:pPr>
      <w:r>
        <w:rPr>
          <w:rStyle w:val="29"/>
          <w:rFonts w:hint="eastAsia" w:ascii="仿宋_GB2312" w:hAnsi="仿宋_GB2312" w:eastAsia="仿宋_GB2312" w:cs="仿宋_GB2312"/>
          <w:bCs/>
          <w:color w:val="auto"/>
          <w:sz w:val="32"/>
          <w:szCs w:val="32"/>
          <w:highlight w:val="none"/>
        </w:rPr>
        <w:t>1.一般公共服务支出（类）其他一般公共服务支出（款）其他一般公共服务支出（项）:</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3.50</w:t>
      </w:r>
      <w:r>
        <w:rPr>
          <w:rStyle w:val="29"/>
          <w:rFonts w:hint="eastAsia" w:ascii="仿宋_GB2312" w:hAnsi="仿宋_GB2312" w:eastAsia="仿宋_GB2312" w:cs="仿宋_GB2312"/>
          <w:b w:val="0"/>
          <w:bCs/>
          <w:color w:val="auto"/>
          <w:sz w:val="32"/>
          <w:szCs w:val="32"/>
          <w:highlight w:val="none"/>
        </w:rPr>
        <w:t>万元，完成预算100%。</w:t>
      </w:r>
    </w:p>
    <w:p w14:paraId="730FF3B6">
      <w:pPr>
        <w:spacing w:line="544" w:lineRule="exact"/>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ascii="仿宋_GB2312" w:hAnsi="仿宋_GB2312" w:eastAsia="仿宋_GB2312" w:cs="仿宋_GB2312"/>
          <w:bCs/>
          <w:color w:val="auto"/>
          <w:sz w:val="32"/>
          <w:szCs w:val="32"/>
          <w:highlight w:val="none"/>
          <w:lang w:val="en-US" w:eastAsia="zh-CN"/>
        </w:rPr>
        <w:t>2.</w:t>
      </w:r>
      <w:r>
        <w:rPr>
          <w:rStyle w:val="29"/>
          <w:rFonts w:hint="eastAsia" w:ascii="仿宋_GB2312" w:hAnsi="仿宋_GB2312" w:eastAsia="仿宋_GB2312" w:cs="仿宋_GB2312"/>
          <w:bCs/>
          <w:color w:val="auto"/>
          <w:sz w:val="32"/>
          <w:szCs w:val="32"/>
          <w:highlight w:val="none"/>
        </w:rPr>
        <w:t>社会保障和就业（类）行政事业单位养老支出（款）机关事业单位基本养老保险缴费支出（项）:</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235.23</w:t>
      </w:r>
      <w:r>
        <w:rPr>
          <w:rStyle w:val="29"/>
          <w:rFonts w:hint="eastAsia" w:ascii="仿宋_GB2312" w:hAnsi="仿宋_GB2312" w:eastAsia="仿宋_GB2312" w:cs="仿宋_GB2312"/>
          <w:b w:val="0"/>
          <w:bCs/>
          <w:color w:val="auto"/>
          <w:sz w:val="32"/>
          <w:szCs w:val="32"/>
          <w:highlight w:val="none"/>
        </w:rPr>
        <w:t>万元，完成预算100%。</w:t>
      </w:r>
    </w:p>
    <w:p w14:paraId="2B57D061">
      <w:pPr>
        <w:spacing w:line="544" w:lineRule="exact"/>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ascii="仿宋_GB2312" w:hAnsi="仿宋_GB2312" w:eastAsia="仿宋_GB2312" w:cs="仿宋_GB2312"/>
          <w:bCs/>
          <w:color w:val="auto"/>
          <w:sz w:val="32"/>
          <w:szCs w:val="32"/>
          <w:highlight w:val="none"/>
          <w:lang w:val="en-US" w:eastAsia="zh-CN"/>
        </w:rPr>
        <w:t>3</w:t>
      </w:r>
      <w:r>
        <w:rPr>
          <w:rStyle w:val="29"/>
          <w:rFonts w:hint="eastAsia" w:ascii="仿宋_GB2312" w:hAnsi="仿宋_GB2312" w:eastAsia="仿宋_GB2312" w:cs="仿宋_GB2312"/>
          <w:bCs/>
          <w:color w:val="auto"/>
          <w:sz w:val="32"/>
          <w:szCs w:val="32"/>
          <w:highlight w:val="none"/>
        </w:rPr>
        <w:t>.社会保障和就业（类）行政事业单位养老支出（款）机关事业单位职业年金缴费支出（项）:</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44.52</w:t>
      </w:r>
      <w:r>
        <w:rPr>
          <w:rStyle w:val="29"/>
          <w:rFonts w:hint="eastAsia" w:ascii="仿宋_GB2312" w:hAnsi="仿宋_GB2312" w:eastAsia="仿宋_GB2312" w:cs="仿宋_GB2312"/>
          <w:b w:val="0"/>
          <w:bCs/>
          <w:color w:val="auto"/>
          <w:sz w:val="32"/>
          <w:szCs w:val="32"/>
          <w:highlight w:val="none"/>
        </w:rPr>
        <w:t>万元，完成预算100%。</w:t>
      </w:r>
    </w:p>
    <w:p w14:paraId="5D31FFD8">
      <w:pPr>
        <w:spacing w:line="544" w:lineRule="exact"/>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ascii="仿宋_GB2312" w:hAnsi="仿宋_GB2312" w:eastAsia="仿宋_GB2312" w:cs="仿宋_GB2312"/>
          <w:bCs/>
          <w:color w:val="auto"/>
          <w:sz w:val="32"/>
          <w:szCs w:val="32"/>
          <w:highlight w:val="none"/>
          <w:lang w:val="en-US" w:eastAsia="zh-CN"/>
        </w:rPr>
        <w:t>4</w:t>
      </w:r>
      <w:r>
        <w:rPr>
          <w:rStyle w:val="29"/>
          <w:rFonts w:hint="eastAsia" w:ascii="仿宋_GB2312" w:hAnsi="仿宋_GB2312" w:eastAsia="仿宋_GB2312" w:cs="仿宋_GB2312"/>
          <w:bCs/>
          <w:color w:val="auto"/>
          <w:sz w:val="32"/>
          <w:szCs w:val="32"/>
          <w:highlight w:val="none"/>
        </w:rPr>
        <w:t>.社会保障和就业（类）抚恤（款）死亡抚恤（项）:</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42.53</w:t>
      </w:r>
      <w:r>
        <w:rPr>
          <w:rStyle w:val="29"/>
          <w:rFonts w:hint="eastAsia" w:ascii="仿宋_GB2312" w:hAnsi="仿宋_GB2312" w:eastAsia="仿宋_GB2312" w:cs="仿宋_GB2312"/>
          <w:b w:val="0"/>
          <w:bCs/>
          <w:color w:val="auto"/>
          <w:sz w:val="32"/>
          <w:szCs w:val="32"/>
          <w:highlight w:val="none"/>
        </w:rPr>
        <w:t>万元，完成预算100%。</w:t>
      </w:r>
    </w:p>
    <w:p w14:paraId="114316DA">
      <w:pPr>
        <w:spacing w:line="544" w:lineRule="exact"/>
        <w:ind w:firstLine="643" w:firstLineChars="200"/>
        <w:rPr>
          <w:rFonts w:ascii="仿宋" w:hAnsi="仿宋" w:eastAsia="仿宋" w:cs="仿宋"/>
          <w:sz w:val="32"/>
          <w:szCs w:val="32"/>
          <w:highlight w:val="none"/>
        </w:rPr>
      </w:pPr>
      <w:r>
        <w:rPr>
          <w:rStyle w:val="29"/>
          <w:rFonts w:hint="eastAsia" w:ascii="仿宋_GB2312" w:hAnsi="仿宋_GB2312" w:eastAsia="仿宋_GB2312" w:cs="仿宋_GB2312"/>
          <w:bCs/>
          <w:color w:val="auto"/>
          <w:sz w:val="32"/>
          <w:szCs w:val="32"/>
          <w:highlight w:val="none"/>
          <w:lang w:val="en-US" w:eastAsia="zh-CN"/>
        </w:rPr>
        <w:t>5</w:t>
      </w:r>
      <w:r>
        <w:rPr>
          <w:rStyle w:val="29"/>
          <w:rFonts w:hint="eastAsia" w:ascii="仿宋_GB2312" w:hAnsi="仿宋_GB2312" w:eastAsia="仿宋_GB2312" w:cs="仿宋_GB2312"/>
          <w:bCs/>
          <w:color w:val="auto"/>
          <w:sz w:val="32"/>
          <w:szCs w:val="32"/>
          <w:highlight w:val="none"/>
        </w:rPr>
        <w:t>.社会保障和就业（类）其他社会保障和就业支出（款）其他社会保障和就业支出（项）:</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5.02</w:t>
      </w:r>
      <w:r>
        <w:rPr>
          <w:rStyle w:val="29"/>
          <w:rFonts w:hint="eastAsia" w:ascii="仿宋_GB2312" w:hAnsi="仿宋_GB2312" w:eastAsia="仿宋_GB2312" w:cs="仿宋_GB2312"/>
          <w:b w:val="0"/>
          <w:bCs/>
          <w:color w:val="auto"/>
          <w:sz w:val="32"/>
          <w:szCs w:val="32"/>
          <w:highlight w:val="none"/>
        </w:rPr>
        <w:t>万元，完成预算100%。</w:t>
      </w:r>
    </w:p>
    <w:p w14:paraId="021D35D7">
      <w:pPr>
        <w:spacing w:line="544" w:lineRule="exact"/>
        <w:ind w:firstLine="643" w:firstLineChars="200"/>
        <w:rPr>
          <w:rStyle w:val="29"/>
          <w:rFonts w:hint="eastAsia" w:ascii="仿宋_GB2312" w:hAnsi="仿宋_GB2312" w:eastAsia="仿宋_GB2312" w:cs="仿宋_GB2312"/>
          <w:bCs/>
          <w:color w:val="auto"/>
          <w:sz w:val="32"/>
          <w:szCs w:val="32"/>
          <w:highlight w:val="none"/>
          <w:lang w:val="en-US" w:eastAsia="zh-CN"/>
        </w:rPr>
      </w:pPr>
      <w:r>
        <w:rPr>
          <w:rStyle w:val="29"/>
          <w:rFonts w:hint="eastAsia" w:ascii="仿宋_GB2312" w:hAnsi="仿宋_GB2312" w:eastAsia="仿宋_GB2312" w:cs="仿宋_GB2312"/>
          <w:bCs/>
          <w:color w:val="auto"/>
          <w:sz w:val="32"/>
          <w:szCs w:val="32"/>
          <w:highlight w:val="none"/>
          <w:lang w:val="en-US" w:eastAsia="zh-CN"/>
        </w:rPr>
        <w:t>6</w:t>
      </w:r>
      <w:r>
        <w:rPr>
          <w:rStyle w:val="29"/>
          <w:rFonts w:hint="eastAsia" w:ascii="仿宋_GB2312" w:hAnsi="仿宋_GB2312" w:eastAsia="仿宋_GB2312" w:cs="仿宋_GB2312"/>
          <w:bCs/>
          <w:color w:val="auto"/>
          <w:sz w:val="32"/>
          <w:szCs w:val="32"/>
          <w:highlight w:val="none"/>
        </w:rPr>
        <w:t>.卫生健康（类）行政事业单位医疗（款）行政单位医疗（项）:</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75.95</w:t>
      </w:r>
      <w:r>
        <w:rPr>
          <w:rStyle w:val="29"/>
          <w:rFonts w:hint="eastAsia" w:ascii="仿宋_GB2312" w:hAnsi="仿宋_GB2312" w:eastAsia="仿宋_GB2312" w:cs="仿宋_GB2312"/>
          <w:b w:val="0"/>
          <w:bCs/>
          <w:color w:val="auto"/>
          <w:sz w:val="32"/>
          <w:szCs w:val="32"/>
          <w:highlight w:val="none"/>
        </w:rPr>
        <w:t>万元，完成预算100%。</w:t>
      </w:r>
    </w:p>
    <w:p w14:paraId="76032461">
      <w:pPr>
        <w:spacing w:line="544" w:lineRule="exact"/>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ascii="仿宋_GB2312" w:hAnsi="仿宋_GB2312" w:eastAsia="仿宋_GB2312" w:cs="仿宋_GB2312"/>
          <w:bCs/>
          <w:color w:val="auto"/>
          <w:sz w:val="32"/>
          <w:szCs w:val="32"/>
          <w:highlight w:val="none"/>
          <w:lang w:val="en-US" w:eastAsia="zh-CN"/>
        </w:rPr>
        <w:t>7</w:t>
      </w:r>
      <w:r>
        <w:rPr>
          <w:rStyle w:val="29"/>
          <w:rFonts w:hint="eastAsia" w:ascii="仿宋_GB2312" w:hAnsi="仿宋_GB2312" w:eastAsia="仿宋_GB2312" w:cs="仿宋_GB2312"/>
          <w:bCs/>
          <w:color w:val="auto"/>
          <w:sz w:val="32"/>
          <w:szCs w:val="32"/>
          <w:highlight w:val="none"/>
        </w:rPr>
        <w:t>.节能环保（类）其他节能环保支出（款）其他节能环保支出（项）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90.00</w:t>
      </w:r>
      <w:r>
        <w:rPr>
          <w:rStyle w:val="29"/>
          <w:rFonts w:hint="eastAsia" w:ascii="仿宋_GB2312" w:hAnsi="仿宋_GB2312" w:eastAsia="仿宋_GB2312" w:cs="仿宋_GB2312"/>
          <w:b w:val="0"/>
          <w:bCs/>
          <w:color w:val="auto"/>
          <w:sz w:val="32"/>
          <w:szCs w:val="32"/>
          <w:highlight w:val="none"/>
        </w:rPr>
        <w:t>万，完成预算100%。</w:t>
      </w:r>
    </w:p>
    <w:p w14:paraId="41CEF2CC">
      <w:pPr>
        <w:pStyle w:val="2"/>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hAnsi="仿宋_GB2312" w:cs="仿宋_GB2312"/>
          <w:bCs/>
          <w:color w:val="auto"/>
          <w:sz w:val="32"/>
          <w:szCs w:val="32"/>
          <w:highlight w:val="none"/>
          <w:lang w:val="en-US" w:eastAsia="zh-CN"/>
        </w:rPr>
        <w:t>8</w:t>
      </w:r>
      <w:r>
        <w:rPr>
          <w:rStyle w:val="29"/>
          <w:rFonts w:hint="eastAsia" w:ascii="仿宋_GB2312" w:hAnsi="仿宋_GB2312" w:eastAsia="仿宋_GB2312" w:cs="仿宋_GB2312"/>
          <w:bCs/>
          <w:color w:val="auto"/>
          <w:sz w:val="32"/>
          <w:szCs w:val="32"/>
          <w:highlight w:val="none"/>
        </w:rPr>
        <w:t>.城乡社区支出（类）城乡社区管理事务（款）工程建设管理（项）:</w:t>
      </w:r>
      <w:r>
        <w:rPr>
          <w:rStyle w:val="29"/>
          <w:rFonts w:hint="eastAsia" w:ascii="仿宋_GB2312" w:hAnsi="仿宋_GB2312" w:eastAsia="仿宋_GB2312" w:cs="仿宋_GB2312"/>
          <w:b w:val="0"/>
          <w:bCs/>
          <w:color w:val="auto"/>
          <w:sz w:val="32"/>
          <w:szCs w:val="32"/>
          <w:highlight w:val="none"/>
        </w:rPr>
        <w:t>支出决算为</w:t>
      </w:r>
      <w:r>
        <w:rPr>
          <w:rStyle w:val="29"/>
          <w:rFonts w:hint="eastAsia" w:hAnsi="仿宋_GB2312" w:cs="仿宋_GB2312"/>
          <w:b w:val="0"/>
          <w:bCs/>
          <w:color w:val="auto"/>
          <w:sz w:val="32"/>
          <w:szCs w:val="32"/>
          <w:highlight w:val="none"/>
          <w:lang w:val="en-US" w:eastAsia="zh-CN"/>
        </w:rPr>
        <w:t>21.16</w:t>
      </w:r>
      <w:r>
        <w:rPr>
          <w:rStyle w:val="29"/>
          <w:rFonts w:hint="eastAsia" w:ascii="仿宋_GB2312" w:hAnsi="仿宋_GB2312" w:eastAsia="仿宋_GB2312" w:cs="仿宋_GB2312"/>
          <w:b w:val="0"/>
          <w:bCs/>
          <w:color w:val="auto"/>
          <w:sz w:val="32"/>
          <w:szCs w:val="32"/>
          <w:highlight w:val="none"/>
        </w:rPr>
        <w:t>万，完成预算100%。</w:t>
      </w:r>
    </w:p>
    <w:p w14:paraId="2A4972CE">
      <w:pPr>
        <w:pStyle w:val="2"/>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hAnsi="仿宋_GB2312" w:cs="仿宋_GB2312"/>
          <w:bCs/>
          <w:color w:val="auto"/>
          <w:sz w:val="32"/>
          <w:szCs w:val="32"/>
          <w:highlight w:val="none"/>
          <w:lang w:val="en-US" w:eastAsia="zh-CN"/>
        </w:rPr>
        <w:t>9</w:t>
      </w:r>
      <w:r>
        <w:rPr>
          <w:rStyle w:val="29"/>
          <w:rFonts w:hint="eastAsia" w:ascii="仿宋_GB2312" w:hAnsi="仿宋_GB2312" w:eastAsia="仿宋_GB2312" w:cs="仿宋_GB2312"/>
          <w:bCs/>
          <w:color w:val="auto"/>
          <w:sz w:val="32"/>
          <w:szCs w:val="32"/>
          <w:highlight w:val="none"/>
        </w:rPr>
        <w:t>.城乡社区支出（类）其他城乡社区支出（款）其他城乡社区支出（项）:</w:t>
      </w:r>
      <w:r>
        <w:rPr>
          <w:rStyle w:val="29"/>
          <w:rFonts w:hint="eastAsia" w:ascii="仿宋_GB2312" w:hAnsi="仿宋_GB2312" w:eastAsia="仿宋_GB2312" w:cs="仿宋_GB2312"/>
          <w:b w:val="0"/>
          <w:bCs/>
          <w:color w:val="auto"/>
          <w:sz w:val="32"/>
          <w:szCs w:val="32"/>
          <w:highlight w:val="none"/>
        </w:rPr>
        <w:t>支出决算为</w:t>
      </w:r>
      <w:r>
        <w:rPr>
          <w:rStyle w:val="29"/>
          <w:rFonts w:hint="eastAsia" w:hAnsi="仿宋_GB2312" w:cs="仿宋_GB2312"/>
          <w:b w:val="0"/>
          <w:bCs/>
          <w:color w:val="auto"/>
          <w:sz w:val="32"/>
          <w:szCs w:val="32"/>
          <w:highlight w:val="none"/>
          <w:lang w:val="en-US" w:eastAsia="zh-CN"/>
        </w:rPr>
        <w:t>39.94</w:t>
      </w:r>
      <w:r>
        <w:rPr>
          <w:rStyle w:val="29"/>
          <w:rFonts w:hint="eastAsia" w:ascii="仿宋_GB2312" w:hAnsi="仿宋_GB2312" w:eastAsia="仿宋_GB2312" w:cs="仿宋_GB2312"/>
          <w:b w:val="0"/>
          <w:bCs/>
          <w:color w:val="auto"/>
          <w:sz w:val="32"/>
          <w:szCs w:val="32"/>
          <w:highlight w:val="none"/>
        </w:rPr>
        <w:t>万，完成预算100%。</w:t>
      </w:r>
    </w:p>
    <w:p w14:paraId="6C8402A0">
      <w:pPr>
        <w:spacing w:line="544" w:lineRule="exact"/>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ascii="仿宋_GB2312" w:hAnsi="仿宋_GB2312" w:eastAsia="仿宋_GB2312" w:cs="仿宋_GB2312"/>
          <w:bCs/>
          <w:color w:val="auto"/>
          <w:sz w:val="32"/>
          <w:szCs w:val="32"/>
          <w:highlight w:val="none"/>
          <w:lang w:val="en-US" w:eastAsia="zh-CN"/>
        </w:rPr>
        <w:t>10</w:t>
      </w:r>
      <w:r>
        <w:rPr>
          <w:rStyle w:val="29"/>
          <w:rFonts w:hint="eastAsia" w:ascii="仿宋_GB2312" w:hAnsi="仿宋_GB2312" w:eastAsia="仿宋_GB2312" w:cs="仿宋_GB2312"/>
          <w:bCs/>
          <w:color w:val="auto"/>
          <w:sz w:val="32"/>
          <w:szCs w:val="32"/>
          <w:highlight w:val="none"/>
        </w:rPr>
        <w:t>.农林水支出（类）农业农村（款）行政运行（项）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支出决算为1,</w:t>
      </w:r>
      <w:r>
        <w:rPr>
          <w:rStyle w:val="29"/>
          <w:rFonts w:hint="eastAsia" w:ascii="仿宋_GB2312" w:hAnsi="仿宋_GB2312" w:eastAsia="仿宋_GB2312" w:cs="仿宋_GB2312"/>
          <w:b w:val="0"/>
          <w:bCs/>
          <w:color w:val="auto"/>
          <w:sz w:val="32"/>
          <w:szCs w:val="32"/>
          <w:highlight w:val="none"/>
          <w:lang w:val="en-US" w:eastAsia="zh-CN"/>
        </w:rPr>
        <w:t>158.62</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5CD9C016">
      <w:pPr>
        <w:spacing w:line="544" w:lineRule="exact"/>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ascii="仿宋_GB2312" w:hAnsi="仿宋_GB2312" w:eastAsia="仿宋_GB2312" w:cs="仿宋_GB2312"/>
          <w:bCs/>
          <w:color w:val="auto"/>
          <w:sz w:val="32"/>
          <w:szCs w:val="32"/>
          <w:highlight w:val="none"/>
          <w:lang w:val="en-US" w:eastAsia="zh-CN"/>
        </w:rPr>
        <w:t>11</w:t>
      </w:r>
      <w:r>
        <w:rPr>
          <w:rStyle w:val="29"/>
          <w:rFonts w:hint="eastAsia" w:ascii="仿宋_GB2312" w:hAnsi="仿宋_GB2312" w:eastAsia="仿宋_GB2312" w:cs="仿宋_GB2312"/>
          <w:bCs/>
          <w:color w:val="auto"/>
          <w:sz w:val="32"/>
          <w:szCs w:val="32"/>
          <w:highlight w:val="none"/>
        </w:rPr>
        <w:t>.农林水支出（类）农业农村（款）一般行政管理事务（项）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308.59</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0F6D3E93">
      <w:pPr>
        <w:spacing w:line="544" w:lineRule="exact"/>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ascii="仿宋_GB2312" w:hAnsi="仿宋_GB2312" w:eastAsia="仿宋_GB2312" w:cs="仿宋_GB2312"/>
          <w:bCs/>
          <w:color w:val="auto"/>
          <w:sz w:val="32"/>
          <w:szCs w:val="32"/>
          <w:highlight w:val="none"/>
          <w:lang w:val="en-US" w:eastAsia="zh-CN"/>
        </w:rPr>
        <w:t>12</w:t>
      </w:r>
      <w:r>
        <w:rPr>
          <w:rStyle w:val="29"/>
          <w:rFonts w:hint="eastAsia" w:ascii="仿宋_GB2312" w:hAnsi="仿宋_GB2312" w:eastAsia="仿宋_GB2312" w:cs="仿宋_GB2312"/>
          <w:bCs/>
          <w:color w:val="auto"/>
          <w:sz w:val="32"/>
          <w:szCs w:val="32"/>
          <w:highlight w:val="none"/>
        </w:rPr>
        <w:t>.农林水支出（类）农业农村（款）事业运行（项）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875.91</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61E56A7C">
      <w:pPr>
        <w:spacing w:line="544" w:lineRule="exact"/>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ascii="仿宋_GB2312" w:hAnsi="仿宋_GB2312" w:eastAsia="仿宋_GB2312" w:cs="仿宋_GB2312"/>
          <w:bCs/>
          <w:color w:val="auto"/>
          <w:sz w:val="32"/>
          <w:szCs w:val="32"/>
          <w:highlight w:val="none"/>
        </w:rPr>
        <w:t>1</w:t>
      </w:r>
      <w:r>
        <w:rPr>
          <w:rStyle w:val="29"/>
          <w:rFonts w:hint="eastAsia" w:ascii="仿宋_GB2312" w:hAnsi="仿宋_GB2312" w:eastAsia="仿宋_GB2312" w:cs="仿宋_GB2312"/>
          <w:bCs/>
          <w:color w:val="auto"/>
          <w:sz w:val="32"/>
          <w:szCs w:val="32"/>
          <w:highlight w:val="none"/>
          <w:lang w:val="en-US" w:eastAsia="zh-CN"/>
        </w:rPr>
        <w:t>3</w:t>
      </w:r>
      <w:r>
        <w:rPr>
          <w:rStyle w:val="29"/>
          <w:rFonts w:hint="eastAsia" w:ascii="仿宋_GB2312" w:hAnsi="仿宋_GB2312" w:eastAsia="仿宋_GB2312" w:cs="仿宋_GB2312"/>
          <w:bCs/>
          <w:color w:val="auto"/>
          <w:sz w:val="32"/>
          <w:szCs w:val="32"/>
          <w:highlight w:val="none"/>
        </w:rPr>
        <w:t>.农林水支出（类）农业农村（款）科技转化与推广服务（项）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47.02</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6E2F4E2E">
      <w:pPr>
        <w:spacing w:line="544" w:lineRule="exact"/>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ascii="仿宋_GB2312" w:hAnsi="仿宋_GB2312" w:eastAsia="仿宋_GB2312" w:cs="仿宋_GB2312"/>
          <w:bCs/>
          <w:color w:val="auto"/>
          <w:sz w:val="32"/>
          <w:szCs w:val="32"/>
          <w:highlight w:val="none"/>
        </w:rPr>
        <w:t>1</w:t>
      </w:r>
      <w:r>
        <w:rPr>
          <w:rStyle w:val="29"/>
          <w:rFonts w:hint="eastAsia" w:ascii="仿宋_GB2312" w:hAnsi="仿宋_GB2312" w:eastAsia="仿宋_GB2312" w:cs="仿宋_GB2312"/>
          <w:bCs/>
          <w:color w:val="auto"/>
          <w:sz w:val="32"/>
          <w:szCs w:val="32"/>
          <w:highlight w:val="none"/>
          <w:lang w:val="en-US" w:eastAsia="zh-CN"/>
        </w:rPr>
        <w:t>4</w:t>
      </w:r>
      <w:r>
        <w:rPr>
          <w:rStyle w:val="29"/>
          <w:rFonts w:hint="eastAsia" w:ascii="仿宋_GB2312" w:hAnsi="仿宋_GB2312" w:eastAsia="仿宋_GB2312" w:cs="仿宋_GB2312"/>
          <w:bCs/>
          <w:color w:val="auto"/>
          <w:sz w:val="32"/>
          <w:szCs w:val="32"/>
          <w:highlight w:val="none"/>
        </w:rPr>
        <w:t>.农林水支出（类）农业农村（款）病虫害控制（项）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79.32</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441F98E3">
      <w:pPr>
        <w:spacing w:line="544" w:lineRule="exact"/>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ascii="仿宋_GB2312" w:hAnsi="仿宋_GB2312" w:eastAsia="仿宋_GB2312" w:cs="仿宋_GB2312"/>
          <w:bCs/>
          <w:color w:val="auto"/>
          <w:sz w:val="32"/>
          <w:szCs w:val="32"/>
          <w:highlight w:val="none"/>
        </w:rPr>
        <w:t>1</w:t>
      </w:r>
      <w:r>
        <w:rPr>
          <w:rStyle w:val="29"/>
          <w:rFonts w:hint="eastAsia" w:ascii="仿宋_GB2312" w:hAnsi="仿宋_GB2312" w:eastAsia="仿宋_GB2312" w:cs="仿宋_GB2312"/>
          <w:bCs/>
          <w:color w:val="auto"/>
          <w:sz w:val="32"/>
          <w:szCs w:val="32"/>
          <w:highlight w:val="none"/>
          <w:lang w:val="en-US" w:eastAsia="zh-CN"/>
        </w:rPr>
        <w:t>5</w:t>
      </w:r>
      <w:r>
        <w:rPr>
          <w:rStyle w:val="29"/>
          <w:rFonts w:hint="eastAsia" w:ascii="仿宋_GB2312" w:hAnsi="仿宋_GB2312" w:eastAsia="仿宋_GB2312" w:cs="仿宋_GB2312"/>
          <w:bCs/>
          <w:color w:val="auto"/>
          <w:sz w:val="32"/>
          <w:szCs w:val="32"/>
          <w:highlight w:val="none"/>
        </w:rPr>
        <w:t>.农林水支出（类）农业农村（款）农产品质量安全（项）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1.44</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78DAA887">
      <w:pPr>
        <w:spacing w:line="544" w:lineRule="exact"/>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ascii="仿宋_GB2312" w:hAnsi="仿宋_GB2312" w:eastAsia="仿宋_GB2312" w:cs="仿宋_GB2312"/>
          <w:bCs/>
          <w:color w:val="auto"/>
          <w:sz w:val="32"/>
          <w:szCs w:val="32"/>
          <w:highlight w:val="none"/>
        </w:rPr>
        <w:t>1</w:t>
      </w:r>
      <w:r>
        <w:rPr>
          <w:rStyle w:val="29"/>
          <w:rFonts w:hint="eastAsia" w:ascii="仿宋_GB2312" w:hAnsi="仿宋_GB2312" w:eastAsia="仿宋_GB2312" w:cs="仿宋_GB2312"/>
          <w:bCs/>
          <w:color w:val="auto"/>
          <w:sz w:val="32"/>
          <w:szCs w:val="32"/>
          <w:highlight w:val="none"/>
          <w:lang w:val="en-US" w:eastAsia="zh-CN"/>
        </w:rPr>
        <w:t>6</w:t>
      </w:r>
      <w:r>
        <w:rPr>
          <w:rStyle w:val="29"/>
          <w:rFonts w:hint="eastAsia" w:ascii="仿宋_GB2312" w:hAnsi="仿宋_GB2312" w:eastAsia="仿宋_GB2312" w:cs="仿宋_GB2312"/>
          <w:bCs/>
          <w:color w:val="auto"/>
          <w:sz w:val="32"/>
          <w:szCs w:val="32"/>
          <w:highlight w:val="none"/>
        </w:rPr>
        <w:t>.农林水支出（类）农业农村（款）防灾减灾（项）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45.16</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0F2CB021">
      <w:pPr>
        <w:spacing w:line="544" w:lineRule="exact"/>
        <w:ind w:firstLine="643" w:firstLineChars="200"/>
        <w:rPr>
          <w:rStyle w:val="29"/>
          <w:rFonts w:hint="eastAsia" w:ascii="仿宋_GB2312" w:hAnsi="仿宋_GB2312" w:eastAsia="仿宋_GB2312" w:cs="仿宋_GB2312"/>
          <w:bCs/>
          <w:color w:val="auto"/>
          <w:sz w:val="32"/>
          <w:szCs w:val="32"/>
          <w:highlight w:val="none"/>
        </w:rPr>
      </w:pPr>
      <w:r>
        <w:rPr>
          <w:rStyle w:val="29"/>
          <w:rFonts w:hint="eastAsia" w:ascii="仿宋_GB2312" w:hAnsi="仿宋_GB2312" w:eastAsia="仿宋_GB2312" w:cs="仿宋_GB2312"/>
          <w:bCs/>
          <w:color w:val="auto"/>
          <w:sz w:val="32"/>
          <w:szCs w:val="32"/>
          <w:highlight w:val="none"/>
        </w:rPr>
        <w:t>1</w:t>
      </w:r>
      <w:r>
        <w:rPr>
          <w:rStyle w:val="29"/>
          <w:rFonts w:hint="eastAsia" w:ascii="仿宋_GB2312" w:hAnsi="仿宋_GB2312" w:eastAsia="仿宋_GB2312" w:cs="仿宋_GB2312"/>
          <w:bCs/>
          <w:color w:val="auto"/>
          <w:sz w:val="32"/>
          <w:szCs w:val="32"/>
          <w:highlight w:val="none"/>
          <w:lang w:val="en-US" w:eastAsia="zh-CN"/>
        </w:rPr>
        <w:t>8</w:t>
      </w:r>
      <w:r>
        <w:rPr>
          <w:rStyle w:val="29"/>
          <w:rFonts w:hint="eastAsia" w:ascii="仿宋_GB2312" w:hAnsi="仿宋_GB2312" w:eastAsia="仿宋_GB2312" w:cs="仿宋_GB2312"/>
          <w:bCs/>
          <w:color w:val="auto"/>
          <w:sz w:val="32"/>
          <w:szCs w:val="32"/>
          <w:highlight w:val="none"/>
        </w:rPr>
        <w:t>.农林水支出（类）农业农村（款）稳定农民收入补贴（项）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1</w:t>
      </w:r>
      <w:r>
        <w:rPr>
          <w:rStyle w:val="29"/>
          <w:rFonts w:hint="eastAsia" w:ascii="仿宋_GB2312" w:hAnsi="仿宋_GB2312" w:eastAsia="仿宋_GB2312" w:cs="仿宋_GB2312"/>
          <w:b w:val="0"/>
          <w:bCs/>
          <w:color w:val="auto"/>
          <w:sz w:val="32"/>
          <w:szCs w:val="32"/>
          <w:highlight w:val="none"/>
        </w:rPr>
        <w:t>,51</w:t>
      </w:r>
      <w:r>
        <w:rPr>
          <w:rStyle w:val="29"/>
          <w:rFonts w:hint="eastAsia" w:ascii="仿宋_GB2312" w:hAnsi="仿宋_GB2312" w:eastAsia="仿宋_GB2312" w:cs="仿宋_GB2312"/>
          <w:b w:val="0"/>
          <w:bCs/>
          <w:color w:val="auto"/>
          <w:sz w:val="32"/>
          <w:szCs w:val="32"/>
          <w:highlight w:val="none"/>
          <w:lang w:val="en-US" w:eastAsia="zh-CN"/>
        </w:rPr>
        <w:t>3.98</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6C1639AB">
      <w:pPr>
        <w:spacing w:line="544" w:lineRule="exact"/>
        <w:ind w:firstLine="643" w:firstLineChars="200"/>
        <w:rPr>
          <w:rFonts w:ascii="仿宋" w:hAnsi="仿宋" w:eastAsia="仿宋" w:cs="仿宋"/>
          <w:sz w:val="32"/>
          <w:szCs w:val="32"/>
          <w:highlight w:val="none"/>
        </w:rPr>
      </w:pPr>
      <w:r>
        <w:rPr>
          <w:rStyle w:val="29"/>
          <w:rFonts w:hint="eastAsia" w:ascii="仿宋_GB2312" w:hAnsi="仿宋_GB2312" w:eastAsia="仿宋_GB2312" w:cs="仿宋_GB2312"/>
          <w:bCs/>
          <w:color w:val="auto"/>
          <w:sz w:val="32"/>
          <w:szCs w:val="32"/>
          <w:highlight w:val="none"/>
        </w:rPr>
        <w:t>1</w:t>
      </w:r>
      <w:r>
        <w:rPr>
          <w:rStyle w:val="29"/>
          <w:rFonts w:hint="eastAsia" w:ascii="仿宋_GB2312" w:hAnsi="仿宋_GB2312" w:eastAsia="仿宋_GB2312" w:cs="仿宋_GB2312"/>
          <w:bCs/>
          <w:color w:val="auto"/>
          <w:sz w:val="32"/>
          <w:szCs w:val="32"/>
          <w:highlight w:val="none"/>
          <w:lang w:val="en-US" w:eastAsia="zh-CN"/>
        </w:rPr>
        <w:t>9</w:t>
      </w:r>
      <w:r>
        <w:rPr>
          <w:rStyle w:val="29"/>
          <w:rFonts w:hint="eastAsia" w:ascii="仿宋_GB2312" w:hAnsi="仿宋_GB2312" w:eastAsia="仿宋_GB2312" w:cs="仿宋_GB2312"/>
          <w:bCs/>
          <w:color w:val="auto"/>
          <w:sz w:val="32"/>
          <w:szCs w:val="32"/>
          <w:highlight w:val="none"/>
        </w:rPr>
        <w:t>.农林水支出（类）农业农村（款）农业生产发展（项）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394.46</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0F05E4E1">
      <w:pPr>
        <w:spacing w:line="544" w:lineRule="exact"/>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ascii="仿宋_GB2312" w:hAnsi="仿宋_GB2312" w:eastAsia="仿宋_GB2312" w:cs="仿宋_GB2312"/>
          <w:bCs/>
          <w:color w:val="auto"/>
          <w:sz w:val="32"/>
          <w:szCs w:val="32"/>
          <w:highlight w:val="none"/>
          <w:lang w:val="en-US" w:eastAsia="zh-CN"/>
        </w:rPr>
        <w:t>20</w:t>
      </w:r>
      <w:r>
        <w:rPr>
          <w:rStyle w:val="29"/>
          <w:rFonts w:hint="eastAsia" w:ascii="仿宋_GB2312" w:hAnsi="仿宋_GB2312" w:eastAsia="仿宋_GB2312" w:cs="仿宋_GB2312"/>
          <w:bCs/>
          <w:color w:val="auto"/>
          <w:sz w:val="32"/>
          <w:szCs w:val="32"/>
          <w:highlight w:val="none"/>
        </w:rPr>
        <w:t>.农林水支出（类）农业农村（款）农业资源保护修复与利用（项）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886.58</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25A4B5BE">
      <w:pPr>
        <w:spacing w:line="544" w:lineRule="exact"/>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ascii="仿宋_GB2312" w:hAnsi="仿宋_GB2312" w:eastAsia="仿宋_GB2312" w:cs="仿宋_GB2312"/>
          <w:bCs/>
          <w:color w:val="auto"/>
          <w:sz w:val="32"/>
          <w:szCs w:val="32"/>
          <w:highlight w:val="none"/>
          <w:lang w:val="en-US" w:eastAsia="zh-CN"/>
        </w:rPr>
        <w:t>21</w:t>
      </w:r>
      <w:r>
        <w:rPr>
          <w:rStyle w:val="29"/>
          <w:rFonts w:hint="eastAsia" w:ascii="仿宋_GB2312" w:hAnsi="仿宋_GB2312" w:eastAsia="仿宋_GB2312" w:cs="仿宋_GB2312"/>
          <w:bCs/>
          <w:color w:val="auto"/>
          <w:sz w:val="32"/>
          <w:szCs w:val="32"/>
          <w:highlight w:val="none"/>
        </w:rPr>
        <w:t>.农林水支出（类）农业农村（款）渔业发展（项）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210.74</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515F1337">
      <w:pPr>
        <w:spacing w:line="544" w:lineRule="exact"/>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ascii="仿宋_GB2312" w:hAnsi="仿宋_GB2312" w:eastAsia="仿宋_GB2312" w:cs="仿宋_GB2312"/>
          <w:bCs/>
          <w:color w:val="auto"/>
          <w:sz w:val="32"/>
          <w:szCs w:val="32"/>
          <w:highlight w:val="none"/>
          <w:lang w:val="en-US" w:eastAsia="zh-CN"/>
        </w:rPr>
        <w:t>22</w:t>
      </w:r>
      <w:r>
        <w:rPr>
          <w:rStyle w:val="29"/>
          <w:rFonts w:hint="eastAsia" w:ascii="仿宋_GB2312" w:hAnsi="仿宋_GB2312" w:eastAsia="仿宋_GB2312" w:cs="仿宋_GB2312"/>
          <w:bCs/>
          <w:color w:val="auto"/>
          <w:sz w:val="32"/>
          <w:szCs w:val="32"/>
          <w:highlight w:val="none"/>
        </w:rPr>
        <w:t>.农林水支出（类）农业农村（款）耕地建设与利用（项）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3</w:t>
      </w:r>
      <w:r>
        <w:rPr>
          <w:rStyle w:val="29"/>
          <w:rFonts w:hint="eastAsia" w:ascii="仿宋_GB2312" w:hAnsi="仿宋_GB2312" w:eastAsia="仿宋_GB2312" w:cs="仿宋_GB2312"/>
          <w:b w:val="0"/>
          <w:bCs/>
          <w:color w:val="auto"/>
          <w:sz w:val="32"/>
          <w:szCs w:val="32"/>
          <w:highlight w:val="none"/>
        </w:rPr>
        <w:t>,</w:t>
      </w:r>
      <w:r>
        <w:rPr>
          <w:rStyle w:val="29"/>
          <w:rFonts w:hint="eastAsia" w:ascii="仿宋_GB2312" w:hAnsi="仿宋_GB2312" w:eastAsia="仿宋_GB2312" w:cs="仿宋_GB2312"/>
          <w:b w:val="0"/>
          <w:bCs/>
          <w:color w:val="auto"/>
          <w:sz w:val="32"/>
          <w:szCs w:val="32"/>
          <w:highlight w:val="none"/>
          <w:lang w:val="en-US" w:eastAsia="zh-CN"/>
        </w:rPr>
        <w:t>356.68</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0D08A813">
      <w:pPr>
        <w:spacing w:line="544" w:lineRule="exact"/>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ascii="仿宋_GB2312" w:hAnsi="仿宋_GB2312" w:eastAsia="仿宋_GB2312" w:cs="仿宋_GB2312"/>
          <w:bCs/>
          <w:color w:val="auto"/>
          <w:sz w:val="32"/>
          <w:szCs w:val="32"/>
          <w:highlight w:val="none"/>
          <w:lang w:val="en-US" w:eastAsia="zh-CN"/>
        </w:rPr>
        <w:t>23</w:t>
      </w:r>
      <w:r>
        <w:rPr>
          <w:rStyle w:val="29"/>
          <w:rFonts w:hint="eastAsia" w:ascii="仿宋_GB2312" w:hAnsi="仿宋_GB2312" w:eastAsia="仿宋_GB2312" w:cs="仿宋_GB2312"/>
          <w:bCs/>
          <w:color w:val="auto"/>
          <w:sz w:val="32"/>
          <w:szCs w:val="32"/>
          <w:highlight w:val="none"/>
        </w:rPr>
        <w:t>.农林水支出（类）农业农村（款）其他农业农村支出（项）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3</w:t>
      </w:r>
      <w:r>
        <w:rPr>
          <w:rStyle w:val="29"/>
          <w:rFonts w:hint="eastAsia" w:ascii="仿宋_GB2312" w:hAnsi="仿宋_GB2312" w:eastAsia="仿宋_GB2312" w:cs="仿宋_GB2312"/>
          <w:b w:val="0"/>
          <w:bCs/>
          <w:color w:val="auto"/>
          <w:sz w:val="32"/>
          <w:szCs w:val="32"/>
          <w:highlight w:val="none"/>
        </w:rPr>
        <w:t>,</w:t>
      </w:r>
      <w:r>
        <w:rPr>
          <w:rStyle w:val="29"/>
          <w:rFonts w:hint="eastAsia" w:ascii="仿宋_GB2312" w:hAnsi="仿宋_GB2312" w:eastAsia="仿宋_GB2312" w:cs="仿宋_GB2312"/>
          <w:b w:val="0"/>
          <w:bCs/>
          <w:color w:val="auto"/>
          <w:sz w:val="32"/>
          <w:szCs w:val="32"/>
          <w:highlight w:val="none"/>
          <w:lang w:val="en-US" w:eastAsia="zh-CN"/>
        </w:rPr>
        <w:t>274.09</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72AF654A">
      <w:pPr>
        <w:spacing w:line="544" w:lineRule="exact"/>
        <w:ind w:firstLine="643" w:firstLineChars="200"/>
        <w:rPr>
          <w:rFonts w:ascii="仿宋" w:hAnsi="仿宋" w:eastAsia="仿宋" w:cs="仿宋"/>
          <w:sz w:val="32"/>
          <w:szCs w:val="32"/>
          <w:highlight w:val="none"/>
        </w:rPr>
      </w:pPr>
      <w:r>
        <w:rPr>
          <w:rStyle w:val="29"/>
          <w:rFonts w:hint="eastAsia" w:ascii="仿宋_GB2312" w:hAnsi="仿宋_GB2312" w:eastAsia="仿宋_GB2312" w:cs="仿宋_GB2312"/>
          <w:bCs/>
          <w:color w:val="auto"/>
          <w:sz w:val="32"/>
          <w:szCs w:val="32"/>
          <w:highlight w:val="none"/>
        </w:rPr>
        <w:t>2</w:t>
      </w:r>
      <w:r>
        <w:rPr>
          <w:rStyle w:val="29"/>
          <w:rFonts w:hint="eastAsia" w:ascii="仿宋_GB2312" w:hAnsi="仿宋_GB2312" w:eastAsia="仿宋_GB2312" w:cs="仿宋_GB2312"/>
          <w:bCs/>
          <w:color w:val="auto"/>
          <w:sz w:val="32"/>
          <w:szCs w:val="32"/>
          <w:highlight w:val="none"/>
          <w:lang w:val="en-US" w:eastAsia="zh-CN"/>
        </w:rPr>
        <w:t>4</w:t>
      </w:r>
      <w:r>
        <w:rPr>
          <w:rStyle w:val="29"/>
          <w:rFonts w:hint="eastAsia" w:ascii="仿宋_GB2312" w:hAnsi="仿宋_GB2312" w:eastAsia="仿宋_GB2312" w:cs="仿宋_GB2312"/>
          <w:bCs/>
          <w:color w:val="auto"/>
          <w:sz w:val="32"/>
          <w:szCs w:val="32"/>
          <w:highlight w:val="none"/>
        </w:rPr>
        <w:t>.农林水支出（类）巩固脱贫攻坚成果衔接乡村振兴（款）一般行政管理事务（项）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5.98</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62332EBE">
      <w:pPr>
        <w:spacing w:line="544" w:lineRule="exact"/>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ascii="仿宋_GB2312" w:hAnsi="仿宋_GB2312" w:eastAsia="仿宋_GB2312" w:cs="仿宋_GB2312"/>
          <w:bCs/>
          <w:color w:val="auto"/>
          <w:sz w:val="32"/>
          <w:szCs w:val="32"/>
          <w:highlight w:val="none"/>
        </w:rPr>
        <w:t>2</w:t>
      </w:r>
      <w:r>
        <w:rPr>
          <w:rStyle w:val="29"/>
          <w:rFonts w:hint="eastAsia" w:ascii="仿宋_GB2312" w:hAnsi="仿宋_GB2312" w:eastAsia="仿宋_GB2312" w:cs="仿宋_GB2312"/>
          <w:bCs/>
          <w:color w:val="auto"/>
          <w:sz w:val="32"/>
          <w:szCs w:val="32"/>
          <w:highlight w:val="none"/>
          <w:lang w:val="en-US" w:eastAsia="zh-CN"/>
        </w:rPr>
        <w:t>5</w:t>
      </w:r>
      <w:r>
        <w:rPr>
          <w:rStyle w:val="29"/>
          <w:rFonts w:hint="eastAsia" w:ascii="仿宋_GB2312" w:hAnsi="仿宋_GB2312" w:eastAsia="仿宋_GB2312" w:cs="仿宋_GB2312"/>
          <w:bCs/>
          <w:color w:val="auto"/>
          <w:sz w:val="32"/>
          <w:szCs w:val="32"/>
          <w:highlight w:val="none"/>
        </w:rPr>
        <w:t>.农林水支出（类）巩固脱贫攻坚成果衔接乡村振兴（款）农村基础设施建设（项）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532.99</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44E5D77B">
      <w:pPr>
        <w:spacing w:line="544" w:lineRule="exact"/>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ascii="仿宋_GB2312" w:hAnsi="仿宋_GB2312" w:eastAsia="仿宋_GB2312" w:cs="仿宋_GB2312"/>
          <w:bCs/>
          <w:color w:val="auto"/>
          <w:sz w:val="32"/>
          <w:szCs w:val="32"/>
          <w:highlight w:val="none"/>
        </w:rPr>
        <w:t>2</w:t>
      </w:r>
      <w:r>
        <w:rPr>
          <w:rStyle w:val="29"/>
          <w:rFonts w:hint="eastAsia" w:ascii="仿宋_GB2312" w:hAnsi="仿宋_GB2312" w:eastAsia="仿宋_GB2312" w:cs="仿宋_GB2312"/>
          <w:bCs/>
          <w:color w:val="auto"/>
          <w:sz w:val="32"/>
          <w:szCs w:val="32"/>
          <w:highlight w:val="none"/>
          <w:lang w:val="en-US" w:eastAsia="zh-CN"/>
        </w:rPr>
        <w:t>6</w:t>
      </w:r>
      <w:r>
        <w:rPr>
          <w:rStyle w:val="29"/>
          <w:rFonts w:hint="eastAsia" w:ascii="仿宋_GB2312" w:hAnsi="仿宋_GB2312" w:eastAsia="仿宋_GB2312" w:cs="仿宋_GB2312"/>
          <w:bCs/>
          <w:color w:val="auto"/>
          <w:sz w:val="32"/>
          <w:szCs w:val="32"/>
          <w:highlight w:val="none"/>
        </w:rPr>
        <w:t>.农林水支出（类）巩固脱贫攻坚成果衔接乡村振兴（款）生产发展（项）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2,149.50</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3F3C3EA6">
      <w:pPr>
        <w:spacing w:line="544" w:lineRule="exact"/>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ascii="仿宋_GB2312" w:hAnsi="仿宋_GB2312" w:eastAsia="仿宋_GB2312" w:cs="仿宋_GB2312"/>
          <w:bCs/>
          <w:color w:val="auto"/>
          <w:sz w:val="32"/>
          <w:szCs w:val="32"/>
          <w:highlight w:val="none"/>
        </w:rPr>
        <w:t>2</w:t>
      </w:r>
      <w:r>
        <w:rPr>
          <w:rStyle w:val="29"/>
          <w:rFonts w:hint="eastAsia" w:ascii="仿宋_GB2312" w:hAnsi="仿宋_GB2312" w:eastAsia="仿宋_GB2312" w:cs="仿宋_GB2312"/>
          <w:bCs/>
          <w:color w:val="auto"/>
          <w:sz w:val="32"/>
          <w:szCs w:val="32"/>
          <w:highlight w:val="none"/>
          <w:lang w:val="en-US" w:eastAsia="zh-CN"/>
        </w:rPr>
        <w:t>7</w:t>
      </w:r>
      <w:r>
        <w:rPr>
          <w:rStyle w:val="29"/>
          <w:rFonts w:hint="eastAsia" w:ascii="仿宋_GB2312" w:hAnsi="仿宋_GB2312" w:eastAsia="仿宋_GB2312" w:cs="仿宋_GB2312"/>
          <w:bCs/>
          <w:color w:val="auto"/>
          <w:sz w:val="32"/>
          <w:szCs w:val="32"/>
          <w:highlight w:val="none"/>
        </w:rPr>
        <w:t>.农林水支出（类）巩固脱贫攻坚成果衔接乡村振兴（款）其他巩固脱贫攻坚成果衔接乡村振兴支出（项）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3,263.60</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5FB9F9B3">
      <w:pPr>
        <w:spacing w:line="544" w:lineRule="exact"/>
        <w:ind w:firstLine="643" w:firstLineChars="200"/>
        <w:rPr>
          <w:rStyle w:val="29"/>
          <w:rFonts w:hint="eastAsia" w:ascii="仿宋_GB2312" w:hAnsi="仿宋_GB2312" w:eastAsia="仿宋_GB2312" w:cs="仿宋_GB2312"/>
          <w:bCs/>
          <w:color w:val="auto"/>
          <w:sz w:val="32"/>
          <w:szCs w:val="32"/>
          <w:highlight w:val="none"/>
        </w:rPr>
      </w:pPr>
      <w:r>
        <w:rPr>
          <w:rStyle w:val="29"/>
          <w:rFonts w:hint="eastAsia" w:ascii="仿宋_GB2312" w:hAnsi="仿宋_GB2312" w:eastAsia="仿宋_GB2312" w:cs="仿宋_GB2312"/>
          <w:bCs/>
          <w:color w:val="auto"/>
          <w:sz w:val="32"/>
          <w:szCs w:val="32"/>
          <w:highlight w:val="none"/>
        </w:rPr>
        <w:t>2</w:t>
      </w:r>
      <w:r>
        <w:rPr>
          <w:rStyle w:val="29"/>
          <w:rFonts w:hint="eastAsia" w:ascii="仿宋_GB2312" w:hAnsi="仿宋_GB2312" w:eastAsia="仿宋_GB2312" w:cs="仿宋_GB2312"/>
          <w:bCs/>
          <w:color w:val="auto"/>
          <w:sz w:val="32"/>
          <w:szCs w:val="32"/>
          <w:highlight w:val="none"/>
          <w:lang w:val="en-US" w:eastAsia="zh-CN"/>
        </w:rPr>
        <w:t>8</w:t>
      </w:r>
      <w:r>
        <w:rPr>
          <w:rStyle w:val="29"/>
          <w:rFonts w:hint="eastAsia" w:ascii="仿宋_GB2312" w:hAnsi="仿宋_GB2312" w:eastAsia="仿宋_GB2312" w:cs="仿宋_GB2312"/>
          <w:bCs/>
          <w:color w:val="auto"/>
          <w:sz w:val="32"/>
          <w:szCs w:val="32"/>
          <w:highlight w:val="none"/>
        </w:rPr>
        <w:t>.农林水支出（类）农村综合改革（款）对村集体经济组织的补助（项）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22.50</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7A5CBC9A">
      <w:pPr>
        <w:spacing w:line="544" w:lineRule="exact"/>
        <w:ind w:firstLine="643" w:firstLineChars="200"/>
        <w:rPr>
          <w:rStyle w:val="29"/>
          <w:rFonts w:hint="eastAsia" w:ascii="仿宋_GB2312" w:hAnsi="仿宋_GB2312" w:eastAsia="仿宋_GB2312" w:cs="仿宋_GB2312"/>
          <w:bCs/>
          <w:color w:val="auto"/>
          <w:sz w:val="32"/>
          <w:szCs w:val="32"/>
          <w:highlight w:val="none"/>
        </w:rPr>
      </w:pPr>
      <w:r>
        <w:rPr>
          <w:rStyle w:val="29"/>
          <w:rFonts w:hint="eastAsia" w:ascii="仿宋_GB2312" w:hAnsi="仿宋_GB2312" w:eastAsia="仿宋_GB2312" w:cs="仿宋_GB2312"/>
          <w:bCs/>
          <w:color w:val="auto"/>
          <w:sz w:val="32"/>
          <w:szCs w:val="32"/>
          <w:highlight w:val="none"/>
        </w:rPr>
        <w:t>2</w:t>
      </w:r>
      <w:r>
        <w:rPr>
          <w:rStyle w:val="29"/>
          <w:rFonts w:hint="eastAsia" w:ascii="仿宋_GB2312" w:hAnsi="仿宋_GB2312" w:eastAsia="仿宋_GB2312" w:cs="仿宋_GB2312"/>
          <w:bCs/>
          <w:color w:val="auto"/>
          <w:sz w:val="32"/>
          <w:szCs w:val="32"/>
          <w:highlight w:val="none"/>
          <w:lang w:val="en-US" w:eastAsia="zh-CN"/>
        </w:rPr>
        <w:t>9</w:t>
      </w:r>
      <w:r>
        <w:rPr>
          <w:rStyle w:val="29"/>
          <w:rFonts w:hint="eastAsia" w:ascii="仿宋_GB2312" w:hAnsi="仿宋_GB2312" w:eastAsia="仿宋_GB2312" w:cs="仿宋_GB2312"/>
          <w:bCs/>
          <w:color w:val="auto"/>
          <w:sz w:val="32"/>
          <w:szCs w:val="32"/>
          <w:highlight w:val="none"/>
        </w:rPr>
        <w:t>.农林水支出（类）农村综合改革（款）其他农村综合改革支出（项）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36.48</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7442B5A1">
      <w:pPr>
        <w:spacing w:line="544" w:lineRule="exact"/>
        <w:ind w:firstLine="643" w:firstLineChars="200"/>
        <w:rPr>
          <w:rFonts w:ascii="仿宋" w:hAnsi="仿宋" w:eastAsia="仿宋" w:cs="仿宋"/>
          <w:sz w:val="32"/>
          <w:szCs w:val="32"/>
          <w:highlight w:val="none"/>
        </w:rPr>
      </w:pPr>
      <w:r>
        <w:rPr>
          <w:rStyle w:val="29"/>
          <w:rFonts w:hint="eastAsia" w:ascii="仿宋_GB2312" w:hAnsi="仿宋_GB2312" w:eastAsia="仿宋_GB2312" w:cs="仿宋_GB2312"/>
          <w:bCs/>
          <w:color w:val="auto"/>
          <w:sz w:val="32"/>
          <w:szCs w:val="32"/>
          <w:highlight w:val="none"/>
          <w:lang w:val="en-US" w:eastAsia="zh-CN"/>
        </w:rPr>
        <w:t>30</w:t>
      </w:r>
      <w:r>
        <w:rPr>
          <w:rStyle w:val="29"/>
          <w:rFonts w:hint="eastAsia" w:ascii="仿宋_GB2312" w:hAnsi="仿宋_GB2312" w:eastAsia="仿宋_GB2312" w:cs="仿宋_GB2312"/>
          <w:bCs/>
          <w:color w:val="auto"/>
          <w:sz w:val="32"/>
          <w:szCs w:val="32"/>
          <w:highlight w:val="none"/>
        </w:rPr>
        <w:t>.农林水支出（类）目标价格补贴（款）其他目标价格补贴（项）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152.89</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38D5EBA8">
      <w:pPr>
        <w:spacing w:line="544" w:lineRule="exact"/>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ascii="仿宋_GB2312" w:hAnsi="仿宋_GB2312" w:eastAsia="仿宋_GB2312" w:cs="仿宋_GB2312"/>
          <w:bCs/>
          <w:color w:val="auto"/>
          <w:sz w:val="32"/>
          <w:szCs w:val="32"/>
          <w:highlight w:val="none"/>
          <w:lang w:val="en-US" w:eastAsia="zh-CN"/>
        </w:rPr>
        <w:t>31</w:t>
      </w:r>
      <w:r>
        <w:rPr>
          <w:rStyle w:val="29"/>
          <w:rFonts w:hint="eastAsia" w:ascii="仿宋_GB2312" w:hAnsi="仿宋_GB2312" w:eastAsia="仿宋_GB2312" w:cs="仿宋_GB2312"/>
          <w:bCs/>
          <w:color w:val="auto"/>
          <w:sz w:val="32"/>
          <w:szCs w:val="32"/>
          <w:highlight w:val="none"/>
        </w:rPr>
        <w:t>.农林水支出（类）其他农林水支出（款）其他农林水支出（项）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237.95</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4E393776">
      <w:pPr>
        <w:spacing w:line="544" w:lineRule="exact"/>
        <w:ind w:firstLine="643" w:firstLineChars="200"/>
        <w:rPr>
          <w:rStyle w:val="29"/>
          <w:rFonts w:hint="eastAsia" w:ascii="仿宋_GB2312" w:hAnsi="仿宋_GB2312" w:eastAsia="仿宋_GB2312" w:cs="仿宋_GB2312"/>
          <w:b w:val="0"/>
          <w:bCs/>
          <w:color w:val="auto"/>
          <w:sz w:val="32"/>
          <w:szCs w:val="32"/>
          <w:highlight w:val="none"/>
        </w:rPr>
      </w:pPr>
      <w:r>
        <w:rPr>
          <w:rStyle w:val="29"/>
          <w:rFonts w:hint="eastAsia" w:ascii="仿宋_GB2312" w:hAnsi="仿宋_GB2312" w:eastAsia="仿宋_GB2312" w:cs="仿宋_GB2312"/>
          <w:bCs/>
          <w:color w:val="auto"/>
          <w:sz w:val="32"/>
          <w:szCs w:val="32"/>
          <w:highlight w:val="none"/>
          <w:lang w:val="en-US" w:eastAsia="zh-CN"/>
        </w:rPr>
        <w:t>32</w:t>
      </w:r>
      <w:r>
        <w:rPr>
          <w:rStyle w:val="29"/>
          <w:rFonts w:hint="eastAsia" w:ascii="仿宋_GB2312" w:hAnsi="仿宋_GB2312" w:eastAsia="仿宋_GB2312" w:cs="仿宋_GB2312"/>
          <w:bCs/>
          <w:color w:val="auto"/>
          <w:sz w:val="32"/>
          <w:szCs w:val="32"/>
          <w:highlight w:val="none"/>
        </w:rPr>
        <w:t>.住房保障支出（类）住房改革支出（款）住房公积金（项）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支出决算为</w:t>
      </w:r>
      <w:r>
        <w:rPr>
          <w:rStyle w:val="29"/>
          <w:rFonts w:hint="eastAsia" w:ascii="仿宋_GB2312" w:hAnsi="仿宋_GB2312" w:eastAsia="仿宋_GB2312" w:cs="仿宋_GB2312"/>
          <w:b w:val="0"/>
          <w:bCs/>
          <w:color w:val="auto"/>
          <w:sz w:val="32"/>
          <w:szCs w:val="32"/>
          <w:highlight w:val="none"/>
          <w:lang w:val="en-US" w:eastAsia="zh-CN"/>
        </w:rPr>
        <w:t>176.26</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490F3EBC">
      <w:pPr>
        <w:spacing w:line="544" w:lineRule="exact"/>
        <w:ind w:firstLine="643" w:firstLineChars="200"/>
        <w:rPr>
          <w:rFonts w:ascii="仿宋" w:hAnsi="仿宋" w:eastAsia="仿宋" w:cs="仿宋"/>
          <w:sz w:val="32"/>
          <w:szCs w:val="32"/>
          <w:highlight w:val="none"/>
        </w:rPr>
      </w:pPr>
      <w:r>
        <w:rPr>
          <w:rStyle w:val="29"/>
          <w:rFonts w:hint="eastAsia" w:ascii="仿宋_GB2312" w:hAnsi="仿宋_GB2312" w:eastAsia="仿宋_GB2312" w:cs="仿宋_GB2312"/>
          <w:bCs/>
          <w:color w:val="auto"/>
          <w:sz w:val="32"/>
          <w:szCs w:val="32"/>
          <w:highlight w:val="none"/>
          <w:lang w:val="en-US" w:eastAsia="zh-CN"/>
        </w:rPr>
        <w:t>33</w:t>
      </w:r>
      <w:r>
        <w:rPr>
          <w:rStyle w:val="29"/>
          <w:rFonts w:hint="eastAsia" w:ascii="仿宋_GB2312" w:hAnsi="仿宋_GB2312" w:eastAsia="仿宋_GB2312" w:cs="仿宋_GB2312"/>
          <w:bCs/>
          <w:color w:val="auto"/>
          <w:sz w:val="32"/>
          <w:szCs w:val="32"/>
          <w:highlight w:val="none"/>
        </w:rPr>
        <w:t>.粮油物资储备支出（类）粮油物资事务（款）其他粮油物资事务支出（项）</w:t>
      </w:r>
      <w:r>
        <w:rPr>
          <w:rStyle w:val="29"/>
          <w:rFonts w:hint="eastAsia" w:ascii="仿宋_GB2312" w:hAnsi="仿宋_GB2312" w:eastAsia="仿宋_GB2312" w:cs="仿宋_GB2312"/>
          <w:bCs/>
          <w:color w:val="auto"/>
          <w:sz w:val="32"/>
          <w:szCs w:val="32"/>
          <w:highlight w:val="none"/>
          <w:lang w:eastAsia="zh-CN"/>
        </w:rPr>
        <w:t>：</w:t>
      </w:r>
      <w:r>
        <w:rPr>
          <w:rStyle w:val="29"/>
          <w:rFonts w:hint="eastAsia" w:ascii="仿宋_GB2312" w:hAnsi="仿宋_GB2312" w:eastAsia="仿宋_GB2312" w:cs="仿宋_GB2312"/>
          <w:b w:val="0"/>
          <w:bCs/>
          <w:color w:val="auto"/>
          <w:sz w:val="32"/>
          <w:szCs w:val="32"/>
          <w:highlight w:val="none"/>
        </w:rPr>
        <w:t>支出决算数为</w:t>
      </w:r>
      <w:r>
        <w:rPr>
          <w:rStyle w:val="29"/>
          <w:rFonts w:hint="eastAsia" w:ascii="仿宋_GB2312" w:hAnsi="仿宋_GB2312" w:eastAsia="仿宋_GB2312" w:cs="仿宋_GB2312"/>
          <w:b w:val="0"/>
          <w:bCs/>
          <w:color w:val="auto"/>
          <w:sz w:val="32"/>
          <w:szCs w:val="32"/>
          <w:highlight w:val="none"/>
          <w:lang w:val="en-US" w:eastAsia="zh-CN"/>
        </w:rPr>
        <w:t>11.41</w:t>
      </w:r>
      <w:r>
        <w:rPr>
          <w:rStyle w:val="29"/>
          <w:rFonts w:hint="eastAsia" w:ascii="仿宋_GB2312" w:hAnsi="仿宋_GB2312" w:eastAsia="仿宋_GB2312" w:cs="仿宋_GB2312"/>
          <w:b w:val="0"/>
          <w:bCs/>
          <w:color w:val="auto"/>
          <w:sz w:val="32"/>
          <w:szCs w:val="32"/>
          <w:highlight w:val="none"/>
        </w:rPr>
        <w:t>万元，</w:t>
      </w:r>
      <w:r>
        <w:rPr>
          <w:rStyle w:val="29"/>
          <w:rFonts w:hint="eastAsia" w:ascii="仿宋_GB2312" w:hAnsi="仿宋_GB2312" w:eastAsia="仿宋_GB2312" w:cs="仿宋_GB2312"/>
          <w:b w:val="0"/>
          <w:bCs/>
          <w:color w:val="auto"/>
          <w:sz w:val="32"/>
          <w:szCs w:val="32"/>
          <w:highlight w:val="none"/>
          <w:lang w:eastAsia="zh-CN"/>
        </w:rPr>
        <w:t>完成预算100%</w:t>
      </w:r>
      <w:r>
        <w:rPr>
          <w:rStyle w:val="29"/>
          <w:rFonts w:hint="eastAsia" w:ascii="仿宋_GB2312" w:hAnsi="仿宋_GB2312" w:eastAsia="仿宋_GB2312" w:cs="仿宋_GB2312"/>
          <w:b w:val="0"/>
          <w:bCs/>
          <w:color w:val="auto"/>
          <w:sz w:val="32"/>
          <w:szCs w:val="32"/>
          <w:highlight w:val="none"/>
        </w:rPr>
        <w:t>。</w:t>
      </w:r>
    </w:p>
    <w:p w14:paraId="55B4BC3F">
      <w:pPr>
        <w:spacing w:line="600" w:lineRule="exact"/>
        <w:ind w:firstLine="640"/>
        <w:outlineLvl w:val="1"/>
        <w:rPr>
          <w:rFonts w:hint="eastAsia" w:ascii="黑体" w:hAnsi="黑体" w:eastAsia="黑体" w:cs="黑体"/>
          <w:bCs/>
          <w:sz w:val="32"/>
          <w:szCs w:val="32"/>
          <w:highlight w:val="none"/>
          <w:shd w:val="clear" w:color="auto" w:fill="auto"/>
        </w:rPr>
      </w:pPr>
      <w:bookmarkStart w:id="17" w:name="_Toc186978542"/>
      <w:r>
        <w:rPr>
          <w:rFonts w:hint="eastAsia" w:ascii="黑体" w:hAnsi="黑体" w:eastAsia="黑体" w:cs="黑体"/>
          <w:bCs/>
          <w:sz w:val="32"/>
          <w:szCs w:val="32"/>
          <w:highlight w:val="none"/>
          <w:shd w:val="clear" w:color="auto" w:fill="auto"/>
        </w:rPr>
        <w:t>六、一般公共预算财政拨款基本支出决算情况说明</w:t>
      </w:r>
      <w:bookmarkEnd w:id="17"/>
      <w:r>
        <w:rPr>
          <w:rFonts w:hint="eastAsia" w:ascii="黑体" w:hAnsi="黑体" w:eastAsia="黑体" w:cs="黑体"/>
          <w:bCs/>
          <w:sz w:val="32"/>
          <w:szCs w:val="32"/>
          <w:highlight w:val="none"/>
          <w:shd w:val="clear" w:color="auto" w:fill="auto"/>
        </w:rPr>
        <w:tab/>
      </w:r>
    </w:p>
    <w:p w14:paraId="5348CAE9">
      <w:pPr>
        <w:suppressAutoHyphens/>
        <w:bidi w:val="0"/>
        <w:spacing w:line="600" w:lineRule="exact"/>
        <w:ind w:firstLine="645"/>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2024年一般公共预算财政拨款基本支出2614.04万元，其中：</w:t>
      </w:r>
    </w:p>
    <w:p w14:paraId="0DED1B3E">
      <w:pPr>
        <w:suppressAutoHyphens/>
        <w:bidi w:val="0"/>
        <w:spacing w:line="600" w:lineRule="exact"/>
        <w:ind w:firstLine="645"/>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人员经费</w:t>
      </w:r>
      <w:r>
        <w:rPr>
          <w:rFonts w:hint="eastAsia" w:ascii="仿宋_GB2312" w:hAnsi="仿宋_GB2312" w:eastAsia="仿宋_GB2312" w:cs="仿宋_GB2312"/>
          <w:color w:val="auto"/>
          <w:sz w:val="32"/>
          <w:szCs w:val="32"/>
          <w:highlight w:val="none"/>
          <w:lang w:val="en-US" w:eastAsia="zh-CN"/>
        </w:rPr>
        <w:t>2,348.45</w:t>
      </w:r>
      <w:r>
        <w:rPr>
          <w:rFonts w:hint="eastAsia" w:ascii="仿宋_GB2312" w:hAnsi="仿宋_GB2312" w:eastAsia="仿宋_GB2312" w:cs="仿宋_GB2312"/>
          <w:color w:val="auto"/>
          <w:sz w:val="32"/>
          <w:szCs w:val="32"/>
          <w:highlight w:val="none"/>
          <w:lang w:eastAsia="zh-CN"/>
        </w:rPr>
        <w:t>万元，主要包括：基本工资、津贴补贴、奖金、伙食补助费、绩效工资、机关事业单位基本养老保险缴费、职业年金缴费、职工基本医疗保险缴费、其他社会保障缴费、抚恤金、生活补助、奖励金、住房公积金等。</w:t>
      </w:r>
    </w:p>
    <w:p w14:paraId="34EF996C">
      <w:pPr>
        <w:suppressAutoHyphens/>
        <w:bidi w:val="0"/>
        <w:spacing w:line="600" w:lineRule="exact"/>
        <w:ind w:firstLine="645"/>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公用经费</w:t>
      </w:r>
      <w:r>
        <w:rPr>
          <w:rFonts w:hint="eastAsia" w:ascii="仿宋_GB2312" w:hAnsi="仿宋_GB2312" w:eastAsia="仿宋_GB2312" w:cs="仿宋_GB2312"/>
          <w:color w:val="auto"/>
          <w:sz w:val="32"/>
          <w:szCs w:val="32"/>
          <w:highlight w:val="none"/>
          <w:lang w:val="en-US" w:eastAsia="zh-CN"/>
        </w:rPr>
        <w:t>265.59</w:t>
      </w:r>
      <w:r>
        <w:rPr>
          <w:rFonts w:hint="eastAsia" w:ascii="仿宋_GB2312" w:hAnsi="仿宋_GB2312" w:eastAsia="仿宋_GB2312" w:cs="仿宋_GB2312"/>
          <w:color w:val="auto"/>
          <w:sz w:val="32"/>
          <w:szCs w:val="32"/>
          <w:highlight w:val="none"/>
          <w:lang w:eastAsia="zh-CN"/>
        </w:rPr>
        <w:t>万元，主要包括：办公费、印刷费、水费、电费、邮电费、物业管理费、差旅费、维修（护）费、租赁费、培训费、公务接待费、劳务费、委托业务费、工会经费、福利费、公务用车运行维护费、其他交通费、其他商品和服务支出等。</w:t>
      </w:r>
    </w:p>
    <w:p w14:paraId="1942C228">
      <w:pPr>
        <w:suppressAutoHyphens/>
        <w:bidi w:val="0"/>
        <w:spacing w:line="600" w:lineRule="exact"/>
        <w:ind w:firstLine="640"/>
        <w:outlineLvl w:val="1"/>
        <w:rPr>
          <w:rFonts w:hint="eastAsia" w:ascii="黑体" w:hAnsi="Calibri" w:eastAsia="黑体"/>
          <w:color w:val="auto"/>
          <w:sz w:val="32"/>
          <w:szCs w:val="32"/>
          <w:highlight w:val="none"/>
        </w:rPr>
      </w:pPr>
      <w:bookmarkStart w:id="18" w:name="_Toc110422985"/>
      <w:r>
        <w:rPr>
          <w:rFonts w:hint="eastAsia" w:ascii="黑体" w:hAnsi="Calibri" w:eastAsia="黑体"/>
          <w:color w:val="auto"/>
          <w:sz w:val="32"/>
          <w:szCs w:val="32"/>
          <w:highlight w:val="none"/>
        </w:rPr>
        <w:t>七、财政拨款“三公”经费支出决算情况说明</w:t>
      </w:r>
      <w:bookmarkEnd w:id="18"/>
    </w:p>
    <w:p w14:paraId="75C35BC8">
      <w:pPr>
        <w:suppressAutoHyphens/>
        <w:bidi w:val="0"/>
        <w:spacing w:line="600" w:lineRule="exact"/>
        <w:ind w:firstLine="640"/>
        <w:outlineLvl w:val="2"/>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（一）“三公”经费财政拨款支出决算总体情况说明</w:t>
      </w:r>
    </w:p>
    <w:p w14:paraId="07512EBA">
      <w:pPr>
        <w:suppressAutoHyphens/>
        <w:bidi w:val="0"/>
        <w:spacing w:line="600" w:lineRule="exact"/>
        <w:ind w:firstLine="64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2024年“三公”经费财政拨款支出决算为1</w:t>
      </w:r>
      <w:r>
        <w:rPr>
          <w:rFonts w:hint="eastAsia" w:ascii="仿宋_GB2312" w:hAnsi="仿宋_GB2312" w:eastAsia="仿宋_GB2312" w:cs="仿宋_GB2312"/>
          <w:color w:val="auto"/>
          <w:sz w:val="32"/>
          <w:szCs w:val="32"/>
          <w:highlight w:val="none"/>
          <w:lang w:val="en-US" w:eastAsia="zh-CN"/>
        </w:rPr>
        <w:t>8.23</w:t>
      </w:r>
      <w:r>
        <w:rPr>
          <w:rFonts w:hint="eastAsia" w:ascii="仿宋_GB2312" w:hAnsi="仿宋_GB2312" w:eastAsia="仿宋_GB2312" w:cs="仿宋_GB2312"/>
          <w:color w:val="auto"/>
          <w:sz w:val="32"/>
          <w:szCs w:val="32"/>
          <w:highlight w:val="none"/>
          <w:lang w:eastAsia="zh-CN"/>
        </w:rPr>
        <w:t>万元，完成预算100%，较上年度增加</w:t>
      </w:r>
      <w:r>
        <w:rPr>
          <w:rFonts w:hint="eastAsia" w:ascii="仿宋_GB2312" w:hAnsi="仿宋_GB2312" w:eastAsia="仿宋_GB2312" w:cs="仿宋_GB2312"/>
          <w:color w:val="auto"/>
          <w:sz w:val="32"/>
          <w:szCs w:val="32"/>
          <w:highlight w:val="none"/>
          <w:lang w:val="en-US" w:eastAsia="zh-CN"/>
        </w:rPr>
        <w:t>2.96</w:t>
      </w:r>
      <w:r>
        <w:rPr>
          <w:rFonts w:hint="eastAsia" w:ascii="仿宋_GB2312" w:hAnsi="仿宋_GB2312" w:eastAsia="仿宋_GB2312" w:cs="仿宋_GB2312"/>
          <w:color w:val="auto"/>
          <w:sz w:val="32"/>
          <w:szCs w:val="32"/>
          <w:highlight w:val="none"/>
          <w:lang w:eastAsia="zh-CN"/>
        </w:rPr>
        <w:t>万元，增加</w:t>
      </w:r>
      <w:r>
        <w:rPr>
          <w:rFonts w:hint="eastAsia" w:ascii="仿宋_GB2312" w:hAnsi="仿宋_GB2312" w:eastAsia="仿宋_GB2312" w:cs="仿宋_GB2312"/>
          <w:color w:val="auto"/>
          <w:sz w:val="32"/>
          <w:szCs w:val="32"/>
          <w:highlight w:val="none"/>
          <w:lang w:val="en-US" w:eastAsia="zh-CN"/>
        </w:rPr>
        <w:t>19.38</w:t>
      </w:r>
      <w:r>
        <w:rPr>
          <w:rFonts w:hint="eastAsia" w:ascii="仿宋_GB2312" w:hAnsi="仿宋_GB2312" w:eastAsia="仿宋_GB2312" w:cs="仿宋_GB2312"/>
          <w:color w:val="auto"/>
          <w:sz w:val="32"/>
          <w:szCs w:val="32"/>
          <w:highlight w:val="none"/>
          <w:lang w:eastAsia="zh-CN"/>
        </w:rPr>
        <w:t>%，主要原因是乡村振兴局并入，人员增加</w:t>
      </w:r>
      <w:r>
        <w:rPr>
          <w:rFonts w:hint="eastAsia" w:ascii="仿宋_GB2312" w:hAnsi="仿宋_GB2312" w:eastAsia="仿宋_GB2312" w:cs="仿宋_GB2312"/>
          <w:color w:val="auto"/>
          <w:sz w:val="32"/>
          <w:szCs w:val="32"/>
          <w:highlight w:val="none"/>
          <w:lang w:val="en-US" w:eastAsia="zh-CN"/>
        </w:rPr>
        <w:t>。</w:t>
      </w:r>
    </w:p>
    <w:p w14:paraId="3A285579">
      <w:pPr>
        <w:suppressAutoHyphens/>
        <w:bidi w:val="0"/>
        <w:spacing w:line="600" w:lineRule="exact"/>
        <w:ind w:firstLine="640"/>
        <w:outlineLvl w:val="2"/>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（二）“三公”经费财政拨款支出决算具体情况说明</w:t>
      </w:r>
    </w:p>
    <w:p w14:paraId="7835D59A">
      <w:pPr>
        <w:suppressAutoHyphens/>
        <w:bidi w:val="0"/>
        <w:spacing w:line="600" w:lineRule="exact"/>
        <w:ind w:firstLine="64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2024年“三公”经费财政拨款支出决算中，因公出国（境）费支出决算0万元，占0%；公务用车购置及运行维护费支出决算</w:t>
      </w:r>
      <w:r>
        <w:rPr>
          <w:rFonts w:hint="eastAsia" w:ascii="仿宋_GB2312" w:hAnsi="仿宋_GB2312" w:eastAsia="仿宋_GB2312" w:cs="仿宋_GB2312"/>
          <w:color w:val="auto"/>
          <w:sz w:val="32"/>
          <w:szCs w:val="32"/>
          <w:highlight w:val="none"/>
          <w:lang w:val="en-US" w:eastAsia="zh-CN"/>
        </w:rPr>
        <w:t>7.33</w:t>
      </w:r>
      <w:r>
        <w:rPr>
          <w:rFonts w:hint="eastAsia" w:ascii="仿宋_GB2312" w:hAnsi="仿宋_GB2312" w:eastAsia="仿宋_GB2312" w:cs="仿宋_GB2312"/>
          <w:color w:val="auto"/>
          <w:sz w:val="32"/>
          <w:szCs w:val="32"/>
          <w:highlight w:val="none"/>
          <w:lang w:eastAsia="zh-CN"/>
        </w:rPr>
        <w:t>万元，占40.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lang w:eastAsia="zh-CN"/>
        </w:rPr>
        <w:t>%；公务接待费支出决算</w:t>
      </w:r>
      <w:r>
        <w:rPr>
          <w:rFonts w:hint="eastAsia" w:ascii="仿宋_GB2312" w:hAnsi="仿宋_GB2312" w:eastAsia="仿宋_GB2312" w:cs="仿宋_GB2312"/>
          <w:color w:val="auto"/>
          <w:sz w:val="32"/>
          <w:szCs w:val="32"/>
          <w:highlight w:val="none"/>
          <w:lang w:val="en-US" w:eastAsia="zh-CN"/>
        </w:rPr>
        <w:t>10.90</w:t>
      </w:r>
      <w:r>
        <w:rPr>
          <w:rFonts w:hint="eastAsia" w:ascii="仿宋_GB2312" w:hAnsi="仿宋_GB2312" w:eastAsia="仿宋_GB2312" w:cs="仿宋_GB2312"/>
          <w:color w:val="auto"/>
          <w:sz w:val="32"/>
          <w:szCs w:val="32"/>
          <w:highlight w:val="none"/>
          <w:lang w:eastAsia="zh-CN"/>
        </w:rPr>
        <w:t>万元，占59.</w:t>
      </w:r>
      <w:r>
        <w:rPr>
          <w:rFonts w:hint="eastAsia" w:ascii="仿宋_GB2312" w:hAnsi="仿宋_GB2312" w:eastAsia="仿宋_GB2312" w:cs="仿宋_GB2312"/>
          <w:color w:val="auto"/>
          <w:sz w:val="32"/>
          <w:szCs w:val="32"/>
          <w:highlight w:val="none"/>
          <w:lang w:val="en-US" w:eastAsia="zh-CN"/>
        </w:rPr>
        <w:t>79</w:t>
      </w:r>
      <w:r>
        <w:rPr>
          <w:rFonts w:hint="eastAsia" w:ascii="仿宋_GB2312" w:hAnsi="仿宋_GB2312" w:eastAsia="仿宋_GB2312" w:cs="仿宋_GB2312"/>
          <w:color w:val="auto"/>
          <w:sz w:val="32"/>
          <w:szCs w:val="32"/>
          <w:highlight w:val="none"/>
          <w:lang w:eastAsia="zh-CN"/>
        </w:rPr>
        <w:t>%。具体情况如下：</w:t>
      </w:r>
    </w:p>
    <w:p w14:paraId="105EF889">
      <w:pPr>
        <w:pStyle w:val="2"/>
        <w:spacing w:before="93" w:beforeLines="0"/>
        <w:jc w:val="center"/>
        <w:rPr>
          <w:rFonts w:ascii="仿宋" w:hAnsi="仿宋" w:eastAsia="仿宋" w:cs="仿宋"/>
          <w:sz w:val="32"/>
          <w:szCs w:val="32"/>
          <w:highlight w:val="none"/>
        </w:rPr>
      </w:pPr>
      <w:r>
        <w:rPr>
          <w:highlight w:val="none"/>
        </w:rPr>
        <w:drawing>
          <wp:inline distT="0" distB="0" distL="114300" distR="114300">
            <wp:extent cx="4838700" cy="2771775"/>
            <wp:effectExtent l="0" t="0" r="0" b="952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7"/>
                    <a:stretch>
                      <a:fillRect/>
                    </a:stretch>
                  </pic:blipFill>
                  <pic:spPr>
                    <a:xfrm>
                      <a:off x="0" y="0"/>
                      <a:ext cx="4838700" cy="2771775"/>
                    </a:xfrm>
                    <a:prstGeom prst="rect">
                      <a:avLst/>
                    </a:prstGeom>
                    <a:noFill/>
                    <a:ln>
                      <a:noFill/>
                    </a:ln>
                  </pic:spPr>
                </pic:pic>
              </a:graphicData>
            </a:graphic>
          </wp:inline>
        </w:drawing>
      </w:r>
    </w:p>
    <w:p w14:paraId="6D486D01">
      <w:pPr>
        <w:pStyle w:val="2"/>
        <w:spacing w:before="93" w:beforeLines="0"/>
        <w:jc w:val="center"/>
        <w:rPr>
          <w:rFonts w:ascii="仿宋" w:hAnsi="仿宋" w:eastAsia="仿宋" w:cs="仿宋"/>
          <w:b/>
          <w:bCs/>
          <w:color w:val="000000"/>
          <w:sz w:val="24"/>
          <w:highlight w:val="none"/>
        </w:rPr>
      </w:pPr>
      <w:r>
        <w:rPr>
          <w:rFonts w:hint="eastAsia" w:ascii="仿宋" w:hAnsi="仿宋" w:eastAsia="仿宋" w:cs="仿宋"/>
          <w:b/>
          <w:bCs/>
          <w:color w:val="000000"/>
          <w:sz w:val="24"/>
          <w:highlight w:val="none"/>
        </w:rPr>
        <w:t>图7</w:t>
      </w:r>
      <w:r>
        <w:rPr>
          <w:rFonts w:hint="eastAsia" w:ascii="仿宋" w:hAnsi="仿宋" w:eastAsia="仿宋" w:cs="仿宋"/>
          <w:b/>
          <w:bCs/>
          <w:color w:val="000000"/>
          <w:sz w:val="24"/>
          <w:highlight w:val="none"/>
          <w:lang w:eastAsia="zh-CN"/>
        </w:rPr>
        <w:t>：</w:t>
      </w:r>
      <w:r>
        <w:rPr>
          <w:rFonts w:hint="eastAsia" w:ascii="仿宋" w:hAnsi="仿宋" w:eastAsia="仿宋" w:cs="仿宋"/>
          <w:b/>
          <w:bCs/>
          <w:color w:val="000000"/>
          <w:sz w:val="24"/>
          <w:highlight w:val="none"/>
        </w:rPr>
        <w:t>“三公”经费财政拨款支出结构</w:t>
      </w:r>
    </w:p>
    <w:p w14:paraId="6AC165C5">
      <w:pPr>
        <w:spacing w:line="576" w:lineRule="exact"/>
        <w:ind w:firstLine="643" w:firstLineChars="200"/>
        <w:rPr>
          <w:rFonts w:ascii="仿宋" w:hAnsi="仿宋" w:eastAsia="仿宋" w:cs="仿宋"/>
          <w:sz w:val="32"/>
          <w:szCs w:val="32"/>
          <w:highlight w:val="none"/>
        </w:rPr>
      </w:pPr>
      <w:r>
        <w:rPr>
          <w:rFonts w:hint="eastAsia" w:ascii="仿宋_GB2312" w:hAnsi="仿宋_GB2312" w:eastAsia="仿宋_GB2312" w:cs="仿宋_GB2312"/>
          <w:b/>
          <w:color w:val="auto"/>
          <w:sz w:val="32"/>
          <w:szCs w:val="32"/>
          <w:highlight w:val="none"/>
        </w:rPr>
        <w:t>1.因公出国（境）经费支出</w:t>
      </w:r>
      <w:r>
        <w:rPr>
          <w:rFonts w:hint="eastAsia" w:ascii="仿宋_GB2312" w:hAnsi="仿宋_GB2312" w:eastAsia="仿宋_GB2312" w:cs="仿宋_GB2312"/>
          <w:color w:val="auto"/>
          <w:sz w:val="32"/>
          <w:szCs w:val="32"/>
          <w:highlight w:val="none"/>
        </w:rPr>
        <w:t>0万元，完成预算0%。全年安排因公出国（境）团组0次，出国（境）0人。因公出国（境）支出决算比</w:t>
      </w:r>
      <w:r>
        <w:rPr>
          <w:rFonts w:hint="eastAsia" w:ascii="仿宋_GB2312" w:hAnsi="仿宋_GB2312" w:eastAsia="仿宋_GB2312" w:cs="仿宋_GB2312"/>
          <w:color w:val="auto"/>
          <w:sz w:val="32"/>
          <w:szCs w:val="32"/>
          <w:highlight w:val="none"/>
          <w:lang w:eastAsia="zh-CN"/>
        </w:rPr>
        <w:t>2023年</w:t>
      </w:r>
      <w:r>
        <w:rPr>
          <w:rFonts w:hint="eastAsia" w:ascii="仿宋_GB2312" w:hAnsi="仿宋_GB2312" w:eastAsia="仿宋_GB2312" w:cs="仿宋_GB2312"/>
          <w:color w:val="auto"/>
          <w:sz w:val="32"/>
          <w:szCs w:val="32"/>
          <w:highlight w:val="none"/>
        </w:rPr>
        <w:t>增加0万元，增长0%。</w:t>
      </w:r>
    </w:p>
    <w:p w14:paraId="6C38F2CD">
      <w:pPr>
        <w:spacing w:line="576" w:lineRule="exact"/>
        <w:ind w:firstLine="643" w:firstLineChars="200"/>
        <w:rPr>
          <w:rFonts w:hint="eastAsia" w:ascii="Lucida Sans" w:hAnsi="仿宋" w:eastAsia="仿宋" w:cs="仿宋"/>
          <w:sz w:val="32"/>
          <w:szCs w:val="32"/>
          <w:highlight w:val="none"/>
        </w:rPr>
      </w:pPr>
      <w:r>
        <w:rPr>
          <w:rFonts w:hint="eastAsia" w:ascii="仿宋_GB2312" w:hAnsi="仿宋_GB2312" w:eastAsia="仿宋_GB2312" w:cs="仿宋_GB2312"/>
          <w:b/>
          <w:color w:val="auto"/>
          <w:sz w:val="32"/>
          <w:szCs w:val="32"/>
          <w:highlight w:val="none"/>
        </w:rPr>
        <w:t>2.公务用车购置及运行维护费支出</w:t>
      </w:r>
      <w:r>
        <w:rPr>
          <w:rFonts w:hint="eastAsia" w:ascii="仿宋_GB2312" w:hAnsi="仿宋_GB2312" w:eastAsia="仿宋_GB2312" w:cs="仿宋_GB2312"/>
          <w:color w:val="auto"/>
          <w:sz w:val="32"/>
          <w:szCs w:val="32"/>
          <w:highlight w:val="none"/>
          <w:lang w:val="en-US" w:eastAsia="zh-CN"/>
        </w:rPr>
        <w:t>7.33</w:t>
      </w:r>
      <w:r>
        <w:rPr>
          <w:rFonts w:hint="eastAsia" w:ascii="仿宋_GB2312" w:hAnsi="仿宋_GB2312" w:eastAsia="仿宋_GB2312" w:cs="仿宋_GB2312"/>
          <w:color w:val="auto"/>
          <w:sz w:val="32"/>
          <w:szCs w:val="32"/>
          <w:highlight w:val="none"/>
        </w:rPr>
        <w:t>万元,完成预算100%。公务用车购置及运行维护费支出决算比</w:t>
      </w:r>
      <w:r>
        <w:rPr>
          <w:rFonts w:hint="eastAsia" w:ascii="仿宋_GB2312" w:hAnsi="仿宋_GB2312" w:eastAsia="仿宋_GB2312" w:cs="仿宋_GB2312"/>
          <w:color w:val="auto"/>
          <w:sz w:val="32"/>
          <w:szCs w:val="32"/>
          <w:highlight w:val="none"/>
          <w:lang w:eastAsia="zh-CN"/>
        </w:rPr>
        <w:t>2023年</w:t>
      </w:r>
      <w:r>
        <w:rPr>
          <w:rFonts w:hint="eastAsia" w:ascii="仿宋_GB2312" w:hAnsi="仿宋_GB2312" w:eastAsia="仿宋_GB2312" w:cs="仿宋_GB2312"/>
          <w:color w:val="auto"/>
          <w:sz w:val="32"/>
          <w:szCs w:val="32"/>
          <w:highlight w:val="none"/>
        </w:rPr>
        <w:t>增加</w:t>
      </w:r>
      <w:r>
        <w:rPr>
          <w:rFonts w:hint="eastAsia" w:ascii="仿宋_GB2312" w:hAnsi="仿宋_GB2312" w:eastAsia="仿宋_GB2312" w:cs="仿宋_GB2312"/>
          <w:color w:val="auto"/>
          <w:sz w:val="32"/>
          <w:szCs w:val="32"/>
          <w:highlight w:val="none"/>
          <w:lang w:val="en-US" w:eastAsia="zh-CN"/>
        </w:rPr>
        <w:t>1.13</w:t>
      </w:r>
      <w:r>
        <w:rPr>
          <w:rFonts w:hint="eastAsia" w:ascii="仿宋_GB2312" w:hAnsi="仿宋_GB2312" w:eastAsia="仿宋_GB2312" w:cs="仿宋_GB2312"/>
          <w:color w:val="auto"/>
          <w:sz w:val="32"/>
          <w:szCs w:val="32"/>
          <w:highlight w:val="none"/>
        </w:rPr>
        <w:t>万元，上升</w:t>
      </w:r>
      <w:r>
        <w:rPr>
          <w:rFonts w:hint="eastAsia" w:ascii="仿宋_GB2312" w:hAnsi="仿宋_GB2312" w:eastAsia="仿宋_GB2312" w:cs="仿宋_GB2312"/>
          <w:color w:val="auto"/>
          <w:sz w:val="32"/>
          <w:szCs w:val="32"/>
          <w:highlight w:val="none"/>
          <w:lang w:val="en-US" w:eastAsia="zh-CN"/>
        </w:rPr>
        <w:t>18.23</w:t>
      </w:r>
      <w:r>
        <w:rPr>
          <w:rFonts w:hint="eastAsia" w:ascii="仿宋_GB2312" w:hAnsi="仿宋_GB2312" w:eastAsia="仿宋_GB2312" w:cs="仿宋_GB2312"/>
          <w:color w:val="auto"/>
          <w:sz w:val="32"/>
          <w:szCs w:val="32"/>
          <w:highlight w:val="none"/>
        </w:rPr>
        <w:t>%。主要原因是</w:t>
      </w:r>
      <w:r>
        <w:rPr>
          <w:rFonts w:hint="eastAsia" w:ascii="仿宋_GB2312" w:hAnsi="仿宋_GB2312" w:eastAsia="仿宋_GB2312" w:cs="仿宋_GB2312"/>
          <w:color w:val="auto"/>
          <w:sz w:val="32"/>
          <w:szCs w:val="32"/>
          <w:highlight w:val="none"/>
          <w:lang w:eastAsia="zh-CN"/>
        </w:rPr>
        <w:t>乡村振兴局并入，项目增多，</w:t>
      </w:r>
      <w:r>
        <w:rPr>
          <w:rFonts w:hint="eastAsia" w:ascii="仿宋_GB2312" w:hAnsi="仿宋_GB2312" w:eastAsia="仿宋_GB2312" w:cs="仿宋_GB2312"/>
          <w:color w:val="auto"/>
          <w:sz w:val="32"/>
          <w:szCs w:val="32"/>
          <w:highlight w:val="none"/>
        </w:rPr>
        <w:t>开展乡村振兴先进区创建、农产品质量安全、农业执法等工作</w:t>
      </w:r>
      <w:r>
        <w:rPr>
          <w:rFonts w:hint="eastAsia" w:ascii="Lucida Sans" w:hAnsi="仿宋" w:eastAsia="仿宋" w:cs="仿宋"/>
          <w:sz w:val="32"/>
          <w:szCs w:val="32"/>
          <w:highlight w:val="none"/>
        </w:rPr>
        <w:t>。</w:t>
      </w:r>
    </w:p>
    <w:p w14:paraId="521436DE">
      <w:pPr>
        <w:spacing w:line="576" w:lineRule="exact"/>
        <w:ind w:firstLine="640" w:firstLineChars="200"/>
        <w:rPr>
          <w:rFonts w:hint="eastAsia" w:ascii="Lucida Sans" w:hAnsi="仿宋" w:eastAsia="仿宋" w:cs="仿宋"/>
          <w:sz w:val="32"/>
          <w:szCs w:val="32"/>
          <w:highlight w:val="none"/>
        </w:rPr>
      </w:pPr>
      <w:r>
        <w:rPr>
          <w:rFonts w:hint="eastAsia" w:ascii="仿宋_GB2312" w:hAnsi="仿宋_GB2312" w:eastAsia="仿宋_GB2312" w:cs="仿宋_GB2312"/>
          <w:color w:val="auto"/>
          <w:sz w:val="32"/>
          <w:szCs w:val="32"/>
          <w:highlight w:val="none"/>
        </w:rPr>
        <w:t>其中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公务用车购置支出0万元。全年按规定更新购置公务用车0辆。截至</w:t>
      </w:r>
      <w:r>
        <w:rPr>
          <w:rFonts w:hint="eastAsia" w:ascii="仿宋_GB2312" w:hAnsi="仿宋_GB2312" w:eastAsia="仿宋_GB2312" w:cs="仿宋_GB2312"/>
          <w:color w:val="auto"/>
          <w:sz w:val="32"/>
          <w:szCs w:val="32"/>
          <w:highlight w:val="none"/>
          <w:lang w:eastAsia="zh-CN"/>
        </w:rPr>
        <w:t>2024年</w:t>
      </w:r>
      <w:r>
        <w:rPr>
          <w:rFonts w:hint="eastAsia" w:ascii="仿宋_GB2312" w:hAnsi="仿宋_GB2312" w:eastAsia="仿宋_GB2312" w:cs="仿宋_GB2312"/>
          <w:color w:val="auto"/>
          <w:sz w:val="32"/>
          <w:szCs w:val="32"/>
          <w:highlight w:val="none"/>
        </w:rPr>
        <w:t>12月底，单位共有公务用车2辆，其中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执法执勤用车1辆，专业技术车1辆。</w:t>
      </w:r>
    </w:p>
    <w:p w14:paraId="1DAA5559">
      <w:pPr>
        <w:spacing w:line="576" w:lineRule="exact"/>
        <w:ind w:firstLine="643" w:firstLineChars="200"/>
        <w:rPr>
          <w:rFonts w:ascii="仿宋" w:hAnsi="仿宋" w:eastAsia="仿宋" w:cs="仿宋"/>
          <w:sz w:val="32"/>
          <w:szCs w:val="32"/>
          <w:highlight w:val="none"/>
        </w:rPr>
      </w:pPr>
      <w:r>
        <w:rPr>
          <w:rFonts w:hint="eastAsia" w:ascii="仿宋_GB2312" w:hAnsi="仿宋_GB2312" w:eastAsia="仿宋_GB2312" w:cs="仿宋_GB2312"/>
          <w:b/>
          <w:bCs/>
          <w:color w:val="auto"/>
          <w:sz w:val="32"/>
          <w:szCs w:val="32"/>
          <w:highlight w:val="none"/>
        </w:rPr>
        <w:t>公务用车运行维护费支出</w:t>
      </w:r>
      <w:r>
        <w:rPr>
          <w:rFonts w:hint="eastAsia" w:ascii="仿宋_GB2312" w:hAnsi="仿宋_GB2312" w:eastAsia="仿宋_GB2312" w:cs="仿宋_GB2312"/>
          <w:b/>
          <w:bCs/>
          <w:color w:val="auto"/>
          <w:sz w:val="32"/>
          <w:szCs w:val="32"/>
          <w:highlight w:val="none"/>
          <w:lang w:val="en-US" w:eastAsia="zh-CN"/>
        </w:rPr>
        <w:t>7.33</w:t>
      </w:r>
      <w:r>
        <w:rPr>
          <w:rFonts w:hint="eastAsia" w:ascii="仿宋_GB2312" w:hAnsi="仿宋_GB2312" w:eastAsia="仿宋_GB2312" w:cs="仿宋_GB2312"/>
          <w:b/>
          <w:bCs/>
          <w:color w:val="auto"/>
          <w:sz w:val="32"/>
          <w:szCs w:val="32"/>
          <w:highlight w:val="none"/>
        </w:rPr>
        <w:t>万元。</w:t>
      </w:r>
      <w:r>
        <w:rPr>
          <w:rFonts w:hint="eastAsia" w:ascii="仿宋_GB2312" w:hAnsi="仿宋_GB2312" w:eastAsia="仿宋_GB2312" w:cs="仿宋_GB2312"/>
          <w:color w:val="auto"/>
          <w:sz w:val="32"/>
          <w:szCs w:val="32"/>
          <w:highlight w:val="none"/>
        </w:rPr>
        <w:t>主要用于乡村振兴、病虫害防控、农产品安全抽样、动物防疫、督察工作等所需的公务用车燃料费、维修费、过路过桥费、保险费等支出。</w:t>
      </w:r>
    </w:p>
    <w:p w14:paraId="13E0C757">
      <w:pPr>
        <w:spacing w:line="576" w:lineRule="exact"/>
        <w:ind w:firstLine="643" w:firstLineChars="200"/>
        <w:rPr>
          <w:rFonts w:hint="eastAsia" w:ascii="仿宋_GB2312" w:hAnsi="Calibri" w:eastAsia="仿宋_GB2312"/>
          <w:color w:val="auto"/>
          <w:sz w:val="32"/>
          <w:szCs w:val="32"/>
          <w:highlight w:val="none"/>
          <w:lang w:eastAsia="zh-CN"/>
        </w:rPr>
      </w:pPr>
      <w:r>
        <w:rPr>
          <w:rFonts w:hint="eastAsia" w:ascii="仿宋_GB2312" w:hAnsi="Calibri" w:eastAsia="仿宋_GB2312"/>
          <w:b/>
          <w:color w:val="auto"/>
          <w:sz w:val="32"/>
          <w:szCs w:val="32"/>
          <w:highlight w:val="none"/>
        </w:rPr>
        <w:t>3.公务接待费支出</w:t>
      </w:r>
      <w:r>
        <w:rPr>
          <w:rFonts w:hint="eastAsia" w:ascii="仿宋_GB2312" w:hAnsi="Calibri" w:eastAsia="仿宋_GB2312"/>
          <w:b/>
          <w:color w:val="auto"/>
          <w:sz w:val="32"/>
          <w:szCs w:val="32"/>
          <w:highlight w:val="none"/>
          <w:lang w:val="en-US" w:eastAsia="zh-CN"/>
        </w:rPr>
        <w:t>10.90</w:t>
      </w:r>
      <w:r>
        <w:rPr>
          <w:rFonts w:hint="eastAsia" w:ascii="仿宋_GB2312" w:hAnsi="Calibri" w:eastAsia="仿宋_GB2312"/>
          <w:color w:val="auto"/>
          <w:sz w:val="32"/>
          <w:szCs w:val="32"/>
          <w:highlight w:val="none"/>
        </w:rPr>
        <w:t>万元，完成预算100%。公务接待费支出决算比</w:t>
      </w:r>
      <w:r>
        <w:rPr>
          <w:rFonts w:hint="eastAsia" w:ascii="仿宋_GB2312" w:hAnsi="Calibri" w:eastAsia="仿宋_GB2312"/>
          <w:color w:val="auto"/>
          <w:sz w:val="32"/>
          <w:szCs w:val="32"/>
          <w:highlight w:val="none"/>
          <w:lang w:eastAsia="zh-CN"/>
        </w:rPr>
        <w:t>2023年</w:t>
      </w:r>
      <w:r>
        <w:rPr>
          <w:rFonts w:hint="eastAsia" w:ascii="仿宋_GB2312" w:hAnsi="仿宋_GB2312" w:eastAsia="仿宋_GB2312" w:cs="仿宋_GB2312"/>
          <w:color w:val="auto"/>
          <w:sz w:val="32"/>
          <w:szCs w:val="32"/>
          <w:highlight w:val="none"/>
        </w:rPr>
        <w:t>增加</w:t>
      </w:r>
      <w:r>
        <w:rPr>
          <w:rFonts w:hint="eastAsia" w:ascii="仿宋_GB2312" w:hAnsi="仿宋_GB2312" w:eastAsia="仿宋_GB2312" w:cs="仿宋_GB2312"/>
          <w:color w:val="auto"/>
          <w:sz w:val="32"/>
          <w:szCs w:val="32"/>
          <w:highlight w:val="none"/>
          <w:lang w:val="en-US" w:eastAsia="zh-CN"/>
        </w:rPr>
        <w:t>1.83</w:t>
      </w:r>
      <w:r>
        <w:rPr>
          <w:rFonts w:hint="eastAsia" w:ascii="仿宋_GB2312" w:hAnsi="仿宋_GB2312" w:eastAsia="仿宋_GB2312" w:cs="仿宋_GB2312"/>
          <w:color w:val="auto"/>
          <w:sz w:val="32"/>
          <w:szCs w:val="32"/>
          <w:highlight w:val="none"/>
        </w:rPr>
        <w:t>万元，上升</w:t>
      </w:r>
      <w:r>
        <w:rPr>
          <w:rFonts w:hint="eastAsia" w:ascii="仿宋_GB2312" w:hAnsi="仿宋_GB2312" w:eastAsia="仿宋_GB2312" w:cs="仿宋_GB2312"/>
          <w:color w:val="auto"/>
          <w:sz w:val="32"/>
          <w:szCs w:val="32"/>
          <w:highlight w:val="none"/>
          <w:lang w:val="en-US" w:eastAsia="zh-CN"/>
        </w:rPr>
        <w:t>20.18</w:t>
      </w:r>
      <w:r>
        <w:rPr>
          <w:rFonts w:hint="eastAsia" w:ascii="仿宋_GB2312" w:hAnsi="仿宋_GB2312" w:eastAsia="仿宋_GB2312" w:cs="仿宋_GB2312"/>
          <w:color w:val="auto"/>
          <w:sz w:val="32"/>
          <w:szCs w:val="32"/>
          <w:highlight w:val="none"/>
        </w:rPr>
        <w:t>%。</w:t>
      </w:r>
      <w:r>
        <w:rPr>
          <w:rFonts w:hint="eastAsia" w:ascii="仿宋_GB2312" w:hAnsi="Calibri" w:eastAsia="仿宋_GB2312"/>
          <w:color w:val="auto"/>
          <w:sz w:val="32"/>
          <w:szCs w:val="32"/>
          <w:highlight w:val="none"/>
        </w:rPr>
        <w:t>。主要原因是乡村振兴局并入，项目增多，</w:t>
      </w:r>
      <w:r>
        <w:rPr>
          <w:rFonts w:hint="eastAsia" w:ascii="仿宋_GB2312" w:hAnsi="Calibri" w:eastAsia="仿宋_GB2312"/>
          <w:color w:val="auto"/>
          <w:sz w:val="32"/>
          <w:szCs w:val="32"/>
          <w:highlight w:val="none"/>
          <w:lang w:eastAsia="zh-CN"/>
        </w:rPr>
        <w:t>接待增多</w:t>
      </w:r>
      <w:r>
        <w:rPr>
          <w:rFonts w:hint="eastAsia" w:ascii="仿宋_GB2312" w:hAnsi="Calibri" w:eastAsia="仿宋_GB2312"/>
          <w:color w:val="auto"/>
          <w:sz w:val="32"/>
          <w:szCs w:val="32"/>
          <w:highlight w:val="none"/>
        </w:rPr>
        <w:t>。其中</w:t>
      </w:r>
      <w:r>
        <w:rPr>
          <w:rFonts w:hint="eastAsia" w:ascii="仿宋_GB2312" w:hAnsi="Calibri" w:eastAsia="仿宋_GB2312"/>
          <w:color w:val="auto"/>
          <w:sz w:val="32"/>
          <w:szCs w:val="32"/>
          <w:highlight w:val="none"/>
          <w:lang w:eastAsia="zh-CN"/>
        </w:rPr>
        <w:t>：</w:t>
      </w:r>
    </w:p>
    <w:p w14:paraId="62EA21F2">
      <w:pPr>
        <w:spacing w:line="600" w:lineRule="exact"/>
        <w:ind w:firstLine="640"/>
        <w:rPr>
          <w:rFonts w:ascii="仿宋" w:hAnsi="仿宋" w:eastAsia="仿宋" w:cs="仿宋"/>
          <w:sz w:val="32"/>
          <w:szCs w:val="32"/>
          <w:highlight w:val="none"/>
        </w:rPr>
      </w:pPr>
      <w:r>
        <w:rPr>
          <w:rFonts w:hint="eastAsia" w:ascii="仿宋" w:hAnsi="仿宋" w:eastAsia="仿宋"/>
          <w:b/>
          <w:color w:val="auto"/>
          <w:sz w:val="32"/>
          <w:szCs w:val="32"/>
          <w:highlight w:val="none"/>
        </w:rPr>
        <w:t>国内公务接待支出</w:t>
      </w:r>
      <w:r>
        <w:rPr>
          <w:rFonts w:hint="eastAsia" w:ascii="仿宋_GB2312" w:hAnsi="Calibri" w:eastAsia="仿宋_GB2312"/>
          <w:color w:val="auto"/>
          <w:sz w:val="32"/>
          <w:szCs w:val="32"/>
          <w:highlight w:val="none"/>
          <w:lang w:val="en-US" w:eastAsia="zh-CN"/>
        </w:rPr>
        <w:t>10.90</w:t>
      </w:r>
      <w:r>
        <w:rPr>
          <w:rFonts w:hint="eastAsia" w:ascii="仿宋_GB2312" w:hAnsi="Calibri" w:eastAsia="仿宋_GB2312"/>
          <w:color w:val="auto"/>
          <w:sz w:val="32"/>
          <w:szCs w:val="32"/>
          <w:highlight w:val="none"/>
        </w:rPr>
        <w:t>万元，主要用于省市部门督查及其他县区部门考察农（畜）产品质量安全工作、屠宰管理工作、农村产权改革工作、乡村振兴、农业项目等工作执行公务、开展业务活动开支的交通费、住宿费、用餐费等。</w:t>
      </w:r>
      <w:r>
        <w:rPr>
          <w:rFonts w:hint="eastAsia" w:ascii="仿宋_GB2312" w:eastAsia="仿宋_GB2312"/>
          <w:color w:val="auto"/>
          <w:sz w:val="32"/>
          <w:szCs w:val="32"/>
          <w:highlight w:val="none"/>
        </w:rPr>
        <w:t>国内公务接待</w:t>
      </w:r>
      <w:r>
        <w:rPr>
          <w:rFonts w:hint="eastAsia" w:ascii="仿宋_GB2312" w:eastAsia="仿宋_GB2312"/>
          <w:color w:val="auto"/>
          <w:sz w:val="32"/>
          <w:szCs w:val="32"/>
          <w:highlight w:val="none"/>
          <w:lang w:val="en-US" w:eastAsia="zh-CN"/>
        </w:rPr>
        <w:t>138</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992</w:t>
      </w:r>
      <w:r>
        <w:rPr>
          <w:rFonts w:hint="eastAsia" w:ascii="仿宋_GB2312" w:eastAsia="仿宋_GB2312"/>
          <w:color w:val="auto"/>
          <w:sz w:val="32"/>
          <w:szCs w:val="32"/>
          <w:highlight w:val="none"/>
        </w:rPr>
        <w:t>人次（不包括陪同人员），共计支出</w:t>
      </w:r>
      <w:r>
        <w:rPr>
          <w:rFonts w:hint="eastAsia" w:ascii="仿宋_GB2312" w:eastAsia="仿宋_GB2312"/>
          <w:color w:val="auto"/>
          <w:sz w:val="32"/>
          <w:szCs w:val="32"/>
          <w:highlight w:val="none"/>
          <w:lang w:val="en-US" w:eastAsia="zh-CN"/>
        </w:rPr>
        <w:t>10.9</w:t>
      </w:r>
      <w:r>
        <w:rPr>
          <w:rFonts w:hint="eastAsia" w:ascii="仿宋_GB2312" w:eastAsia="仿宋_GB2312"/>
          <w:color w:val="auto"/>
          <w:sz w:val="32"/>
          <w:szCs w:val="32"/>
          <w:highlight w:val="none"/>
        </w:rPr>
        <w:t>万元，具体内容包括：主要用于省市部门督查及其他县区部门考察农（畜）产品质量安全工作、屠宰管理工作、农村产权改革工作、乡村振兴、农业项目等工作执行公务、开展业务活动开支的交通费、住宿费、用餐费等。</w:t>
      </w:r>
    </w:p>
    <w:p w14:paraId="703F2ACC">
      <w:pPr>
        <w:spacing w:line="576" w:lineRule="exact"/>
        <w:ind w:firstLine="643" w:firstLineChars="200"/>
        <w:rPr>
          <w:rFonts w:ascii="仿宋" w:hAnsi="仿宋" w:eastAsia="仿宋" w:cs="仿宋"/>
          <w:sz w:val="32"/>
          <w:szCs w:val="32"/>
          <w:highlight w:val="none"/>
        </w:rPr>
      </w:pPr>
      <w:r>
        <w:rPr>
          <w:rFonts w:hint="eastAsia" w:ascii="仿宋" w:hAnsi="仿宋" w:eastAsia="仿宋"/>
          <w:b/>
          <w:color w:val="auto"/>
          <w:sz w:val="32"/>
          <w:szCs w:val="32"/>
          <w:highlight w:val="none"/>
        </w:rPr>
        <w:t>外事接待支出</w:t>
      </w:r>
      <w:r>
        <w:rPr>
          <w:rFonts w:hint="eastAsia" w:ascii="仿宋_GB2312" w:hAnsi="Calibri" w:eastAsia="仿宋_GB2312"/>
          <w:color w:val="auto"/>
          <w:sz w:val="32"/>
          <w:szCs w:val="32"/>
          <w:highlight w:val="none"/>
        </w:rPr>
        <w:t>0万元。</w:t>
      </w:r>
    </w:p>
    <w:p w14:paraId="6C654FFD">
      <w:pPr>
        <w:spacing w:line="600" w:lineRule="exact"/>
        <w:ind w:firstLine="640"/>
        <w:outlineLvl w:val="9"/>
        <w:rPr>
          <w:rFonts w:hint="eastAsia" w:ascii="黑体" w:eastAsia="黑体"/>
          <w:color w:val="auto"/>
          <w:sz w:val="32"/>
          <w:szCs w:val="32"/>
          <w:highlight w:val="none"/>
        </w:rPr>
      </w:pPr>
    </w:p>
    <w:p w14:paraId="5ADC3AE1">
      <w:pPr>
        <w:spacing w:line="600" w:lineRule="exact"/>
        <w:ind w:firstLine="640"/>
        <w:outlineLvl w:val="1"/>
        <w:rPr>
          <w:rStyle w:val="41"/>
          <w:rFonts w:ascii="黑体" w:hAnsi="黑体" w:eastAsia="黑体"/>
          <w:color w:val="auto"/>
          <w:highlight w:val="none"/>
        </w:rPr>
      </w:pPr>
      <w:bookmarkStart w:id="19" w:name="_Toc2089136322"/>
      <w:r>
        <w:rPr>
          <w:rFonts w:hint="eastAsia" w:ascii="黑体" w:eastAsia="黑体"/>
          <w:color w:val="auto"/>
          <w:sz w:val="32"/>
          <w:szCs w:val="32"/>
          <w:highlight w:val="none"/>
        </w:rPr>
        <w:t>八、</w:t>
      </w:r>
      <w:r>
        <w:rPr>
          <w:rStyle w:val="41"/>
          <w:rFonts w:hint="eastAsia" w:ascii="黑体" w:hAnsi="黑体" w:eastAsia="黑体"/>
          <w:b w:val="0"/>
          <w:color w:val="auto"/>
          <w:highlight w:val="none"/>
        </w:rPr>
        <w:t>政府性基金预算支出决算情况说明</w:t>
      </w:r>
      <w:bookmarkEnd w:id="19"/>
    </w:p>
    <w:p w14:paraId="4DB7465A">
      <w:pPr>
        <w:spacing w:line="600" w:lineRule="exact"/>
        <w:ind w:firstLine="640"/>
        <w:rPr>
          <w:rFonts w:ascii="仿宋_GB2312" w:eastAsia="仿宋_GB2312"/>
          <w:color w:val="auto"/>
          <w:sz w:val="32"/>
          <w:szCs w:val="32"/>
          <w:highlight w:val="none"/>
        </w:rPr>
      </w:pPr>
      <w:r>
        <w:rPr>
          <w:rFonts w:hint="eastAsia" w:ascii="仿宋_GB2312" w:eastAsia="仿宋_GB2312"/>
          <w:color w:val="auto"/>
          <w:sz w:val="32"/>
          <w:szCs w:val="32"/>
          <w:highlight w:val="none"/>
          <w:lang w:eastAsia="zh-CN"/>
        </w:rPr>
        <w:t>202</w:t>
      </w: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度</w:t>
      </w:r>
      <w:r>
        <w:rPr>
          <w:rFonts w:hint="eastAsia" w:ascii="仿宋_GB2312" w:eastAsia="仿宋_GB2312"/>
          <w:color w:val="auto"/>
          <w:sz w:val="32"/>
          <w:szCs w:val="32"/>
          <w:highlight w:val="none"/>
        </w:rPr>
        <w:t>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2F792CE6">
      <w:pPr>
        <w:spacing w:line="600" w:lineRule="exact"/>
        <w:ind w:firstLine="640"/>
        <w:rPr>
          <w:rFonts w:ascii="仿宋_GB2312" w:eastAsia="仿宋_GB2312"/>
          <w:color w:val="auto"/>
          <w:sz w:val="32"/>
          <w:szCs w:val="32"/>
          <w:highlight w:val="none"/>
        </w:rPr>
      </w:pPr>
    </w:p>
    <w:p w14:paraId="27F5DF7C">
      <w:pPr>
        <w:numPr>
          <w:ilvl w:val="0"/>
          <w:numId w:val="3"/>
        </w:numPr>
        <w:spacing w:line="600" w:lineRule="exact"/>
        <w:ind w:firstLine="640"/>
        <w:outlineLvl w:val="1"/>
        <w:rPr>
          <w:rStyle w:val="41"/>
          <w:rFonts w:ascii="黑体" w:hAnsi="黑体" w:eastAsia="黑体"/>
          <w:b w:val="0"/>
          <w:color w:val="auto"/>
          <w:highlight w:val="none"/>
        </w:rPr>
      </w:pPr>
      <w:bookmarkStart w:id="20" w:name="_Toc15377219"/>
      <w:bookmarkStart w:id="21" w:name="_Toc15396611"/>
      <w:bookmarkStart w:id="22" w:name="_Toc1943536075"/>
      <w:r>
        <w:rPr>
          <w:rStyle w:val="41"/>
          <w:rFonts w:hint="eastAsia" w:ascii="黑体" w:hAnsi="黑体" w:eastAsia="黑体"/>
          <w:b w:val="0"/>
          <w:color w:val="auto"/>
          <w:highlight w:val="none"/>
        </w:rPr>
        <w:t>国有资本经营预算支出决算情况说明</w:t>
      </w:r>
      <w:bookmarkEnd w:id="20"/>
      <w:bookmarkEnd w:id="21"/>
      <w:bookmarkEnd w:id="22"/>
    </w:p>
    <w:p w14:paraId="73BB1A9B">
      <w:pPr>
        <w:spacing w:line="600" w:lineRule="exact"/>
        <w:ind w:firstLine="640"/>
        <w:rPr>
          <w:rFonts w:ascii="仿宋_GB2312" w:eastAsia="仿宋_GB2312"/>
          <w:color w:val="auto"/>
          <w:sz w:val="32"/>
          <w:szCs w:val="32"/>
          <w:highlight w:val="none"/>
        </w:rPr>
      </w:pPr>
      <w:r>
        <w:rPr>
          <w:rFonts w:hint="eastAsia" w:ascii="仿宋_GB2312" w:eastAsia="仿宋_GB2312"/>
          <w:color w:val="auto"/>
          <w:sz w:val="32"/>
          <w:szCs w:val="32"/>
          <w:highlight w:val="none"/>
          <w:lang w:eastAsia="zh-CN"/>
        </w:rPr>
        <w:t>202</w:t>
      </w: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度</w:t>
      </w:r>
      <w:r>
        <w:rPr>
          <w:rFonts w:hint="eastAsia" w:ascii="仿宋_GB2312" w:eastAsia="仿宋_GB2312"/>
          <w:color w:val="auto"/>
          <w:sz w:val="32"/>
          <w:szCs w:val="32"/>
          <w:highlight w:val="none"/>
        </w:rPr>
        <w:t>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1F1684E2">
      <w:pPr>
        <w:spacing w:line="580" w:lineRule="exact"/>
        <w:jc w:val="center"/>
        <w:rPr>
          <w:rFonts w:ascii="方正小标宋简体" w:hAnsi="方正小标宋简体" w:eastAsia="方正小标宋简体" w:cs="方正小标宋简体"/>
          <w:color w:val="auto"/>
          <w:sz w:val="44"/>
          <w:szCs w:val="44"/>
          <w:highlight w:val="none"/>
        </w:rPr>
      </w:pPr>
    </w:p>
    <w:p w14:paraId="272F8734">
      <w:pPr>
        <w:numPr>
          <w:ilvl w:val="0"/>
          <w:numId w:val="3"/>
        </w:numPr>
        <w:spacing w:line="600" w:lineRule="exact"/>
        <w:ind w:firstLine="640"/>
        <w:outlineLvl w:val="1"/>
        <w:rPr>
          <w:rStyle w:val="41"/>
          <w:rFonts w:hint="eastAsia" w:ascii="黑体" w:hAnsi="黑体" w:eastAsia="黑体"/>
          <w:b w:val="0"/>
          <w:color w:val="auto"/>
          <w:highlight w:val="none"/>
        </w:rPr>
      </w:pPr>
      <w:bookmarkStart w:id="23" w:name="_Toc15377221"/>
      <w:bookmarkStart w:id="24" w:name="_Toc15396612"/>
      <w:bookmarkStart w:id="25" w:name="_Toc1640616673"/>
      <w:r>
        <w:rPr>
          <w:rStyle w:val="41"/>
          <w:rFonts w:hint="eastAsia" w:ascii="黑体" w:hAnsi="黑体" w:eastAsia="黑体"/>
          <w:b w:val="0"/>
          <w:color w:val="auto"/>
          <w:highlight w:val="none"/>
        </w:rPr>
        <w:t>其他重要事项的情况说明</w:t>
      </w:r>
      <w:bookmarkEnd w:id="23"/>
      <w:bookmarkEnd w:id="24"/>
      <w:bookmarkEnd w:id="25"/>
    </w:p>
    <w:p w14:paraId="4A10D3B9">
      <w:pPr>
        <w:spacing w:line="600" w:lineRule="exact"/>
        <w:ind w:firstLine="643" w:firstLineChars="200"/>
        <w:outlineLvl w:val="2"/>
        <w:rPr>
          <w:rFonts w:ascii="仿宋" w:hAnsi="仿宋" w:eastAsia="仿宋"/>
          <w:color w:val="auto"/>
          <w:sz w:val="32"/>
          <w:szCs w:val="32"/>
          <w:highlight w:val="none"/>
        </w:rPr>
      </w:pPr>
      <w:bookmarkStart w:id="26" w:name="_Toc15377222"/>
      <w:r>
        <w:rPr>
          <w:rFonts w:hint="eastAsia" w:ascii="仿宋" w:hAnsi="仿宋" w:eastAsia="仿宋"/>
          <w:b/>
          <w:color w:val="auto"/>
          <w:sz w:val="32"/>
          <w:szCs w:val="32"/>
          <w:highlight w:val="none"/>
        </w:rPr>
        <w:t>（一）机关运行经费支出情况</w:t>
      </w:r>
      <w:bookmarkEnd w:id="26"/>
    </w:p>
    <w:p w14:paraId="09DB7660">
      <w:pPr>
        <w:spacing w:line="600" w:lineRule="exact"/>
        <w:ind w:firstLine="640" w:firstLineChars="200"/>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lang w:eastAsia="zh-CN"/>
        </w:rPr>
        <w:t>202</w:t>
      </w: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度</w:t>
      </w:r>
      <w:r>
        <w:rPr>
          <w:rFonts w:hint="eastAsia" w:ascii="仿宋_GB2312" w:eastAsia="仿宋_GB2312"/>
          <w:color w:val="auto"/>
          <w:sz w:val="32"/>
          <w:szCs w:val="32"/>
          <w:highlight w:val="none"/>
        </w:rPr>
        <w:t>，广元市利州区农业农村局机关运行经费支出</w:t>
      </w:r>
      <w:r>
        <w:rPr>
          <w:rFonts w:hint="eastAsia" w:ascii="仿宋_GB2312" w:eastAsia="仿宋_GB2312"/>
          <w:color w:val="auto"/>
          <w:sz w:val="32"/>
          <w:szCs w:val="32"/>
          <w:highlight w:val="none"/>
          <w:lang w:val="en-US" w:eastAsia="zh-CN"/>
        </w:rPr>
        <w:t>265.59</w:t>
      </w:r>
      <w:r>
        <w:rPr>
          <w:rFonts w:hint="eastAsia" w:ascii="仿宋_GB2312" w:eastAsia="仿宋_GB2312"/>
          <w:color w:val="auto"/>
          <w:sz w:val="32"/>
          <w:szCs w:val="32"/>
          <w:highlight w:val="none"/>
        </w:rPr>
        <w:t>万元，比</w:t>
      </w:r>
      <w:r>
        <w:rPr>
          <w:rFonts w:hint="eastAsia" w:ascii="仿宋_GB2312" w:eastAsia="仿宋_GB2312"/>
          <w:color w:val="auto"/>
          <w:sz w:val="32"/>
          <w:szCs w:val="32"/>
          <w:highlight w:val="none"/>
          <w:lang w:eastAsia="zh-CN"/>
        </w:rPr>
        <w:t>202</w:t>
      </w: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度</w:t>
      </w:r>
      <w:r>
        <w:rPr>
          <w:rFonts w:hint="eastAsia" w:ascii="仿宋_GB2312" w:eastAsia="仿宋_GB2312"/>
          <w:color w:val="auto"/>
          <w:sz w:val="32"/>
          <w:szCs w:val="32"/>
          <w:highlight w:val="none"/>
        </w:rPr>
        <w:t>增加</w:t>
      </w:r>
      <w:r>
        <w:rPr>
          <w:rFonts w:hint="eastAsia" w:ascii="仿宋_GB2312" w:eastAsia="仿宋_GB2312"/>
          <w:color w:val="auto"/>
          <w:sz w:val="32"/>
          <w:szCs w:val="32"/>
          <w:highlight w:val="none"/>
          <w:lang w:val="en-US" w:eastAsia="zh-CN"/>
        </w:rPr>
        <w:t>33.37</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14.37</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eastAsia="zh-CN"/>
        </w:rPr>
        <w:t>乡村振兴局并入，</w:t>
      </w:r>
      <w:r>
        <w:rPr>
          <w:rFonts w:hint="eastAsia" w:ascii="仿宋_GB2312" w:eastAsia="仿宋_GB2312"/>
          <w:color w:val="auto"/>
          <w:sz w:val="32"/>
          <w:szCs w:val="32"/>
          <w:highlight w:val="none"/>
        </w:rPr>
        <w:t>工作人员增加，助力项目提质增效。</w:t>
      </w:r>
    </w:p>
    <w:p w14:paraId="2B45BA0A">
      <w:pPr>
        <w:spacing w:line="600" w:lineRule="exact"/>
        <w:ind w:firstLine="643" w:firstLineChars="200"/>
        <w:rPr>
          <w:rFonts w:ascii="仿宋" w:hAnsi="仿宋" w:eastAsia="仿宋"/>
          <w:b/>
          <w:color w:val="auto"/>
          <w:sz w:val="32"/>
          <w:szCs w:val="32"/>
          <w:highlight w:val="none"/>
        </w:rPr>
      </w:pPr>
      <w:r>
        <w:rPr>
          <w:rFonts w:hint="eastAsia" w:ascii="仿宋" w:hAnsi="仿宋" w:eastAsia="仿宋"/>
          <w:b/>
          <w:color w:val="auto"/>
          <w:sz w:val="32"/>
          <w:szCs w:val="32"/>
          <w:highlight w:val="none"/>
        </w:rPr>
        <w:t>（注：数据来源于财决附</w:t>
      </w:r>
      <w:r>
        <w:rPr>
          <w:rFonts w:ascii="仿宋" w:hAnsi="仿宋" w:eastAsia="仿宋"/>
          <w:b/>
          <w:color w:val="auto"/>
          <w:sz w:val="32"/>
          <w:szCs w:val="32"/>
          <w:highlight w:val="none"/>
        </w:rPr>
        <w:t>03</w:t>
      </w:r>
      <w:r>
        <w:rPr>
          <w:rFonts w:hint="eastAsia" w:ascii="仿宋" w:hAnsi="仿宋" w:eastAsia="仿宋"/>
          <w:b/>
          <w:color w:val="auto"/>
          <w:sz w:val="32"/>
          <w:szCs w:val="32"/>
          <w:highlight w:val="none"/>
        </w:rPr>
        <w:t>表）</w:t>
      </w:r>
    </w:p>
    <w:p w14:paraId="0CC54E39">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27" w:name="_Toc15377223"/>
      <w:r>
        <w:rPr>
          <w:rFonts w:hint="eastAsia" w:ascii="仿宋" w:hAnsi="仿宋" w:eastAsia="仿宋"/>
          <w:b/>
          <w:color w:val="auto"/>
          <w:sz w:val="32"/>
          <w:szCs w:val="32"/>
          <w:highlight w:val="none"/>
        </w:rPr>
        <w:t>（二）政府采购支出情况</w:t>
      </w:r>
      <w:bookmarkEnd w:id="27"/>
    </w:p>
    <w:p w14:paraId="55F96DB6">
      <w:pPr>
        <w:spacing w:line="576"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eastAsia="zh-CN"/>
        </w:rPr>
        <w:t>202</w:t>
      </w: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度</w:t>
      </w:r>
      <w:r>
        <w:rPr>
          <w:rFonts w:hint="eastAsia" w:ascii="仿宋_GB2312" w:eastAsia="仿宋_GB2312"/>
          <w:color w:val="auto"/>
          <w:sz w:val="32"/>
          <w:szCs w:val="32"/>
          <w:highlight w:val="none"/>
        </w:rPr>
        <w:t>，广元市利州区农业农村局政府采购支出总额</w:t>
      </w:r>
      <w:r>
        <w:rPr>
          <w:rFonts w:hint="eastAsia" w:ascii="仿宋_GB2312" w:eastAsia="仿宋_GB2312"/>
          <w:color w:val="auto"/>
          <w:sz w:val="32"/>
          <w:szCs w:val="32"/>
          <w:highlight w:val="none"/>
          <w:lang w:val="en-US" w:eastAsia="zh-CN"/>
        </w:rPr>
        <w:t>261.49</w:t>
      </w:r>
      <w:r>
        <w:rPr>
          <w:rFonts w:hint="eastAsia" w:ascii="仿宋_GB2312" w:eastAsia="仿宋_GB2312"/>
          <w:color w:val="auto"/>
          <w:sz w:val="32"/>
          <w:szCs w:val="32"/>
          <w:highlight w:val="none"/>
        </w:rPr>
        <w:t>万元，其中：政府采购货物支出</w:t>
      </w:r>
      <w:r>
        <w:rPr>
          <w:rFonts w:hint="eastAsia" w:ascii="仿宋_GB2312" w:eastAsia="仿宋_GB2312"/>
          <w:color w:val="auto"/>
          <w:sz w:val="32"/>
          <w:szCs w:val="32"/>
          <w:highlight w:val="none"/>
          <w:lang w:val="en-US" w:eastAsia="zh-CN"/>
        </w:rPr>
        <w:t>224.99</w:t>
      </w:r>
      <w:r>
        <w:rPr>
          <w:rFonts w:hint="eastAsia" w:ascii="仿宋_GB2312" w:eastAsia="仿宋_GB2312"/>
          <w:color w:val="auto"/>
          <w:sz w:val="32"/>
          <w:szCs w:val="32"/>
          <w:highlight w:val="none"/>
        </w:rPr>
        <w:t>万元、政府采购工程支出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万元、政府采购服务支出</w:t>
      </w:r>
      <w:r>
        <w:rPr>
          <w:rFonts w:hint="eastAsia" w:ascii="仿宋_GB2312" w:eastAsia="仿宋_GB2312"/>
          <w:color w:val="auto"/>
          <w:sz w:val="32"/>
          <w:szCs w:val="32"/>
          <w:highlight w:val="none"/>
          <w:lang w:val="en-US" w:eastAsia="zh-CN"/>
        </w:rPr>
        <w:t>36.5</w:t>
      </w:r>
      <w:r>
        <w:rPr>
          <w:rFonts w:hint="eastAsia" w:ascii="仿宋_GB2312" w:eastAsia="仿宋_GB2312"/>
          <w:color w:val="auto"/>
          <w:sz w:val="32"/>
          <w:szCs w:val="32"/>
          <w:highlight w:val="none"/>
        </w:rPr>
        <w:t>万元。主要用于</w:t>
      </w:r>
      <w:r>
        <w:rPr>
          <w:rFonts w:hint="eastAsia" w:ascii="仿宋_GB2312" w:eastAsia="仿宋_GB2312"/>
          <w:color w:val="auto"/>
          <w:sz w:val="32"/>
          <w:szCs w:val="32"/>
          <w:highlight w:val="none"/>
          <w:lang w:val="en-US" w:eastAsia="zh-CN"/>
        </w:rPr>
        <w:t>基层农技推广、高标准农田建设项目、农产品质量安全监管服务站标准化建设等工作</w:t>
      </w:r>
      <w:r>
        <w:rPr>
          <w:rFonts w:hint="eastAsia" w:ascii="仿宋_GB2312" w:eastAsia="仿宋_GB2312"/>
          <w:color w:val="auto"/>
          <w:sz w:val="32"/>
          <w:szCs w:val="32"/>
          <w:highlight w:val="none"/>
        </w:rPr>
        <w:t>。授予中小企业合同金额</w:t>
      </w:r>
      <w:r>
        <w:rPr>
          <w:rFonts w:hint="eastAsia" w:ascii="仿宋_GB2312" w:eastAsia="仿宋_GB2312"/>
          <w:color w:val="auto"/>
          <w:sz w:val="32"/>
          <w:szCs w:val="32"/>
          <w:highlight w:val="none"/>
          <w:lang w:val="en-US" w:eastAsia="zh-CN"/>
        </w:rPr>
        <w:t>261.49</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100</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，其中：授予小微企业合同金额</w:t>
      </w:r>
      <w:r>
        <w:rPr>
          <w:rFonts w:hint="eastAsia" w:ascii="仿宋_GB2312" w:eastAsia="仿宋_GB2312"/>
          <w:color w:val="auto"/>
          <w:sz w:val="32"/>
          <w:szCs w:val="32"/>
          <w:highlight w:val="none"/>
          <w:lang w:val="en-US" w:eastAsia="zh-CN"/>
        </w:rPr>
        <w:t>261.49</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100</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p>
    <w:p w14:paraId="374EE846">
      <w:pPr>
        <w:spacing w:line="600" w:lineRule="exact"/>
        <w:ind w:firstLine="643" w:firstLineChars="200"/>
        <w:rPr>
          <w:rFonts w:hint="eastAsia" w:ascii="Lucida Sans" w:hAnsi="仿宋" w:eastAsia="仿宋" w:cs="仿宋"/>
          <w:sz w:val="32"/>
          <w:szCs w:val="32"/>
          <w:highlight w:val="none"/>
        </w:rPr>
      </w:pPr>
      <w:r>
        <w:rPr>
          <w:rFonts w:hint="eastAsia" w:ascii="仿宋" w:hAnsi="仿宋" w:eastAsia="仿宋"/>
          <w:b/>
          <w:color w:val="auto"/>
          <w:sz w:val="32"/>
          <w:szCs w:val="32"/>
          <w:highlight w:val="none"/>
        </w:rPr>
        <w:t>（注：数据来源于财决附</w:t>
      </w:r>
      <w:r>
        <w:rPr>
          <w:rFonts w:ascii="仿宋" w:hAnsi="仿宋" w:eastAsia="仿宋"/>
          <w:b/>
          <w:color w:val="auto"/>
          <w:sz w:val="32"/>
          <w:szCs w:val="32"/>
          <w:highlight w:val="none"/>
        </w:rPr>
        <w:t>03</w:t>
      </w:r>
      <w:r>
        <w:rPr>
          <w:rFonts w:hint="eastAsia" w:ascii="仿宋" w:hAnsi="仿宋" w:eastAsia="仿宋"/>
          <w:b/>
          <w:color w:val="auto"/>
          <w:sz w:val="32"/>
          <w:szCs w:val="32"/>
          <w:highlight w:val="none"/>
        </w:rPr>
        <w:t>表）</w:t>
      </w:r>
    </w:p>
    <w:p w14:paraId="000A3F3C">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28" w:name="_Toc15377224"/>
      <w:r>
        <w:rPr>
          <w:rFonts w:hint="eastAsia" w:ascii="仿宋" w:hAnsi="仿宋" w:eastAsia="仿宋"/>
          <w:b/>
          <w:color w:val="auto"/>
          <w:sz w:val="32"/>
          <w:szCs w:val="32"/>
          <w:highlight w:val="none"/>
        </w:rPr>
        <w:t>（三）国有资产占有使用情况</w:t>
      </w:r>
      <w:bookmarkEnd w:id="28"/>
    </w:p>
    <w:p w14:paraId="0E073C5E">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hint="eastAsia" w:ascii="仿宋_GB2312" w:eastAsia="仿宋_GB2312"/>
          <w:color w:val="auto"/>
          <w:sz w:val="32"/>
          <w:szCs w:val="32"/>
          <w:highlight w:val="none"/>
          <w:lang w:eastAsia="zh-CN"/>
        </w:rPr>
        <w:t>202</w:t>
      </w: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日，广元市利州区农业农村局共有车辆</w:t>
      </w:r>
      <w:r>
        <w:rPr>
          <w:rFonts w:hint="eastAsia" w:ascii="仿宋_GB2312" w:eastAsia="仿宋_GB2312"/>
          <w:color w:val="auto"/>
          <w:sz w:val="32"/>
          <w:szCs w:val="32"/>
          <w:highlight w:val="none"/>
          <w:lang w:val="en-US" w:eastAsia="zh-CN"/>
        </w:rPr>
        <w:t>2</w:t>
      </w:r>
      <w:r>
        <w:rPr>
          <w:rFonts w:hint="eastAsia" w:ascii="仿宋_GB2312" w:eastAsia="仿宋_GB2312"/>
          <w:color w:val="auto"/>
          <w:sz w:val="32"/>
          <w:szCs w:val="32"/>
          <w:highlight w:val="none"/>
        </w:rPr>
        <w:t>辆，其中：其他用车</w:t>
      </w:r>
      <w:r>
        <w:rPr>
          <w:rFonts w:hint="eastAsia" w:ascii="仿宋_GB2312" w:eastAsia="仿宋_GB2312"/>
          <w:color w:val="auto"/>
          <w:sz w:val="32"/>
          <w:szCs w:val="32"/>
          <w:highlight w:val="none"/>
          <w:lang w:val="en-US" w:eastAsia="zh-CN"/>
        </w:rPr>
        <w:t>2</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其他用车主要是用于农产品质量安全检测及农业执法工作</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万元以上设备</w:t>
      </w:r>
      <w:r>
        <w:rPr>
          <w:rFonts w:hint="eastAsia" w:ascii="仿宋_GB2312" w:eastAsia="仿宋_GB2312"/>
          <w:color w:val="auto"/>
          <w:sz w:val="32"/>
          <w:szCs w:val="32"/>
          <w:highlight w:val="none"/>
          <w:lang w:eastAsia="zh-CN"/>
        </w:rPr>
        <w:t>（不含车辆）</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14:paraId="04CDFF8B">
      <w:pPr>
        <w:autoSpaceDE w:val="0"/>
        <w:autoSpaceDN w:val="0"/>
        <w:adjustRightInd w:val="0"/>
        <w:spacing w:line="600" w:lineRule="exact"/>
        <w:ind w:firstLine="643" w:firstLineChars="200"/>
        <w:jc w:val="left"/>
        <w:rPr>
          <w:rFonts w:ascii="仿宋" w:hAnsi="仿宋" w:eastAsia="仿宋"/>
          <w:b/>
          <w:color w:val="auto"/>
          <w:sz w:val="32"/>
          <w:szCs w:val="32"/>
          <w:highlight w:val="none"/>
        </w:rPr>
      </w:pPr>
      <w:r>
        <w:rPr>
          <w:rFonts w:hint="eastAsia" w:ascii="仿宋" w:hAnsi="仿宋" w:eastAsia="仿宋"/>
          <w:b/>
          <w:color w:val="auto"/>
          <w:sz w:val="32"/>
          <w:szCs w:val="32"/>
          <w:highlight w:val="none"/>
        </w:rPr>
        <w:t>（注：数据来源</w:t>
      </w:r>
      <w:r>
        <w:rPr>
          <w:rFonts w:hint="eastAsia" w:ascii="仿宋" w:hAnsi="仿宋" w:eastAsia="仿宋"/>
          <w:b/>
          <w:color w:val="auto"/>
          <w:sz w:val="32"/>
          <w:szCs w:val="32"/>
          <w:highlight w:val="none"/>
          <w:lang w:eastAsia="zh-CN"/>
        </w:rPr>
        <w:t>于</w:t>
      </w:r>
      <w:r>
        <w:rPr>
          <w:rFonts w:hint="eastAsia" w:ascii="仿宋" w:hAnsi="仿宋" w:eastAsia="仿宋"/>
          <w:b/>
          <w:color w:val="auto"/>
          <w:sz w:val="32"/>
          <w:szCs w:val="32"/>
          <w:highlight w:val="none"/>
        </w:rPr>
        <w:t>财决附</w:t>
      </w:r>
      <w:r>
        <w:rPr>
          <w:rFonts w:ascii="仿宋" w:hAnsi="仿宋" w:eastAsia="仿宋"/>
          <w:b/>
          <w:color w:val="auto"/>
          <w:sz w:val="32"/>
          <w:szCs w:val="32"/>
          <w:highlight w:val="none"/>
        </w:rPr>
        <w:t>03</w:t>
      </w:r>
      <w:r>
        <w:rPr>
          <w:rFonts w:hint="eastAsia" w:ascii="仿宋" w:hAnsi="仿宋" w:eastAsia="仿宋"/>
          <w:b/>
          <w:color w:val="auto"/>
          <w:sz w:val="32"/>
          <w:szCs w:val="32"/>
          <w:highlight w:val="none"/>
        </w:rPr>
        <w:t>表）</w:t>
      </w:r>
    </w:p>
    <w:p w14:paraId="5C86932E">
      <w:pPr>
        <w:autoSpaceDE w:val="0"/>
        <w:autoSpaceDN w:val="0"/>
        <w:adjustRightInd w:val="0"/>
        <w:spacing w:line="600" w:lineRule="exact"/>
        <w:ind w:firstLine="643" w:firstLineChars="200"/>
        <w:jc w:val="left"/>
        <w:outlineLvl w:val="2"/>
        <w:rPr>
          <w:rFonts w:hint="eastAsia" w:ascii="仿宋" w:hAnsi="仿宋" w:eastAsia="仿宋"/>
          <w:b/>
          <w:color w:val="auto"/>
          <w:sz w:val="32"/>
          <w:szCs w:val="32"/>
          <w:highlight w:val="none"/>
          <w:lang w:eastAsia="zh-CN"/>
        </w:rPr>
      </w:pPr>
      <w:r>
        <w:rPr>
          <w:rFonts w:hint="eastAsia" w:ascii="仿宋" w:hAnsi="仿宋" w:eastAsia="仿宋"/>
          <w:b/>
          <w:color w:val="auto"/>
          <w:sz w:val="32"/>
          <w:szCs w:val="32"/>
          <w:highlight w:val="none"/>
        </w:rPr>
        <w:t>（四）预算绩效管理情况</w:t>
      </w:r>
    </w:p>
    <w:p w14:paraId="1240A3D7">
      <w:pPr>
        <w:spacing w:line="580" w:lineRule="exact"/>
        <w:ind w:firstLine="640" w:firstLineChars="200"/>
        <w:rPr>
          <w:rFonts w:hint="eastAsia" w:ascii="仿宋_GB2312"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eastAsia="zh-CN"/>
        </w:rPr>
        <w:t>根据预算绩效管理要求，本单位在</w:t>
      </w:r>
      <w:r>
        <w:rPr>
          <w:rFonts w:hint="eastAsia" w:ascii="仿宋_GB2312" w:hAnsi="Times New Roman" w:eastAsia="仿宋_GB2312" w:cs="Times New Roman"/>
          <w:color w:val="auto"/>
          <w:sz w:val="32"/>
          <w:szCs w:val="32"/>
          <w:highlight w:val="none"/>
          <w:lang w:val="en-US" w:eastAsia="zh-CN"/>
        </w:rPr>
        <w:t>202</w:t>
      </w:r>
      <w:r>
        <w:rPr>
          <w:rFonts w:hint="default" w:ascii="仿宋_GB2312" w:hAnsi="Times New Roman" w:eastAsia="仿宋_GB2312" w:cs="Times New Roman"/>
          <w:color w:val="auto"/>
          <w:sz w:val="32"/>
          <w:szCs w:val="32"/>
          <w:highlight w:val="none"/>
          <w:lang w:val="en" w:eastAsia="zh-CN"/>
        </w:rPr>
        <w:t>4</w:t>
      </w:r>
      <w:r>
        <w:rPr>
          <w:rFonts w:hint="eastAsia" w:ascii="仿宋_GB2312" w:hAnsi="Times New Roman" w:eastAsia="仿宋_GB2312" w:cs="Times New Roman"/>
          <w:color w:val="auto"/>
          <w:sz w:val="32"/>
          <w:szCs w:val="32"/>
          <w:highlight w:val="none"/>
          <w:lang w:val="en-US" w:eastAsia="zh-CN"/>
        </w:rPr>
        <w:t>年度</w:t>
      </w:r>
      <w:r>
        <w:rPr>
          <w:rFonts w:hint="eastAsia" w:ascii="仿宋_GB2312" w:hAnsi="Times New Roman" w:eastAsia="仿宋_GB2312" w:cs="Times New Roman"/>
          <w:color w:val="auto"/>
          <w:sz w:val="32"/>
          <w:szCs w:val="32"/>
          <w:highlight w:val="none"/>
          <w:lang w:eastAsia="zh-CN"/>
        </w:rPr>
        <w:t>预算编制阶段，组织对2024年地膜科学使用回收项目等</w:t>
      </w:r>
      <w:r>
        <w:rPr>
          <w:rFonts w:hint="eastAsia" w:ascii="仿宋_GB2312" w:eastAsia="仿宋_GB2312" w:cs="Times New Roman"/>
          <w:color w:val="auto"/>
          <w:sz w:val="32"/>
          <w:szCs w:val="32"/>
          <w:highlight w:val="none"/>
          <w:lang w:val="en-US" w:eastAsia="zh-CN"/>
        </w:rPr>
        <w:t>163</w:t>
      </w:r>
      <w:r>
        <w:rPr>
          <w:rFonts w:hint="eastAsia" w:ascii="仿宋_GB2312" w:hAnsi="Times New Roman" w:eastAsia="仿宋_GB2312" w:cs="Times New Roman"/>
          <w:color w:val="auto"/>
          <w:sz w:val="32"/>
          <w:szCs w:val="32"/>
          <w:highlight w:val="none"/>
          <w:lang w:val="en-US" w:eastAsia="zh-CN"/>
        </w:rPr>
        <w:t>个项目</w:t>
      </w:r>
      <w:r>
        <w:rPr>
          <w:rFonts w:hint="eastAsia" w:ascii="仿宋_GB2312" w:hAnsi="Times New Roman" w:eastAsia="仿宋_GB2312" w:cs="Times New Roman"/>
          <w:color w:val="auto"/>
          <w:sz w:val="32"/>
          <w:szCs w:val="32"/>
          <w:highlight w:val="none"/>
          <w:lang w:eastAsia="zh-CN"/>
        </w:rPr>
        <w:t>开展了预算事前绩效评估，对</w:t>
      </w:r>
      <w:r>
        <w:rPr>
          <w:rFonts w:hint="eastAsia" w:ascii="仿宋_GB2312" w:eastAsia="仿宋_GB2312" w:cs="Times New Roman"/>
          <w:color w:val="auto"/>
          <w:sz w:val="32"/>
          <w:szCs w:val="32"/>
          <w:highlight w:val="none"/>
          <w:lang w:val="en-US" w:eastAsia="zh-CN"/>
        </w:rPr>
        <w:t>163</w:t>
      </w:r>
      <w:r>
        <w:rPr>
          <w:rFonts w:hint="eastAsia" w:ascii="仿宋_GB2312" w:hAnsi="Times New Roman" w:eastAsia="仿宋_GB2312" w:cs="Times New Roman"/>
          <w:color w:val="auto"/>
          <w:sz w:val="32"/>
          <w:szCs w:val="32"/>
          <w:highlight w:val="none"/>
          <w:lang w:eastAsia="zh-CN"/>
        </w:rPr>
        <w:t>个项目编制了绩效目标，预算执行过程中，选取</w:t>
      </w:r>
      <w:r>
        <w:rPr>
          <w:rFonts w:hint="eastAsia" w:ascii="仿宋_GB2312" w:eastAsia="仿宋_GB2312" w:cs="Times New Roman"/>
          <w:color w:val="auto"/>
          <w:sz w:val="32"/>
          <w:szCs w:val="32"/>
          <w:highlight w:val="none"/>
          <w:lang w:val="en-US" w:eastAsia="zh-CN"/>
        </w:rPr>
        <w:t>163</w:t>
      </w:r>
      <w:r>
        <w:rPr>
          <w:rFonts w:hint="eastAsia" w:ascii="仿宋_GB2312" w:hAnsi="Times New Roman" w:eastAsia="仿宋_GB2312" w:cs="Times New Roman"/>
          <w:color w:val="auto"/>
          <w:sz w:val="32"/>
          <w:szCs w:val="32"/>
          <w:highlight w:val="none"/>
          <w:lang w:eastAsia="zh-CN"/>
        </w:rPr>
        <w:t>个项目开展绩效监控</w:t>
      </w:r>
      <w:r>
        <w:rPr>
          <w:rFonts w:hint="eastAsia" w:ascii="仿宋_GB2312" w:eastAsia="仿宋_GB2312" w:cs="Times New Roman"/>
          <w:color w:val="auto"/>
          <w:sz w:val="32"/>
          <w:szCs w:val="32"/>
          <w:highlight w:val="none"/>
          <w:lang w:val="en-US" w:eastAsia="zh-CN"/>
        </w:rPr>
        <w:t>。</w:t>
      </w:r>
    </w:p>
    <w:p w14:paraId="346CE331">
      <w:pPr>
        <w:spacing w:line="58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组织</w:t>
      </w:r>
      <w:r>
        <w:rPr>
          <w:rFonts w:hint="eastAsia" w:ascii="仿宋_GB2312" w:hAnsi="仿宋_GB2312" w:eastAsia="仿宋_GB2312" w:cs="仿宋_GB2312"/>
          <w:color w:val="auto"/>
          <w:sz w:val="32"/>
          <w:szCs w:val="32"/>
          <w:highlight w:val="none"/>
        </w:rPr>
        <w:t>对</w:t>
      </w:r>
      <w:r>
        <w:rPr>
          <w:rFonts w:hint="eastAsia" w:ascii="仿宋_GB2312" w:hAnsi="仿宋_GB2312" w:eastAsia="仿宋_GB2312" w:cs="仿宋_GB2312"/>
          <w:color w:val="auto"/>
          <w:sz w:val="32"/>
          <w:szCs w:val="32"/>
          <w:highlight w:val="none"/>
          <w:lang w:val="en-US" w:eastAsia="zh-CN"/>
        </w:rPr>
        <w:t>2024年度一般公共预算、</w:t>
      </w:r>
      <w:r>
        <w:rPr>
          <w:rFonts w:hint="eastAsia" w:ascii="仿宋_GB2312" w:hAnsi="仿宋_GB2312" w:eastAsia="仿宋_GB2312" w:cs="仿宋_GB2312"/>
          <w:color w:val="auto"/>
          <w:sz w:val="32"/>
          <w:szCs w:val="32"/>
          <w:highlight w:val="none"/>
          <w:lang w:eastAsia="zh-CN"/>
        </w:rPr>
        <w:t>政府性基金预算、国有资本经营预算、社会保险基金预算以及资本资产、债券资金等</w:t>
      </w:r>
      <w:r>
        <w:rPr>
          <w:rFonts w:hint="eastAsia" w:ascii="仿宋_GB2312" w:hAnsi="仿宋_GB2312" w:eastAsia="仿宋_GB2312" w:cs="仿宋_GB2312"/>
          <w:color w:val="auto"/>
          <w:sz w:val="32"/>
          <w:szCs w:val="32"/>
          <w:highlight w:val="none"/>
          <w:lang w:val="en-US" w:eastAsia="zh-CN"/>
        </w:rPr>
        <w:t>全面开展绩效自评，形成</w:t>
      </w:r>
      <w:r>
        <w:rPr>
          <w:rFonts w:hint="eastAsia" w:ascii="Lucida Sans" w:hAnsi="仿宋" w:eastAsia="仿宋" w:cs="仿宋"/>
          <w:sz w:val="32"/>
          <w:szCs w:val="32"/>
          <w:highlight w:val="none"/>
        </w:rPr>
        <w:t>广元市利州区农业农村局</w:t>
      </w:r>
      <w:r>
        <w:rPr>
          <w:rFonts w:hint="eastAsia" w:ascii="仿宋_GB2312" w:hAnsi="仿宋_GB2312" w:eastAsia="仿宋_GB2312" w:cs="仿宋_GB2312"/>
          <w:color w:val="auto"/>
          <w:sz w:val="32"/>
          <w:szCs w:val="32"/>
          <w:highlight w:val="none"/>
          <w:lang w:eastAsia="zh-CN"/>
        </w:rPr>
        <w:t>部门整体（含部门预算项目）</w:t>
      </w:r>
      <w:r>
        <w:rPr>
          <w:rFonts w:hint="eastAsia" w:ascii="仿宋_GB2312" w:hAnsi="仿宋_GB2312" w:eastAsia="仿宋_GB2312" w:cs="仿宋_GB2312"/>
          <w:color w:val="auto"/>
          <w:sz w:val="32"/>
          <w:szCs w:val="32"/>
          <w:highlight w:val="none"/>
          <w:lang w:val="en-US" w:eastAsia="zh-CN"/>
        </w:rPr>
        <w:t>绩效自评报告</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2024年市级农村综合改革转移支付资金（市级配套扶持集体经济经济）项目等32个</w:t>
      </w:r>
      <w:r>
        <w:rPr>
          <w:rFonts w:hint="eastAsia" w:ascii="仿宋_GB2312" w:hAnsi="仿宋_GB2312" w:eastAsia="仿宋_GB2312" w:cs="仿宋_GB2312"/>
          <w:color w:val="auto"/>
          <w:sz w:val="32"/>
          <w:szCs w:val="32"/>
          <w:highlight w:val="none"/>
          <w:lang w:eastAsia="zh-CN"/>
        </w:rPr>
        <w:t>专项预算项目</w:t>
      </w:r>
      <w:r>
        <w:rPr>
          <w:rFonts w:hint="eastAsia" w:ascii="仿宋_GB2312" w:hAnsi="仿宋_GB2312" w:eastAsia="仿宋_GB2312" w:cs="仿宋_GB2312"/>
          <w:color w:val="auto"/>
          <w:sz w:val="32"/>
          <w:szCs w:val="32"/>
          <w:highlight w:val="none"/>
          <w:lang w:val="en-US" w:eastAsia="zh-CN"/>
        </w:rPr>
        <w:t>绩效自评报告，其中，</w:t>
      </w:r>
      <w:r>
        <w:rPr>
          <w:rFonts w:hint="eastAsia" w:ascii="Lucida Sans" w:hAnsi="仿宋" w:eastAsia="仿宋" w:cs="仿宋"/>
          <w:sz w:val="32"/>
          <w:szCs w:val="32"/>
          <w:highlight w:val="none"/>
        </w:rPr>
        <w:t>广元市利州区农业农村局</w:t>
      </w:r>
      <w:r>
        <w:rPr>
          <w:rFonts w:hint="eastAsia" w:ascii="仿宋_GB2312" w:hAnsi="仿宋_GB2312" w:eastAsia="仿宋_GB2312" w:cs="仿宋_GB2312"/>
          <w:color w:val="auto"/>
          <w:sz w:val="32"/>
          <w:szCs w:val="32"/>
          <w:highlight w:val="none"/>
          <w:lang w:val="en-US" w:eastAsia="zh-CN"/>
        </w:rPr>
        <w:t>部门整体</w:t>
      </w:r>
      <w:r>
        <w:rPr>
          <w:rFonts w:hint="eastAsia" w:ascii="仿宋_GB2312" w:hAnsi="仿宋_GB2312" w:eastAsia="仿宋_GB2312" w:cs="仿宋_GB2312"/>
          <w:color w:val="auto"/>
          <w:sz w:val="32"/>
          <w:szCs w:val="32"/>
          <w:highlight w:val="none"/>
          <w:lang w:eastAsia="zh-CN"/>
        </w:rPr>
        <w:t>（含部门预算项目）</w:t>
      </w:r>
      <w:r>
        <w:rPr>
          <w:rFonts w:hint="eastAsia" w:ascii="仿宋_GB2312" w:hAnsi="仿宋_GB2312" w:eastAsia="仿宋_GB2312" w:cs="仿宋_GB2312"/>
          <w:color w:val="auto"/>
          <w:sz w:val="32"/>
          <w:szCs w:val="32"/>
          <w:highlight w:val="none"/>
          <w:lang w:val="en-US" w:eastAsia="zh-CN"/>
        </w:rPr>
        <w:t>绩效自评得分为98分，绩效自评综述：广元市利州区农业农村局2024年度部门预算绩效自评得分98分，我部门严格按照预算资金绩效管理办法，及时开展各项工作，为全年工作的开展提供了保障；2024年市级农村综合改革转移支付资金（市级配套扶持集体经济经济）项目</w:t>
      </w:r>
      <w:r>
        <w:rPr>
          <w:rFonts w:hint="eastAsia" w:ascii="仿宋_GB2312" w:hAnsi="仿宋_GB2312" w:eastAsia="仿宋_GB2312" w:cs="仿宋_GB2312"/>
          <w:color w:val="auto"/>
          <w:sz w:val="32"/>
          <w:szCs w:val="32"/>
          <w:highlight w:val="none"/>
          <w:lang w:eastAsia="zh-CN"/>
        </w:rPr>
        <w:t>专项预</w:t>
      </w:r>
      <w:r>
        <w:rPr>
          <w:rFonts w:hint="eastAsia" w:ascii="仿宋_GB2312" w:hAnsi="仿宋_GB2312" w:eastAsia="仿宋_GB2312" w:cs="仿宋_GB2312"/>
          <w:color w:val="auto"/>
          <w:sz w:val="32"/>
          <w:szCs w:val="32"/>
          <w:highlight w:val="none"/>
          <w:lang w:val="en-US" w:eastAsia="zh-CN"/>
        </w:rPr>
        <w:t>算项目绩效自评得分为95分，绩效自评综述：</w:t>
      </w:r>
      <w:r>
        <w:rPr>
          <w:rFonts w:hint="eastAsia" w:ascii="仿宋" w:hAnsi="仿宋" w:eastAsia="仿宋" w:cs="仿宋"/>
          <w:spacing w:val="0"/>
          <w:sz w:val="32"/>
          <w:szCs w:val="32"/>
          <w:highlight w:val="none"/>
        </w:rPr>
        <w:t>项目总评分为</w:t>
      </w:r>
      <w:r>
        <w:rPr>
          <w:rFonts w:hint="eastAsia" w:ascii="仿宋" w:hAnsi="仿宋" w:eastAsia="仿宋" w:cs="仿宋"/>
          <w:spacing w:val="0"/>
          <w:sz w:val="32"/>
          <w:szCs w:val="32"/>
          <w:highlight w:val="none"/>
          <w:lang w:val="en-US" w:eastAsia="zh-CN"/>
        </w:rPr>
        <w:t>95</w:t>
      </w:r>
      <w:r>
        <w:rPr>
          <w:rFonts w:hint="eastAsia" w:ascii="仿宋" w:hAnsi="仿宋" w:eastAsia="仿宋" w:cs="仿宋"/>
          <w:spacing w:val="0"/>
          <w:sz w:val="32"/>
          <w:szCs w:val="32"/>
          <w:highlight w:val="none"/>
        </w:rPr>
        <w:t>分（满分100分），绩效目标全面达成。资金使用规范高效，建设任务按期完成，有效提升了</w:t>
      </w:r>
      <w:r>
        <w:rPr>
          <w:rFonts w:hint="eastAsia" w:ascii="仿宋" w:hAnsi="仿宋" w:eastAsia="仿宋" w:cs="仿宋"/>
          <w:spacing w:val="0"/>
          <w:sz w:val="32"/>
          <w:szCs w:val="32"/>
          <w:highlight w:val="none"/>
          <w:lang w:val="en-US" w:eastAsia="zh-CN"/>
        </w:rPr>
        <w:t>我区农村经济发展</w:t>
      </w:r>
      <w:r>
        <w:rPr>
          <w:rFonts w:hint="eastAsia" w:ascii="仿宋" w:hAnsi="仿宋" w:eastAsia="仿宋" w:cs="仿宋"/>
          <w:spacing w:val="0"/>
          <w:sz w:val="32"/>
          <w:szCs w:val="32"/>
          <w:highlight w:val="none"/>
        </w:rPr>
        <w:t>能力</w:t>
      </w:r>
      <w:r>
        <w:rPr>
          <w:rFonts w:hint="eastAsia" w:ascii="仿宋" w:hAnsi="仿宋" w:eastAsia="仿宋" w:cs="仿宋"/>
          <w:spacing w:val="0"/>
          <w:sz w:val="32"/>
          <w:szCs w:val="32"/>
          <w:highlight w:val="none"/>
          <w:lang w:eastAsia="zh-CN"/>
        </w:rPr>
        <w:t>、</w:t>
      </w:r>
      <w:r>
        <w:rPr>
          <w:rFonts w:hint="eastAsia" w:ascii="仿宋" w:hAnsi="仿宋" w:eastAsia="仿宋" w:cs="仿宋"/>
          <w:spacing w:val="0"/>
          <w:sz w:val="32"/>
          <w:szCs w:val="32"/>
          <w:highlight w:val="none"/>
          <w:lang w:val="en-US" w:eastAsia="zh-CN"/>
        </w:rPr>
        <w:t>发展活力</w:t>
      </w:r>
      <w:r>
        <w:rPr>
          <w:rFonts w:hint="eastAsia" w:ascii="仿宋" w:hAnsi="仿宋" w:eastAsia="仿宋" w:cs="仿宋"/>
          <w:spacing w:val="0"/>
          <w:sz w:val="32"/>
          <w:szCs w:val="32"/>
          <w:highlight w:val="none"/>
        </w:rPr>
        <w:t>，为乡村振兴提供了示范样板</w:t>
      </w:r>
      <w:r>
        <w:rPr>
          <w:rFonts w:hint="eastAsia" w:ascii="仿宋_GB2312" w:hAnsi="仿宋_GB2312" w:eastAsia="仿宋_GB2312" w:cs="仿宋_GB2312"/>
          <w:color w:val="auto"/>
          <w:sz w:val="32"/>
          <w:szCs w:val="32"/>
          <w:highlight w:val="none"/>
          <w:lang w:val="en-US" w:eastAsia="zh-CN"/>
        </w:rPr>
        <w:t>。绩效自评报告详见附件。</w:t>
      </w:r>
    </w:p>
    <w:p w14:paraId="686430EE">
      <w:pPr>
        <w:spacing w:line="580" w:lineRule="exact"/>
        <w:ind w:firstLine="640" w:firstLineChars="200"/>
        <w:rPr>
          <w:rFonts w:hint="eastAsia" w:ascii="Lucida Sans" w:hAnsi="仿宋" w:eastAsia="仿宋" w:cs="仿宋"/>
          <w:sz w:val="32"/>
          <w:szCs w:val="32"/>
          <w:highlight w:val="none"/>
        </w:rPr>
      </w:pPr>
    </w:p>
    <w:p w14:paraId="780A4F10">
      <w:pPr>
        <w:spacing w:line="580" w:lineRule="exact"/>
        <w:ind w:firstLine="640" w:firstLineChars="200"/>
        <w:rPr>
          <w:rFonts w:ascii="Lucida Sans" w:hAnsi="仿宋" w:eastAsia="仿宋" w:cs="仿宋"/>
          <w:sz w:val="32"/>
          <w:szCs w:val="32"/>
          <w:highlight w:val="none"/>
        </w:rPr>
      </w:pPr>
    </w:p>
    <w:p w14:paraId="3B454193">
      <w:pPr>
        <w:spacing w:line="576" w:lineRule="exact"/>
        <w:ind w:firstLine="640" w:firstLineChars="200"/>
        <w:rPr>
          <w:rFonts w:hint="eastAsia" w:ascii="Lucida Sans" w:hAnsi="仿宋" w:eastAsia="仿宋" w:cs="仿宋"/>
          <w:sz w:val="32"/>
          <w:szCs w:val="32"/>
          <w:highlight w:val="none"/>
        </w:rPr>
      </w:pPr>
      <w:r>
        <w:rPr>
          <w:rFonts w:hint="eastAsia" w:ascii="Lucida Sans" w:hAnsi="仿宋" w:eastAsia="仿宋" w:cs="仿宋"/>
          <w:sz w:val="32"/>
          <w:szCs w:val="32"/>
          <w:highlight w:val="none"/>
        </w:rPr>
        <w:br w:type="page"/>
      </w:r>
    </w:p>
    <w:p w14:paraId="5187B169">
      <w:pPr>
        <w:spacing w:line="600" w:lineRule="exact"/>
        <w:jc w:val="center"/>
        <w:outlineLvl w:val="0"/>
        <w:rPr>
          <w:rStyle w:val="32"/>
          <w:rFonts w:hint="eastAsia" w:ascii="黑体" w:hAnsi="黑体" w:eastAsia="黑体" w:cs="方正小标宋简体"/>
          <w:b w:val="0"/>
          <w:highlight w:val="none"/>
          <w:shd w:val="clear" w:color="auto" w:fill="auto"/>
        </w:rPr>
      </w:pPr>
      <w:bookmarkStart w:id="29" w:name="_Toc15396613"/>
      <w:bookmarkStart w:id="30" w:name="_Toc15377225"/>
      <w:bookmarkStart w:id="31" w:name="_Toc685625707"/>
      <w:r>
        <w:rPr>
          <w:rStyle w:val="32"/>
          <w:rFonts w:hint="eastAsia" w:ascii="黑体" w:hAnsi="黑体" w:eastAsia="黑体" w:cs="方正小标宋简体"/>
          <w:b w:val="0"/>
          <w:highlight w:val="none"/>
          <w:shd w:val="clear" w:color="auto" w:fill="auto"/>
        </w:rPr>
        <w:t>第三部分名词解释</w:t>
      </w:r>
      <w:bookmarkEnd w:id="29"/>
      <w:bookmarkEnd w:id="30"/>
      <w:bookmarkEnd w:id="31"/>
    </w:p>
    <w:p w14:paraId="7DB79B2A">
      <w:pPr>
        <w:spacing w:line="576" w:lineRule="exact"/>
        <w:ind w:firstLine="640" w:firstLineChars="200"/>
        <w:rPr>
          <w:rFonts w:ascii="仿宋" w:hAnsi="仿宋" w:eastAsia="仿宋" w:cs="仿宋"/>
          <w:bCs/>
          <w:sz w:val="32"/>
          <w:szCs w:val="32"/>
          <w:highlight w:val="none"/>
        </w:rPr>
      </w:pPr>
    </w:p>
    <w:p w14:paraId="2E791428">
      <w:pPr>
        <w:pStyle w:val="43"/>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1.财政拨款收入</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指单位从同级财政部门取得的财政预算资金。</w:t>
      </w:r>
    </w:p>
    <w:p w14:paraId="0DAF3026">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2. 一般公共服务支出（类）其他一般公共服务支出（款）其他一般公共服务支出（项）：指除明确列举的一般公共服务支出项目外，其他未单独分类的一般公共服务支出，用于保障政府日常一般性公共管理和服务活动。</w:t>
      </w:r>
    </w:p>
    <w:p w14:paraId="1151B937">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3. 社会保障和就业（类）行政事业单位养老支出（款）机关事业单位基本养老保险缴费支出（项）：指各级政府机关、事业单位按规定为职工缴纳的基本养老保险费支出，是机关事业单位养老保险制度的核心缴费资金来源。</w:t>
      </w:r>
    </w:p>
    <w:p w14:paraId="296D51B5">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4. 社会保障和就业（类）行政事业单位养老支出（款）机关事业单位职业年金缴费支出（项）：指各级政府机关、事业单位按规定为职工缴纳的职业年金费用支出，作为基本养老保险的补充，属于多层次养老保险体系的组成部分。</w:t>
      </w:r>
    </w:p>
    <w:p w14:paraId="00D11D99">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5. 社会保障和就业（类）抚恤（款）死亡抚恤（项）：指按规定对烈士遗属、因公牺牲和病故人员遗属发放的一次性和定期抚恤金，以及丧葬补助费等支出，用于保障死亡人员家属的基本生活。</w:t>
      </w:r>
    </w:p>
    <w:p w14:paraId="48848562">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6. 社会保障和就业（类）其他社会保障和就业支出（款）其他社会保障和就业支出（项）：指除明确列举的社会保障和就业支出项目外，其他未单独分类的社会保障和就业方面支出，涵盖该领域未细化的补充性保障活动。</w:t>
      </w:r>
    </w:p>
    <w:p w14:paraId="0AE39816">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7. 卫生健康（类）行政事业单位医疗（款）行政单位医疗（项）：指财政部门集中安排的各级行政单位基本医疗保险缴费经费，以及按规定享受医疗补助的行政单位人员的医疗费用补助支出。</w:t>
      </w:r>
    </w:p>
    <w:p w14:paraId="6CB5AC07">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8. 节能环保（类）其他节能环保支出（款）其他节能环保支出（项）：指除明确列举的节能环保支出项目外，其他未单独分类的节能环保方面支出，用于支持未细化的环境保护、能源节约等活动。</w:t>
      </w:r>
    </w:p>
    <w:p w14:paraId="4FEC9BD4">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9. 城乡社区支出（类）城乡社区管理事务（款）工程建设管理（项）：指城乡社区范围内各类市政公用、基础设施等工程建设项目的规划、组织、协调、监督等管理工作支出，保障工程建设规范推进。</w:t>
      </w:r>
    </w:p>
    <w:p w14:paraId="04C20C9A">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10. 城乡社区支出（类）其他城乡社区支出（款）其他城乡社区支出（项）：指除明确列举的城乡社区支出项目外，其他未单独分类的城乡社区方面支出，涵盖城乡社区建设、管理中未细化的补充性工作。</w:t>
      </w:r>
    </w:p>
    <w:p w14:paraId="69BEEE76">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11. 农林水支出（类）农业农村（款）行政运行（项）：指农业农村部门的行政单位（包括实行公务员管理的事业单位）为保障正常运行，用于人员经费、公用经费等基本支出。</w:t>
      </w:r>
    </w:p>
    <w:p w14:paraId="76083CE4">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12. 农林水支出（类）农业农村（款）一般行政管理事务（项）：指农业农村部门行政单位开展未单独设置项级科目的一般行政管理工作的项目支出，如专项调研、政策制定、监督检查等非日常运行类工作。</w:t>
      </w:r>
    </w:p>
    <w:p w14:paraId="15193809">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13. 农林水支出（类）农业农村（款）事业运行（项）：指农业农村部门所属事业单位为保障正常运行，用于人员经费、公用经费等基本支出，支持事业单位履行专业服务职能。</w:t>
      </w:r>
    </w:p>
    <w:p w14:paraId="3280ED5E">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14. 农林水支出（类）农业农村（款）科技转化与推广服务（项）：指用于农业、农村科技成果转化，以及农业技术推广、培训、指导等服务的支出，推动农业科技落地应用，提升农业生产力。</w:t>
      </w:r>
    </w:p>
    <w:p w14:paraId="65652D86">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15. 农林水支出（类）农业农村（款）病虫害控制（项）：指用于农作物、畜禽等动植物病虫害监测、预警、防治、检疫，以及相关药品、器械购置等支出，保障农业生产安全。</w:t>
      </w:r>
    </w:p>
    <w:p w14:paraId="0DD4B7EB">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16. 农林水支出（类）农业农村（款）农产品质量安全（项）：指用于农产品质量标准制定、检验检测、认证认可、追溯体系建设等支出，保障农产品质量安全，维护消费者权益。</w:t>
      </w:r>
    </w:p>
    <w:p w14:paraId="582A8CAC">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17. 农林水支出（类）农业农村（款）防灾减灾（项）：指用于农业、农村自然灾害（如旱涝、病虫害、低温冻害等）监测预警、应急处置、灾后恢复生产等支出，降低灾害对农业农村的影响。</w:t>
      </w:r>
    </w:p>
    <w:p w14:paraId="06551B4C">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18. 农林水支出（类）农业农村（款）稳定农民收入补贴（项）：指用于直接补贴农民，稳定农民收入水平的支出，如针对特定农产品生产或农民生活的专项补贴，保障农民基本收益。</w:t>
      </w:r>
    </w:p>
    <w:p w14:paraId="724A722F">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19. 农林水支出（类）农业农村（款）农业生产发展（项）：指用于支持农业生产经营活动的支出，包括农业基础设施建设、新型农业经营主体培育、农业产业融合发展等，促进农业生产能力提升和产业升级。</w:t>
      </w:r>
    </w:p>
    <w:p w14:paraId="594A6D1C">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20. 农林水支出（类）农业农村（款）农业资源保护修复与利用（项）：指用于农业资源（如耕地、草原、湿地、水资源等）保护、修复、节约利用，以及农业生态环境治理等支出，推动农业绿色可持续发展。</w:t>
      </w:r>
    </w:p>
    <w:p w14:paraId="5960A6F9">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21. 农林水支出（类）农业农村（款）渔业发展（项）：指用于渔业生产、渔业资源保护、渔业基础设施建设、渔民培训等支出，支持渔业产业健康发展，保障渔业资源可持续利用。</w:t>
      </w:r>
    </w:p>
    <w:p w14:paraId="58B44513">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22. 农林水支出（类）农业农村（款）耕地建设与利用（项）：指用于耕地整治、高标准农田建设、耕地质量保护提升、耕地经营权流转支持等支出，强化耕地保护，提高耕地利用效率。</w:t>
      </w:r>
    </w:p>
    <w:p w14:paraId="4C65C749">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23. 农林水支出（类）农业农村（款）其他农业农村支出（项）：指除明确列举的农业农村支出项目外，其他未单独分类的农业农村方面支出，涵盖农业农村领域未细化的补充性工作。</w:t>
      </w:r>
    </w:p>
    <w:p w14:paraId="4CC15083">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24. 农林水支出（类）巩固脱贫攻坚成果衔接乡村振兴（款）一般行政管理事务（项）：指用于巩固脱贫攻坚成果、衔接乡村振兴工作中，未单独设置项级科目的一般行政管理工作支出，如政策调研、规划编制、监督考核等。</w:t>
      </w:r>
    </w:p>
    <w:p w14:paraId="5D0E7BFD">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25. 农林水支出（类）巩固脱贫攻坚成果衔接乡村振兴（款）农村基础设施建设（项）：指用于脱贫地区和乡村振兴重点区域农村道路、供水、供电、通信等基础设施建设和改造的支出，改善农村生产生活条件。</w:t>
      </w:r>
    </w:p>
    <w:p w14:paraId="6A11EEE0">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26. 农林水支出（类）巩固脱贫攻坚成果衔接乡村振兴（款）生产发展（项）：指用于支持脱贫地区和脱贫人口发展特色产业、培育新型经营主体、开展技能培训等支出，增强脱贫地区和人口自我发展能力。</w:t>
      </w:r>
    </w:p>
    <w:p w14:paraId="28A2A21F">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27. 农林水支出（类）巩固脱贫攻坚成果衔接乡村振兴（款）其他巩固脱贫攻坚成果衔接乡村振兴支出（项）：指除明确列举的巩固脱贫攻坚成果衔接乡村振兴支出项目外，其他未单独分类的相关支出，保障衔接工作全面推进。</w:t>
      </w:r>
    </w:p>
    <w:p w14:paraId="4076B874">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28. 农林水支出（类）农村综合改革（款）对村集体经济组织的补助（项）：指用于支持村集体经济组织发展生产、改善服务设施、提升经营管理能力等方面的补助支出，壮大村集体经济实力。</w:t>
      </w:r>
    </w:p>
    <w:p w14:paraId="32C4F6CF">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29. 农林水支出（类）农村综合改革（款）其他农村综合改革支出（项）：指除明确列举的农村综合改革支出项目外，其他未单独分类的农村综合改革方面支出，涵盖农村改革中未细化的补充性工作。</w:t>
      </w:r>
    </w:p>
    <w:p w14:paraId="4BEE6437">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30. 农林水支出（类）目标价格补贴（款）其他目标价格补贴（项）：指除明确列举的特定农产品目标价格补贴外，其他未单独分类的农产品目标价格补贴支出，稳定相关农产品市场价格和生产者收益。</w:t>
      </w:r>
    </w:p>
    <w:p w14:paraId="7E5B1385">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31. 农林水支出（类）其他农林水支出（款）其他农林水支出（项）：指除明确列举的农林水支出项目外，其他未单独分类的农林水方面支出，涵盖农林水领域未细化的补充性工作。</w:t>
      </w:r>
    </w:p>
    <w:p w14:paraId="459A3751">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32. 住房保障支出（类）住房改革支出（款）住房公积金（项）：指行政事业单位按规定为职工缴纳的住房公积金支出，是住房保障体系的重要组成部分，支持职工解决住房问题。</w:t>
      </w:r>
    </w:p>
    <w:p w14:paraId="3B030F4D">
      <w:pPr>
        <w:pStyle w:val="43"/>
        <w:spacing w:line="560" w:lineRule="exact"/>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33. 粮油物资储备支出（类）粮油物资事务（款）其他粮油物资事务支出（项）：指除明确列举的粮油物资事务支出项目外，其他未单独分类的粮油物资储备、管理、调控等方面支出，保障粮油物资供应安全。</w:t>
      </w:r>
    </w:p>
    <w:p w14:paraId="7E732412">
      <w:pPr>
        <w:pStyle w:val="43"/>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34</w:t>
      </w:r>
      <w:r>
        <w:rPr>
          <w:rFonts w:hint="eastAsia" w:ascii="仿宋_GB2312" w:eastAsia="仿宋_GB2312"/>
          <w:color w:val="auto"/>
          <w:sz w:val="32"/>
          <w:szCs w:val="32"/>
          <w:highlight w:val="none"/>
        </w:rPr>
        <w:t>.基本支出</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指为保障机构正常运转、完成日常工作任务而发生的人员支出和公用支出。</w:t>
      </w:r>
    </w:p>
    <w:p w14:paraId="745791D7">
      <w:pPr>
        <w:pStyle w:val="43"/>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35</w:t>
      </w:r>
      <w:r>
        <w:rPr>
          <w:rFonts w:hint="eastAsia" w:ascii="仿宋_GB2312" w:eastAsia="仿宋_GB2312"/>
          <w:color w:val="auto"/>
          <w:sz w:val="32"/>
          <w:szCs w:val="32"/>
          <w:highlight w:val="none"/>
        </w:rPr>
        <w:t>.项目支出</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指在基本支出之外为完成特定行政任务和事业发展目标所发生的支出。</w:t>
      </w:r>
    </w:p>
    <w:p w14:paraId="10B5C403">
      <w:pPr>
        <w:pStyle w:val="43"/>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36</w:t>
      </w:r>
      <w:r>
        <w:rPr>
          <w:rFonts w:hint="eastAsia" w:ascii="仿宋_GB2312" w:eastAsia="仿宋_GB2312"/>
          <w:color w:val="auto"/>
          <w:sz w:val="32"/>
          <w:szCs w:val="32"/>
          <w:highlight w:val="none"/>
        </w:rPr>
        <w:t>.“三公”经费</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68DC1EDE">
      <w:pPr>
        <w:pStyle w:val="43"/>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37</w:t>
      </w:r>
      <w:r>
        <w:rPr>
          <w:rFonts w:hint="eastAsia" w:ascii="仿宋_GB2312" w:eastAsia="仿宋_GB2312"/>
          <w:color w:val="auto"/>
          <w:sz w:val="32"/>
          <w:szCs w:val="32"/>
          <w:highlight w:val="none"/>
        </w:rPr>
        <w:t>.机关运行经费</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59A676FD">
      <w:pPr>
        <w:spacing w:line="600" w:lineRule="exact"/>
        <w:jc w:val="center"/>
        <w:outlineLvl w:val="9"/>
        <w:rPr>
          <w:rFonts w:hint="eastAsia" w:ascii="方正小标宋简体" w:hAnsi="方正小标宋简体" w:eastAsia="方正小标宋简体" w:cs="方正小标宋简体"/>
          <w:bCs/>
          <w:kern w:val="44"/>
          <w:sz w:val="44"/>
          <w:szCs w:val="44"/>
          <w:highlight w:val="none"/>
        </w:rPr>
      </w:pPr>
    </w:p>
    <w:p w14:paraId="6637D7CD">
      <w:pPr>
        <w:spacing w:line="600" w:lineRule="exact"/>
        <w:jc w:val="center"/>
        <w:outlineLvl w:val="9"/>
        <w:rPr>
          <w:rFonts w:hint="eastAsia" w:ascii="方正小标宋简体" w:hAnsi="方正小标宋简体" w:eastAsia="方正小标宋简体" w:cs="方正小标宋简体"/>
          <w:bCs/>
          <w:kern w:val="44"/>
          <w:sz w:val="44"/>
          <w:szCs w:val="44"/>
          <w:highlight w:val="none"/>
        </w:rPr>
      </w:pPr>
    </w:p>
    <w:p w14:paraId="4C86AB2B">
      <w:pPr>
        <w:spacing w:line="600" w:lineRule="exact"/>
        <w:jc w:val="center"/>
        <w:outlineLvl w:val="9"/>
        <w:rPr>
          <w:rFonts w:hint="eastAsia" w:ascii="方正小标宋简体" w:hAnsi="方正小标宋简体" w:eastAsia="方正小标宋简体" w:cs="方正小标宋简体"/>
          <w:bCs/>
          <w:kern w:val="44"/>
          <w:sz w:val="44"/>
          <w:szCs w:val="44"/>
          <w:highlight w:val="none"/>
        </w:rPr>
      </w:pPr>
    </w:p>
    <w:p w14:paraId="35BAC1F3">
      <w:pPr>
        <w:spacing w:line="600" w:lineRule="exact"/>
        <w:jc w:val="center"/>
        <w:outlineLvl w:val="9"/>
        <w:rPr>
          <w:rFonts w:hint="eastAsia" w:ascii="方正小标宋简体" w:hAnsi="方正小标宋简体" w:eastAsia="方正小标宋简体" w:cs="方正小标宋简体"/>
          <w:bCs/>
          <w:kern w:val="44"/>
          <w:sz w:val="44"/>
          <w:szCs w:val="44"/>
          <w:highlight w:val="none"/>
        </w:rPr>
      </w:pPr>
    </w:p>
    <w:p w14:paraId="67337AF8">
      <w:pPr>
        <w:spacing w:line="600" w:lineRule="exact"/>
        <w:jc w:val="center"/>
        <w:outlineLvl w:val="9"/>
        <w:rPr>
          <w:rFonts w:hint="eastAsia" w:ascii="方正小标宋简体" w:hAnsi="方正小标宋简体" w:eastAsia="方正小标宋简体" w:cs="方正小标宋简体"/>
          <w:bCs/>
          <w:kern w:val="44"/>
          <w:sz w:val="44"/>
          <w:szCs w:val="44"/>
          <w:highlight w:val="none"/>
        </w:rPr>
      </w:pPr>
    </w:p>
    <w:p w14:paraId="3116C7B5">
      <w:pPr>
        <w:spacing w:line="600" w:lineRule="exact"/>
        <w:jc w:val="center"/>
        <w:outlineLvl w:val="9"/>
        <w:rPr>
          <w:rFonts w:hint="eastAsia" w:ascii="方正小标宋简体" w:hAnsi="方正小标宋简体" w:eastAsia="方正小标宋简体" w:cs="方正小标宋简体"/>
          <w:bCs/>
          <w:kern w:val="44"/>
          <w:sz w:val="44"/>
          <w:szCs w:val="44"/>
          <w:highlight w:val="none"/>
        </w:rPr>
      </w:pPr>
    </w:p>
    <w:p w14:paraId="63E49383">
      <w:pPr>
        <w:spacing w:line="600" w:lineRule="exact"/>
        <w:jc w:val="center"/>
        <w:outlineLvl w:val="9"/>
        <w:rPr>
          <w:rFonts w:hint="eastAsia" w:ascii="方正小标宋简体" w:hAnsi="方正小标宋简体" w:eastAsia="方正小标宋简体" w:cs="方正小标宋简体"/>
          <w:bCs/>
          <w:kern w:val="44"/>
          <w:sz w:val="44"/>
          <w:szCs w:val="44"/>
          <w:highlight w:val="none"/>
        </w:rPr>
      </w:pPr>
    </w:p>
    <w:p w14:paraId="52FED3A0">
      <w:pPr>
        <w:spacing w:line="600" w:lineRule="exact"/>
        <w:jc w:val="center"/>
        <w:outlineLvl w:val="9"/>
        <w:rPr>
          <w:rFonts w:hint="eastAsia" w:ascii="方正小标宋简体" w:hAnsi="方正小标宋简体" w:eastAsia="方正小标宋简体" w:cs="方正小标宋简体"/>
          <w:bCs/>
          <w:kern w:val="44"/>
          <w:sz w:val="44"/>
          <w:szCs w:val="44"/>
          <w:highlight w:val="none"/>
        </w:rPr>
      </w:pPr>
    </w:p>
    <w:p w14:paraId="038540E2">
      <w:pPr>
        <w:spacing w:line="600" w:lineRule="exact"/>
        <w:jc w:val="center"/>
        <w:outlineLvl w:val="9"/>
        <w:rPr>
          <w:rFonts w:hint="eastAsia" w:ascii="方正小标宋简体" w:hAnsi="方正小标宋简体" w:eastAsia="方正小标宋简体" w:cs="方正小标宋简体"/>
          <w:bCs/>
          <w:kern w:val="44"/>
          <w:sz w:val="44"/>
          <w:szCs w:val="44"/>
          <w:highlight w:val="none"/>
        </w:rPr>
      </w:pPr>
    </w:p>
    <w:p w14:paraId="607B364A">
      <w:pPr>
        <w:spacing w:line="600" w:lineRule="exact"/>
        <w:jc w:val="center"/>
        <w:outlineLvl w:val="9"/>
        <w:rPr>
          <w:rFonts w:hint="eastAsia" w:ascii="方正小标宋简体" w:hAnsi="方正小标宋简体" w:eastAsia="方正小标宋简体" w:cs="方正小标宋简体"/>
          <w:bCs/>
          <w:kern w:val="44"/>
          <w:sz w:val="44"/>
          <w:szCs w:val="44"/>
          <w:highlight w:val="none"/>
        </w:rPr>
      </w:pPr>
    </w:p>
    <w:p w14:paraId="2E388D71">
      <w:pPr>
        <w:spacing w:line="600" w:lineRule="exact"/>
        <w:jc w:val="center"/>
        <w:outlineLvl w:val="9"/>
        <w:rPr>
          <w:rFonts w:hint="eastAsia" w:ascii="方正小标宋简体" w:hAnsi="方正小标宋简体" w:eastAsia="方正小标宋简体" w:cs="方正小标宋简体"/>
          <w:bCs/>
          <w:kern w:val="44"/>
          <w:sz w:val="44"/>
          <w:szCs w:val="44"/>
          <w:highlight w:val="none"/>
        </w:rPr>
      </w:pPr>
    </w:p>
    <w:p w14:paraId="2F17A074">
      <w:pPr>
        <w:spacing w:line="600" w:lineRule="exact"/>
        <w:jc w:val="center"/>
        <w:outlineLvl w:val="9"/>
        <w:rPr>
          <w:rFonts w:hint="eastAsia" w:ascii="方正小标宋简体" w:hAnsi="方正小标宋简体" w:eastAsia="方正小标宋简体" w:cs="方正小标宋简体"/>
          <w:bCs/>
          <w:kern w:val="44"/>
          <w:sz w:val="44"/>
          <w:szCs w:val="44"/>
          <w:highlight w:val="none"/>
        </w:rPr>
      </w:pPr>
    </w:p>
    <w:p w14:paraId="012D61D0">
      <w:pPr>
        <w:spacing w:line="600" w:lineRule="exact"/>
        <w:jc w:val="center"/>
        <w:outlineLvl w:val="9"/>
        <w:rPr>
          <w:rFonts w:hint="eastAsia" w:ascii="方正小标宋简体" w:hAnsi="方正小标宋简体" w:eastAsia="方正小标宋简体" w:cs="方正小标宋简体"/>
          <w:bCs/>
          <w:kern w:val="44"/>
          <w:sz w:val="44"/>
          <w:szCs w:val="44"/>
          <w:highlight w:val="none"/>
        </w:rPr>
      </w:pPr>
    </w:p>
    <w:p w14:paraId="43414E82">
      <w:pPr>
        <w:spacing w:line="600" w:lineRule="exact"/>
        <w:jc w:val="center"/>
        <w:outlineLvl w:val="9"/>
        <w:rPr>
          <w:rFonts w:hint="eastAsia" w:ascii="方正小标宋简体" w:hAnsi="方正小标宋简体" w:eastAsia="方正小标宋简体" w:cs="方正小标宋简体"/>
          <w:bCs/>
          <w:kern w:val="44"/>
          <w:sz w:val="44"/>
          <w:szCs w:val="44"/>
          <w:highlight w:val="none"/>
        </w:rPr>
      </w:pPr>
    </w:p>
    <w:p w14:paraId="18295969">
      <w:pPr>
        <w:spacing w:line="600" w:lineRule="exact"/>
        <w:jc w:val="both"/>
        <w:outlineLvl w:val="9"/>
        <w:rPr>
          <w:rFonts w:hint="eastAsia" w:ascii="方正小标宋简体" w:hAnsi="方正小标宋简体" w:eastAsia="方正小标宋简体" w:cs="方正小标宋简体"/>
          <w:bCs/>
          <w:kern w:val="44"/>
          <w:sz w:val="44"/>
          <w:szCs w:val="44"/>
          <w:highlight w:val="none"/>
        </w:rPr>
      </w:pPr>
    </w:p>
    <w:p w14:paraId="3483F131">
      <w:pPr>
        <w:spacing w:line="600" w:lineRule="exact"/>
        <w:jc w:val="center"/>
        <w:outlineLvl w:val="0"/>
        <w:rPr>
          <w:rFonts w:ascii="方正小标宋简体" w:hAnsi="方正小标宋简体" w:eastAsia="方正小标宋简体" w:cs="方正小标宋简体"/>
          <w:bCs/>
          <w:kern w:val="44"/>
          <w:sz w:val="44"/>
          <w:szCs w:val="44"/>
          <w:highlight w:val="none"/>
        </w:rPr>
      </w:pPr>
      <w:bookmarkStart w:id="32" w:name="_Toc1981163569"/>
      <w:r>
        <w:rPr>
          <w:rFonts w:hint="eastAsia" w:ascii="方正小标宋简体" w:hAnsi="方正小标宋简体" w:eastAsia="方正小标宋简体" w:cs="方正小标宋简体"/>
          <w:bCs/>
          <w:kern w:val="44"/>
          <w:sz w:val="44"/>
          <w:szCs w:val="44"/>
          <w:highlight w:val="none"/>
        </w:rPr>
        <w:t>第四部分附件</w:t>
      </w:r>
      <w:bookmarkEnd w:id="32"/>
    </w:p>
    <w:p w14:paraId="0AB00B29">
      <w:pPr>
        <w:spacing w:line="576" w:lineRule="exact"/>
        <w:outlineLvl w:val="9"/>
        <w:rPr>
          <w:rFonts w:ascii="黑体" w:hAnsi="黑体" w:eastAsia="黑体" w:cs="黑体"/>
          <w:bCs/>
          <w:sz w:val="32"/>
          <w:szCs w:val="32"/>
          <w:highlight w:val="none"/>
        </w:rPr>
      </w:pPr>
    </w:p>
    <w:p w14:paraId="69DF96B5">
      <w:pPr>
        <w:keepNext w:val="0"/>
        <w:keepLines w:val="0"/>
        <w:pageBreakBefore w:val="0"/>
        <w:suppressAutoHyphens/>
        <w:kinsoku/>
        <w:wordWrap/>
        <w:overflowPunct/>
        <w:topLinePunct w:val="0"/>
        <w:autoSpaceDE/>
        <w:autoSpaceDN/>
        <w:bidi w:val="0"/>
        <w:spacing w:line="572" w:lineRule="exact"/>
        <w:jc w:val="left"/>
        <w:textAlignment w:val="auto"/>
        <w:outlineLvl w:val="9"/>
        <w:rPr>
          <w:rFonts w:hint="eastAsia" w:ascii="黑体" w:hAnsi="黑体" w:eastAsia="黑体" w:cs="黑体"/>
          <w:color w:val="auto"/>
          <w:sz w:val="32"/>
          <w:szCs w:val="32"/>
          <w:highlight w:val="none"/>
          <w:lang w:val="en-US" w:eastAsia="zh-CN"/>
        </w:rPr>
      </w:pPr>
      <w:bookmarkStart w:id="33" w:name="_Toc15377226"/>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1</w:t>
      </w:r>
    </w:p>
    <w:p w14:paraId="1F4412D6">
      <w:pPr>
        <w:keepNext w:val="0"/>
        <w:keepLines w:val="0"/>
        <w:pageBreakBefore w:val="0"/>
        <w:widowControl/>
        <w:suppressAutoHyphens/>
        <w:kinsoku/>
        <w:wordWrap/>
        <w:overflowPunct/>
        <w:topLinePunct w:val="0"/>
        <w:autoSpaceDE/>
        <w:autoSpaceDN/>
        <w:bidi w:val="0"/>
        <w:spacing w:line="578" w:lineRule="exact"/>
        <w:contextualSpacing/>
        <w:jc w:val="center"/>
        <w:textAlignment w:val="auto"/>
        <w:outlineLvl w:val="2"/>
        <w:rPr>
          <w:rFonts w:hint="default" w:ascii="Times New Roman" w:hAnsi="Times New Roman" w:eastAsia="方正小标宋简体" w:cs="Times New Roman"/>
          <w:b w:val="0"/>
          <w:bCs/>
          <w:color w:val="auto"/>
          <w:sz w:val="44"/>
          <w:szCs w:val="44"/>
          <w:highlight w:val="none"/>
          <w:shd w:val="clear" w:color="auto" w:fill="FFFFFF"/>
        </w:rPr>
      </w:pPr>
      <w:bookmarkStart w:id="34" w:name="_Toc1508609553"/>
      <w:r>
        <w:rPr>
          <w:rFonts w:hint="default" w:ascii="Times New Roman" w:hAnsi="Times New Roman" w:eastAsia="方正小标宋简体" w:cs="Times New Roman"/>
          <w:b w:val="0"/>
          <w:bCs/>
          <w:color w:val="auto"/>
          <w:sz w:val="44"/>
          <w:szCs w:val="44"/>
          <w:highlight w:val="none"/>
          <w:shd w:val="clear" w:color="auto" w:fill="FFFFFF"/>
        </w:rPr>
        <w:t>202</w:t>
      </w:r>
      <w:r>
        <w:rPr>
          <w:rFonts w:hint="eastAsia" w:ascii="Times New Roman" w:hAnsi="Times New Roman" w:eastAsia="方正小标宋简体" w:cs="Times New Roman"/>
          <w:b w:val="0"/>
          <w:bCs/>
          <w:color w:val="auto"/>
          <w:sz w:val="44"/>
          <w:szCs w:val="44"/>
          <w:highlight w:val="none"/>
          <w:shd w:val="clear" w:color="auto" w:fill="FFFFFF"/>
          <w:lang w:val="en-US" w:eastAsia="zh-CN"/>
        </w:rPr>
        <w:t>4</w:t>
      </w:r>
      <w:r>
        <w:rPr>
          <w:rFonts w:hint="default" w:ascii="Times New Roman" w:hAnsi="Times New Roman" w:eastAsia="方正小标宋简体" w:cs="Times New Roman"/>
          <w:b w:val="0"/>
          <w:bCs/>
          <w:color w:val="auto"/>
          <w:sz w:val="44"/>
          <w:szCs w:val="44"/>
          <w:highlight w:val="none"/>
          <w:shd w:val="clear" w:color="auto" w:fill="FFFFFF"/>
        </w:rPr>
        <w:t>年区级农业部门整体支出绩效自评报告</w:t>
      </w:r>
      <w:bookmarkEnd w:id="34"/>
    </w:p>
    <w:p w14:paraId="2B06A228">
      <w:pPr>
        <w:keepNext w:val="0"/>
        <w:keepLines w:val="0"/>
        <w:pageBreakBefore w:val="0"/>
        <w:widowControl/>
        <w:kinsoku/>
        <w:wordWrap/>
        <w:overflowPunct/>
        <w:topLinePunct w:val="0"/>
        <w:autoSpaceDE/>
        <w:autoSpaceDN/>
        <w:bidi w:val="0"/>
        <w:adjustRightInd w:val="0"/>
        <w:snapToGrid w:val="0"/>
        <w:spacing w:line="578" w:lineRule="exact"/>
        <w:ind w:firstLine="480" w:firstLineChars="200"/>
        <w:contextualSpacing/>
        <w:jc w:val="left"/>
        <w:textAlignment w:val="auto"/>
        <w:outlineLvl w:val="9"/>
        <w:rPr>
          <w:rFonts w:hint="default" w:ascii="Times New Roman" w:hAnsi="Times New Roman" w:eastAsia="黑体" w:cs="Times New Roman"/>
          <w:color w:val="000000"/>
          <w:kern w:val="0"/>
          <w:sz w:val="24"/>
          <w:szCs w:val="32"/>
          <w:highlight w:val="none"/>
          <w:shd w:val="clear" w:color="auto" w:fill="FFFFFF"/>
        </w:rPr>
      </w:pPr>
    </w:p>
    <w:p w14:paraId="587F5CA9">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eastAsia="黑体" w:cs="Times New Roman"/>
          <w:color w:val="000000"/>
          <w:kern w:val="0"/>
          <w:sz w:val="32"/>
          <w:szCs w:val="32"/>
          <w:highlight w:val="none"/>
          <w:shd w:val="clear" w:color="auto" w:fill="FFFFFF"/>
          <w:lang w:val="zh-CN"/>
        </w:rPr>
      </w:pPr>
      <w:r>
        <w:rPr>
          <w:rFonts w:hint="eastAsia" w:eastAsia="黑体" w:cs="Times New Roman"/>
          <w:color w:val="000000"/>
          <w:kern w:val="0"/>
          <w:sz w:val="32"/>
          <w:szCs w:val="32"/>
          <w:highlight w:val="none"/>
          <w:shd w:val="clear" w:color="auto" w:fill="FFFFFF"/>
          <w:lang w:val="zh-CN"/>
        </w:rPr>
        <w:t>一、</w:t>
      </w:r>
      <w:r>
        <w:rPr>
          <w:rFonts w:hint="default" w:eastAsia="黑体" w:cs="Times New Roman"/>
          <w:color w:val="000000"/>
          <w:kern w:val="0"/>
          <w:sz w:val="32"/>
          <w:szCs w:val="32"/>
          <w:highlight w:val="none"/>
          <w:shd w:val="clear" w:color="auto" w:fill="FFFFFF"/>
          <w:lang w:val="zh-CN"/>
        </w:rPr>
        <w:t>部门（单位）基本情况</w:t>
      </w:r>
    </w:p>
    <w:p w14:paraId="71FEB4C0">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eastAsia" w:ascii="Times New Roman" w:hAnsi="Times New Roman" w:eastAsia="楷体_GB2312" w:cs="Times New Roman"/>
          <w:b/>
          <w:bCs/>
          <w:color w:val="000000"/>
          <w:kern w:val="0"/>
          <w:sz w:val="32"/>
          <w:szCs w:val="32"/>
          <w:highlight w:val="none"/>
          <w:shd w:val="clear" w:color="auto" w:fill="FFFFFF"/>
          <w:lang w:val="zh-CN"/>
        </w:rPr>
        <w:t>（一）</w:t>
      </w:r>
      <w:r>
        <w:rPr>
          <w:rFonts w:hint="default" w:ascii="Times New Roman" w:hAnsi="Times New Roman" w:eastAsia="楷体_GB2312" w:cs="Times New Roman"/>
          <w:b/>
          <w:bCs/>
          <w:color w:val="000000"/>
          <w:kern w:val="0"/>
          <w:sz w:val="32"/>
          <w:szCs w:val="32"/>
          <w:highlight w:val="none"/>
          <w:shd w:val="clear" w:color="auto" w:fill="FFFFFF"/>
          <w:lang w:val="zh-CN"/>
        </w:rPr>
        <w:t>机构组成。</w:t>
      </w:r>
    </w:p>
    <w:p w14:paraId="74B4E473">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广元市利州区农业农村局属一级预算单位，现有独立编制机构数12个，其中行政机构数1个，参照公务员编制机构数3个，财政补助独立事业编制机构数8个。内设区委农办秘书股、办公室（市场与信息化股）、计划财务股（项目投资与交流合作股）</w:t>
      </w:r>
    </w:p>
    <w:p w14:paraId="25B000D4">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cs="Times New Roman"/>
          <w:szCs w:val="32"/>
        </w:rPr>
      </w:pPr>
      <w:r>
        <w:rPr>
          <w:rFonts w:hint="eastAsia" w:ascii="Times New Roman" w:hAnsi="Times New Roman" w:eastAsia="仿宋_GB2312" w:cs="Times New Roman"/>
          <w:sz w:val="32"/>
          <w:szCs w:val="32"/>
          <w:lang w:val="en-US" w:eastAsia="zh-CN"/>
        </w:rPr>
        <w:t>农村改革与合作经济指导股（农村宅基地管理股）、产业发展股（新型经营主体培育发展股）、科教资环与行政审批股（人事股）、发展规划与农业园区股（农田建设管理股）、农业机械化与安全监督管理股（农产品质量监管股）、畜牧兽医与饲料兽药股（渔业渔政管理股）、乡村建设与农村社会事业促进股（督查股）、脱贫成果巩固与易地搬迁后续扶持股等11个股室</w:t>
      </w:r>
      <w:r>
        <w:rPr>
          <w:rFonts w:hint="default" w:ascii="Times New Roman" w:hAnsi="Times New Roman" w:eastAsia="仿宋_GB2312" w:cs="Times New Roman"/>
          <w:sz w:val="32"/>
          <w:szCs w:val="32"/>
          <w:lang w:val="en-US" w:eastAsia="zh-CN"/>
        </w:rPr>
        <w:t>。</w:t>
      </w:r>
    </w:p>
    <w:p w14:paraId="1D31467C">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eastAsia"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（二）机构职能</w:t>
      </w:r>
      <w:r>
        <w:rPr>
          <w:rFonts w:hint="eastAsia" w:ascii="Times New Roman" w:hAnsi="Times New Roman" w:eastAsia="楷体_GB2312" w:cs="Times New Roman"/>
          <w:b/>
          <w:bCs/>
          <w:color w:val="000000"/>
          <w:kern w:val="0"/>
          <w:sz w:val="32"/>
          <w:szCs w:val="32"/>
          <w:highlight w:val="none"/>
          <w:shd w:val="clear" w:color="auto" w:fill="FFFFFF"/>
          <w:lang w:val="zh-CN"/>
        </w:rPr>
        <w:t>。</w:t>
      </w:r>
    </w:p>
    <w:p w14:paraId="23B52607">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利州区农业农村局承担以下基本职能：</w:t>
      </w:r>
    </w:p>
    <w:p w14:paraId="45BB96AA">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ascii="Times New Roman" w:hAnsi="Times New Roman" w:eastAsia="仿宋_GB2312" w:cs="Times New Roman"/>
          <w:sz w:val="32"/>
          <w:szCs w:val="32"/>
          <w:lang w:val="en-US" w:eastAsia="zh-CN"/>
        </w:rPr>
        <w:t>统筹研究和组织实施全区以乡村振兴为重心的“三农”工作发展战略、中长期规划、重大政策。统筹推动发展农村社会事业、农村公共服务、农村文化、农村基础设施和乡村治理。拟订深化全区农村经济体制改革和巩固完善农村基本经营制度的政策措施。负责巩固拓展脱贫攻坚成果有关工作。负责指导全区乡村特色产业、农产品加工业（产地初加工）、休闲农业和乡村企业发展工作，推动延长农产品产业链。负责全区种植业、畜牧业、渔业、农业机械化等农业各产业的监督管理。负责制定全区农业机械化发展规划并组织实施。负责全区农产品质量安全监督管理。负责耕地、永久基本农田质量保护和高标准农田建设工作。负责全区有关农业生产资料和农业投入品的监督管理。负责全区农业防灾减灾、农作物重大病虫害防治工作。负责全区农业投资管理。提出农业投融资体制机制改革建议。制定全区农业科研、农技推广的规划、计划和有关政策并组织实施，推动农业科技体制改革和科技创新体系建设。指导全区农业农村人才工作。牵头开展全区农业对外合作工作。依法依规负责农业农村安全生产和职业健康监督管理工作。负责全区农业综合行政执法监督指导工作。负责职责范围内的生态环境保护、审批服务便民化等工作。完成区委、区政府交办的其他任务。</w:t>
      </w:r>
    </w:p>
    <w:p w14:paraId="56F42DB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）人员概况</w:t>
      </w:r>
      <w:r>
        <w:rPr>
          <w:rFonts w:hint="eastAsia" w:ascii="Times New Roman" w:hAnsi="Times New Roman" w:eastAsia="楷体_GB2312" w:cs="Times New Roman"/>
          <w:b/>
          <w:bCs/>
          <w:color w:val="000000"/>
          <w:kern w:val="0"/>
          <w:sz w:val="32"/>
          <w:szCs w:val="32"/>
          <w:highlight w:val="none"/>
          <w:shd w:val="clear" w:color="auto" w:fill="FFFFFF"/>
          <w:lang w:val="zh-CN"/>
        </w:rPr>
        <w:t>。</w:t>
      </w:r>
    </w:p>
    <w:p w14:paraId="32D5D91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Cs w:val="32"/>
        </w:rPr>
      </w:pPr>
      <w:r>
        <w:rPr>
          <w:rFonts w:hint="default" w:ascii="Times New Roman" w:hAnsi="Times New Roman" w:eastAsia="仿宋_GB2312" w:cs="Times New Roman"/>
          <w:sz w:val="32"/>
          <w:szCs w:val="32"/>
          <w:lang w:val="en-US" w:eastAsia="zh-CN"/>
        </w:rPr>
        <w:t>截至202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年末，</w:t>
      </w:r>
      <w:r>
        <w:rPr>
          <w:rFonts w:hint="eastAsia" w:ascii="Times New Roman" w:hAnsi="Times New Roman" w:eastAsia="仿宋_GB2312" w:cs="Times New Roman"/>
          <w:sz w:val="32"/>
          <w:szCs w:val="32"/>
          <w:lang w:val="en-US" w:eastAsia="zh-CN"/>
        </w:rPr>
        <w:t>我单位职工141位（在职职工141人，离退休人员127人）。在职职工中行政人员19人，事业人员75人、参公人员43人、机关工勤4人。</w:t>
      </w:r>
    </w:p>
    <w:p w14:paraId="63034FAF">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eastAsia="黑体" w:cs="Times New Roman"/>
          <w:color w:val="000000"/>
          <w:kern w:val="0"/>
          <w:sz w:val="32"/>
          <w:szCs w:val="32"/>
          <w:highlight w:val="none"/>
          <w:shd w:val="clear" w:color="auto" w:fill="FFFFFF"/>
          <w:lang w:val="zh-CN" w:eastAsia="zh-CN"/>
        </w:rPr>
      </w:pPr>
      <w:r>
        <w:rPr>
          <w:rFonts w:hint="default" w:eastAsia="黑体" w:cs="Times New Roman"/>
          <w:color w:val="000000"/>
          <w:kern w:val="0"/>
          <w:sz w:val="32"/>
          <w:szCs w:val="32"/>
          <w:highlight w:val="none"/>
          <w:shd w:val="clear" w:color="auto" w:fill="FFFFFF"/>
          <w:lang w:val="zh-CN" w:eastAsia="zh-CN"/>
        </w:rPr>
        <w:t>二、部门资金收支情况</w:t>
      </w:r>
    </w:p>
    <w:p w14:paraId="29BEA256">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收入情况</w:t>
      </w:r>
      <w:r>
        <w:rPr>
          <w:rFonts w:hint="default" w:ascii="Times New Roman" w:hAnsi="Times New Roman" w:eastAsia="楷体_GB2312" w:cs="Times New Roman"/>
          <w:b/>
          <w:bCs/>
          <w:color w:val="000000"/>
          <w:kern w:val="0"/>
          <w:sz w:val="32"/>
          <w:szCs w:val="32"/>
          <w:highlight w:val="none"/>
          <w:shd w:val="clear" w:color="auto" w:fill="FFFFFF"/>
          <w:lang w:val="zh-CN"/>
        </w:rPr>
        <w:t>。</w:t>
      </w:r>
    </w:p>
    <w:p w14:paraId="055F34EA">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楷体_GB2312" w:cs="Times New Roman"/>
          <w:b/>
          <w:bCs/>
          <w:color w:val="000000"/>
          <w:kern w:val="0"/>
          <w:szCs w:val="32"/>
          <w:highlight w:val="none"/>
          <w:shd w:val="clear" w:color="auto" w:fill="FFFFFF"/>
          <w:lang w:val="en-US"/>
        </w:rPr>
      </w:pPr>
      <w:r>
        <w:rPr>
          <w:rFonts w:hint="eastAsia" w:ascii="Times New Roman" w:hAnsi="Times New Roman" w:eastAsia="仿宋_GB2312" w:cs="Times New Roman"/>
          <w:sz w:val="32"/>
          <w:szCs w:val="32"/>
          <w:lang w:val="en-US" w:eastAsia="zh-CN"/>
        </w:rPr>
        <w:t>利州区农业农村局2024年年初预算收入合7,050.40万元，其中一般公共预算财政拨款收入7,050.40万元，占100%；2024年决算收入19,299.99万元，其中一般公共预算财政拨款收入19,299.99万元，占100%。</w:t>
      </w:r>
    </w:p>
    <w:p w14:paraId="6A39F4C8">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二</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支出情况</w:t>
      </w:r>
      <w:r>
        <w:rPr>
          <w:rFonts w:hint="default" w:ascii="Times New Roman" w:hAnsi="Times New Roman" w:eastAsia="楷体_GB2312" w:cs="Times New Roman"/>
          <w:b/>
          <w:bCs/>
          <w:color w:val="000000"/>
          <w:kern w:val="0"/>
          <w:sz w:val="32"/>
          <w:szCs w:val="32"/>
          <w:highlight w:val="none"/>
          <w:shd w:val="clear" w:color="auto" w:fill="FFFFFF"/>
          <w:lang w:val="zh-CN"/>
        </w:rPr>
        <w:t>。</w:t>
      </w:r>
    </w:p>
    <w:p w14:paraId="1B1DCCA4">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cs="Times New Roman"/>
          <w:szCs w:val="32"/>
          <w:lang w:val="zh-CN" w:eastAsia="zh-CN"/>
        </w:rPr>
      </w:pPr>
      <w:r>
        <w:rPr>
          <w:rFonts w:hint="eastAsia" w:ascii="Times New Roman" w:hAnsi="Times New Roman" w:eastAsia="仿宋_GB2312" w:cs="Times New Roman"/>
          <w:sz w:val="32"/>
          <w:szCs w:val="32"/>
          <w:lang w:val="en-US" w:eastAsia="zh-CN"/>
        </w:rPr>
        <w:t>利州区农业农村局2024年年初预算支出合7,050.40万元，其中基本支出2,267.11万元，占32.16%，项目支出4,783.29万元，占67.84%。2024年决算支19,299.99万元，其中基本支出2,614.04万元，13.54%，项目支出16,685.95万元，占86.46%。</w:t>
      </w:r>
    </w:p>
    <w:p w14:paraId="3AB3A71A">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eastAsia" w:ascii="Times New Roman" w:hAnsi="Times New Roman" w:eastAsia="楷体_GB2312" w:cs="Times New Roman"/>
          <w:b/>
          <w:bCs/>
          <w:color w:val="000000"/>
          <w:kern w:val="0"/>
          <w:sz w:val="32"/>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）结余分配和结转结余情况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p>
    <w:p w14:paraId="329B48FA">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Times New Roman"/>
          <w:b w:val="0"/>
          <w:bCs w:val="0"/>
          <w:color w:val="000000"/>
          <w:kern w:val="0"/>
          <w:szCs w:val="32"/>
          <w:highlight w:val="none"/>
          <w:shd w:val="clear" w:color="auto" w:fill="FFFFFF"/>
          <w:lang w:val="zh-CN" w:eastAsia="zh-CN"/>
        </w:rPr>
      </w:pPr>
      <w:r>
        <w:rPr>
          <w:rFonts w:hint="eastAsia" w:ascii="Times New Roman" w:hAnsi="Times New Roman" w:eastAsia="仿宋_GB2312" w:cs="Times New Roman"/>
          <w:sz w:val="32"/>
          <w:szCs w:val="32"/>
          <w:lang w:val="en-US" w:eastAsia="zh-CN"/>
        </w:rPr>
        <w:t>广元市利州区农业农村局2024年决算报表无结转结余。</w:t>
      </w:r>
    </w:p>
    <w:p w14:paraId="2D9A0EC5">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eastAsia="黑体" w:cs="Times New Roman"/>
          <w:color w:val="000000"/>
          <w:kern w:val="0"/>
          <w:sz w:val="32"/>
          <w:szCs w:val="32"/>
          <w:highlight w:val="none"/>
          <w:shd w:val="clear" w:color="auto" w:fill="FFFFFF"/>
          <w:lang w:val="zh-CN" w:eastAsia="zh-CN"/>
        </w:rPr>
      </w:pPr>
      <w:r>
        <w:rPr>
          <w:rFonts w:hint="default" w:eastAsia="黑体" w:cs="Times New Roman"/>
          <w:color w:val="000000"/>
          <w:kern w:val="0"/>
          <w:sz w:val="32"/>
          <w:szCs w:val="32"/>
          <w:highlight w:val="none"/>
          <w:shd w:val="clear" w:color="auto" w:fill="FFFFFF"/>
          <w:lang w:val="zh-CN" w:eastAsia="zh-CN"/>
        </w:rPr>
        <w:t>三、部门预算绩效分析</w:t>
      </w:r>
    </w:p>
    <w:p w14:paraId="75B3B7F6">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cs="Times New Roman"/>
          <w:color w:val="000000"/>
          <w:kern w:val="0"/>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部门预算</w:t>
      </w:r>
      <w:r>
        <w:rPr>
          <w:rFonts w:hint="default" w:ascii="Times New Roman" w:hAnsi="Times New Roman" w:eastAsia="楷体_GB2312" w:cs="Times New Roman"/>
          <w:b/>
          <w:bCs/>
          <w:color w:val="000000"/>
          <w:kern w:val="0"/>
          <w:sz w:val="32"/>
          <w:szCs w:val="32"/>
          <w:highlight w:val="none"/>
          <w:shd w:val="clear" w:color="auto" w:fill="FFFFFF"/>
          <w:lang w:val="zh-CN"/>
        </w:rPr>
        <w:t>总体绩效分析。</w:t>
      </w:r>
      <w:r>
        <w:rPr>
          <w:rFonts w:hint="default" w:ascii="Times New Roman" w:hAnsi="Times New Roman" w:eastAsia="仿宋_GB2312" w:cs="Times New Roman"/>
          <w:sz w:val="32"/>
          <w:szCs w:val="32"/>
          <w:lang w:val="zh-CN" w:eastAsia="zh-CN"/>
        </w:rPr>
        <w:t>根据部门预算绩效评价指标体系“总体绩效”涉及</w:t>
      </w:r>
      <w:r>
        <w:rPr>
          <w:rFonts w:hint="eastAsia" w:ascii="Times New Roman" w:hAnsi="Times New Roman" w:eastAsia="仿宋_GB2312" w:cs="Times New Roman"/>
          <w:sz w:val="32"/>
          <w:szCs w:val="32"/>
          <w:lang w:val="zh-CN" w:eastAsia="zh-CN"/>
        </w:rPr>
        <w:t>二、三级</w:t>
      </w:r>
      <w:r>
        <w:rPr>
          <w:rFonts w:hint="default" w:ascii="Times New Roman" w:hAnsi="Times New Roman" w:eastAsia="仿宋_GB2312" w:cs="Times New Roman"/>
          <w:sz w:val="32"/>
          <w:szCs w:val="32"/>
          <w:lang w:val="zh-CN" w:eastAsia="zh-CN"/>
        </w:rPr>
        <w:t>指标进行</w:t>
      </w:r>
      <w:r>
        <w:rPr>
          <w:rFonts w:hint="eastAsia" w:ascii="Times New Roman" w:hAnsi="Times New Roman" w:eastAsia="仿宋_GB2312" w:cs="Times New Roman"/>
          <w:sz w:val="32"/>
          <w:szCs w:val="32"/>
          <w:lang w:val="zh-CN" w:eastAsia="zh-CN"/>
        </w:rPr>
        <w:t>逐项</w:t>
      </w:r>
      <w:r>
        <w:rPr>
          <w:rFonts w:hint="default" w:ascii="Times New Roman" w:hAnsi="Times New Roman" w:eastAsia="仿宋_GB2312" w:cs="Times New Roman"/>
          <w:sz w:val="32"/>
          <w:szCs w:val="32"/>
          <w:lang w:val="zh-CN" w:eastAsia="zh-CN"/>
        </w:rPr>
        <w:t>绩效分析</w:t>
      </w:r>
      <w:r>
        <w:rPr>
          <w:rFonts w:hint="eastAsia" w:ascii="Times New Roman" w:hAnsi="Times New Roman" w:eastAsia="仿宋_GB2312" w:cs="Times New Roman"/>
          <w:sz w:val="32"/>
          <w:szCs w:val="32"/>
          <w:lang w:val="zh-CN" w:eastAsia="zh-CN"/>
        </w:rPr>
        <w:t>并评分</w:t>
      </w:r>
      <w:r>
        <w:rPr>
          <w:rFonts w:hint="default" w:ascii="Times New Roman" w:hAnsi="Times New Roman" w:eastAsia="仿宋_GB2312" w:cs="Times New Roman"/>
          <w:sz w:val="32"/>
          <w:szCs w:val="32"/>
          <w:lang w:val="zh-CN" w:eastAsia="zh-CN"/>
        </w:rPr>
        <w:t>，依次包括履职效能、预算管理、财务管理、资产管理、采购管理等情况。</w:t>
      </w:r>
    </w:p>
    <w:p w14:paraId="329783C7">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楷体_GB2312" w:hAnsi="楷体_GB2312" w:eastAsia="楷体_GB2312" w:cs="楷体_GB2312"/>
          <w:color w:val="000000"/>
          <w:kern w:val="0"/>
          <w:sz w:val="32"/>
          <w:szCs w:val="32"/>
          <w:highlight w:val="none"/>
          <w:shd w:val="clear" w:color="auto" w:fill="FFFFFF"/>
          <w:lang w:val="en-US" w:eastAsia="zh-CN"/>
        </w:rPr>
        <w:t>1.</w:t>
      </w:r>
      <w:r>
        <w:rPr>
          <w:rFonts w:hint="eastAsia" w:ascii="楷体_GB2312" w:hAnsi="楷体_GB2312" w:eastAsia="楷体_GB2312" w:cs="楷体_GB2312"/>
          <w:color w:val="000000"/>
          <w:kern w:val="0"/>
          <w:sz w:val="32"/>
          <w:szCs w:val="32"/>
          <w:highlight w:val="none"/>
          <w:shd w:val="clear" w:color="auto" w:fill="FFFFFF"/>
          <w:lang w:val="zh-CN"/>
        </w:rPr>
        <w:t>履职效能。</w:t>
      </w:r>
    </w:p>
    <w:p w14:paraId="1799F805">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lang w:val="zh-CN" w:eastAsia="zh-CN"/>
        </w:rPr>
      </w:pPr>
      <w:r>
        <w:rPr>
          <w:rFonts w:hint="eastAsia" w:ascii="Times New Roman" w:hAnsi="Times New Roman" w:eastAsia="仿宋_GB2312" w:cs="Times New Roman"/>
          <w:sz w:val="32"/>
          <w:szCs w:val="32"/>
          <w:lang w:val="zh-CN" w:eastAsia="zh-CN"/>
        </w:rPr>
        <w:t>2024年，我部门认真贯彻落实省委、省政府和人社部的决策部署，认真贯彻实施预算绩效管理精神，严格预算绩效管理，积极进取、扎实工作，全面完成了全年各项目标任务。</w:t>
      </w:r>
    </w:p>
    <w:p w14:paraId="4D25AAD6">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lang w:val="zh-CN" w:eastAsia="zh-CN"/>
        </w:rPr>
      </w:pPr>
      <w:r>
        <w:rPr>
          <w:rFonts w:hint="eastAsia" w:ascii="Times New Roman" w:hAnsi="Times New Roman" w:eastAsia="仿宋_GB2312" w:cs="Times New Roman"/>
          <w:sz w:val="32"/>
          <w:szCs w:val="32"/>
          <w:lang w:val="zh-CN" w:eastAsia="zh-CN"/>
        </w:rPr>
        <w:t>人员工资每月足额发放，有效调动职工工作积极性，有效保障机构运转，无违规违纪记录。</w:t>
      </w:r>
    </w:p>
    <w:p w14:paraId="16CAACF0">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lang w:val="zh-CN" w:eastAsia="zh-CN"/>
        </w:rPr>
      </w:pPr>
      <w:r>
        <w:rPr>
          <w:rFonts w:hint="eastAsia" w:ascii="Times New Roman" w:hAnsi="Times New Roman" w:eastAsia="仿宋_GB2312" w:cs="Times New Roman"/>
          <w:sz w:val="32"/>
          <w:szCs w:val="32"/>
          <w:lang w:val="zh-CN" w:eastAsia="zh-CN"/>
        </w:rPr>
        <w:t>日常公用经费根据机构正常运转和日常工作所需填报，2024年部门日常公用经费共支出265.59万元，大力推动工作开展，及时拨付相关资金，无违规违纪记录。</w:t>
      </w:r>
    </w:p>
    <w:p w14:paraId="25995F64">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cs="Times New Roman"/>
          <w:color w:val="000000"/>
          <w:kern w:val="0"/>
          <w:sz w:val="32"/>
          <w:szCs w:val="32"/>
          <w:highlight w:val="none"/>
          <w:shd w:val="clear" w:color="auto" w:fill="FFFFFF"/>
          <w:lang w:val="zh-CN"/>
        </w:rPr>
      </w:pPr>
      <w:r>
        <w:rPr>
          <w:rFonts w:hint="eastAsia" w:ascii="Times New Roman" w:hAnsi="Times New Roman" w:eastAsia="仿宋_GB2312" w:cs="Times New Roman"/>
          <w:sz w:val="32"/>
          <w:szCs w:val="32"/>
          <w:lang w:val="zh-CN" w:eastAsia="zh-CN"/>
        </w:rPr>
        <w:t>积极指导全区乡村特色产业、农产品加工业（产地初加工）、休闲农业、专合社及家庭农场发展等专项业务工作开展有效推动农业产业项目发展，发展壮大农业优势特色产业，有序开展涉农项目工作。根据相关规定及审批意见，及时拨付相关资金，无违规违纪记录。</w:t>
      </w:r>
    </w:p>
    <w:p w14:paraId="02BEA362">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楷体_GB2312" w:hAnsi="楷体_GB2312" w:eastAsia="楷体_GB2312" w:cs="楷体_GB2312"/>
          <w:color w:val="000000"/>
          <w:kern w:val="0"/>
          <w:sz w:val="32"/>
          <w:szCs w:val="32"/>
          <w:highlight w:val="none"/>
          <w:shd w:val="clear" w:color="auto" w:fill="FFFFFF"/>
          <w:lang w:val="en-US" w:eastAsia="zh-CN"/>
        </w:rPr>
        <w:t>2.</w:t>
      </w:r>
      <w:r>
        <w:rPr>
          <w:rFonts w:hint="default" w:ascii="楷体_GB2312" w:hAnsi="楷体_GB2312" w:eastAsia="楷体_GB2312" w:cs="楷体_GB2312"/>
          <w:color w:val="000000"/>
          <w:kern w:val="0"/>
          <w:sz w:val="32"/>
          <w:szCs w:val="32"/>
          <w:highlight w:val="none"/>
          <w:shd w:val="clear" w:color="auto" w:fill="FFFFFF"/>
          <w:lang w:val="zh-CN"/>
        </w:rPr>
        <w:t>预算管理</w:t>
      </w:r>
      <w:r>
        <w:rPr>
          <w:rFonts w:hint="eastAsia" w:ascii="楷体_GB2312" w:hAnsi="楷体_GB2312" w:eastAsia="楷体_GB2312" w:cs="楷体_GB2312"/>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lang w:val="zh-CN" w:eastAsia="zh-CN"/>
        </w:rPr>
        <w:t>2024年单位按照《中华人民共和国预算法》、《预算法实施条例》、广元市利州区部门预算编制口径和要求，结合当年单位工作重点将部门整体目标，目标值设置科学合理、规范完整，能够细化量化。在基本支出的使用上，严格贯彻落实中央、省、市、区规定，进一步压减经费支出。</w:t>
      </w:r>
    </w:p>
    <w:p w14:paraId="072AE5B7">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楷体_GB2312" w:hAnsi="楷体_GB2312" w:eastAsia="楷体_GB2312" w:cs="楷体_GB2312"/>
          <w:color w:val="000000"/>
          <w:kern w:val="0"/>
          <w:sz w:val="32"/>
          <w:szCs w:val="32"/>
          <w:highlight w:val="none"/>
          <w:shd w:val="clear" w:color="auto" w:fill="FFFFFF"/>
          <w:lang w:val="en-US" w:eastAsia="zh-CN"/>
        </w:rPr>
        <w:t>3.</w:t>
      </w:r>
      <w:r>
        <w:rPr>
          <w:rFonts w:hint="default" w:ascii="楷体_GB2312" w:hAnsi="楷体_GB2312" w:eastAsia="楷体_GB2312" w:cs="楷体_GB2312"/>
          <w:color w:val="000000"/>
          <w:kern w:val="0"/>
          <w:sz w:val="32"/>
          <w:szCs w:val="32"/>
          <w:highlight w:val="none"/>
          <w:shd w:val="clear" w:color="auto" w:fill="FFFFFF"/>
          <w:lang w:val="zh-CN"/>
        </w:rPr>
        <w:t>财务管理</w:t>
      </w:r>
      <w:r>
        <w:rPr>
          <w:rFonts w:hint="eastAsia" w:ascii="楷体_GB2312" w:hAnsi="楷体_GB2312" w:eastAsia="楷体_GB2312" w:cs="楷体_GB2312"/>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lang w:val="zh-CN" w:eastAsia="zh-CN"/>
        </w:rPr>
        <w:t>按照相关要求，我部门严格执行财务管理制度，合理设置财务工作岗位，明确职责权限。制定信息公开、经费审核、项目验收制度，确保资金合理合规使用，对下达资金及时拨付，提高资金使用效率。</w:t>
      </w:r>
    </w:p>
    <w:p w14:paraId="3766BA95">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楷体_GB2312" w:hAnsi="楷体_GB2312" w:eastAsia="楷体_GB2312" w:cs="楷体_GB2312"/>
          <w:color w:val="000000"/>
          <w:kern w:val="0"/>
          <w:sz w:val="32"/>
          <w:szCs w:val="32"/>
          <w:highlight w:val="none"/>
          <w:shd w:val="clear" w:color="auto" w:fill="FFFFFF"/>
          <w:lang w:val="en-US" w:eastAsia="zh-CN"/>
        </w:rPr>
        <w:t>4.</w:t>
      </w:r>
      <w:r>
        <w:rPr>
          <w:rFonts w:hint="default" w:ascii="楷体_GB2312" w:hAnsi="楷体_GB2312" w:eastAsia="楷体_GB2312" w:cs="楷体_GB2312"/>
          <w:color w:val="000000"/>
          <w:kern w:val="0"/>
          <w:sz w:val="32"/>
          <w:szCs w:val="32"/>
          <w:highlight w:val="none"/>
          <w:shd w:val="clear" w:color="auto" w:fill="FFFFFF"/>
          <w:lang w:val="zh-CN"/>
        </w:rPr>
        <w:t>资产管理</w:t>
      </w:r>
      <w:r>
        <w:rPr>
          <w:rFonts w:hint="eastAsia" w:ascii="楷体_GB2312" w:hAnsi="楷体_GB2312" w:eastAsia="楷体_GB2312" w:cs="楷体_GB2312"/>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lang w:val="zh-CN" w:eastAsia="zh-CN"/>
        </w:rPr>
        <w:t>2024年我部门人员数量相对2023年增长了14.63%，其原因是机构改革乡村振兴局并入农业农村局。2024年有效进行了资产购置，且成功清理报废核销了一批废旧资产，人均资产变化不大；经过清理，我单位无闲置资产，所有资产均处于使用状态，资产利用率较高。</w:t>
      </w:r>
    </w:p>
    <w:p w14:paraId="61BB5DEC">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楷体_GB2312" w:hAnsi="楷体_GB2312" w:eastAsia="楷体_GB2312" w:cs="楷体_GB2312"/>
          <w:color w:val="000000"/>
          <w:kern w:val="0"/>
          <w:sz w:val="32"/>
          <w:szCs w:val="32"/>
          <w:highlight w:val="none"/>
          <w:shd w:val="clear" w:color="auto" w:fill="FFFFFF"/>
          <w:lang w:val="en-US" w:eastAsia="zh-CN"/>
        </w:rPr>
        <w:t>5.</w:t>
      </w:r>
      <w:r>
        <w:rPr>
          <w:rFonts w:hint="default" w:ascii="楷体_GB2312" w:hAnsi="楷体_GB2312" w:eastAsia="楷体_GB2312" w:cs="楷体_GB2312"/>
          <w:color w:val="000000"/>
          <w:kern w:val="0"/>
          <w:sz w:val="32"/>
          <w:szCs w:val="32"/>
          <w:highlight w:val="none"/>
          <w:shd w:val="clear" w:color="auto" w:fill="FFFFFF"/>
          <w:lang w:val="zh-CN"/>
        </w:rPr>
        <w:t>采购管理</w:t>
      </w:r>
      <w:r>
        <w:rPr>
          <w:rFonts w:hint="eastAsia" w:ascii="楷体_GB2312" w:hAnsi="楷体_GB2312" w:eastAsia="楷体_GB2312" w:cs="楷体_GB2312"/>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lang w:val="zh-CN" w:eastAsia="zh-CN"/>
        </w:rPr>
        <w:t>我部门严格执行政府采购促进中小企业发展相关管理办法，对适宜由中小企业提供的采购项目和采购包，预留采购份额专门面向中小企业采购，并在采购预算中单独列示。部门政府采购项目资金支付比例达98%。</w:t>
      </w:r>
    </w:p>
    <w:p w14:paraId="7915CC8D">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（二）部门预算项目绩效分析。</w:t>
      </w:r>
      <w:r>
        <w:rPr>
          <w:rFonts w:hint="eastAsia" w:ascii="Times New Roman" w:hAnsi="Times New Roman" w:eastAsia="仿宋_GB2312" w:cs="Times New Roman"/>
          <w:sz w:val="32"/>
          <w:szCs w:val="32"/>
          <w:lang w:val="zh-CN" w:eastAsia="zh-CN"/>
        </w:rPr>
        <w:t>填报以下数据，并</w:t>
      </w:r>
      <w:r>
        <w:rPr>
          <w:rFonts w:hint="default" w:ascii="Times New Roman" w:hAnsi="Times New Roman" w:eastAsia="仿宋_GB2312" w:cs="Times New Roman"/>
          <w:sz w:val="32"/>
          <w:szCs w:val="32"/>
          <w:lang w:val="zh-CN" w:eastAsia="zh-CN"/>
        </w:rPr>
        <w:t>根据部门预算绩效评价指标体系“项目绩效”涉及</w:t>
      </w:r>
      <w:r>
        <w:rPr>
          <w:rFonts w:hint="eastAsia" w:ascii="Times New Roman" w:hAnsi="Times New Roman" w:eastAsia="仿宋_GB2312" w:cs="Times New Roman"/>
          <w:sz w:val="32"/>
          <w:szCs w:val="32"/>
          <w:lang w:val="zh-CN" w:eastAsia="zh-CN"/>
        </w:rPr>
        <w:t>二、三级</w:t>
      </w:r>
      <w:r>
        <w:rPr>
          <w:rFonts w:hint="default" w:ascii="Times New Roman" w:hAnsi="Times New Roman" w:eastAsia="仿宋_GB2312" w:cs="Times New Roman"/>
          <w:sz w:val="32"/>
          <w:szCs w:val="32"/>
          <w:lang w:val="zh-CN" w:eastAsia="zh-CN"/>
        </w:rPr>
        <w:t>指标进行</w:t>
      </w:r>
      <w:r>
        <w:rPr>
          <w:rFonts w:hint="eastAsia" w:ascii="Times New Roman" w:hAnsi="Times New Roman" w:eastAsia="仿宋_GB2312" w:cs="Times New Roman"/>
          <w:sz w:val="32"/>
          <w:szCs w:val="32"/>
          <w:lang w:val="zh-CN" w:eastAsia="zh-CN"/>
        </w:rPr>
        <w:t>逐项</w:t>
      </w:r>
      <w:r>
        <w:rPr>
          <w:rFonts w:hint="default" w:ascii="Times New Roman" w:hAnsi="Times New Roman" w:eastAsia="仿宋_GB2312" w:cs="Times New Roman"/>
          <w:sz w:val="32"/>
          <w:szCs w:val="32"/>
          <w:lang w:val="zh-CN" w:eastAsia="zh-CN"/>
        </w:rPr>
        <w:t>绩效分析</w:t>
      </w:r>
      <w:r>
        <w:rPr>
          <w:rFonts w:hint="eastAsia" w:ascii="Times New Roman" w:hAnsi="Times New Roman" w:eastAsia="仿宋_GB2312" w:cs="Times New Roman"/>
          <w:sz w:val="32"/>
          <w:szCs w:val="32"/>
          <w:lang w:val="zh-CN" w:eastAsia="zh-CN"/>
        </w:rPr>
        <w:t>并评分</w:t>
      </w:r>
      <w:r>
        <w:rPr>
          <w:rFonts w:hint="default" w:ascii="Times New Roman" w:hAnsi="Times New Roman" w:eastAsia="仿宋_GB2312" w:cs="Times New Roman"/>
          <w:sz w:val="32"/>
          <w:szCs w:val="32"/>
          <w:lang w:val="zh-CN" w:eastAsia="zh-CN"/>
        </w:rPr>
        <w:t>，依次包括项目</w:t>
      </w:r>
      <w:r>
        <w:rPr>
          <w:rFonts w:hint="default" w:ascii="Times New Roman" w:hAnsi="Times New Roman" w:eastAsia="仿宋_GB2312" w:cs="Times New Roman"/>
          <w:sz w:val="32"/>
          <w:szCs w:val="32"/>
          <w:lang w:val="en-US" w:eastAsia="zh-CN"/>
        </w:rPr>
        <w:t>决策、项目执行、目标实现等情况</w:t>
      </w:r>
      <w:r>
        <w:rPr>
          <w:rFonts w:hint="eastAsia" w:ascii="Times New Roman" w:hAnsi="Times New Roman" w:eastAsia="仿宋_GB2312" w:cs="Times New Roman"/>
          <w:sz w:val="32"/>
          <w:szCs w:val="32"/>
          <w:lang w:val="en-US" w:eastAsia="zh-CN"/>
        </w:rPr>
        <w:t>。</w:t>
      </w:r>
    </w:p>
    <w:p w14:paraId="325A37FA">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zh-CN" w:eastAsia="zh-CN"/>
        </w:rPr>
        <w:t>常年项目绩效分析。该类项目总数1</w:t>
      </w:r>
      <w:r>
        <w:rPr>
          <w:rFonts w:hint="eastAsia" w:eastAsia="仿宋_GB2312" w:cs="Times New Roman"/>
          <w:sz w:val="32"/>
          <w:szCs w:val="32"/>
          <w:lang w:val="en-US" w:eastAsia="zh-CN"/>
        </w:rPr>
        <w:t>7</w:t>
      </w:r>
      <w:r>
        <w:rPr>
          <w:rFonts w:hint="default" w:ascii="Times New Roman" w:hAnsi="Times New Roman" w:eastAsia="仿宋_GB2312" w:cs="Times New Roman"/>
          <w:sz w:val="32"/>
          <w:szCs w:val="32"/>
          <w:lang w:val="zh-CN" w:eastAsia="zh-CN"/>
        </w:rPr>
        <w:t>个，涉及预算总金额214.</w:t>
      </w:r>
      <w:r>
        <w:rPr>
          <w:rFonts w:hint="eastAsia" w:eastAsia="仿宋_GB2312" w:cs="Times New Roman"/>
          <w:sz w:val="32"/>
          <w:szCs w:val="32"/>
          <w:lang w:val="en-US" w:eastAsia="zh-CN"/>
        </w:rPr>
        <w:t>7</w:t>
      </w:r>
      <w:r>
        <w:rPr>
          <w:rFonts w:hint="default" w:ascii="Times New Roman" w:hAnsi="Times New Roman" w:eastAsia="仿宋_GB2312" w:cs="Times New Roman"/>
          <w:sz w:val="32"/>
          <w:szCs w:val="32"/>
          <w:lang w:val="zh-CN" w:eastAsia="zh-CN"/>
        </w:rPr>
        <w:t>5万元，1—12月预算执行总体进度为100%，其中：预算结余率大于10%的项目共计0个。</w:t>
      </w:r>
    </w:p>
    <w:p w14:paraId="4F2535AB">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en-US" w:eastAsia="zh-CN"/>
        </w:rPr>
        <w:t>阶段</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一次性</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项目绩效分析。</w:t>
      </w:r>
      <w:r>
        <w:rPr>
          <w:rFonts w:hint="default" w:ascii="Times New Roman" w:hAnsi="Times New Roman" w:eastAsia="仿宋_GB2312" w:cs="Times New Roman"/>
          <w:sz w:val="32"/>
          <w:szCs w:val="32"/>
          <w:lang w:val="zh-CN" w:eastAsia="zh-CN"/>
        </w:rPr>
        <w:t>该类项目总数</w:t>
      </w:r>
      <w:r>
        <w:rPr>
          <w:rFonts w:hint="eastAsia" w:eastAsia="仿宋_GB2312" w:cs="Times New Roman"/>
          <w:sz w:val="32"/>
          <w:szCs w:val="32"/>
          <w:lang w:val="en-US" w:eastAsia="zh-CN"/>
        </w:rPr>
        <w:t>29</w:t>
      </w:r>
      <w:r>
        <w:rPr>
          <w:rFonts w:hint="default" w:ascii="Times New Roman" w:hAnsi="Times New Roman" w:eastAsia="仿宋_GB2312" w:cs="Times New Roman"/>
          <w:sz w:val="32"/>
          <w:szCs w:val="32"/>
          <w:lang w:val="zh-CN" w:eastAsia="zh-CN"/>
        </w:rPr>
        <w:t>个，涉及预算总金额</w:t>
      </w:r>
      <w:r>
        <w:rPr>
          <w:rFonts w:hint="eastAsia" w:eastAsia="仿宋_GB2312" w:cs="Times New Roman"/>
          <w:sz w:val="32"/>
          <w:szCs w:val="32"/>
          <w:lang w:val="en-US" w:eastAsia="zh-CN"/>
        </w:rPr>
        <w:t>11,528.87</w:t>
      </w:r>
      <w:r>
        <w:rPr>
          <w:rFonts w:hint="default" w:ascii="Times New Roman" w:hAnsi="Times New Roman" w:eastAsia="仿宋_GB2312" w:cs="Times New Roman"/>
          <w:sz w:val="32"/>
          <w:szCs w:val="32"/>
          <w:lang w:val="zh-CN" w:eastAsia="zh-CN"/>
        </w:rPr>
        <w:t>万元，1</w:t>
      </w:r>
      <w:r>
        <w:rPr>
          <w:rFonts w:hint="eastAsia" w:ascii="Times New Roman" w:hAnsi="Times New Roman" w:eastAsia="仿宋_GB2312" w:cs="Times New Roman"/>
          <w:sz w:val="32"/>
          <w:szCs w:val="32"/>
          <w:lang w:val="zh-CN" w:eastAsia="zh-CN"/>
        </w:rPr>
        <w:t>—</w:t>
      </w:r>
      <w:r>
        <w:rPr>
          <w:rFonts w:hint="default" w:ascii="Times New Roman" w:hAnsi="Times New Roman" w:eastAsia="仿宋_GB2312" w:cs="Times New Roman"/>
          <w:sz w:val="32"/>
          <w:szCs w:val="32"/>
          <w:lang w:val="zh-CN" w:eastAsia="zh-CN"/>
        </w:rPr>
        <w:t>1</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val="zh-CN" w:eastAsia="zh-CN"/>
        </w:rPr>
        <w:t>月预算执行总体进度</w:t>
      </w:r>
      <w:r>
        <w:rPr>
          <w:rFonts w:hint="eastAsia" w:eastAsia="仿宋_GB2312" w:cs="Times New Roman"/>
          <w:sz w:val="32"/>
          <w:szCs w:val="32"/>
          <w:lang w:val="en-US" w:eastAsia="zh-CN"/>
        </w:rPr>
        <w:t>100</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zh-CN" w:eastAsia="zh-CN"/>
        </w:rPr>
        <w:t>%，其中：预算结余率大于</w:t>
      </w:r>
      <w:r>
        <w:rPr>
          <w:rFonts w:hint="default" w:ascii="Times New Roman" w:hAnsi="Times New Roman" w:eastAsia="仿宋_GB2312" w:cs="Times New Roman"/>
          <w:sz w:val="32"/>
          <w:szCs w:val="32"/>
          <w:lang w:val="en-US" w:eastAsia="zh-CN"/>
        </w:rPr>
        <w:t>10%</w:t>
      </w:r>
      <w:r>
        <w:rPr>
          <w:rFonts w:hint="default" w:ascii="Times New Roman" w:hAnsi="Times New Roman" w:eastAsia="仿宋_GB2312" w:cs="Times New Roman"/>
          <w:sz w:val="32"/>
          <w:szCs w:val="32"/>
          <w:lang w:val="zh-CN" w:eastAsia="zh-CN"/>
        </w:rPr>
        <w:t>的项目共计</w:t>
      </w:r>
      <w:r>
        <w:rPr>
          <w:rFonts w:hint="eastAsia" w:eastAsia="仿宋_GB2312" w:cs="Times New Roman"/>
          <w:sz w:val="32"/>
          <w:szCs w:val="32"/>
          <w:lang w:val="en-US" w:eastAsia="zh-CN"/>
        </w:rPr>
        <w:t>0</w:t>
      </w:r>
      <w:r>
        <w:rPr>
          <w:rFonts w:hint="default" w:ascii="Times New Roman" w:hAnsi="Times New Roman" w:eastAsia="仿宋_GB2312" w:cs="Times New Roman"/>
          <w:sz w:val="32"/>
          <w:szCs w:val="32"/>
          <w:lang w:val="zh-CN" w:eastAsia="zh-CN"/>
        </w:rPr>
        <w:t>个。</w:t>
      </w:r>
    </w:p>
    <w:p w14:paraId="52F42A1C">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楷体_GB2312" w:hAnsi="楷体_GB2312" w:eastAsia="楷体_GB2312" w:cs="楷体_GB2312"/>
          <w:color w:val="000000"/>
          <w:kern w:val="0"/>
          <w:sz w:val="32"/>
          <w:szCs w:val="32"/>
          <w:highlight w:val="none"/>
          <w:shd w:val="clear" w:color="auto" w:fill="FFFFFF"/>
          <w:lang w:val="en-US" w:eastAsia="zh-CN"/>
        </w:rPr>
        <w:t>1.</w:t>
      </w:r>
      <w:r>
        <w:rPr>
          <w:rFonts w:hint="eastAsia" w:ascii="楷体_GB2312" w:hAnsi="楷体_GB2312" w:eastAsia="楷体_GB2312" w:cs="楷体_GB2312"/>
          <w:color w:val="000000"/>
          <w:kern w:val="0"/>
          <w:sz w:val="32"/>
          <w:szCs w:val="32"/>
          <w:highlight w:val="none"/>
          <w:shd w:val="clear" w:color="auto" w:fill="FFFFFF"/>
          <w:lang w:val="zh-CN"/>
        </w:rPr>
        <w:t>项目决策。</w:t>
      </w:r>
      <w:r>
        <w:rPr>
          <w:rFonts w:hint="eastAsia" w:ascii="Times New Roman" w:hAnsi="Times New Roman" w:eastAsia="仿宋_GB2312" w:cs="Times New Roman"/>
          <w:sz w:val="32"/>
          <w:szCs w:val="32"/>
          <w:lang w:val="zh-CN" w:eastAsia="zh-CN"/>
        </w:rPr>
        <w:t>本单位严格执行相关法律法规、项目管理制度加强资金管理。严格执行资金管理制度及区级财政报账制度管理。同时对各项目资金阶段性完成情况进行动态跟踪监控、监督检查纠偏处理、改进完善等管理活动。单位不定期自行或聘请第三方中介对单位项目资金进行合规性内查，针对清查出的问题，单位及时召开会议，查明问题原因并计提整改建议。</w:t>
      </w:r>
    </w:p>
    <w:p w14:paraId="6244177D">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楷体_GB2312" w:hAnsi="楷体_GB2312" w:eastAsia="楷体_GB2312" w:cs="楷体_GB2312"/>
          <w:color w:val="000000"/>
          <w:kern w:val="0"/>
          <w:sz w:val="32"/>
          <w:szCs w:val="32"/>
          <w:highlight w:val="none"/>
          <w:shd w:val="clear" w:color="auto" w:fill="FFFFFF"/>
          <w:lang w:val="zh-CN"/>
        </w:rPr>
      </w:pPr>
      <w:r>
        <w:rPr>
          <w:rFonts w:hint="eastAsia" w:ascii="楷体_GB2312" w:hAnsi="楷体_GB2312" w:eastAsia="楷体_GB2312" w:cs="楷体_GB2312"/>
          <w:color w:val="000000"/>
          <w:kern w:val="0"/>
          <w:sz w:val="32"/>
          <w:szCs w:val="32"/>
          <w:highlight w:val="none"/>
          <w:shd w:val="clear" w:color="auto" w:fill="FFFFFF"/>
          <w:lang w:val="en-US" w:eastAsia="zh-CN"/>
        </w:rPr>
        <w:t>2.项目执行</w:t>
      </w:r>
      <w:r>
        <w:rPr>
          <w:rFonts w:hint="eastAsia" w:ascii="楷体_GB2312" w:hAnsi="楷体_GB2312" w:eastAsia="楷体_GB2312" w:cs="楷体_GB2312"/>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lang w:val="zh-CN" w:eastAsia="zh-CN"/>
        </w:rPr>
        <w:t>本单位2024年预算执行率100%。申报内容与实际相符，资金使用安全、规范，及时有效，合规合法、与预算相符。</w:t>
      </w:r>
    </w:p>
    <w:p w14:paraId="1783AAD6">
      <w:pPr>
        <w:pageBreakBefore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楷体_GB2312" w:cs="Times New Roman"/>
          <w:color w:val="333333"/>
          <w:sz w:val="32"/>
          <w:szCs w:val="32"/>
          <w:highlight w:val="none"/>
          <w:u w:val="none"/>
          <w:shd w:val="clear" w:color="auto" w:fill="auto"/>
          <w:lang w:bidi="ar"/>
        </w:rPr>
      </w:pPr>
      <w:r>
        <w:rPr>
          <w:rFonts w:hint="eastAsia" w:ascii="楷体_GB2312" w:hAnsi="楷体_GB2312" w:eastAsia="楷体_GB2312" w:cs="楷体_GB2312"/>
          <w:color w:val="000000"/>
          <w:kern w:val="0"/>
          <w:sz w:val="32"/>
          <w:szCs w:val="32"/>
          <w:highlight w:val="none"/>
          <w:shd w:val="clear" w:color="auto" w:fill="FFFFFF"/>
          <w:lang w:val="en-US" w:eastAsia="zh-CN"/>
        </w:rPr>
        <w:t>3.</w:t>
      </w:r>
      <w:r>
        <w:rPr>
          <w:rFonts w:hint="eastAsia" w:ascii="楷体_GB2312" w:hAnsi="楷体_GB2312" w:eastAsia="楷体_GB2312" w:cs="楷体_GB2312"/>
          <w:color w:val="000000"/>
          <w:kern w:val="0"/>
          <w:sz w:val="32"/>
          <w:szCs w:val="32"/>
          <w:highlight w:val="none"/>
          <w:shd w:val="clear" w:color="auto" w:fill="FFFFFF"/>
          <w:lang w:val="zh-CN"/>
        </w:rPr>
        <w:t>目标实现。</w:t>
      </w:r>
      <w:r>
        <w:rPr>
          <w:rFonts w:hint="eastAsia" w:ascii="Times New Roman" w:hAnsi="Times New Roman" w:eastAsia="仿宋_GB2312" w:cs="Times New Roman"/>
          <w:sz w:val="32"/>
          <w:szCs w:val="32"/>
          <w:lang w:val="zh-CN" w:eastAsia="zh-CN"/>
        </w:rPr>
        <w:t>农业产品品牌化建设和培育，三品一标35个；完成瘦肉精三联卡采购1万张；农产品展示展销推介专项业务费、项目投资工作专项业务完成入库项目数量≥10个；小型农田水利设施管护下沉乡镇开展安全检查次数≥12次。违法行为处置率≥98%；全年发生重大农产品质量安全事故次数0次；于2024年12月31日前完成项目工作；利州区乡村振兴农业产业发展贷款风险补偿金贷款期限≤3年。乡村振兴农业产业发展贷款贷款利率不超过LPR（贷款基础利率）的40%。安全事故发生起数0次。群众满意度≥95%；帮扶工作人员满意度≥95%</w:t>
      </w:r>
      <w:r>
        <w:rPr>
          <w:rFonts w:hint="default" w:ascii="Times New Roman" w:hAnsi="Times New Roman" w:eastAsia="仿宋_GB2312" w:cs="Times New Roman"/>
          <w:sz w:val="32"/>
          <w:szCs w:val="32"/>
          <w:highlight w:val="none"/>
          <w:u w:val="none"/>
        </w:rPr>
        <w:t>。</w:t>
      </w:r>
    </w:p>
    <w:p w14:paraId="1F0FAC91">
      <w:pPr>
        <w:keepNext w:val="0"/>
        <w:keepLines w:val="0"/>
        <w:pageBreakBefore w:val="0"/>
        <w:widowControl w:val="0"/>
        <w:kinsoku/>
        <w:wordWrap/>
        <w:overflowPunct/>
        <w:topLinePunct w:val="0"/>
        <w:autoSpaceDE/>
        <w:autoSpaceDN/>
        <w:bidi w:val="0"/>
        <w:snapToGrid w:val="0"/>
        <w:spacing w:line="600" w:lineRule="exact"/>
        <w:ind w:firstLine="643" w:firstLineChars="200"/>
        <w:textAlignment w:val="auto"/>
        <w:rPr>
          <w:rFonts w:hint="default" w:ascii="Times New Roman" w:hAnsi="Times New Roman" w:eastAsia="仿宋_GB2312" w:cs="Times New Roman"/>
          <w:sz w:val="32"/>
          <w:szCs w:val="32"/>
          <w:highlight w:val="none"/>
          <w:u w:val="none"/>
          <w:lang w:bidi="ar"/>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default" w:ascii="Times New Roman" w:hAnsi="Times New Roman" w:eastAsia="楷体_GB2312" w:cs="Times New Roman"/>
          <w:b/>
          <w:bCs/>
          <w:color w:val="000000"/>
          <w:kern w:val="0"/>
          <w:sz w:val="32"/>
          <w:szCs w:val="32"/>
          <w:highlight w:val="none"/>
          <w:shd w:val="clear" w:color="auto" w:fill="FFFFFF"/>
          <w:lang w:val="zh-CN" w:eastAsia="zh-CN"/>
        </w:rPr>
        <w:t>绩效结果应用情况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ascii="Times New Roman" w:hAnsi="Times New Roman" w:eastAsia="仿宋_GB2312" w:cs="Times New Roman"/>
          <w:sz w:val="32"/>
          <w:szCs w:val="32"/>
          <w:highlight w:val="none"/>
          <w:u w:val="none"/>
          <w:lang w:val="zh-CN" w:eastAsia="zh-CN" w:bidi="ar"/>
        </w:rPr>
        <w:t>单位对2024年部门整体绩效自评报告所有资料均严格把关，全部均来自真实数据，所有结果均可反应单位实际情况工作开展情况据实填报。</w:t>
      </w:r>
    </w:p>
    <w:p w14:paraId="4A2DE79E">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eastAsia="黑体" w:cs="Times New Roman"/>
          <w:color w:val="000000"/>
          <w:kern w:val="0"/>
          <w:sz w:val="32"/>
          <w:szCs w:val="32"/>
          <w:highlight w:val="none"/>
          <w:shd w:val="clear" w:color="auto" w:fill="FFFFFF"/>
          <w:lang w:val="zh-CN"/>
        </w:rPr>
      </w:pPr>
      <w:r>
        <w:rPr>
          <w:rFonts w:hint="default" w:eastAsia="黑体" w:cs="Times New Roman"/>
          <w:color w:val="000000"/>
          <w:kern w:val="0"/>
          <w:sz w:val="32"/>
          <w:szCs w:val="32"/>
          <w:highlight w:val="none"/>
          <w:shd w:val="clear" w:color="auto" w:fill="FFFFFF"/>
          <w:lang w:val="zh-CN" w:eastAsia="zh-CN"/>
        </w:rPr>
        <w:t>四、</w:t>
      </w:r>
      <w:r>
        <w:rPr>
          <w:rFonts w:hint="default" w:eastAsia="黑体" w:cs="Times New Roman"/>
          <w:color w:val="000000"/>
          <w:kern w:val="0"/>
          <w:sz w:val="32"/>
          <w:szCs w:val="32"/>
          <w:highlight w:val="none"/>
          <w:shd w:val="clear" w:color="auto" w:fill="FFFFFF"/>
          <w:lang w:val="zh-CN"/>
        </w:rPr>
        <w:t>评价结论及建议</w:t>
      </w:r>
    </w:p>
    <w:p w14:paraId="4EA518DB">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Times New Roman"/>
          <w:sz w:val="32"/>
          <w:szCs w:val="32"/>
          <w:u w:val="none"/>
          <w:lang w:val="en-US" w:eastAsia="zh-CN" w:bidi="ar"/>
        </w:rPr>
      </w:pPr>
      <w:r>
        <w:rPr>
          <w:rFonts w:hint="default" w:ascii="Times New Roman" w:hAnsi="Times New Roman" w:eastAsia="楷体_GB2312" w:cs="Times New Roman"/>
          <w:b/>
          <w:bCs/>
          <w:color w:val="000000"/>
          <w:kern w:val="0"/>
          <w:sz w:val="32"/>
          <w:szCs w:val="32"/>
          <w:highlight w:val="none"/>
          <w:shd w:val="clear" w:color="auto" w:fill="FFFFFF"/>
          <w:lang w:val="zh-CN"/>
        </w:rPr>
        <w:t>（一）评价结论。</w:t>
      </w:r>
      <w:r>
        <w:rPr>
          <w:rFonts w:hint="eastAsia" w:ascii="Times New Roman" w:hAnsi="Times New Roman" w:eastAsia="仿宋_GB2312" w:cs="Times New Roman"/>
          <w:sz w:val="32"/>
          <w:szCs w:val="32"/>
          <w:u w:val="none"/>
          <w:lang w:val="en-US" w:eastAsia="zh-CN" w:bidi="ar"/>
        </w:rPr>
        <w:t>广元市利州区农业农村局2024年度部门预算绩效自评得分98分，我部门严格按照预算资金绩效管理办法，及时开展各项工作，为全年工作的开展提供了保障。</w:t>
      </w:r>
    </w:p>
    <w:p w14:paraId="7DB3183E">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eastAsia" w:ascii="Times New Roman" w:hAnsi="Times New Roman" w:eastAsia="仿宋_GB2312" w:cs="Times New Roman"/>
          <w:sz w:val="32"/>
          <w:szCs w:val="32"/>
          <w:u w:val="none"/>
          <w:lang w:val="en-US" w:eastAsia="zh-CN" w:bidi="ar"/>
        </w:rPr>
      </w:pPr>
      <w:r>
        <w:rPr>
          <w:rFonts w:hint="default" w:ascii="Times New Roman" w:hAnsi="Times New Roman" w:eastAsia="楷体_GB2312" w:cs="Times New Roman"/>
          <w:b/>
          <w:bCs/>
          <w:color w:val="000000"/>
          <w:kern w:val="0"/>
          <w:sz w:val="32"/>
          <w:szCs w:val="32"/>
          <w:highlight w:val="none"/>
          <w:shd w:val="clear" w:color="auto" w:fill="FFFFFF"/>
          <w:lang w:val="zh-CN"/>
        </w:rPr>
        <w:t>（二）存在问题。</w:t>
      </w:r>
      <w:r>
        <w:rPr>
          <w:rFonts w:hint="eastAsia" w:ascii="Times New Roman" w:hAnsi="Times New Roman" w:eastAsia="仿宋_GB2312" w:cs="Times New Roman"/>
          <w:sz w:val="32"/>
          <w:szCs w:val="32"/>
          <w:u w:val="none"/>
          <w:lang w:val="en-US" w:eastAsia="zh-CN" w:bidi="ar"/>
        </w:rPr>
        <w:t>2024年度，广元市利州区农业农村局严格按照相关管理办法及时开展项目落实，但因外部环境等因素，部分项目存在项目推进较慢。</w:t>
      </w:r>
    </w:p>
    <w:p w14:paraId="270121C1">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eastAsia" w:ascii="Times New Roman" w:hAnsi="Times New Roman" w:eastAsia="仿宋_GB2312" w:cs="Times New Roman"/>
          <w:sz w:val="32"/>
          <w:szCs w:val="32"/>
          <w:u w:val="none"/>
          <w:lang w:val="en" w:eastAsia="zh-CN" w:bidi="ar"/>
        </w:rPr>
      </w:pPr>
      <w:r>
        <w:rPr>
          <w:rFonts w:hint="default" w:ascii="Times New Roman" w:hAnsi="Times New Roman" w:eastAsia="楷体_GB2312" w:cs="Times New Roman"/>
          <w:b/>
          <w:bCs/>
          <w:color w:val="000000"/>
          <w:kern w:val="0"/>
          <w:sz w:val="32"/>
          <w:szCs w:val="32"/>
          <w:highlight w:val="none"/>
          <w:shd w:val="clear" w:color="auto" w:fill="FFFFFF"/>
          <w:lang w:val="zh-CN" w:eastAsia="zh-CN"/>
        </w:rPr>
        <w:t>（三）改进建议。</w:t>
      </w:r>
      <w:bookmarkStart w:id="35" w:name="_Hlk110546638"/>
      <w:r>
        <w:rPr>
          <w:rFonts w:hint="eastAsia" w:ascii="Times New Roman" w:hAnsi="Times New Roman" w:eastAsia="仿宋_GB2312" w:cs="Times New Roman"/>
          <w:sz w:val="32"/>
          <w:szCs w:val="32"/>
          <w:u w:val="none"/>
          <w:lang w:val="en-US" w:eastAsia="zh-CN" w:bidi="ar"/>
        </w:rPr>
        <w:t>我部门将加快推进项目实施进度，同时敦促项目实施主体递交审核资料，加快组织项目验收工作，切实加快项目资金的拨付进度。针对绩效管理质量有待提高的问题，我部门将强化绩目标管理，把绩效目标管理作为项目实施的前置条件，结合实际的项目情况，准确、完整披露项目相关信息，发挥绩效管理功能。</w:t>
      </w:r>
    </w:p>
    <w:bookmarkEnd w:id="35"/>
    <w:p w14:paraId="133F710F">
      <w:pPr>
        <w:pStyle w:val="11"/>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hAnsi="Times New Roman" w:cs="Times New Roman"/>
          <w:color w:val="auto"/>
          <w:sz w:val="32"/>
          <w:szCs w:val="32"/>
          <w:highlight w:val="none"/>
          <w:lang w:val="zh-CN" w:eastAsia="zh-CN"/>
        </w:rPr>
      </w:pPr>
    </w:p>
    <w:p w14:paraId="35E02A17">
      <w:pPr>
        <w:pStyle w:val="11"/>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hAnsi="Times New Roman" w:cs="Times New Roman"/>
          <w:color w:val="auto"/>
          <w:sz w:val="32"/>
          <w:szCs w:val="32"/>
          <w:highlight w:val="none"/>
          <w:lang w:val="zh-CN" w:eastAsia="zh-CN"/>
        </w:rPr>
      </w:pPr>
    </w:p>
    <w:p w14:paraId="32BBBAE1">
      <w:pPr>
        <w:pStyle w:val="11"/>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hAnsi="Times New Roman" w:cs="Times New Roman"/>
          <w:color w:val="auto"/>
          <w:sz w:val="32"/>
          <w:szCs w:val="32"/>
          <w:highlight w:val="none"/>
          <w:lang w:val="zh-CN" w:eastAsia="zh-CN"/>
        </w:rPr>
      </w:pPr>
    </w:p>
    <w:p w14:paraId="4297CF49">
      <w:pPr>
        <w:pStyle w:val="11"/>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hAnsi="Times New Roman" w:cs="Times New Roman"/>
          <w:color w:val="auto"/>
          <w:sz w:val="32"/>
          <w:szCs w:val="32"/>
          <w:highlight w:val="none"/>
          <w:lang w:val="zh-CN" w:eastAsia="zh-CN"/>
        </w:rPr>
      </w:pPr>
    </w:p>
    <w:p w14:paraId="23C44AF7">
      <w:pPr>
        <w:pStyle w:val="11"/>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hAnsi="Times New Roman" w:cs="Times New Roman"/>
          <w:color w:val="auto"/>
          <w:sz w:val="32"/>
          <w:szCs w:val="32"/>
          <w:highlight w:val="none"/>
          <w:lang w:val="zh-CN" w:eastAsia="zh-CN"/>
        </w:rPr>
      </w:pPr>
    </w:p>
    <w:p w14:paraId="32FBBD4F">
      <w:pPr>
        <w:pStyle w:val="11"/>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hAnsi="Times New Roman" w:cs="Times New Roman"/>
          <w:color w:val="auto"/>
          <w:sz w:val="32"/>
          <w:szCs w:val="32"/>
          <w:highlight w:val="none"/>
          <w:lang w:val="zh-CN" w:eastAsia="zh-CN"/>
        </w:rPr>
      </w:pPr>
    </w:p>
    <w:p w14:paraId="3F56DF09">
      <w:pPr>
        <w:pStyle w:val="11"/>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hAnsi="Times New Roman" w:cs="Times New Roman"/>
          <w:color w:val="auto"/>
          <w:sz w:val="32"/>
          <w:szCs w:val="32"/>
          <w:highlight w:val="none"/>
          <w:lang w:val="zh-CN" w:eastAsia="zh-CN"/>
        </w:rPr>
      </w:pPr>
    </w:p>
    <w:p w14:paraId="05961D15">
      <w:pPr>
        <w:pStyle w:val="11"/>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hAnsi="Times New Roman" w:cs="Times New Roman"/>
          <w:color w:val="auto"/>
          <w:sz w:val="32"/>
          <w:szCs w:val="32"/>
          <w:highlight w:val="none"/>
          <w:lang w:val="zh-CN" w:eastAsia="zh-CN"/>
        </w:rPr>
      </w:pPr>
    </w:p>
    <w:p w14:paraId="46A02384">
      <w:pPr>
        <w:pStyle w:val="11"/>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hAnsi="Times New Roman" w:cs="Times New Roman"/>
          <w:color w:val="auto"/>
          <w:sz w:val="32"/>
          <w:szCs w:val="32"/>
          <w:highlight w:val="none"/>
          <w:lang w:val="zh-CN" w:eastAsia="zh-CN"/>
        </w:rPr>
      </w:pPr>
    </w:p>
    <w:p w14:paraId="5AC11FD6">
      <w:pPr>
        <w:pStyle w:val="11"/>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hAnsi="Times New Roman" w:cs="Times New Roman"/>
          <w:color w:val="auto"/>
          <w:sz w:val="32"/>
          <w:szCs w:val="32"/>
          <w:highlight w:val="none"/>
          <w:lang w:val="zh-CN" w:eastAsia="zh-CN"/>
        </w:rPr>
      </w:pPr>
    </w:p>
    <w:p w14:paraId="128D2496">
      <w:pPr>
        <w:pStyle w:val="11"/>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hAnsi="Times New Roman" w:cs="Times New Roman"/>
          <w:color w:val="auto"/>
          <w:sz w:val="32"/>
          <w:szCs w:val="32"/>
          <w:highlight w:val="none"/>
          <w:lang w:val="zh-CN" w:eastAsia="zh-CN"/>
        </w:rPr>
      </w:pPr>
    </w:p>
    <w:p w14:paraId="548DBE04">
      <w:pPr>
        <w:pStyle w:val="11"/>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hAnsi="Times New Roman" w:cs="Times New Roman"/>
          <w:color w:val="auto"/>
          <w:sz w:val="32"/>
          <w:szCs w:val="32"/>
          <w:highlight w:val="none"/>
          <w:lang w:val="zh-CN" w:eastAsia="zh-CN"/>
        </w:rPr>
      </w:pPr>
    </w:p>
    <w:p w14:paraId="3B25B2CD">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jc w:val="both"/>
        <w:textAlignment w:val="baseline"/>
        <w:rPr>
          <w:rFonts w:hint="default" w:ascii="黑体" w:hAnsi="宋体" w:eastAsia="黑体" w:cs="黑体"/>
          <w:snapToGrid/>
          <w:color w:val="000000"/>
          <w:spacing w:val="0"/>
          <w:kern w:val="0"/>
          <w:sz w:val="32"/>
          <w:szCs w:val="32"/>
          <w:vertAlign w:val="baseline"/>
          <w:lang w:val="en-US" w:eastAsia="zh-CN" w:bidi="ar"/>
        </w:rPr>
      </w:pPr>
    </w:p>
    <w:p w14:paraId="4394E9EF">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jc w:val="both"/>
        <w:textAlignment w:val="baseline"/>
        <w:outlineLvl w:val="9"/>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附件2</w:t>
      </w:r>
    </w:p>
    <w:p w14:paraId="7D124A2C">
      <w:pPr>
        <w:keepNext w:val="0"/>
        <w:keepLines w:val="0"/>
        <w:widowControl/>
        <w:suppressLineNumbers w:val="0"/>
        <w:kinsoku w:val="0"/>
        <w:overflowPunct w:val="0"/>
        <w:autoSpaceDE w:val="0"/>
        <w:autoSpaceDN/>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color w:val="000000"/>
          <w:kern w:val="2"/>
          <w:sz w:val="44"/>
          <w:szCs w:val="44"/>
        </w:rPr>
      </w:pPr>
      <w:bookmarkStart w:id="36" w:name="OLE_LINK1"/>
      <w:bookmarkEnd w:id="36"/>
      <w:r>
        <w:rPr>
          <w:rFonts w:hint="eastAsia" w:ascii="方正小标宋简体" w:hAnsi="方正小标宋简体" w:eastAsia="方正小标宋简体" w:cs="方正小标宋简体"/>
          <w:snapToGrid/>
          <w:color w:val="000000"/>
          <w:kern w:val="2"/>
          <w:sz w:val="44"/>
          <w:szCs w:val="44"/>
          <w:lang w:val="en-US" w:eastAsia="zh-CN" w:bidi="ar"/>
        </w:rPr>
        <w:t>2024年市级农村综合改革转移支付资金（市级配套扶持集体经济经济）项目专项预算</w:t>
      </w:r>
    </w:p>
    <w:p w14:paraId="1EE44AD0">
      <w:pPr>
        <w:keepNext w:val="0"/>
        <w:keepLines w:val="0"/>
        <w:widowControl/>
        <w:suppressLineNumbers w:val="0"/>
        <w:kinsoku w:val="0"/>
        <w:overflowPunct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color w:val="000000"/>
          <w:kern w:val="2"/>
          <w:sz w:val="44"/>
          <w:szCs w:val="44"/>
        </w:rPr>
      </w:pPr>
      <w:r>
        <w:rPr>
          <w:rFonts w:hint="eastAsia" w:ascii="方正小标宋简体" w:hAnsi="方正小标宋简体" w:eastAsia="方正小标宋简体" w:cs="方正小标宋简体"/>
          <w:snapToGrid/>
          <w:color w:val="000000"/>
          <w:kern w:val="2"/>
          <w:sz w:val="44"/>
          <w:szCs w:val="44"/>
          <w:lang w:val="en-US" w:eastAsia="zh-CN" w:bidi="ar"/>
        </w:rPr>
        <w:t>绩效自评报告</w:t>
      </w:r>
    </w:p>
    <w:p w14:paraId="6AAAA307">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 xml:space="preserve"> </w:t>
      </w:r>
    </w:p>
    <w:p w14:paraId="43C99A2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一、项目概况</w:t>
      </w:r>
    </w:p>
    <w:p w14:paraId="2DB7C12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（一）设立背景及基本情况。</w:t>
      </w:r>
      <w:r>
        <w:rPr>
          <w:rFonts w:hint="default" w:ascii="仿宋" w:hAnsi="仿宋" w:eastAsia="仿宋" w:cs="仿宋"/>
          <w:snapToGrid/>
          <w:color w:val="000000"/>
          <w:spacing w:val="0"/>
          <w:kern w:val="0"/>
          <w:sz w:val="32"/>
          <w:szCs w:val="32"/>
          <w:vertAlign w:val="baseline"/>
          <w:lang w:val="en-US" w:eastAsia="zh-CN" w:bidi="ar"/>
        </w:rPr>
        <w:t>为全面贯彻落实中央组织部、财政部、农业农村部《关于强化农村基层党组织政治功能和组织功能扶持发展新型农村集体经济的通知》和省委组织部、省财政厅、省农业农村厅、省乡村振兴局《关于做好2024年扶持发展新型农村集体经济有关具体工作的通知》要求，2024年安排扶持7个村集体经济组织。纳入扶持范围实施项目的村所在的乡镇为项目主管单位。主要负责牵头项目实施，编制实施方案，采购必要设备，人员队伍培训等。</w:t>
      </w:r>
    </w:p>
    <w:p w14:paraId="577CA2D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（二）实施目的及支持方向。</w:t>
      </w:r>
      <w:r>
        <w:rPr>
          <w:rFonts w:hint="default" w:ascii="仿宋" w:hAnsi="仿宋" w:eastAsia="仿宋" w:cs="仿宋"/>
          <w:snapToGrid/>
          <w:color w:val="000000"/>
          <w:spacing w:val="0"/>
          <w:kern w:val="0"/>
          <w:sz w:val="32"/>
          <w:szCs w:val="32"/>
          <w:vertAlign w:val="baseline"/>
          <w:lang w:val="en-US" w:eastAsia="zh-CN" w:bidi="ar"/>
        </w:rPr>
        <w:t>2024年利州区扶持发展新型农村集体经济项目涉及6个乡镇（街道）7个村，分别是宝轮镇海棠溪村、龙潭乡界牌村和桃园村、荣山镇中口村、白朝乡新华村、嘉陵街道虎星村、上西街道联盟村。项目主要内容包括宝轮镇海棠溪村项目资金150万元，全部用于集体经济发展核桃产业及其配套设施设备建设项目。其中：40万元新建核桃加工房200㎡；16.5万元购买分选机、烘干机、剥壳机等加工设备一套；16万元购买无人机2台用于核桃病虫害统防统治；43.57万元新建灌溉设施机井1座，建机井配套房1间10㎡，建蓄水池4口（100立方米/口），购买供水管网3000m；33.93万元硬化产业路（C20）1.3千米，宽2.5米、厚0.18米。龙潭乡界牌村项目总投资150万元用于农特产品初加工建设项目。其中：110.4万元用于新建厂房及管理用房920平方米（钢结构材质+砖混、含基础开挖、场坪及配套设施设备等）；14.58万元用于新建冻库1座60立方米；25.02万元用于购置风干设备1套（含配套设施设备等）。龙潭乡桃园村项目总投资150万元用于特色产业发展和农产品初加工项目。其中：120万元用于新建特色水果配套用房750平方米（钢结构材质+砖混、含基础开挖、场坪及装卸区配套设施设备等），30万元用于新栽植加州早甜桃5000株（3年生种苗带分枝、地径2.5cm以上）。荣山镇中口村项目总投资150万元用于中口村云栖谷休闲观光生态农庄整体提升建设项目。其中：90万元用于新建民宿500平方米（砖混24墙、含基础开挖、场坪及配套设施设备等）；15.05万元用于厨房和餐厅提升改造350平方米；30万元用于购买星空房2套（含基础开挖、场坪及配套设施设备等）；10.45万元购买游乐设施1套；4.5万用于大门改造1处。白朝乡新华村项目总投资150万元用于肉牛养殖项目。其中：28万元用于建牛圈400平方米（12墙红砖砌筑结构间距3米砌筑24墙立柱带彩钢棚、含圈内配套设施）；5万元用于饲料储备库100平方米（12墙红砖砌筑结构间距3米砌筑24墙立柱带彩钢棚）；10万元用于生产用房100平方米（12墙红砖砌筑结构间距3米砌筑24墙立柱带彩钢棚、含室内配套设施）；1.362万元用于干粪储备棚30平方米（12墙红砖砌筑结构带彩钢棚）；4.5万元用于建100立方米蓄水池1口（24墙红砖砌筑结构，顶板、底板钢筋结构）；6万元用于建100立方米三格化粪池1口（24墙红砖砌筑结构）；1.4万元用于购买PE25型水管1000米；2万元用于购买柴油自卸转运三轮车1辆；3.4万元用于购买饲料粉碎机2台；1.2万元用于购买干湿分离机1台；49万元用于购买西门塔尔牛犊70头；3.9万元用于种植甜象草和玉米杆共30亩；30.24万元用于硬化道路长800米、宽3.5米、厚0.18米；3.998万元用于购买承重20吨地磅1台。嘉陵街道虎星村项目总投资150万元用于虎星村休闲农业项目。其中：90万元用于新建观光体验设施400平方米（钢结构材质加砖混、含基础开挖、场坪及配套设施设备等）；60万元用于新建观光星空房4套（钢结构材质、含基础开挖、场坪及配套实施等）。上西街道联盟村项目总投资150万元用于联盟村生态养殖项目。其中：96.3万元用于新建养殖厂房1500平方米（砖混24墙、含基础开挖、场坪及养殖厂房配套设施设备等）；29.9万元用于新建三格化粪池650立方米（砖混结构）；1.228万元用于购买干湿分离器1套（含安装及配套设施等）；22.572万元用于硬化产业道路长760米（C25、宽3米、厚0.18米）。</w:t>
      </w:r>
    </w:p>
    <w:p w14:paraId="3A0CA01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（三）预算安排及分配管理。</w:t>
      </w:r>
      <w:r>
        <w:rPr>
          <w:rFonts w:hint="default" w:ascii="仿宋" w:hAnsi="仿宋" w:eastAsia="仿宋" w:cs="仿宋"/>
          <w:snapToGrid/>
          <w:color w:val="000000"/>
          <w:spacing w:val="0"/>
          <w:kern w:val="0"/>
          <w:sz w:val="32"/>
          <w:szCs w:val="32"/>
          <w:vertAlign w:val="baseline"/>
          <w:lang w:val="en-US" w:eastAsia="zh-CN" w:bidi="ar"/>
        </w:rPr>
        <w:t>项目资金严格按照《四川省乡村振兴共同财政事权转移支付资金管理办法》（川财农〔2022〕16号）和号)和《四川省农业农村厅关于做好2024年省级财政乡村振兴转移支付项目实施工作的通知》(川农函〔2024〕227号)要求执行，实行专账管理、县级报账制。项目资金由区财政局下达到区农业农村局，由区农业农村局按项目进度拨付至项目村。资金拨付由局财务人员按照财务制度进行资金的审核、支付和核算，所有支出均以转账方式进行，在具体支付时，具备了资金发票、合同、验收清单等相关材料，手续完善，会计严格执行财务管理制度，财务处理及时，核算规范。</w:t>
      </w:r>
    </w:p>
    <w:p w14:paraId="1C48EEF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（四）项目绩效目标设置。</w:t>
      </w:r>
      <w:r>
        <w:rPr>
          <w:rFonts w:hint="default" w:ascii="仿宋" w:hAnsi="仿宋" w:eastAsia="仿宋" w:cs="仿宋"/>
          <w:snapToGrid/>
          <w:color w:val="000000"/>
          <w:spacing w:val="0"/>
          <w:kern w:val="0"/>
          <w:sz w:val="32"/>
          <w:szCs w:val="32"/>
          <w:vertAlign w:val="baseline"/>
          <w:lang w:val="en-US" w:eastAsia="zh-CN" w:bidi="ar"/>
        </w:rPr>
        <w:t>设置产出指标11项（数量指标2项、质量指标2项、时效指标2项、效果指标、安全指标）、效益指标8项、满意度指标2项（受益群众满意度≥90%），各项指标均量化可考核。</w:t>
      </w:r>
    </w:p>
    <w:p w14:paraId="51C2D37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二、评价实施</w:t>
      </w:r>
    </w:p>
    <w:p w14:paraId="00CA83A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（一）评价目的</w:t>
      </w:r>
    </w:p>
    <w:p w14:paraId="6E72D8C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确保项目资金规范使用、建设任务全面完成，进一步巩固提升优势产业，带动群众致富增收。</w:t>
      </w:r>
    </w:p>
    <w:p w14:paraId="20C356B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（二）预设问题及评价重点。</w:t>
      </w:r>
    </w:p>
    <w:p w14:paraId="340111E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重点核查资金拨付进度、工程实施质量、绩效目标达成情况，以及项目对农户增收、产业升级的实际贡献。</w:t>
      </w:r>
    </w:p>
    <w:p w14:paraId="3C6D9F4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（三）评价选点</w:t>
      </w:r>
    </w:p>
    <w:p w14:paraId="167D28B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本项目资金全部用于全部用于集体经济发展项目，选取宝轮镇海棠溪村、龙潭乡界牌村、龙潭乡桃源村、白朝乡新华村、上西街道联盟村、荣山镇中口村、嘉陵街道虎星村7个点位进行实地踏勘，且把点位清单应作为自评附表。</w:t>
      </w:r>
    </w:p>
    <w:p w14:paraId="08F45E7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（四）评价方法</w:t>
      </w:r>
    </w:p>
    <w:p w14:paraId="68EBC52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采用实地勘察法（抽查护岸建设、产业路硬化等工程）、成本效益分析法（资金使用效率评估）、问卷调查法（收集农户满意度）进行综合评价。</w:t>
      </w:r>
    </w:p>
    <w:p w14:paraId="6123616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（五）评价组织。</w:t>
      </w:r>
      <w:r>
        <w:rPr>
          <w:rFonts w:hint="default" w:ascii="仿宋" w:hAnsi="仿宋" w:eastAsia="仿宋" w:cs="仿宋"/>
          <w:snapToGrid/>
          <w:color w:val="000000"/>
          <w:spacing w:val="0"/>
          <w:kern w:val="0"/>
          <w:sz w:val="32"/>
          <w:szCs w:val="32"/>
          <w:vertAlign w:val="baseline"/>
          <w:lang w:val="en-US" w:eastAsia="zh-CN" w:bidi="ar"/>
        </w:rPr>
        <w:t>评价组人员构成和职责分工。评价组设立在广元市利州区农村改革与合作经济股，工作人员共计3人为评价组人员，设组长1名，成员2名，按照评价内容开展项目绩效评价工作，利州区农业农村局机关纪检委员的全程监督。</w:t>
      </w:r>
    </w:p>
    <w:p w14:paraId="7F15116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三、绩效分析</w:t>
      </w:r>
    </w:p>
    <w:p w14:paraId="467BA2D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根三、绩效分析</w:t>
      </w:r>
    </w:p>
    <w:p w14:paraId="58374A3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（一）通用指标绩效分析</w:t>
      </w:r>
    </w:p>
    <w:p w14:paraId="6EAD06D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1.项目决策</w:t>
      </w:r>
    </w:p>
    <w:p w14:paraId="1F62581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成立由乡镇分管领导为组长、乡镇农业服务中心干部为成员的项目实施督导小组，全程督导该项目实施。该项目实施责任主体为当地村村民委员会，并按相关规定和程序要求编制好项目具体实施方案，并组织好项目实施。乡镇对实施主体编制的项目具体实施方案审核把关，并以正式文件报送区农业农村局。</w:t>
      </w:r>
    </w:p>
    <w:p w14:paraId="55A1467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2.项目管理</w:t>
      </w:r>
    </w:p>
    <w:p w14:paraId="21AE631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项目实施主体建立公示制度，广泛接受群众和社会监督，提高项目建设公正性和资金使用透明度。项目实施责任主体配备专人具体负责协调施工过程中遇到的矛盾和问题，严格按照项目管理相关程序做好项目建设、施工安全、资金管理等工作，确保项目保质保量按时完成。</w:t>
      </w:r>
    </w:p>
    <w:p w14:paraId="6BA1F07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3.项目实施</w:t>
      </w:r>
    </w:p>
    <w:p w14:paraId="64EB285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严格按照项目实施方案进行建设，截至2024年12月，7个子项目全部完工，完成率100%；资金支出35万元，执行率100%。</w:t>
      </w:r>
    </w:p>
    <w:p w14:paraId="55D0E92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4.项目结果</w:t>
      </w:r>
    </w:p>
    <w:p w14:paraId="149B75F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到2024年底，</w:t>
      </w:r>
      <w:bookmarkStart w:id="37" w:name="OLE_LINK2"/>
      <w:r>
        <w:rPr>
          <w:rFonts w:hint="default" w:ascii="仿宋" w:hAnsi="仿宋" w:eastAsia="仿宋" w:cs="仿宋"/>
          <w:snapToGrid/>
          <w:color w:val="000000"/>
          <w:spacing w:val="0"/>
          <w:kern w:val="0"/>
          <w:sz w:val="32"/>
          <w:szCs w:val="32"/>
          <w:vertAlign w:val="baseline"/>
          <w:lang w:val="en-US" w:eastAsia="zh-CN" w:bidi="ar"/>
        </w:rPr>
        <w:t>所有扶持村集体经济年收入达7.3万元以上，村均增长0.4万元，社会、经济效益显著</w:t>
      </w:r>
      <w:bookmarkEnd w:id="37"/>
      <w:r>
        <w:rPr>
          <w:rFonts w:hint="default" w:ascii="仿宋" w:hAnsi="仿宋" w:eastAsia="仿宋" w:cs="仿宋"/>
          <w:snapToGrid/>
          <w:color w:val="000000"/>
          <w:spacing w:val="0"/>
          <w:kern w:val="0"/>
          <w:sz w:val="32"/>
          <w:szCs w:val="32"/>
          <w:vertAlign w:val="baseline"/>
          <w:lang w:val="en-US" w:eastAsia="zh-CN" w:bidi="ar"/>
        </w:rPr>
        <w:t>。</w:t>
      </w:r>
    </w:p>
    <w:p w14:paraId="4457494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（二）专用指标绩效分析</w:t>
      </w:r>
    </w:p>
    <w:p w14:paraId="36293F7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项目实施与区委区政府支持重点、优势产业支持政策符合。通过实施集体经济项目，提高村级集体经济组织造血动能，激发发展活力，为实现我区农村经济高质量发展奠定基础。实施项目村均经营收入增长0.4万元，社会、经济效益显著。</w:t>
      </w:r>
    </w:p>
    <w:p w14:paraId="00A3B06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（三）个性指标绩效分析</w:t>
      </w:r>
    </w:p>
    <w:p w14:paraId="6028A82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1.吸纳农村就业人口参与项目建设，带动促进就业500人以上。</w:t>
      </w:r>
    </w:p>
    <w:p w14:paraId="2CCC06B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2.集体经济在中央、省级或市级新闻媒体等宣传报道2次以上。</w:t>
      </w:r>
    </w:p>
    <w:p w14:paraId="4FE3C6D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3.项目村村集体经济收入年度增幅不低于20%。4.项目村农民人均可支配收入增幅高于本县（市、区）农民人均可支配收入增幅。</w:t>
      </w:r>
    </w:p>
    <w:p w14:paraId="3C0CB48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四、评价结论</w:t>
      </w:r>
    </w:p>
    <w:p w14:paraId="4772057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项目总评分为95分（满分100分），绩效目标全面达成。资金使用规范高效，建设任务按期完成，有效提升了我区农村经济发展能力、发展活力，为乡村振兴提供了示范样板。</w:t>
      </w:r>
    </w:p>
    <w:p w14:paraId="4694053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五、存在主要问题</w:t>
      </w:r>
    </w:p>
    <w:p w14:paraId="6509062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部分子项目因雨季施工进度延缓，导致验收时间延后；部分村经营管理能力不足，对项目后续管理运营需加强培训。</w:t>
      </w:r>
    </w:p>
    <w:p w14:paraId="5D9CAF7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六、改进建议</w:t>
      </w:r>
    </w:p>
    <w:p w14:paraId="0B0CD28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（一）加强工作指导。</w:t>
      </w:r>
      <w:r>
        <w:rPr>
          <w:rFonts w:hint="default" w:ascii="仿宋" w:hAnsi="仿宋" w:eastAsia="仿宋" w:cs="仿宋"/>
          <w:snapToGrid/>
          <w:color w:val="000000"/>
          <w:spacing w:val="0"/>
          <w:kern w:val="0"/>
          <w:sz w:val="32"/>
          <w:szCs w:val="32"/>
          <w:vertAlign w:val="baseline"/>
          <w:lang w:val="en-US" w:eastAsia="zh-CN" w:bidi="ar"/>
        </w:rPr>
        <w:t>由区农业农村局牵头，区财政局、区人力资源和社会保障局等相关部门配合，举办专家讲堂、业务培训，对乡镇负责村集体经济工作人员进行培训，为项目实施村提供必要的组织建设、资金管理、产业发展、土地流转、招商引资、人才培训、政策宣传、技术推广、产销对接等服务支撑。同时，每个乡镇落实一名专职集体经济发展指导员，负责本区域村级集体经济发展具体指导、案例收集上报、经验成果总结推广等具体工作。</w:t>
      </w:r>
    </w:p>
    <w:p w14:paraId="0926771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（二）加强调度推进。</w:t>
      </w:r>
      <w:r>
        <w:rPr>
          <w:rFonts w:hint="default" w:ascii="仿宋" w:hAnsi="仿宋" w:eastAsia="仿宋" w:cs="仿宋"/>
          <w:snapToGrid/>
          <w:color w:val="000000"/>
          <w:spacing w:val="0"/>
          <w:kern w:val="0"/>
          <w:sz w:val="32"/>
          <w:szCs w:val="32"/>
          <w:vertAlign w:val="baseline"/>
          <w:lang w:val="en-US" w:eastAsia="zh-CN" w:bidi="ar"/>
        </w:rPr>
        <w:t>充分发挥好广元市利州区集体经济发展工作联席会议制度，定期组织相关成员部门研究农村集体经济出现的新问题新情况。组建由区委组织部牵头，区财政局、区农业农村局参加的扶持集体经济发展专项协调小组，负责统筹协调；乡镇组建项目指导监督小组，全程跟踪集体经济项目进展情况，及时纠正资金使用、工作推进中存在的问题；村建立项目领导小组，负责项目具体实施。</w:t>
      </w:r>
    </w:p>
    <w:p w14:paraId="45C25C5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spacing w:val="0"/>
          <w:kern w:val="0"/>
          <w:sz w:val="32"/>
          <w:szCs w:val="32"/>
          <w:lang w:val="en-US"/>
        </w:rPr>
        <w:sectPr>
          <w:footerReference r:id="rId7" w:type="first"/>
          <w:footerReference r:id="rId5" w:type="default"/>
          <w:footerReference r:id="rId6" w:type="even"/>
          <w:pgSz w:w="11906" w:h="16838"/>
          <w:pgMar w:top="2098" w:right="1474" w:bottom="1984" w:left="1587" w:header="851" w:footer="1474" w:gutter="0"/>
          <w:pgNumType w:fmt="numberInDash"/>
          <w:cols w:space="720" w:num="1"/>
          <w:rtlGutter w:val="1"/>
          <w:docGrid w:type="lines" w:linePitch="312" w:charSpace="0"/>
        </w:sectPr>
      </w:pPr>
      <w:r>
        <w:rPr>
          <w:rFonts w:hint="default" w:ascii="楷体" w:hAnsi="楷体" w:eastAsia="楷体" w:cs="楷体"/>
          <w:snapToGrid/>
          <w:color w:val="000000"/>
          <w:spacing w:val="0"/>
          <w:kern w:val="0"/>
          <w:sz w:val="32"/>
          <w:szCs w:val="32"/>
          <w:vertAlign w:val="baseline"/>
          <w:lang w:val="en-US" w:eastAsia="zh-CN" w:bidi="ar"/>
        </w:rPr>
        <w:t>（三）加强保障落实。</w:t>
      </w:r>
      <w:r>
        <w:rPr>
          <w:rFonts w:hint="default" w:ascii="仿宋" w:hAnsi="仿宋" w:eastAsia="仿宋" w:cs="仿宋"/>
          <w:snapToGrid/>
          <w:color w:val="000000"/>
          <w:spacing w:val="0"/>
          <w:kern w:val="0"/>
          <w:sz w:val="32"/>
          <w:szCs w:val="32"/>
          <w:vertAlign w:val="baseline"/>
          <w:lang w:val="en-US" w:eastAsia="zh-CN" w:bidi="ar"/>
        </w:rPr>
        <w:t>开展针对性系统性培训，让村干部、党员、致富带头人等成为集体经济发展的“行家里手”。持续推进村党组织书记、村委会主任“一肩挑”，选优配强“领头雁”，充分发挥村党组织书记带头作用。通过政府投、部门帮、社会筹等方式做大集体经济发展“本金”。区财政局牵头，区农业农村局、区乡村振兴局等部门，各有关乡镇积极争取财政资金和衔接资金，加大涉农资金整合力度，引导社会资本参与集体经济建设发展</w:t>
      </w:r>
      <w:r>
        <w:rPr>
          <w:rFonts w:hint="eastAsia" w:ascii="仿宋" w:hAnsi="仿宋" w:eastAsia="仿宋" w:cs="仿宋"/>
          <w:snapToGrid/>
          <w:color w:val="000000"/>
          <w:spacing w:val="0"/>
          <w:kern w:val="0"/>
          <w:sz w:val="32"/>
          <w:szCs w:val="32"/>
          <w:vertAlign w:val="baseline"/>
          <w:lang w:val="en-US" w:eastAsia="zh-CN" w:bidi="ar"/>
        </w:rPr>
        <w:t>。</w:t>
      </w:r>
    </w:p>
    <w:p w14:paraId="66446FAA">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宋体" w:hAnsi="Arial" w:eastAsia="宋体" w:cs="方正小标宋简体"/>
          <w:color w:val="000000"/>
          <w:kern w:val="0"/>
          <w:sz w:val="32"/>
          <w:szCs w:val="32"/>
        </w:rPr>
      </w:pPr>
      <w:r>
        <w:rPr>
          <w:rFonts w:hint="eastAsia" w:ascii="宋体" w:hAnsi="Arial" w:eastAsia="宋体" w:cs="方正小标宋简体"/>
          <w:snapToGrid/>
          <w:color w:val="000000"/>
          <w:kern w:val="0"/>
          <w:sz w:val="32"/>
          <w:szCs w:val="32"/>
          <w:lang w:val="en-US" w:eastAsia="zh-CN" w:bidi="ar"/>
        </w:rPr>
        <w:t xml:space="preserve"> </w:t>
      </w:r>
    </w:p>
    <w:p w14:paraId="2FFD9B70">
      <w:pPr>
        <w:pStyle w:val="24"/>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b w:val="0"/>
          <w:bCs w:val="0"/>
          <w:spacing w:val="0"/>
          <w:kern w:val="2"/>
          <w:sz w:val="44"/>
          <w:szCs w:val="44"/>
        </w:rPr>
      </w:pPr>
      <w:r>
        <w:rPr>
          <w:rFonts w:hint="eastAsia" w:ascii="方正小标宋简体" w:hAnsi="方正小标宋简体" w:eastAsia="方正小标宋简体" w:cs="方正小标宋简体"/>
          <w:b w:val="0"/>
          <w:bCs w:val="0"/>
          <w:snapToGrid/>
          <w:color w:val="000000"/>
          <w:spacing w:val="0"/>
          <w:kern w:val="2"/>
          <w:sz w:val="44"/>
          <w:szCs w:val="44"/>
          <w:lang w:val="en-US" w:eastAsia="zh-CN" w:bidi="ar"/>
        </w:rPr>
        <w:t>2024年省级财政农业高质量发展共同财政事权转移支付资金农业公共安全监测预警—农产品质量安全检测建设专项资金预算项目</w:t>
      </w:r>
    </w:p>
    <w:p w14:paraId="4F4458DB">
      <w:pPr>
        <w:pStyle w:val="24"/>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b w:val="0"/>
          <w:bCs w:val="0"/>
          <w:spacing w:val="0"/>
          <w:kern w:val="2"/>
          <w:sz w:val="44"/>
          <w:szCs w:val="44"/>
        </w:rPr>
      </w:pPr>
      <w:r>
        <w:rPr>
          <w:rFonts w:hint="eastAsia" w:ascii="方正小标宋简体" w:hAnsi="方正小标宋简体" w:eastAsia="方正小标宋简体" w:cs="方正小标宋简体"/>
          <w:b w:val="0"/>
          <w:bCs w:val="0"/>
          <w:snapToGrid/>
          <w:color w:val="000000"/>
          <w:spacing w:val="0"/>
          <w:kern w:val="2"/>
          <w:sz w:val="44"/>
          <w:szCs w:val="44"/>
          <w:lang w:val="en-US" w:eastAsia="zh-CN" w:bidi="ar"/>
        </w:rPr>
        <w:t>绩效自评报告</w:t>
      </w:r>
    </w:p>
    <w:p w14:paraId="34AFDF69">
      <w:pPr>
        <w:pStyle w:val="24"/>
        <w:keepNext w:val="0"/>
        <w:keepLines w:val="0"/>
        <w:widowControl w:val="0"/>
        <w:suppressLineNumbers w:val="0"/>
        <w:kinsoku w:val="0"/>
        <w:autoSpaceDE w:val="0"/>
        <w:autoSpaceDN/>
        <w:adjustRightInd w:val="0"/>
        <w:snapToGrid w:val="0"/>
        <w:spacing w:before="0" w:beforeAutospacing="0" w:after="0" w:afterAutospacing="0" w:line="500" w:lineRule="exact"/>
        <w:ind w:left="0" w:right="0" w:firstLine="640" w:firstLineChars="200"/>
        <w:jc w:val="both"/>
        <w:textAlignment w:val="baseline"/>
        <w:rPr>
          <w:rFonts w:hint="default" w:ascii="仿宋" w:hAnsi="仿宋" w:eastAsia="仿宋" w:cs="仿宋"/>
          <w:b w:val="0"/>
          <w:bCs w:val="0"/>
          <w:kern w:val="2"/>
          <w:sz w:val="32"/>
          <w:szCs w:val="32"/>
        </w:rPr>
      </w:pPr>
      <w:r>
        <w:rPr>
          <w:rFonts w:hint="default" w:ascii="仿宋" w:hAnsi="仿宋" w:eastAsia="仿宋" w:cs="仿宋"/>
          <w:b w:val="0"/>
          <w:bCs w:val="0"/>
          <w:snapToGrid/>
          <w:color w:val="000000"/>
          <w:kern w:val="2"/>
          <w:sz w:val="32"/>
          <w:szCs w:val="32"/>
          <w:lang w:val="en-US" w:eastAsia="zh-CN" w:bidi="ar"/>
        </w:rPr>
        <w:t xml:space="preserve"> </w:t>
      </w:r>
    </w:p>
    <w:p w14:paraId="2397374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spacing w:val="0"/>
          <w:kern w:val="0"/>
          <w:sz w:val="32"/>
          <w:szCs w:val="32"/>
        </w:rPr>
      </w:pPr>
      <w:r>
        <w:rPr>
          <w:rFonts w:hint="default" w:ascii="黑体" w:hAnsi="宋体" w:eastAsia="黑体" w:cs="黑体"/>
          <w:b w:val="0"/>
          <w:bCs w:val="0"/>
          <w:snapToGrid/>
          <w:color w:val="000000"/>
          <w:spacing w:val="0"/>
          <w:kern w:val="0"/>
          <w:sz w:val="32"/>
          <w:szCs w:val="32"/>
          <w:lang w:val="en-US" w:eastAsia="zh-CN" w:bidi="ar"/>
        </w:rPr>
        <w:t>一、项目概况</w:t>
      </w:r>
    </w:p>
    <w:p w14:paraId="4AD1C56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spacing w:val="0"/>
          <w:kern w:val="0"/>
          <w:sz w:val="32"/>
          <w:szCs w:val="32"/>
        </w:rPr>
      </w:pPr>
      <w:r>
        <w:rPr>
          <w:rFonts w:hint="default" w:ascii="楷体" w:hAnsi="楷体" w:eastAsia="楷体" w:cs="楷体"/>
          <w:b w:val="0"/>
          <w:bCs w:val="0"/>
          <w:snapToGrid/>
          <w:color w:val="000000"/>
          <w:spacing w:val="0"/>
          <w:kern w:val="0"/>
          <w:sz w:val="32"/>
          <w:szCs w:val="32"/>
          <w:lang w:val="en-US" w:eastAsia="zh-CN" w:bidi="ar"/>
        </w:rPr>
        <w:t>(一)设立背景及基本情况</w:t>
      </w:r>
    </w:p>
    <w:p w14:paraId="651990D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rPr>
      </w:pPr>
      <w:r>
        <w:rPr>
          <w:rFonts w:hint="default" w:ascii="仿宋" w:hAnsi="仿宋" w:eastAsia="仿宋" w:cs="仿宋"/>
          <w:snapToGrid/>
          <w:color w:val="000000"/>
          <w:spacing w:val="0"/>
          <w:kern w:val="0"/>
          <w:sz w:val="32"/>
          <w:szCs w:val="32"/>
          <w:lang w:val="en-US" w:eastAsia="zh-CN" w:bidi="ar"/>
        </w:rPr>
        <w:t>农产品质量安全是食品安全链条上重要的一环，从田间到餐桌的安全监管链中，广元市利州区农产品质量安全检验监测中心主要负责初级农产品生产环节（即种植、养殖环节）的风险监测，完成省、市、区下达的定量监测任务。项目根据《四川省财政厅四川省农业农村厅  关于下达2024年农业经营主体能力提升等四项农业转移支付资金的通知》（川财农〔2024〕78号）、四川省农业农村厅《关于印发&lt;2024年县级农产品质量安全风险监测方案&gt;的通知》（川农函〔2024〕331号）和广元市农业农村局《关于印发&lt;广元市2024年度农产品质量安全监测工作方案&gt;的通知》（广农函〔2024〕64号）等文件要求制定实施方案。历年以来，该项资金都来源于省农业农村厅，作为农产品质量安全定量检测专项经费，用于完成省级下达的抽检任务。</w:t>
      </w:r>
    </w:p>
    <w:p w14:paraId="329DDB7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spacing w:val="0"/>
          <w:kern w:val="0"/>
          <w:sz w:val="32"/>
          <w:szCs w:val="32"/>
        </w:rPr>
      </w:pPr>
      <w:r>
        <w:rPr>
          <w:rFonts w:hint="default" w:ascii="楷体" w:hAnsi="楷体" w:eastAsia="楷体" w:cs="楷体"/>
          <w:b w:val="0"/>
          <w:bCs w:val="0"/>
          <w:snapToGrid/>
          <w:color w:val="000000"/>
          <w:spacing w:val="0"/>
          <w:kern w:val="0"/>
          <w:sz w:val="32"/>
          <w:szCs w:val="32"/>
          <w:lang w:val="en-US" w:eastAsia="zh-CN" w:bidi="ar"/>
        </w:rPr>
        <w:t>（二）实施目的及支持方向</w:t>
      </w:r>
    </w:p>
    <w:p w14:paraId="1CA3036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spacing w:val="0"/>
          <w:kern w:val="0"/>
          <w:sz w:val="32"/>
          <w:szCs w:val="32"/>
          <w:shd w:val="clear" w:fill="FFFFFF"/>
        </w:rPr>
      </w:pPr>
      <w:r>
        <w:rPr>
          <w:rFonts w:hint="default" w:ascii="仿宋" w:hAnsi="仿宋" w:eastAsia="仿宋" w:cs="仿宋"/>
          <w:b w:val="0"/>
          <w:bCs w:val="0"/>
          <w:snapToGrid/>
          <w:color w:val="000000"/>
          <w:spacing w:val="0"/>
          <w:kern w:val="0"/>
          <w:sz w:val="32"/>
          <w:szCs w:val="32"/>
          <w:shd w:val="clear" w:fill="FFFFFF"/>
          <w:lang w:val="en-US" w:eastAsia="zh-CN" w:bidi="ar"/>
        </w:rPr>
        <w:t>对照省、市全年农产品质量风险监测工作目标任务，制定了《广元市利州区农业农村局关于报送《2024年省级财政农业高质量发展共同财政事权转移支付资金农业公共安全监测预警—农产品质量安全检测建设方案》的报告》（广利农〔2024〕149号），严格按照建设方案实施农产品质量安全检验监测工作，</w:t>
      </w:r>
      <w:r>
        <w:rPr>
          <w:rFonts w:hint="default" w:ascii="仿宋" w:hAnsi="仿宋" w:eastAsia="仿宋" w:cs="仿宋"/>
          <w:snapToGrid/>
          <w:color w:val="000000"/>
          <w:spacing w:val="0"/>
          <w:kern w:val="0"/>
          <w:sz w:val="32"/>
          <w:szCs w:val="32"/>
          <w:lang w:val="en-US" w:eastAsia="zh-CN" w:bidi="ar"/>
        </w:rPr>
        <w:t>确保不发生重大农产品质量安全事件。我区2024年农产品质量安全风险监测项目采取交叉抽检形式实施，共承担省级下达监测样品任务50个，其中承担青川县蔬菜、水果以及食用菌三类农产品质量安全风险监测任务20个，本辖区蔬菜、水果、食用菌、畜禽和水产品五类农产品质量安全风险监测任务30个（其中监督抽检5个），</w:t>
      </w:r>
      <w:r>
        <w:rPr>
          <w:rFonts w:hint="default" w:ascii="仿宋" w:hAnsi="仿宋" w:eastAsia="仿宋" w:cs="仿宋"/>
          <w:b w:val="0"/>
          <w:bCs w:val="0"/>
          <w:snapToGrid/>
          <w:color w:val="000000"/>
          <w:spacing w:val="0"/>
          <w:kern w:val="0"/>
          <w:sz w:val="32"/>
          <w:szCs w:val="32"/>
          <w:shd w:val="clear" w:fill="FFFFFF"/>
          <w:lang w:val="en-US" w:eastAsia="zh-CN" w:bidi="ar"/>
        </w:rPr>
        <w:t>全年检测合格率大于98%。抽样范围包括专合社、农业企业、家庭农场、散户等；抽检样品主要</w:t>
      </w:r>
      <w:r>
        <w:rPr>
          <w:rFonts w:hint="default" w:ascii="仿宋" w:hAnsi="仿宋" w:eastAsia="仿宋" w:cs="仿宋"/>
          <w:snapToGrid/>
          <w:color w:val="000000"/>
          <w:spacing w:val="0"/>
          <w:kern w:val="0"/>
          <w:sz w:val="32"/>
          <w:szCs w:val="32"/>
          <w:lang w:val="en-US" w:eastAsia="zh-CN" w:bidi="ar"/>
        </w:rPr>
        <w:t>瓜类、叶菜类、芸苔属类、茄果类、豆类等7大类蔬菜</w:t>
      </w:r>
      <w:r>
        <w:rPr>
          <w:rFonts w:hint="default" w:ascii="仿宋" w:hAnsi="仿宋" w:eastAsia="仿宋" w:cs="仿宋"/>
          <w:b w:val="0"/>
          <w:bCs w:val="0"/>
          <w:snapToGrid/>
          <w:color w:val="000000"/>
          <w:spacing w:val="0"/>
          <w:kern w:val="0"/>
          <w:sz w:val="32"/>
          <w:szCs w:val="32"/>
          <w:shd w:val="clear" w:fill="FFFFFF"/>
          <w:lang w:val="en-US" w:eastAsia="zh-CN" w:bidi="ar"/>
        </w:rPr>
        <w:t>；检测参数覆盖了省厅下达监测任务中蔬菜、水果、食用菌、畜禽、水产品类50多个参数，其中畜禽和水产品类大部分参数我中心未认证，将样品送至第三方公司检测。</w:t>
      </w:r>
    </w:p>
    <w:p w14:paraId="13DCEF5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spacing w:val="0"/>
          <w:kern w:val="0"/>
          <w:sz w:val="32"/>
          <w:szCs w:val="32"/>
        </w:rPr>
      </w:pPr>
      <w:r>
        <w:rPr>
          <w:rFonts w:hint="default" w:ascii="楷体" w:hAnsi="楷体" w:eastAsia="楷体" w:cs="楷体"/>
          <w:b w:val="0"/>
          <w:bCs w:val="0"/>
          <w:snapToGrid/>
          <w:color w:val="000000"/>
          <w:spacing w:val="0"/>
          <w:kern w:val="0"/>
          <w:sz w:val="32"/>
          <w:szCs w:val="32"/>
          <w:lang w:val="en-US" w:eastAsia="zh-CN" w:bidi="ar"/>
        </w:rPr>
        <w:t>（三）预算安排及分配管理</w:t>
      </w:r>
    </w:p>
    <w:p w14:paraId="690D684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spacing w:val="0"/>
          <w:kern w:val="0"/>
          <w:sz w:val="32"/>
          <w:szCs w:val="32"/>
          <w:shd w:val="clear" w:fill="FFFFFF"/>
        </w:rPr>
      </w:pPr>
      <w:r>
        <w:rPr>
          <w:rFonts w:hint="default" w:ascii="仿宋" w:hAnsi="仿宋" w:eastAsia="仿宋" w:cs="仿宋"/>
          <w:b w:val="0"/>
          <w:bCs w:val="0"/>
          <w:snapToGrid/>
          <w:color w:val="000000"/>
          <w:spacing w:val="0"/>
          <w:kern w:val="0"/>
          <w:sz w:val="32"/>
          <w:szCs w:val="32"/>
          <w:shd w:val="clear" w:fill="FFFFFF"/>
          <w:lang w:val="en-US" w:eastAsia="zh-CN" w:bidi="ar"/>
        </w:rPr>
        <w:t>目标完成50批次定量检测任务，使用资金5万元，</w:t>
      </w:r>
      <w:r>
        <w:rPr>
          <w:rFonts w:hint="default" w:ascii="仿宋" w:hAnsi="仿宋" w:eastAsia="仿宋" w:cs="仿宋"/>
          <w:snapToGrid/>
          <w:color w:val="000000"/>
          <w:spacing w:val="0"/>
          <w:kern w:val="0"/>
          <w:sz w:val="32"/>
          <w:szCs w:val="32"/>
          <w:lang w:val="en-US" w:eastAsia="zh-CN" w:bidi="ar"/>
        </w:rPr>
        <w:t>项目使用方向：资金主要用于购置样品、实验耗材、检测仪器和设施修护保养、实验室购置氮气等费用。</w:t>
      </w:r>
    </w:p>
    <w:p w14:paraId="6B42824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spacing w:val="0"/>
          <w:kern w:val="0"/>
          <w:sz w:val="32"/>
          <w:szCs w:val="32"/>
        </w:rPr>
      </w:pPr>
      <w:r>
        <w:rPr>
          <w:rFonts w:hint="default" w:ascii="楷体" w:hAnsi="楷体" w:eastAsia="楷体" w:cs="楷体"/>
          <w:b w:val="0"/>
          <w:bCs w:val="0"/>
          <w:snapToGrid/>
          <w:color w:val="000000"/>
          <w:spacing w:val="0"/>
          <w:kern w:val="0"/>
          <w:sz w:val="32"/>
          <w:szCs w:val="32"/>
          <w:lang w:val="en-US" w:eastAsia="zh-CN" w:bidi="ar"/>
        </w:rPr>
        <w:t>（四）项目绩效目标设置</w:t>
      </w:r>
    </w:p>
    <w:p w14:paraId="6A448D5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spacing w:val="0"/>
          <w:kern w:val="0"/>
          <w:sz w:val="32"/>
          <w:szCs w:val="32"/>
        </w:rPr>
      </w:pPr>
      <w:r>
        <w:rPr>
          <w:rFonts w:hint="default" w:ascii="仿宋" w:hAnsi="仿宋" w:eastAsia="仿宋" w:cs="仿宋"/>
          <w:b w:val="0"/>
          <w:bCs w:val="0"/>
          <w:snapToGrid/>
          <w:color w:val="000000"/>
          <w:spacing w:val="0"/>
          <w:kern w:val="0"/>
          <w:sz w:val="32"/>
          <w:szCs w:val="32"/>
          <w:shd w:val="clear" w:fill="FFFFFF"/>
          <w:lang w:val="en-US" w:eastAsia="zh-CN" w:bidi="ar"/>
        </w:rPr>
        <w:t>部门负责人组织业务办公室工作人员，对照部门预算、专项资金预算项目支出绩效目标自评表和2024年专项资金预算项目支出绩效评价指标体系表，结合项目实际运行情况，逐一对照指标解释和评分方法进行打分自评。</w:t>
      </w:r>
      <w:r>
        <w:rPr>
          <w:rFonts w:hint="default" w:ascii="仿宋" w:hAnsi="仿宋" w:eastAsia="仿宋" w:cs="仿宋"/>
          <w:snapToGrid/>
          <w:color w:val="000000"/>
          <w:spacing w:val="0"/>
          <w:kern w:val="0"/>
          <w:sz w:val="32"/>
          <w:szCs w:val="32"/>
          <w:lang w:val="en-US" w:eastAsia="zh-CN" w:bidi="ar"/>
        </w:rPr>
        <w:t>本项目共设置产出指标5个，效益指标8个，满意度指标2个，成本指标8个，绩效目标和绩效指标均量化可考核，相匹配，全面完整，契合政策和项目实质，与部门的长期规划目标、年度工作目标相一致，产出和效果相关联，设置了服务对象满意度指标。</w:t>
      </w:r>
      <w:r>
        <w:rPr>
          <w:rFonts w:hint="default" w:ascii="仿宋" w:hAnsi="仿宋" w:eastAsia="仿宋" w:cs="仿宋"/>
          <w:b w:val="0"/>
          <w:bCs w:val="0"/>
          <w:snapToGrid/>
          <w:color w:val="000000"/>
          <w:spacing w:val="0"/>
          <w:kern w:val="0"/>
          <w:sz w:val="32"/>
          <w:szCs w:val="32"/>
          <w:shd w:val="clear" w:fill="FFFFFF"/>
          <w:lang w:val="en-US" w:eastAsia="zh-CN" w:bidi="ar"/>
        </w:rPr>
        <w:t>项目实施单位财务管理制度健全，严格执行财务管理制度。</w:t>
      </w:r>
    </w:p>
    <w:p w14:paraId="14572A6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spacing w:val="0"/>
          <w:kern w:val="0"/>
          <w:sz w:val="32"/>
          <w:szCs w:val="32"/>
        </w:rPr>
      </w:pPr>
      <w:r>
        <w:rPr>
          <w:rFonts w:hint="default" w:ascii="黑体" w:hAnsi="宋体" w:eastAsia="黑体" w:cs="黑体"/>
          <w:b w:val="0"/>
          <w:bCs w:val="0"/>
          <w:snapToGrid/>
          <w:color w:val="000000"/>
          <w:spacing w:val="0"/>
          <w:kern w:val="0"/>
          <w:sz w:val="32"/>
          <w:szCs w:val="32"/>
          <w:lang w:val="en-US" w:eastAsia="zh-CN" w:bidi="ar"/>
        </w:rPr>
        <w:t>二、评价实施</w:t>
      </w:r>
    </w:p>
    <w:p w14:paraId="74F3D3E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楷体" w:hAnsi="楷体" w:eastAsia="楷体" w:cs="楷体"/>
          <w:b w:val="0"/>
          <w:bCs w:val="0"/>
          <w:snapToGrid/>
          <w:color w:val="000000"/>
          <w:spacing w:val="0"/>
          <w:kern w:val="0"/>
          <w:sz w:val="32"/>
          <w:szCs w:val="32"/>
          <w:vertAlign w:val="baseline"/>
          <w:lang w:val="en-US" w:eastAsia="zh-CN" w:bidi="ar"/>
        </w:rPr>
        <w:t>（一）评价目的。</w:t>
      </w:r>
      <w:r>
        <w:rPr>
          <w:rFonts w:hint="default" w:ascii="仿宋" w:hAnsi="仿宋" w:eastAsia="仿宋" w:cs="仿宋"/>
          <w:snapToGrid/>
          <w:color w:val="000000"/>
          <w:spacing w:val="0"/>
          <w:kern w:val="0"/>
          <w:sz w:val="32"/>
          <w:szCs w:val="32"/>
          <w:vertAlign w:val="baseline"/>
          <w:lang w:val="en-US" w:eastAsia="zh-CN" w:bidi="ar"/>
        </w:rPr>
        <w:t>通过项目绩效自评成功完成省级下达监测样品任务50个（其中监督抽检5</w:t>
      </w:r>
      <w:r>
        <w:rPr>
          <w:rFonts w:hint="default" w:ascii="仿宋" w:hAnsi="仿宋" w:eastAsia="仿宋" w:cs="仿宋"/>
          <w:snapToGrid/>
          <w:color w:val="000000"/>
          <w:kern w:val="0"/>
          <w:sz w:val="32"/>
          <w:szCs w:val="32"/>
          <w:vertAlign w:val="baseline"/>
          <w:lang w:val="en-US" w:eastAsia="zh-CN" w:bidi="ar"/>
        </w:rPr>
        <w:t>个），</w:t>
      </w:r>
      <w:r>
        <w:rPr>
          <w:rFonts w:hint="default" w:ascii="仿宋" w:hAnsi="仿宋" w:eastAsia="仿宋" w:cs="仿宋"/>
          <w:b w:val="0"/>
          <w:bCs w:val="0"/>
          <w:snapToGrid/>
          <w:color w:val="000000"/>
          <w:kern w:val="0"/>
          <w:sz w:val="32"/>
          <w:szCs w:val="32"/>
          <w:shd w:val="clear" w:fill="FFFFFF"/>
          <w:vertAlign w:val="baseline"/>
          <w:lang w:val="en-US" w:eastAsia="zh-CN" w:bidi="ar"/>
        </w:rPr>
        <w:t>全年检测合格率大于等于98%，全年发生重大农产品质量安全事故次数为零。</w:t>
      </w:r>
    </w:p>
    <w:p w14:paraId="7E5C430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楷体" w:hAnsi="楷体" w:eastAsia="楷体" w:cs="楷体"/>
          <w:b w:val="0"/>
          <w:bCs w:val="0"/>
          <w:snapToGrid/>
          <w:color w:val="000000"/>
          <w:kern w:val="0"/>
          <w:sz w:val="32"/>
          <w:szCs w:val="32"/>
          <w:vertAlign w:val="baseline"/>
          <w:lang w:val="en-US" w:eastAsia="zh-CN" w:bidi="ar"/>
        </w:rPr>
        <w:t>（二）预设问题及评价重点。</w:t>
      </w:r>
      <w:r>
        <w:rPr>
          <w:rFonts w:hint="default" w:ascii="仿宋" w:hAnsi="仿宋" w:eastAsia="仿宋" w:cs="仿宋"/>
          <w:snapToGrid/>
          <w:color w:val="000000"/>
          <w:spacing w:val="0"/>
          <w:kern w:val="0"/>
          <w:sz w:val="32"/>
          <w:szCs w:val="32"/>
          <w:vertAlign w:val="baseline"/>
          <w:lang w:val="en-US" w:eastAsia="zh-CN" w:bidi="ar"/>
        </w:rPr>
        <w:t>按照绩效评价指标体系，严格按照预算安排及分配管理对资金支出使用全过程及其实施效果进行全程监管，资金主要用于购置样品、实验耗材、检测仪器和设施修护保养、实验室购置氮气等费用。</w:t>
      </w:r>
    </w:p>
    <w:p w14:paraId="555D735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楷体" w:hAnsi="楷体" w:eastAsia="楷体" w:cs="楷体"/>
          <w:b w:val="0"/>
          <w:bCs w:val="0"/>
          <w:snapToGrid/>
          <w:color w:val="000000"/>
          <w:kern w:val="0"/>
          <w:sz w:val="32"/>
          <w:szCs w:val="32"/>
          <w:vertAlign w:val="baseline"/>
          <w:lang w:val="en-US" w:eastAsia="zh-CN" w:bidi="ar"/>
        </w:rPr>
        <w:t>（三）评价选点。</w:t>
      </w:r>
      <w:r>
        <w:rPr>
          <w:rFonts w:hint="default" w:ascii="仿宋" w:hAnsi="仿宋" w:eastAsia="仿宋" w:cs="仿宋"/>
          <w:snapToGrid/>
          <w:color w:val="000000"/>
          <w:spacing w:val="0"/>
          <w:kern w:val="0"/>
          <w:sz w:val="32"/>
          <w:szCs w:val="32"/>
          <w:vertAlign w:val="baseline"/>
          <w:lang w:val="en-US" w:eastAsia="zh-CN" w:bidi="ar"/>
        </w:rPr>
        <w:t>本项目资金5万元全部用于广元市利州区农产品质量安全检验监测中心开展农产品质量安全检验监测相关工作，主要用于</w:t>
      </w:r>
      <w:r>
        <w:rPr>
          <w:rFonts w:hint="default" w:ascii="仿宋" w:hAnsi="仿宋" w:eastAsia="仿宋" w:cs="仿宋"/>
          <w:snapToGrid/>
          <w:color w:val="000000"/>
          <w:kern w:val="0"/>
          <w:sz w:val="32"/>
          <w:szCs w:val="32"/>
          <w:vertAlign w:val="baseline"/>
          <w:lang w:val="en-US" w:eastAsia="zh-CN" w:bidi="ar"/>
        </w:rPr>
        <w:t>检测仪器和设施修护</w:t>
      </w:r>
      <w:r>
        <w:rPr>
          <w:rFonts w:hint="default" w:ascii="仿宋" w:hAnsi="仿宋" w:eastAsia="仿宋" w:cs="仿宋"/>
          <w:snapToGrid/>
          <w:color w:val="000000"/>
          <w:spacing w:val="0"/>
          <w:kern w:val="0"/>
          <w:sz w:val="32"/>
          <w:szCs w:val="32"/>
          <w:vertAlign w:val="baseline"/>
          <w:lang w:val="en-US" w:eastAsia="zh-CN" w:bidi="ar"/>
        </w:rPr>
        <w:t>保养、实验室仪器设备检定，购置实</w:t>
      </w:r>
      <w:r>
        <w:rPr>
          <w:rFonts w:hint="default" w:ascii="仿宋" w:hAnsi="仿宋" w:eastAsia="仿宋" w:cs="仿宋"/>
          <w:snapToGrid/>
          <w:color w:val="000000"/>
          <w:kern w:val="0"/>
          <w:sz w:val="32"/>
          <w:szCs w:val="32"/>
          <w:vertAlign w:val="baseline"/>
          <w:lang w:val="en-US" w:eastAsia="zh-CN" w:bidi="ar"/>
        </w:rPr>
        <w:t>验耗材等，</w:t>
      </w:r>
      <w:r>
        <w:rPr>
          <w:rFonts w:hint="default" w:ascii="仿宋" w:hAnsi="仿宋" w:eastAsia="仿宋" w:cs="仿宋"/>
          <w:snapToGrid/>
          <w:color w:val="000000"/>
          <w:spacing w:val="0"/>
          <w:kern w:val="0"/>
          <w:sz w:val="32"/>
          <w:szCs w:val="32"/>
          <w:vertAlign w:val="baseline"/>
          <w:lang w:val="en-US" w:eastAsia="zh-CN" w:bidi="ar"/>
        </w:rPr>
        <w:t>选取检测中心实验室1个点位进行实地踏勘，且把点位清单应作为自评附表。</w:t>
      </w:r>
    </w:p>
    <w:p w14:paraId="33370C7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b w:val="0"/>
          <w:bCs w:val="0"/>
          <w:snapToGrid/>
          <w:color w:val="000000"/>
          <w:kern w:val="0"/>
          <w:sz w:val="32"/>
          <w:szCs w:val="32"/>
          <w:vertAlign w:val="baseline"/>
          <w:lang w:val="en-US" w:eastAsia="zh-CN" w:bidi="ar"/>
        </w:rPr>
        <w:t>（四）评价方法。</w:t>
      </w:r>
      <w:r>
        <w:rPr>
          <w:rFonts w:hint="default" w:ascii="仿宋" w:hAnsi="仿宋" w:eastAsia="仿宋" w:cs="仿宋"/>
          <w:snapToGrid/>
          <w:color w:val="000000"/>
          <w:spacing w:val="0"/>
          <w:kern w:val="0"/>
          <w:sz w:val="32"/>
          <w:szCs w:val="32"/>
          <w:vertAlign w:val="baseline"/>
          <w:lang w:val="en-US" w:eastAsia="zh-CN" w:bidi="ar"/>
        </w:rPr>
        <w:t>本项目根据项目情况和评价重点，采用成本效益分析法、实地勘察法、座谈调研法等多种方法用来收集相关材料和开展具体评价的方法。</w:t>
      </w:r>
    </w:p>
    <w:p w14:paraId="439DD8E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vertAlign w:val="baseline"/>
        </w:rPr>
      </w:pPr>
      <w:r>
        <w:rPr>
          <w:rFonts w:hint="default" w:ascii="楷体" w:hAnsi="楷体" w:eastAsia="楷体" w:cs="楷体"/>
          <w:b w:val="0"/>
          <w:bCs w:val="0"/>
          <w:snapToGrid/>
          <w:color w:val="000000"/>
          <w:kern w:val="0"/>
          <w:sz w:val="32"/>
          <w:szCs w:val="32"/>
          <w:vertAlign w:val="baseline"/>
          <w:lang w:val="en-US" w:eastAsia="zh-CN" w:bidi="ar"/>
        </w:rPr>
        <w:t>（五）评价组织。</w:t>
      </w:r>
      <w:r>
        <w:rPr>
          <w:rFonts w:hint="default" w:ascii="仿宋" w:hAnsi="仿宋" w:eastAsia="仿宋" w:cs="仿宋"/>
          <w:snapToGrid/>
          <w:color w:val="000000"/>
          <w:spacing w:val="0"/>
          <w:kern w:val="0"/>
          <w:sz w:val="32"/>
          <w:szCs w:val="32"/>
          <w:vertAlign w:val="baseline"/>
          <w:lang w:val="en-US" w:eastAsia="zh-CN" w:bidi="ar"/>
        </w:rPr>
        <w:t>评价组设立在广元市利州区农产品质量安全检验监测中心，中心全体工作人员共计5人为评价组人员，设组长1名，成员4名，按照评价内容开展项目绩效评价工作，</w:t>
      </w:r>
      <w:r>
        <w:rPr>
          <w:rFonts w:hint="default" w:ascii="仿宋" w:hAnsi="仿宋" w:eastAsia="仿宋" w:cs="仿宋"/>
          <w:b w:val="0"/>
          <w:bCs w:val="0"/>
          <w:snapToGrid/>
          <w:color w:val="000000"/>
          <w:kern w:val="0"/>
          <w:sz w:val="32"/>
          <w:szCs w:val="32"/>
          <w:shd w:val="clear" w:fill="FFFFFF"/>
          <w:vertAlign w:val="baseline"/>
          <w:lang w:val="en-US" w:eastAsia="zh-CN" w:bidi="ar"/>
        </w:rPr>
        <w:t>利州区农业农村局机关纪检委员的全程监督</w:t>
      </w:r>
      <w:r>
        <w:rPr>
          <w:rFonts w:hint="default" w:ascii="仿宋" w:hAnsi="仿宋" w:eastAsia="仿宋" w:cs="仿宋"/>
          <w:snapToGrid/>
          <w:color w:val="000000"/>
          <w:spacing w:val="0"/>
          <w:kern w:val="0"/>
          <w:sz w:val="32"/>
          <w:szCs w:val="32"/>
          <w:vertAlign w:val="baseline"/>
          <w:lang w:val="en-US" w:eastAsia="zh-CN" w:bidi="ar"/>
        </w:rPr>
        <w:t>。</w:t>
      </w:r>
    </w:p>
    <w:p w14:paraId="1219775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三、绩效分析</w:t>
      </w:r>
    </w:p>
    <w:p w14:paraId="7A82D7E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（一）通用指标绩效分析</w:t>
      </w:r>
    </w:p>
    <w:p w14:paraId="39E8F8F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1.项目决策</w:t>
      </w:r>
    </w:p>
    <w:p w14:paraId="05DDA60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农产品质量安全风险监测是及时发现农产品质量安全问题，防范农产品质量安全隐患，确保不发生重大农产品质量安全事件的关键性技术支撑。开展农产品质量安全监测工作，是各级农业农村行政主管部门的法定职责。各县（市、区）农业农村行政主管部门高度重视，切实履行属地管理责任，加强组织领导，在人、财、物等方面给予积极支持和保障，确保监测工作顺利实施。</w:t>
      </w:r>
    </w:p>
    <w:p w14:paraId="4CD471C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2.项目管理</w:t>
      </w:r>
    </w:p>
    <w:p w14:paraId="51C414EB">
      <w:pPr>
        <w:pStyle w:val="24"/>
        <w:keepNext w:val="0"/>
        <w:keepLines w:val="0"/>
        <w:widowControl w:val="0"/>
        <w:suppressLineNumbers w:val="0"/>
        <w:kinsoku w:val="0"/>
        <w:autoSpaceDE w:val="0"/>
        <w:autoSpaceDN/>
        <w:adjustRightInd w:val="0"/>
        <w:snapToGrid w:val="0"/>
        <w:spacing w:before="0" w:beforeAutospacing="1" w:after="0" w:afterAutospacing="0" w:line="576" w:lineRule="exact"/>
        <w:ind w:left="0" w:leftChars="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b w:val="0"/>
          <w:bCs w:val="0"/>
          <w:snapToGrid/>
          <w:color w:val="000000"/>
          <w:kern w:val="0"/>
          <w:sz w:val="32"/>
          <w:szCs w:val="32"/>
          <w:shd w:val="clear" w:fill="FFFFFF"/>
          <w:lang w:val="en-US" w:eastAsia="zh-CN" w:bidi="ar"/>
        </w:rPr>
        <w:t>项目实施单位：广元市利州区农产品质量安全检验监测中心，</w:t>
      </w:r>
      <w:r>
        <w:rPr>
          <w:rFonts w:hint="default" w:ascii="仿宋" w:hAnsi="仿宋" w:eastAsia="仿宋" w:cs="仿宋"/>
          <w:snapToGrid/>
          <w:color w:val="000000"/>
          <w:kern w:val="0"/>
          <w:sz w:val="32"/>
          <w:szCs w:val="32"/>
          <w:lang w:val="en-US" w:eastAsia="zh-CN" w:bidi="ar"/>
        </w:rPr>
        <w:t>项目实施流程：</w:t>
      </w:r>
      <w:r>
        <w:rPr>
          <w:rFonts w:hint="default" w:ascii="仿宋" w:hAnsi="仿宋" w:eastAsia="仿宋" w:cs="仿宋"/>
          <w:b w:val="0"/>
          <w:bCs w:val="0"/>
          <w:snapToGrid/>
          <w:color w:val="000000"/>
          <w:kern w:val="0"/>
          <w:sz w:val="32"/>
          <w:szCs w:val="32"/>
          <w:shd w:val="clear" w:fill="FFFFFF"/>
          <w:lang w:val="en-US" w:eastAsia="zh-CN" w:bidi="ar"/>
        </w:rPr>
        <w:t>申报、批复、招标采购、验收、报账。严格执行相关法律法规、项目管理制度等情况，如招投标、政府采购、项目公示制等相关规定。项目招投标阶段邀请各股室人员成立评审组，在利州区农业农村局机关纪检委员的监督下进行。</w:t>
      </w:r>
    </w:p>
    <w:p w14:paraId="1B8C834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3.项目实施</w:t>
      </w:r>
    </w:p>
    <w:p w14:paraId="0112DBC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项目资金：5.0万元；</w:t>
      </w:r>
      <w:r>
        <w:rPr>
          <w:rFonts w:hint="default" w:ascii="仿宋" w:hAnsi="仿宋" w:eastAsia="仿宋" w:cs="仿宋"/>
          <w:snapToGrid/>
          <w:color w:val="000000"/>
          <w:kern w:val="0"/>
          <w:sz w:val="32"/>
          <w:szCs w:val="32"/>
          <w:lang w:val="en-US" w:eastAsia="zh-CN" w:bidi="ar"/>
        </w:rPr>
        <w:t>项目使用方向：资金主要用于购置样品、实验耗材、检测仪器和设施修护保养、实验室购置氮气等费用。</w:t>
      </w:r>
      <w:r>
        <w:rPr>
          <w:rFonts w:hint="default" w:ascii="仿宋" w:hAnsi="仿宋" w:eastAsia="仿宋" w:cs="仿宋"/>
          <w:b w:val="0"/>
          <w:bCs w:val="0"/>
          <w:snapToGrid/>
          <w:color w:val="000000"/>
          <w:kern w:val="0"/>
          <w:sz w:val="32"/>
          <w:szCs w:val="32"/>
          <w:shd w:val="clear" w:fill="FFFFFF"/>
          <w:lang w:val="en-US" w:eastAsia="zh-CN" w:bidi="ar"/>
        </w:rPr>
        <w:t>资金拨付情况：气相色谱仪维护费，付给安捷伦科技有限公司2.98万元；实验室天平等仪器设备检定，支付深圳天溯计量检测股份有限公司0.272万元；实验室购买氮气、空气等，支付广元市康瑞气体有限责任公司0.928万元；实验室耗材采购，支付四川灏熹医疗科技有限公司0.82万元。</w:t>
      </w:r>
    </w:p>
    <w:p w14:paraId="46959C2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4.项目结果</w:t>
      </w:r>
    </w:p>
    <w:p w14:paraId="53A19D4F">
      <w:pPr>
        <w:pStyle w:val="24"/>
        <w:keepNext w:val="0"/>
        <w:keepLines w:val="0"/>
        <w:widowControl w:val="0"/>
        <w:suppressLineNumbers w:val="0"/>
        <w:kinsoku w:val="0"/>
        <w:autoSpaceDE w:val="0"/>
        <w:autoSpaceDN/>
        <w:adjustRightInd w:val="0"/>
        <w:snapToGrid w:val="0"/>
        <w:spacing w:before="0" w:beforeAutospacing="1" w:after="0" w:afterAutospacing="0" w:line="576" w:lineRule="exact"/>
        <w:ind w:left="0" w:leftChars="0" w:right="0" w:firstLine="640" w:firstLineChars="200"/>
        <w:jc w:val="both"/>
        <w:textAlignment w:val="baseline"/>
        <w:rPr>
          <w:rFonts w:hint="default" w:ascii="仿宋" w:hAnsi="仿宋" w:eastAsia="仿宋" w:cs="仿宋"/>
          <w:b w:val="0"/>
          <w:bCs w:val="0"/>
          <w:kern w:val="0"/>
          <w:sz w:val="32"/>
          <w:szCs w:val="32"/>
        </w:rPr>
      </w:pPr>
      <w:r>
        <w:rPr>
          <w:rFonts w:hint="default" w:ascii="仿宋" w:hAnsi="仿宋" w:eastAsia="仿宋" w:cs="仿宋"/>
          <w:b w:val="0"/>
          <w:bCs w:val="0"/>
          <w:snapToGrid/>
          <w:color w:val="000000"/>
          <w:kern w:val="0"/>
          <w:sz w:val="32"/>
          <w:szCs w:val="32"/>
          <w:shd w:val="clear" w:fill="FFFFFF"/>
          <w:lang w:val="en-US" w:eastAsia="zh-CN" w:bidi="ar"/>
        </w:rPr>
        <w:t>省农业农村厅下达给省级定量检测50个（其中开展农产品质量安全监督抽查、抽检5个），已经全部完工。</w:t>
      </w:r>
    </w:p>
    <w:p w14:paraId="6FF0621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（二）专用指标绩效分析</w:t>
      </w:r>
    </w:p>
    <w:p w14:paraId="7C513C9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snapToGrid/>
          <w:color w:val="000000"/>
          <w:spacing w:val="0"/>
          <w:kern w:val="0"/>
          <w:sz w:val="32"/>
          <w:szCs w:val="32"/>
          <w:lang w:val="en-US" w:eastAsia="zh-CN" w:bidi="ar"/>
        </w:rPr>
        <w:t>项目实施与区委区政府支持重点、优势产业支持政策符合，项目实施对有利于促进全区农产品质量安全检测机构和乡镇监测站提高定量和定性检测能力，同时督促全区</w:t>
      </w:r>
      <w:r>
        <w:rPr>
          <w:rFonts w:hint="default" w:ascii="仿宋" w:hAnsi="仿宋" w:eastAsia="仿宋" w:cs="仿宋"/>
          <w:b w:val="0"/>
          <w:bCs w:val="0"/>
          <w:snapToGrid/>
          <w:color w:val="000000"/>
          <w:kern w:val="0"/>
          <w:sz w:val="32"/>
          <w:szCs w:val="32"/>
          <w:shd w:val="clear" w:fill="FFFFFF"/>
          <w:lang w:val="en-US" w:eastAsia="zh-CN" w:bidi="ar"/>
        </w:rPr>
        <w:t>专合社、农业企业、家庭农场、散户等农产品生产主体严格按照《新修订农产品质量安全法》等相关法律法规开展农产品生产经营活动，合理用药。农产品生产经营主体通过自检或者委托检验等方式，上市销售的农产品开具承诺达标合格证，共同保障人民群众“舌尖上的安全”。项目的实施保障上市农产品质量安全，通过科学种养殖和合理用药，节约资源，控制成本，提高我区上市销售农产品品质和竞争力，拓宽市场，通过认证有机农产品等，创建农业品牌，利用微信公众号、抖音直播带货、外出参展等方式大力宣传利州造农产品，打响利州造农产品名气，实现利州造农产品销量翻翻，增加农产品生产经营主体收入。</w:t>
      </w:r>
    </w:p>
    <w:p w14:paraId="5DFC268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vertAlign w:val="baseline"/>
        </w:rPr>
      </w:pPr>
      <w:r>
        <w:rPr>
          <w:rFonts w:hint="default" w:ascii="楷体" w:hAnsi="楷体" w:eastAsia="楷体" w:cs="楷体"/>
          <w:b w:val="0"/>
          <w:bCs w:val="0"/>
          <w:snapToGrid/>
          <w:color w:val="000000"/>
          <w:kern w:val="0"/>
          <w:sz w:val="32"/>
          <w:szCs w:val="32"/>
          <w:vertAlign w:val="baseline"/>
          <w:lang w:val="en-US" w:eastAsia="zh-CN" w:bidi="ar"/>
        </w:rPr>
        <w:t>（三）个性指标绩效分析。</w:t>
      </w:r>
      <w:r>
        <w:rPr>
          <w:rFonts w:hint="default" w:ascii="仿宋" w:hAnsi="仿宋" w:eastAsia="仿宋" w:cs="仿宋"/>
          <w:snapToGrid/>
          <w:color w:val="000000"/>
          <w:spacing w:val="0"/>
          <w:kern w:val="0"/>
          <w:sz w:val="32"/>
          <w:szCs w:val="32"/>
          <w:vertAlign w:val="baseline"/>
          <w:lang w:val="en-US" w:eastAsia="zh-CN" w:bidi="ar"/>
        </w:rPr>
        <w:t>根据项目个性设定3个个性指标，依次为项目是否完成检测任务、项目农产品质量安全检测合格率是否达标、相关群体满意度调查情况。本项目完成省级监测任务数50个（含监督抽检数5个），并按要求录入全省统一数据平台。项目农产品质量安全检测合格率大于99%。相关群体满意度等于98%。</w:t>
      </w:r>
    </w:p>
    <w:p w14:paraId="752DD4B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四、评价结论</w:t>
      </w:r>
    </w:p>
    <w:p w14:paraId="07CBEED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本项目评价总分为100分。本项目共设置产出指标5个，效益指标8个，满意度指标2个，成本指标8个，绩效目标和绩效指标均量化可考核，相匹配，全面完整，契合政策和项目实质，与部门的长期规划目标、年度工作目标相一致，产出和效果相关联，设置了服务对象满意度指标。</w:t>
      </w:r>
    </w:p>
    <w:p w14:paraId="70741FB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重点指标设置情况：本项目产出指标中数量指标设置为完成省农业农村厅下达给省级定量检测50个（其中开展农产品质量安全监督抽查、抽检5个），已经全部完工。</w:t>
      </w:r>
    </w:p>
    <w:p w14:paraId="68BAEBC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五、存在的问题</w:t>
      </w:r>
    </w:p>
    <w:p w14:paraId="642D9F6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snapToGrid/>
          <w:color w:val="000000"/>
          <w:kern w:val="0"/>
          <w:sz w:val="32"/>
          <w:szCs w:val="32"/>
          <w:lang w:val="en-US" w:eastAsia="zh-CN" w:bidi="ar"/>
        </w:rPr>
        <w:t>项目资金主要用于购置样品、实验耗材、检测仪器和设施修护保养、抽样费用、培训差旅费等费用，实验室耗材中标公司需要在全年不同时段根据实验室需求进行供货或服务，完成供货后再进行项目验收及报账拨付，时间持续性较长，易造成第二年进行项目验收及报账拨付环节</w:t>
      </w:r>
      <w:r>
        <w:rPr>
          <w:rFonts w:hint="default" w:ascii="仿宋" w:hAnsi="仿宋" w:eastAsia="仿宋" w:cs="仿宋"/>
          <w:b w:val="0"/>
          <w:bCs w:val="0"/>
          <w:snapToGrid/>
          <w:color w:val="000000"/>
          <w:kern w:val="0"/>
          <w:sz w:val="32"/>
          <w:szCs w:val="32"/>
          <w:shd w:val="clear" w:fill="FFFFFF"/>
          <w:lang w:val="en-US" w:eastAsia="zh-CN" w:bidi="ar"/>
        </w:rPr>
        <w:t>。</w:t>
      </w:r>
    </w:p>
    <w:p w14:paraId="51E0FFE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六、改进建议</w:t>
      </w:r>
    </w:p>
    <w:p w14:paraId="3725595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改进本项目日常管理，加快推进项目实施，建立项目实施工期表，确保本年度内完成项目实施、验收和资金拨付等工作。</w:t>
      </w:r>
    </w:p>
    <w:p w14:paraId="34914CC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 xml:space="preserve"> </w:t>
      </w:r>
    </w:p>
    <w:p w14:paraId="2F82325A">
      <w:pPr>
        <w:keepNext w:val="0"/>
        <w:keepLines w:val="0"/>
        <w:widowControl w:val="0"/>
        <w:suppressLineNumbers w:val="0"/>
        <w:kinsoku w:val="0"/>
        <w:wordWrap w:val="0"/>
        <w:autoSpaceDE w:val="0"/>
        <w:autoSpaceDN/>
        <w:adjustRightInd w:val="0"/>
        <w:snapToGrid w:val="0"/>
        <w:spacing w:before="0" w:beforeAutospacing="0" w:after="0" w:afterAutospacing="0" w:line="576" w:lineRule="exact"/>
        <w:ind w:left="0" w:right="0" w:firstLine="640" w:firstLineChars="200"/>
        <w:jc w:val="right"/>
        <w:textAlignment w:val="baseline"/>
      </w:pPr>
      <w:r>
        <w:rPr>
          <w:rFonts w:hint="default" w:ascii="仿宋" w:hAnsi="仿宋" w:eastAsia="仿宋" w:cs="仿宋"/>
          <w:snapToGrid/>
          <w:color w:val="000000"/>
          <w:spacing w:val="0"/>
          <w:kern w:val="0"/>
          <w:sz w:val="32"/>
          <w:szCs w:val="32"/>
          <w:vertAlign w:val="baseline"/>
          <w:lang w:val="en-US" w:eastAsia="zh-CN" w:bidi="ar"/>
        </w:rPr>
        <w:t xml:space="preserve">   </w:t>
      </w:r>
    </w:p>
    <w:p w14:paraId="16BBC7A7">
      <w:pPr>
        <w:rPr>
          <w:rFonts w:hint="default" w:ascii="仿宋" w:hAnsi="仿宋" w:eastAsia="仿宋" w:cs="仿宋"/>
          <w:color w:val="000000"/>
          <w:spacing w:val="0"/>
          <w:kern w:val="0"/>
          <w:sz w:val="32"/>
          <w:szCs w:val="32"/>
        </w:rPr>
        <w:sectPr>
          <w:pgSz w:w="11907" w:h="16840"/>
          <w:pgMar w:top="2098" w:right="1474" w:bottom="1984" w:left="1587" w:header="1" w:footer="1406" w:gutter="0"/>
          <w:pgNumType w:fmt="numberInDash"/>
          <w:cols w:space="720" w:num="1"/>
          <w:rtlGutter w:val="1"/>
          <w:docGrid w:type="lines" w:linePitch="285" w:charSpace="0"/>
        </w:sectPr>
      </w:pPr>
    </w:p>
    <w:p w14:paraId="208A6597">
      <w:pPr>
        <w:keepNext w:val="0"/>
        <w:keepLines w:val="0"/>
        <w:widowControl w:val="0"/>
        <w:suppressLineNumbers w:val="0"/>
        <w:kinsoku w:val="0"/>
        <w:autoSpaceDE w:val="0"/>
        <w:autoSpaceDN/>
        <w:adjustRightInd w:val="0"/>
        <w:snapToGrid w:val="0"/>
        <w:spacing w:before="0" w:beforeAutospacing="0" w:after="0" w:afterAutospacing="0" w:line="578" w:lineRule="exact"/>
        <w:ind w:left="0" w:right="0"/>
        <w:contextualSpacing/>
        <w:jc w:val="left"/>
        <w:textAlignment w:val="baseline"/>
        <w:rPr>
          <w:rFonts w:hint="default" w:ascii="仿宋_GB2312" w:eastAsia="Arial" w:cs="仿宋_GB2312"/>
          <w:b w:val="0"/>
          <w:bCs w:val="0"/>
          <w:kern w:val="0"/>
          <w:sz w:val="32"/>
          <w:szCs w:val="32"/>
          <w:shd w:val="clear" w:fill="FFFFFF"/>
        </w:rPr>
      </w:pPr>
    </w:p>
    <w:p w14:paraId="3D7572DB">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jc w:val="center"/>
        <w:textAlignment w:val="baseline"/>
        <w:outlineLvl w:val="2"/>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snapToGrid/>
          <w:color w:val="000000"/>
          <w:kern w:val="0"/>
          <w:sz w:val="44"/>
          <w:szCs w:val="44"/>
          <w:lang w:val="en-US" w:eastAsia="zh-CN" w:bidi="ar"/>
        </w:rPr>
        <w:t>2024年高素质农民培育项目预算执行情况</w:t>
      </w:r>
    </w:p>
    <w:p w14:paraId="1A0D781F">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jc w:val="center"/>
        <w:textAlignment w:val="baseline"/>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snapToGrid/>
          <w:color w:val="000000"/>
          <w:kern w:val="0"/>
          <w:sz w:val="44"/>
          <w:szCs w:val="44"/>
          <w:lang w:val="en-US" w:eastAsia="zh-CN" w:bidi="ar"/>
        </w:rPr>
        <w:t>绩效自评报告</w:t>
      </w:r>
    </w:p>
    <w:p w14:paraId="341BD73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 </w:t>
      </w:r>
    </w:p>
    <w:p w14:paraId="3ABE5EF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一、项目概况</w:t>
      </w:r>
    </w:p>
    <w:p w14:paraId="466C734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（一）项目基本情况。</w:t>
      </w:r>
    </w:p>
    <w:p w14:paraId="5515B6E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kern w:val="0"/>
          <w:sz w:val="32"/>
          <w:szCs w:val="32"/>
        </w:rPr>
      </w:pPr>
      <w:r>
        <w:rPr>
          <w:rFonts w:hint="default" w:ascii="仿宋" w:hAnsi="仿宋" w:eastAsia="仿宋" w:cs="仿宋"/>
          <w:snapToGrid/>
          <w:color w:val="000000"/>
          <w:kern w:val="0"/>
          <w:sz w:val="32"/>
          <w:szCs w:val="32"/>
          <w:lang w:val="en-US" w:eastAsia="zh-CN" w:bidi="ar"/>
        </w:rPr>
        <w:t>1.广元市利州区农业农村局、区财政局切实加强对项目的组织领导和监督协调，认真研究，精心部署，确保本项目扎实有效推进。严格按照项目下达的建设内容和进度要求，切实做好资金管理专款专用，自觉接受上级检查和监督。严格执行相关财务制度和公示公开制度，按照项目建设方案、实施进度和预算合理使用资金。</w:t>
      </w:r>
    </w:p>
    <w:p w14:paraId="5FFC9B89">
      <w:pPr>
        <w:keepNext w:val="0"/>
        <w:keepLines w:val="0"/>
        <w:widowControl w:val="0"/>
        <w:suppressLineNumbers w:val="0"/>
        <w:kinsoku w:val="0"/>
        <w:wordWrap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2.</w:t>
      </w:r>
      <w:r>
        <w:rPr>
          <w:rFonts w:hint="default" w:ascii="仿宋" w:hAnsi="仿宋" w:eastAsia="仿宋" w:cs="仿宋"/>
          <w:b w:val="0"/>
          <w:bCs w:val="0"/>
          <w:snapToGrid/>
          <w:color w:val="000000"/>
          <w:kern w:val="0"/>
          <w:sz w:val="32"/>
          <w:szCs w:val="32"/>
          <w:lang w:val="en-US" w:eastAsia="zh-CN" w:bidi="ar"/>
        </w:rPr>
        <w:t>根据</w:t>
      </w:r>
      <w:r>
        <w:rPr>
          <w:rFonts w:hint="default" w:ascii="仿宋" w:hAnsi="仿宋" w:eastAsia="仿宋" w:cs="仿宋"/>
          <w:snapToGrid/>
          <w:color w:val="000000"/>
          <w:kern w:val="32"/>
          <w:sz w:val="32"/>
          <w:szCs w:val="32"/>
          <w:lang w:val="en-US" w:eastAsia="zh-CN" w:bidi="ar"/>
        </w:rPr>
        <w:t>四川</w:t>
      </w:r>
      <w:r>
        <w:rPr>
          <w:rFonts w:hint="default" w:ascii="仿宋" w:hAnsi="仿宋" w:eastAsia="仿宋" w:cs="仿宋"/>
          <w:snapToGrid/>
          <w:color w:val="000000"/>
          <w:kern w:val="0"/>
          <w:sz w:val="32"/>
          <w:szCs w:val="32"/>
          <w:lang w:val="en-US" w:eastAsia="zh-CN" w:bidi="ar"/>
        </w:rPr>
        <w:t>省农业农村厅《关于做好20</w:t>
      </w:r>
      <w:r>
        <w:rPr>
          <w:rFonts w:hint="default" w:ascii="仿宋" w:hAnsi="仿宋" w:eastAsia="仿宋" w:cs="仿宋"/>
          <w:snapToGrid/>
          <w:color w:val="000000"/>
          <w:kern w:val="32"/>
          <w:sz w:val="32"/>
          <w:szCs w:val="32"/>
          <w:lang w:val="en-US" w:eastAsia="zh-CN" w:bidi="ar"/>
        </w:rPr>
        <w:t>24年高素质农民培育</w:t>
      </w:r>
      <w:r>
        <w:rPr>
          <w:rFonts w:hint="default" w:ascii="仿宋" w:hAnsi="仿宋" w:eastAsia="仿宋" w:cs="仿宋"/>
          <w:snapToGrid/>
          <w:color w:val="000000"/>
          <w:kern w:val="0"/>
          <w:sz w:val="32"/>
          <w:szCs w:val="32"/>
          <w:lang w:val="en-US" w:eastAsia="zh-CN" w:bidi="ar"/>
        </w:rPr>
        <w:t>工作的通知》（川农函〔2024〕266号）</w:t>
      </w:r>
      <w:r>
        <w:rPr>
          <w:rFonts w:hint="default" w:ascii="仿宋" w:hAnsi="仿宋" w:eastAsia="仿宋" w:cs="仿宋"/>
          <w:b w:val="0"/>
          <w:bCs w:val="0"/>
          <w:snapToGrid/>
          <w:color w:val="000000"/>
          <w:kern w:val="0"/>
          <w:sz w:val="32"/>
          <w:szCs w:val="32"/>
          <w:lang w:val="en-US" w:eastAsia="zh-CN" w:bidi="ar"/>
        </w:rPr>
        <w:t>和《高素质农民培育规范》要求，结合</w:t>
      </w:r>
      <w:r>
        <w:rPr>
          <w:rFonts w:hint="default" w:ascii="仿宋" w:hAnsi="仿宋" w:eastAsia="仿宋" w:cs="仿宋"/>
          <w:snapToGrid/>
          <w:color w:val="000000"/>
          <w:kern w:val="32"/>
          <w:sz w:val="32"/>
          <w:szCs w:val="32"/>
          <w:lang w:val="en-US" w:eastAsia="zh-CN" w:bidi="ar"/>
        </w:rPr>
        <w:t>四川省财政厅、四川省农业农村厅《关于下达2024年中央财政粮油生产保障等六项农业转移支付资金的通知》（川财农〔2024〕48号）</w:t>
      </w:r>
      <w:r>
        <w:rPr>
          <w:rFonts w:hint="default" w:ascii="仿宋" w:hAnsi="仿宋" w:eastAsia="仿宋" w:cs="仿宋"/>
          <w:b w:val="0"/>
          <w:bCs w:val="0"/>
          <w:snapToGrid/>
          <w:color w:val="000000"/>
          <w:kern w:val="0"/>
          <w:sz w:val="32"/>
          <w:szCs w:val="32"/>
          <w:lang w:val="en-US" w:eastAsia="zh-CN" w:bidi="ar"/>
        </w:rPr>
        <w:t>资金安排与利州实际，</w:t>
      </w:r>
      <w:r>
        <w:rPr>
          <w:rFonts w:hint="default" w:ascii="仿宋" w:hAnsi="仿宋" w:eastAsia="仿宋" w:cs="仿宋"/>
          <w:snapToGrid/>
          <w:color w:val="000000"/>
          <w:kern w:val="0"/>
          <w:sz w:val="32"/>
          <w:szCs w:val="32"/>
          <w:lang w:val="en-US" w:eastAsia="zh-CN" w:bidi="ar"/>
        </w:rPr>
        <w:t>我局编制项目实施方案并组织实施本项目。</w:t>
      </w:r>
    </w:p>
    <w:p w14:paraId="39941723">
      <w:pPr>
        <w:keepNext w:val="0"/>
        <w:keepLines w:val="0"/>
        <w:widowControl w:val="0"/>
        <w:suppressLineNumbers w:val="0"/>
        <w:kinsoku w:val="0"/>
        <w:wordWrap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32"/>
          <w:sz w:val="32"/>
          <w:szCs w:val="32"/>
        </w:rPr>
      </w:pPr>
      <w:r>
        <w:rPr>
          <w:rFonts w:hint="default" w:ascii="仿宋" w:hAnsi="仿宋" w:eastAsia="仿宋" w:cs="仿宋"/>
          <w:b w:val="0"/>
          <w:bCs w:val="0"/>
          <w:snapToGrid/>
          <w:color w:val="000000"/>
          <w:kern w:val="32"/>
          <w:sz w:val="32"/>
          <w:szCs w:val="32"/>
          <w:lang w:val="en-US" w:eastAsia="zh-CN" w:bidi="ar"/>
        </w:rPr>
        <w:t>3.资金用途：培训补助资金</w:t>
      </w:r>
      <w:r>
        <w:rPr>
          <w:rFonts w:hint="default" w:ascii="仿宋" w:hAnsi="仿宋" w:eastAsia="仿宋" w:cs="仿宋"/>
          <w:b w:val="0"/>
          <w:bCs w:val="0"/>
          <w:snapToGrid/>
          <w:color w:val="000000"/>
          <w:kern w:val="0"/>
          <w:sz w:val="32"/>
          <w:szCs w:val="32"/>
          <w:lang w:val="en-US" w:eastAsia="zh-CN" w:bidi="ar"/>
        </w:rPr>
        <w:t>主要用于需求调查、课堂教学、实习实训、线上学习、</w:t>
      </w:r>
      <w:r>
        <w:rPr>
          <w:rFonts w:hint="default" w:ascii="仿宋" w:hAnsi="仿宋" w:eastAsia="仿宋" w:cs="仿宋"/>
          <w:b w:val="0"/>
          <w:bCs w:val="0"/>
          <w:snapToGrid/>
          <w:color w:val="000000"/>
          <w:kern w:val="32"/>
          <w:sz w:val="32"/>
          <w:szCs w:val="32"/>
          <w:lang w:val="en-US" w:eastAsia="zh-CN" w:bidi="ar"/>
        </w:rPr>
        <w:t>现场观摩、交流实践、</w:t>
      </w:r>
      <w:r>
        <w:rPr>
          <w:rFonts w:hint="default" w:ascii="仿宋" w:hAnsi="仿宋" w:eastAsia="仿宋" w:cs="仿宋"/>
          <w:b w:val="0"/>
          <w:bCs w:val="0"/>
          <w:snapToGrid/>
          <w:color w:val="000000"/>
          <w:kern w:val="0"/>
          <w:sz w:val="32"/>
          <w:szCs w:val="32"/>
          <w:lang w:val="en-US" w:eastAsia="zh-CN" w:bidi="ar"/>
        </w:rPr>
        <w:t>跟踪服务、</w:t>
      </w:r>
      <w:r>
        <w:rPr>
          <w:rFonts w:hint="default" w:ascii="仿宋" w:hAnsi="仿宋" w:eastAsia="仿宋" w:cs="仿宋"/>
          <w:b w:val="0"/>
          <w:bCs w:val="0"/>
          <w:snapToGrid/>
          <w:color w:val="000000"/>
          <w:kern w:val="32"/>
          <w:sz w:val="32"/>
          <w:szCs w:val="32"/>
          <w:lang w:val="en-US" w:eastAsia="zh-CN" w:bidi="ar"/>
        </w:rPr>
        <w:t>绩效评价、信息宣传、统计监测</w:t>
      </w:r>
      <w:r>
        <w:rPr>
          <w:rFonts w:hint="default" w:ascii="仿宋" w:hAnsi="仿宋" w:eastAsia="仿宋" w:cs="仿宋"/>
          <w:b w:val="0"/>
          <w:bCs w:val="0"/>
          <w:snapToGrid/>
          <w:color w:val="000000"/>
          <w:kern w:val="0"/>
          <w:sz w:val="32"/>
          <w:szCs w:val="32"/>
          <w:lang w:val="en-US" w:eastAsia="zh-CN" w:bidi="ar"/>
        </w:rPr>
        <w:t>等培育各环节</w:t>
      </w:r>
      <w:r>
        <w:rPr>
          <w:rFonts w:hint="default" w:ascii="仿宋" w:hAnsi="仿宋" w:eastAsia="仿宋" w:cs="仿宋"/>
          <w:b w:val="0"/>
          <w:bCs w:val="0"/>
          <w:snapToGrid/>
          <w:color w:val="000000"/>
          <w:kern w:val="32"/>
          <w:sz w:val="32"/>
          <w:szCs w:val="32"/>
          <w:lang w:val="en-US" w:eastAsia="zh-CN" w:bidi="ar"/>
        </w:rPr>
        <w:t>相关合理支出，不得列支招投标费用。线上学习费用不得超过培训补助标准的10%（总额不超过300元），由培训机构支付给服务提供方。省、市两级调训经费由区农业农村局直接拨付培训机构。</w:t>
      </w:r>
    </w:p>
    <w:p w14:paraId="639A9A62">
      <w:pPr>
        <w:keepNext w:val="0"/>
        <w:keepLines w:val="0"/>
        <w:widowControl w:val="0"/>
        <w:suppressLineNumbers w:val="0"/>
        <w:kinsoku w:val="0"/>
        <w:wordWrap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32"/>
          <w:sz w:val="32"/>
          <w:szCs w:val="32"/>
        </w:rPr>
      </w:pPr>
      <w:r>
        <w:rPr>
          <w:rFonts w:hint="default" w:ascii="仿宋" w:hAnsi="仿宋" w:eastAsia="仿宋" w:cs="仿宋"/>
          <w:b w:val="0"/>
          <w:bCs w:val="0"/>
          <w:snapToGrid/>
          <w:color w:val="000000"/>
          <w:kern w:val="32"/>
          <w:sz w:val="32"/>
          <w:szCs w:val="32"/>
          <w:lang w:val="en-US" w:eastAsia="zh-CN" w:bidi="ar"/>
        </w:rPr>
        <w:t>补助标准：依据川农函〔2021〕386号精神，结合利州实际，我区2024年的指导性补助标准为：农业产业领军人才10000元/人，农业经理人8000元/人、新型农业经营服务主体经营者及返乡入乡创新创业者3700元/人，产业扶贫带头人、专业生产型、技能服务型农民培训1600元/人。各类培训累计培训学时按《高素质农民培训规范（试行）》要求执行。</w:t>
      </w:r>
    </w:p>
    <w:p w14:paraId="0194B1B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4.</w:t>
      </w:r>
      <w:r>
        <w:rPr>
          <w:rFonts w:hint="default" w:ascii="仿宋" w:hAnsi="仿宋" w:eastAsia="仿宋" w:cs="仿宋"/>
          <w:snapToGrid/>
          <w:color w:val="000000"/>
          <w:kern w:val="32"/>
          <w:sz w:val="32"/>
          <w:szCs w:val="32"/>
          <w:lang w:val="en-US" w:eastAsia="zh-CN" w:bidi="ar"/>
        </w:rPr>
        <w:t>根据四川省财政厅、四川省农业农村厅《关于下达2024年中央财政粮油生产保障等五项农业转移支付资金的通知》（川财农〔2024〕58号）文件精神，2024年中央财政下达我区高素质农民培育资金75万元。</w:t>
      </w:r>
    </w:p>
    <w:p w14:paraId="68ABF5B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（二）项目绩效目标。</w:t>
      </w:r>
    </w:p>
    <w:p w14:paraId="54FD764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b w:val="0"/>
          <w:bCs w:val="0"/>
          <w:snapToGrid/>
          <w:color w:val="000000"/>
          <w:kern w:val="0"/>
          <w:sz w:val="32"/>
          <w:szCs w:val="32"/>
          <w:lang w:val="en-US" w:eastAsia="zh-CN" w:bidi="ar"/>
        </w:rPr>
        <w:t>1.项目主要内容。2024年，紧密围绕全面支撑粮食和重要农产品稳定安全供给，紧密衔接生产技术技能要求，实施分品种组班、分技术授课、分阶段培训高素质农民，围绕粮油稳产保供任务开设的班次和培育人数不低于80%。按照省厅下达我区绩效目标“培训高素质农民182人（含省、市级调训任务）”，结合我区实际，2024年，我区将完成高素质农民培育培训242人，其中，区级培训经营管理型107人、技能服务型114人；省、市级调训21人（省级调训农业产业领军人才2人、农业经理人8人，市级调训农业经理人11人）。</w:t>
      </w:r>
    </w:p>
    <w:p w14:paraId="7783438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b w:val="0"/>
          <w:bCs w:val="0"/>
          <w:snapToGrid/>
          <w:color w:val="000000"/>
          <w:kern w:val="0"/>
          <w:sz w:val="32"/>
          <w:szCs w:val="32"/>
          <w:lang w:val="en-US" w:eastAsia="zh-CN" w:bidi="ar"/>
        </w:rPr>
        <w:t>2.绩效目标：培训高素质农民242人（含省、市级调训任务），高素质农民培育满意度≥85%。</w:t>
      </w:r>
    </w:p>
    <w:p w14:paraId="70749B9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3.</w:t>
      </w:r>
      <w:r>
        <w:rPr>
          <w:rFonts w:hint="default" w:ascii="仿宋" w:hAnsi="仿宋" w:eastAsia="仿宋" w:cs="仿宋"/>
          <w:b w:val="0"/>
          <w:bCs w:val="0"/>
          <w:snapToGrid/>
          <w:color w:val="000000"/>
          <w:kern w:val="0"/>
          <w:sz w:val="32"/>
          <w:szCs w:val="32"/>
          <w:lang w:val="en-US" w:eastAsia="zh-CN" w:bidi="ar"/>
        </w:rPr>
        <w:t>申报内容与实际相符，申报目标合理可行。</w:t>
      </w:r>
    </w:p>
    <w:p w14:paraId="39C0782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（三）项目自评步骤及方法</w:t>
      </w:r>
    </w:p>
    <w:p w14:paraId="200E56BC">
      <w:pPr>
        <w:keepNext w:val="0"/>
        <w:keepLines w:val="0"/>
        <w:widowControl w:val="0"/>
        <w:suppressLineNumbers w:val="0"/>
        <w:kinsoku w:val="0"/>
        <w:wordWrap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32"/>
          <w:sz w:val="32"/>
          <w:szCs w:val="32"/>
        </w:rPr>
      </w:pPr>
      <w:r>
        <w:rPr>
          <w:rFonts w:hint="default" w:ascii="仿宋" w:hAnsi="仿宋" w:eastAsia="仿宋" w:cs="仿宋"/>
          <w:snapToGrid/>
          <w:color w:val="000000"/>
          <w:kern w:val="32"/>
          <w:sz w:val="32"/>
          <w:szCs w:val="32"/>
          <w:lang w:val="en-US" w:eastAsia="zh-CN" w:bidi="ar"/>
        </w:rPr>
        <w:t>按照相关规定，根据项目实际设置绩效指标，包括产出指标、效益指标、满意度指标三类一级指标，每一类一级指标细分为若干二级指标、三级指标，分别设定具体的指标值，根据预期指标值来指导实际完成指标和开展项目绩效评价。</w:t>
      </w:r>
    </w:p>
    <w:p w14:paraId="020A986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二、项目资金申报及使用情况</w:t>
      </w:r>
    </w:p>
    <w:p w14:paraId="760F0D2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（一）项目资金申报及批复情况</w:t>
      </w:r>
    </w:p>
    <w:p w14:paraId="08EE01A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省财政厅、省农业农村厅《</w:t>
      </w:r>
      <w:r>
        <w:rPr>
          <w:rFonts w:hint="default" w:ascii="仿宋" w:hAnsi="仿宋" w:eastAsia="仿宋" w:cs="仿宋"/>
          <w:snapToGrid/>
          <w:color w:val="000000"/>
          <w:kern w:val="32"/>
          <w:sz w:val="32"/>
          <w:szCs w:val="32"/>
          <w:lang w:val="en-US" w:eastAsia="zh-CN" w:bidi="ar"/>
        </w:rPr>
        <w:t>关于下达2024年中央财政粮油生产保障等五项农业转移支付资金的通知》（川财农〔2024〕58号）文件精神，2024年中央财政下达我区高素质农民培育资金75万元。</w:t>
      </w:r>
    </w:p>
    <w:p w14:paraId="1D4D594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（二）资金计划、到位及使用情况</w:t>
      </w:r>
    </w:p>
    <w:p w14:paraId="045FB2A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1.资金计划。省财政厅、省农业农村厅</w:t>
      </w:r>
      <w:r>
        <w:rPr>
          <w:rFonts w:hint="default" w:ascii="仿宋" w:hAnsi="仿宋" w:eastAsia="仿宋" w:cs="仿宋"/>
          <w:snapToGrid/>
          <w:color w:val="000000"/>
          <w:kern w:val="32"/>
          <w:sz w:val="32"/>
          <w:szCs w:val="32"/>
          <w:lang w:val="en-US" w:eastAsia="zh-CN" w:bidi="ar"/>
        </w:rPr>
        <w:t>关于下达2024年中央财政粮油生产保障等五项农业转移支付资金的通知》（川财农〔2024〕58号）下达我区高素质农民培育资金75万元，</w:t>
      </w:r>
      <w:r>
        <w:rPr>
          <w:rFonts w:hint="default" w:ascii="仿宋" w:hAnsi="仿宋" w:eastAsia="仿宋" w:cs="仿宋"/>
          <w:b w:val="0"/>
          <w:bCs w:val="0"/>
          <w:snapToGrid/>
          <w:color w:val="000000"/>
          <w:kern w:val="0"/>
          <w:sz w:val="32"/>
          <w:szCs w:val="32"/>
          <w:lang w:val="en-US" w:eastAsia="zh-CN" w:bidi="ar"/>
        </w:rPr>
        <w:t>无其他资金。</w:t>
      </w:r>
    </w:p>
    <w:p w14:paraId="648C234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2.资金到位。本项目实际到位中央财政资金75万元，资金到位率100%。</w:t>
      </w:r>
    </w:p>
    <w:p w14:paraId="1E1186A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3.资金使用。截至目前，实际支出74.528万元，剩余0.472万元。在资金使用上，严格按照市财政局、市农业农村局《关于转发&lt;四川省农民培训补助资金管理办法&gt;的通知》(广财农〔2015〕116号)精神，专款专用，主要用于需求调查、课堂教学、实习实训、线上学习、现场观摩、交流实践、跟踪服务、绩效评价、信息宣传、统计监测等培育各环节相关合理支出，不得列支招投标费用。线上学习费用不得超过培训补助标准的10%（总额不得超过300元），由培训机构支付给服务提供方。资金安排与下达任务相匹配，资金拨付及时到位，资金使用管理符合国家有关规定和实施方案，财务资料完整，会计核算规范。经检查,未发现违规使用补贴资金情况，符合高素质农民培育项目培训补贴资金使用范围及要求。</w:t>
      </w:r>
    </w:p>
    <w:p w14:paraId="62BD7D9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（三）项目财务管理情况</w:t>
      </w:r>
    </w:p>
    <w:p w14:paraId="3C58E83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292929"/>
          <w:kern w:val="0"/>
          <w:sz w:val="32"/>
          <w:szCs w:val="32"/>
        </w:rPr>
      </w:pPr>
      <w:r>
        <w:rPr>
          <w:rFonts w:hint="default" w:ascii="仿宋" w:hAnsi="仿宋" w:eastAsia="仿宋" w:cs="仿宋"/>
          <w:b w:val="0"/>
          <w:bCs w:val="0"/>
          <w:snapToGrid/>
          <w:color w:val="292929"/>
          <w:kern w:val="0"/>
          <w:sz w:val="32"/>
          <w:szCs w:val="32"/>
          <w:lang w:val="en-US" w:eastAsia="zh-CN" w:bidi="ar"/>
        </w:rPr>
        <w:t>广元市利州区农业农村局财务管理制度健全，严格执行财务管理制度，账务处理及时，会计核算规范。</w:t>
      </w:r>
    </w:p>
    <w:p w14:paraId="5C58EEB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三、项目实施及管理情况</w:t>
      </w:r>
    </w:p>
    <w:p w14:paraId="7E45DF8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（一）项目组织架构及实施流程。</w:t>
      </w:r>
      <w:r>
        <w:rPr>
          <w:rFonts w:hint="default" w:ascii="仿宋" w:hAnsi="仿宋" w:eastAsia="仿宋" w:cs="仿宋"/>
          <w:snapToGrid/>
          <w:color w:val="000000"/>
          <w:kern w:val="0"/>
          <w:sz w:val="32"/>
          <w:szCs w:val="32"/>
          <w:lang w:val="en-US" w:eastAsia="zh-CN" w:bidi="ar"/>
        </w:rPr>
        <w:t>区农业农村局、区财政局切实加强对项目的组织领导和监督协调，认真研究，精心部署，明确职责分工，保障资金投入，完善工作机制，加强组织管理，任务落实到人，确保本项目扎实有效推进。培训机构负责制定培训计划，具体实施项目。</w:t>
      </w:r>
    </w:p>
    <w:p w14:paraId="6C2A9C8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FF0000"/>
          <w:kern w:val="0"/>
          <w:sz w:val="32"/>
          <w:szCs w:val="32"/>
          <w:shd w:val="clear" w:fill="FFFFFF"/>
        </w:rPr>
      </w:pPr>
      <w:r>
        <w:rPr>
          <w:rFonts w:hint="default" w:ascii="楷体" w:hAnsi="楷体" w:eastAsia="楷体" w:cs="楷体"/>
          <w:b w:val="0"/>
          <w:bCs w:val="0"/>
          <w:snapToGrid/>
          <w:color w:val="000000"/>
          <w:kern w:val="0"/>
          <w:sz w:val="32"/>
          <w:szCs w:val="32"/>
          <w:lang w:val="en-US" w:eastAsia="zh-CN" w:bidi="ar"/>
        </w:rPr>
        <w:t>（二）项目管理情况。</w:t>
      </w:r>
      <w:r>
        <w:rPr>
          <w:rFonts w:hint="default" w:ascii="仿宋" w:hAnsi="仿宋" w:eastAsia="仿宋" w:cs="仿宋"/>
          <w:snapToGrid/>
          <w:color w:val="000000"/>
          <w:kern w:val="0"/>
          <w:sz w:val="32"/>
          <w:szCs w:val="32"/>
          <w:lang w:val="en-US" w:eastAsia="zh-CN" w:bidi="ar"/>
        </w:rPr>
        <w:t>本项目实施方案经党组会讨论通过并和财政局联合发文，按照实施方案内容和相关项目管理办法组织实施。组织机构健全职责分工明确，实施方案具体，任务和资金使用安排明确。具有明确的工作程序，资金能足额保证。具有相应的质量检查、验收等必要的控制措施，有针对突发事件或未知风险的应急措施。</w:t>
      </w:r>
    </w:p>
    <w:p w14:paraId="19B0A51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楷体" w:hAnsi="楷体" w:eastAsia="楷体" w:cs="楷体"/>
          <w:b w:val="0"/>
          <w:bCs w:val="0"/>
          <w:snapToGrid/>
          <w:color w:val="000000"/>
          <w:kern w:val="0"/>
          <w:sz w:val="32"/>
          <w:szCs w:val="32"/>
          <w:lang w:val="en-US" w:eastAsia="zh-CN" w:bidi="ar"/>
        </w:rPr>
        <w:t>（三）项目监管情况。</w:t>
      </w:r>
      <w:r>
        <w:rPr>
          <w:rFonts w:hint="default" w:ascii="仿宋" w:hAnsi="仿宋" w:eastAsia="仿宋" w:cs="仿宋"/>
          <w:snapToGrid/>
          <w:color w:val="000000"/>
          <w:kern w:val="0"/>
          <w:sz w:val="32"/>
          <w:szCs w:val="32"/>
          <w:lang w:val="en-US" w:eastAsia="zh-CN" w:bidi="ar"/>
        </w:rPr>
        <w:t>农业农村部门对该项目实施全程监管。一是审核开班计划和培训对象。培训机构在开班前及时报送开班计划，农业农村主管部门对开班申请和教学计划进行审核。二是督导培训进度。为加强对高素质农民培训工作的监管，采取不定期方式对培训机构教学管理和培训质量采取随机抽查的方式进行监督检查。三是严格验收项目，组织专家小组对培训机构进行验收，做到了规范验收，严格管理。</w:t>
      </w:r>
    </w:p>
    <w:p w14:paraId="139F071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四、项目绩效情况</w:t>
      </w:r>
      <w:r>
        <w:rPr>
          <w:rFonts w:hint="default" w:ascii="黑体" w:hAnsi="宋体" w:eastAsia="黑体" w:cs="黑体"/>
          <w:b w:val="0"/>
          <w:bCs w:val="0"/>
          <w:snapToGrid/>
          <w:color w:val="000000"/>
          <w:kern w:val="0"/>
          <w:sz w:val="32"/>
          <w:szCs w:val="32"/>
          <w:lang w:val="en-US" w:eastAsia="zh-CN" w:bidi="ar"/>
        </w:rPr>
        <w:tab/>
      </w:r>
    </w:p>
    <w:p w14:paraId="174F24D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（一）项目完成情况。</w:t>
      </w:r>
    </w:p>
    <w:p w14:paraId="3055CD5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32"/>
          <w:sz w:val="32"/>
          <w:szCs w:val="32"/>
        </w:rPr>
      </w:pPr>
      <w:r>
        <w:rPr>
          <w:rFonts w:hint="default" w:ascii="仿宋" w:hAnsi="仿宋" w:eastAsia="仿宋" w:cs="仿宋"/>
          <w:snapToGrid/>
          <w:color w:val="000000"/>
          <w:kern w:val="0"/>
          <w:sz w:val="32"/>
          <w:szCs w:val="32"/>
          <w:shd w:val="clear" w:fill="FFFFFF"/>
          <w:lang w:val="en-US" w:eastAsia="zh-CN" w:bidi="ar"/>
        </w:rPr>
        <w:t>2024年共培育高素质农民248人，完成培育任务的136.2%。其中省市调训21人；通过政府采购程序确定大凉山乡村振兴培训学校承担2024年区级培训任务，举办了2024年优质粮油培训班及粮油产业带头人培训班，培训了188人，</w:t>
      </w:r>
      <w:r>
        <w:rPr>
          <w:rFonts w:hint="default" w:ascii="仿宋" w:hAnsi="仿宋" w:eastAsia="仿宋" w:cs="仿宋"/>
          <w:b w:val="0"/>
          <w:bCs w:val="0"/>
          <w:snapToGrid/>
          <w:color w:val="000000"/>
          <w:kern w:val="32"/>
          <w:sz w:val="32"/>
          <w:szCs w:val="32"/>
          <w:lang w:val="en-US" w:eastAsia="zh-CN" w:bidi="ar"/>
        </w:rPr>
        <w:t>围绕粮油稳产保供任务开设的班次和培育人数达到了100%。</w:t>
      </w:r>
    </w:p>
    <w:p w14:paraId="20655B3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（二）项目效益情况。</w:t>
      </w:r>
    </w:p>
    <w:p w14:paraId="02B70F9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项目实施内容符合当地需求和全区总体发展规划，具有可观的经济效益、社会效益和生态效益。经济效益：通过项目实施，能够提升我区高素质农民专业技能水平及经营管理能力，使农户增收明显。社会效益：通过实施该项目，高素质农民队伍规模持续扩大，产业发展水平不断提升，示范带动作用持续增强，为全面推进乡村振兴提供了有力支撑。</w:t>
      </w:r>
      <w:bookmarkStart w:id="38" w:name="_Toc86092506"/>
      <w:r>
        <w:rPr>
          <w:rFonts w:hint="default" w:ascii="仿宋" w:hAnsi="仿宋" w:eastAsia="仿宋" w:cs="仿宋"/>
          <w:snapToGrid/>
          <w:color w:val="000000"/>
          <w:kern w:val="0"/>
          <w:sz w:val="32"/>
          <w:szCs w:val="32"/>
          <w:lang w:val="en-US" w:eastAsia="zh-CN" w:bidi="ar"/>
        </w:rPr>
        <w:t>生态效益</w:t>
      </w:r>
      <w:bookmarkEnd w:id="38"/>
      <w:r>
        <w:rPr>
          <w:rFonts w:hint="default" w:ascii="仿宋" w:hAnsi="仿宋" w:eastAsia="仿宋" w:cs="仿宋"/>
          <w:snapToGrid/>
          <w:color w:val="000000"/>
          <w:kern w:val="0"/>
          <w:sz w:val="32"/>
          <w:szCs w:val="32"/>
          <w:lang w:val="en-US" w:eastAsia="zh-CN" w:bidi="ar"/>
        </w:rPr>
        <w:t>：通过培训大力推广节本高效绿色的农业技术模式，大量减少了化肥和农药的使用量，实现了化肥农药使用量零增长，有效的提高了生态效益。</w:t>
      </w:r>
    </w:p>
    <w:p w14:paraId="54558DC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五、评价结论及建议</w:t>
      </w:r>
    </w:p>
    <w:p w14:paraId="7124CBB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（一）评价结论。</w:t>
      </w:r>
    </w:p>
    <w:p w14:paraId="59BC971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根据项目支出绩效自评表，本着实事求是的原则开展自评，得分97分，在培训效果项有扣分，因有些培训学员年龄较大，对新知识的掌握速度较慢，未达到满意效果。本项目符合我区农业产业发展要求和群众切实利益需求。通过该项目的实施，能够有效提高农民科技文化素质，培养一支高素质农民队伍，促进乡村人才振兴和农业农村现代化。</w:t>
      </w:r>
    </w:p>
    <w:p w14:paraId="4EB1BF8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（二）存在的问题。</w:t>
      </w:r>
    </w:p>
    <w:p w14:paraId="3DDCFA5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2024年的高素质农民培育项目资金和任务下达晚，为按期完成任务，存在学员组织困难的问题。</w:t>
      </w:r>
    </w:p>
    <w:p w14:paraId="5D33919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（三）相关建议。</w:t>
      </w:r>
    </w:p>
    <w:p w14:paraId="2EEC6E9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1.建议加大相关部门的统筹协调力度，提高高素质农民的含金量，体现农业农村优先发展的国策落地落实。</w:t>
      </w:r>
    </w:p>
    <w:p w14:paraId="7B91397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snapToGrid/>
          <w:color w:val="000000"/>
          <w:kern w:val="0"/>
          <w:sz w:val="32"/>
          <w:szCs w:val="32"/>
          <w:lang w:val="en-US" w:eastAsia="zh-CN" w:bidi="ar"/>
        </w:rPr>
        <w:t>2.建议全国尽快出台完善的高素质农民奖励、扶持办法。对已有的惠农政策在执行过程中，高素质农民优先享受。特别是给予高素质农民培育对象在养老保险、学历教育、医疗保险、土地流转、农业补贴政策、金融信贷、农业保险、农业基础设施、税收减免等各方面的扶持政策。</w:t>
      </w:r>
    </w:p>
    <w:p w14:paraId="659A360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 xml:space="preserve"> </w:t>
      </w:r>
    </w:p>
    <w:p w14:paraId="202C6389">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方正小标宋简体" w:hAnsi="方正小标宋简体" w:eastAsia="方正小标宋简体" w:cs="方正小标宋简体"/>
          <w:color w:val="000000"/>
          <w:kern w:val="2"/>
          <w:sz w:val="44"/>
          <w:szCs w:val="44"/>
        </w:rPr>
      </w:pPr>
      <w:r>
        <w:rPr>
          <w:rFonts w:hint="eastAsia" w:ascii="方正小标宋简体" w:hAnsi="方正小标宋简体" w:eastAsia="方正小标宋简体" w:cs="方正小标宋简体"/>
          <w:snapToGrid/>
          <w:color w:val="000000"/>
          <w:kern w:val="2"/>
          <w:sz w:val="44"/>
          <w:szCs w:val="44"/>
          <w:lang w:val="en-US" w:eastAsia="zh-CN" w:bidi="ar"/>
        </w:rPr>
        <w:br w:type="page"/>
      </w:r>
    </w:p>
    <w:p w14:paraId="413DD88F">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outlineLvl w:val="2"/>
        <w:rPr>
          <w:rFonts w:hint="eastAsia" w:ascii="方正小标宋简体" w:hAnsi="Arial" w:eastAsia="方正小标宋简体" w:cs="Arial"/>
          <w:color w:val="000000"/>
          <w:kern w:val="0"/>
          <w:sz w:val="44"/>
          <w:szCs w:val="44"/>
        </w:rPr>
      </w:pPr>
      <w:r>
        <w:rPr>
          <w:rFonts w:hint="eastAsia" w:ascii="方正小标宋简体" w:hAnsi="方正小标宋简体" w:eastAsia="方正小标宋简体" w:cs="方正小标宋简体"/>
          <w:snapToGrid/>
          <w:color w:val="000000"/>
          <w:kern w:val="0"/>
          <w:sz w:val="44"/>
          <w:szCs w:val="44"/>
          <w:lang w:val="en-US" w:eastAsia="zh-CN" w:bidi="ar"/>
        </w:rPr>
        <w:t>2024年基层农技推广体系改革与建设补助</w:t>
      </w:r>
    </w:p>
    <w:p w14:paraId="6B55F432">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snapToGrid/>
          <w:color w:val="000000"/>
          <w:kern w:val="0"/>
          <w:sz w:val="44"/>
          <w:szCs w:val="44"/>
          <w:lang w:val="en-US" w:eastAsia="zh-CN" w:bidi="ar"/>
        </w:rPr>
        <w:t>项目预算执行情况绩效自评报告</w:t>
      </w:r>
    </w:p>
    <w:p w14:paraId="2BF07DB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 xml:space="preserve"> </w:t>
      </w:r>
    </w:p>
    <w:p w14:paraId="34C8985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一、项目概况</w:t>
      </w:r>
    </w:p>
    <w:p w14:paraId="59AFE52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（一）项目基本情况</w:t>
      </w:r>
    </w:p>
    <w:p w14:paraId="5CCB16E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kern w:val="0"/>
          <w:sz w:val="32"/>
          <w:szCs w:val="32"/>
        </w:rPr>
      </w:pPr>
      <w:r>
        <w:rPr>
          <w:rFonts w:hint="default" w:ascii="仿宋" w:hAnsi="仿宋" w:eastAsia="仿宋" w:cs="仿宋"/>
          <w:snapToGrid/>
          <w:color w:val="000000"/>
          <w:kern w:val="0"/>
          <w:sz w:val="32"/>
          <w:szCs w:val="32"/>
          <w:lang w:val="en-US" w:eastAsia="zh-CN" w:bidi="ar"/>
        </w:rPr>
        <w:t>1.广元市利州区农业农村局、区财政局切实加强对项目的组织领导和监督协调，认真研究，精心部署，确保本项目扎实有效推进。严格按照项目下达的建设内容和进度要求，切实做好资金管理专款专用，自觉接受上级检查和监督。严格执行相关财务制度和公示公开制度，按照项目建设方案、实施进度和预算合理使用资金。</w:t>
      </w:r>
    </w:p>
    <w:p w14:paraId="064A605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2.按照四川省财政厅、四川省农业农村厅</w:t>
      </w:r>
      <w:r>
        <w:rPr>
          <w:rFonts w:hint="default" w:ascii="仿宋" w:hAnsi="仿宋" w:eastAsia="仿宋" w:cs="仿宋"/>
          <w:snapToGrid/>
          <w:color w:val="000000"/>
          <w:kern w:val="32"/>
          <w:sz w:val="32"/>
          <w:szCs w:val="32"/>
          <w:lang w:val="en-US" w:eastAsia="zh-CN" w:bidi="ar"/>
        </w:rPr>
        <w:t>关于下达《2024年中央财政粮油生产保障等六项农业转移支付资金的通知》（川财农〔2024〕48号）</w:t>
      </w:r>
      <w:r>
        <w:rPr>
          <w:rFonts w:hint="default" w:ascii="仿宋" w:hAnsi="仿宋" w:eastAsia="仿宋" w:cs="仿宋"/>
          <w:snapToGrid/>
          <w:color w:val="000000"/>
          <w:kern w:val="0"/>
          <w:sz w:val="32"/>
          <w:szCs w:val="32"/>
          <w:lang w:val="en-US" w:eastAsia="zh-CN" w:bidi="ar"/>
        </w:rPr>
        <w:t>、四川省农业农村厅《关于印发&lt;四川省2024年基层农技推广体系改革与建设任务实施方案&gt;的通知》（川农函〔2024〕305号）、广元市农业农村局《关于印发&lt;广元市2024年基层农技推广体系改革与建设任务实施方案&gt;的通知》（广农函〔2024〕156号）文件要求，结合我区实际，编制了《广元市利州区2024年基层农技推广体系改革与建设任务实施方案》。</w:t>
      </w:r>
    </w:p>
    <w:p w14:paraId="2628F3B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3.资金使用范围。2024年基层农技推广体系改革与建设补助项目资金主要用于三个方面：农业技术推广服务补助、农业科技示范补助和农技推广机构能力建设补助。</w:t>
      </w:r>
    </w:p>
    <w:p w14:paraId="0FE842A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snapToGrid/>
          <w:color w:val="000000"/>
          <w:kern w:val="0"/>
          <w:sz w:val="32"/>
          <w:szCs w:val="32"/>
          <w:lang w:val="en-US" w:eastAsia="zh-CN" w:bidi="ar"/>
        </w:rPr>
        <w:t>4.根据四川省财政厅、四川省农业农村厅</w:t>
      </w:r>
      <w:r>
        <w:rPr>
          <w:rFonts w:hint="default" w:ascii="仿宋" w:hAnsi="仿宋" w:eastAsia="仿宋" w:cs="仿宋"/>
          <w:snapToGrid/>
          <w:color w:val="000000"/>
          <w:kern w:val="32"/>
          <w:sz w:val="32"/>
          <w:szCs w:val="32"/>
          <w:lang w:val="en-US" w:eastAsia="zh-CN" w:bidi="ar"/>
        </w:rPr>
        <w:t>《关于下达2024年中央财政粮油生产保障等六项农业转移支付资金的通知》（川财农〔2024〕48号）</w:t>
      </w:r>
      <w:r>
        <w:rPr>
          <w:rFonts w:hint="default" w:ascii="仿宋" w:hAnsi="仿宋" w:eastAsia="仿宋" w:cs="仿宋"/>
          <w:b w:val="0"/>
          <w:bCs w:val="0"/>
          <w:snapToGrid/>
          <w:color w:val="000000"/>
          <w:kern w:val="0"/>
          <w:sz w:val="32"/>
          <w:szCs w:val="32"/>
          <w:lang w:val="en-US" w:eastAsia="zh-CN" w:bidi="ar"/>
        </w:rPr>
        <w:t>文件要求实施项目和进行资金分配。</w:t>
      </w:r>
    </w:p>
    <w:p w14:paraId="060D485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（二）项目绩效目标</w:t>
      </w:r>
    </w:p>
    <w:p w14:paraId="28E91E1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1.项目主要内容。全区农技推广体系不断健全，服务能力不断提升,信息化服务水平持续提高，在粮油主要作物大面积单产提升、生猪稳产保供、农药残留治理、农业防灾减灾等方面成效突出。</w:t>
      </w:r>
      <w:r>
        <w:rPr>
          <w:rFonts w:hint="default" w:ascii="仿宋" w:hAnsi="仿宋" w:eastAsia="仿宋" w:cs="仿宋"/>
          <w:b w:val="0"/>
          <w:bCs w:val="0"/>
          <w:snapToGrid/>
          <w:color w:val="000000"/>
          <w:kern w:val="0"/>
          <w:sz w:val="32"/>
          <w:szCs w:val="32"/>
          <w:lang w:val="en-US" w:eastAsia="zh-CN" w:bidi="ar"/>
        </w:rPr>
        <w:t>基层农技推广机构标准化建设1个，</w:t>
      </w:r>
      <w:r>
        <w:rPr>
          <w:rFonts w:hint="default" w:ascii="仿宋" w:hAnsi="仿宋" w:eastAsia="仿宋" w:cs="仿宋"/>
          <w:snapToGrid/>
          <w:color w:val="000000"/>
          <w:kern w:val="0"/>
          <w:sz w:val="32"/>
          <w:szCs w:val="32"/>
          <w:lang w:val="en-US" w:eastAsia="zh-CN" w:bidi="ar"/>
        </w:rPr>
        <w:t>推介一批主导品种，推广一批先进适用主推技术，建设2个农业科技展示基地，培育2个农业科技展示主体，开展4场（次）技术示范展示活动，农业主推技术到位率达到95%以上。按产业技术指导服务需求招募5名特聘农技员，助力科技帮扶。开展全区基层农技人员知识更新培训，组织30名基层农技人员参加5天以上脱产业务培训。</w:t>
      </w:r>
    </w:p>
    <w:p w14:paraId="60A62D6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b w:val="0"/>
          <w:bCs w:val="0"/>
          <w:snapToGrid/>
          <w:color w:val="000000"/>
          <w:kern w:val="0"/>
          <w:sz w:val="32"/>
          <w:szCs w:val="32"/>
          <w:lang w:val="en-US" w:eastAsia="zh-CN" w:bidi="ar"/>
        </w:rPr>
        <w:t>2.绩效目标：建设长期稳定农业科技示范基地2个，培育2个以上农业科技示范主体，参加5天以上脱产业务培训的基层农技人员40人，农业主推技术到位率≥95%；招募特聘农技员5人以上；推广应用农业绿色高质高效技术模式≥5个；农技推广服务对象满意度≥80%。</w:t>
      </w:r>
    </w:p>
    <w:p w14:paraId="7EF79AD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3.</w:t>
      </w:r>
      <w:r>
        <w:rPr>
          <w:rFonts w:hint="default" w:ascii="仿宋" w:hAnsi="仿宋" w:eastAsia="仿宋" w:cs="仿宋"/>
          <w:b w:val="0"/>
          <w:bCs w:val="0"/>
          <w:snapToGrid/>
          <w:color w:val="000000"/>
          <w:kern w:val="0"/>
          <w:sz w:val="32"/>
          <w:szCs w:val="32"/>
          <w:lang w:val="en-US" w:eastAsia="zh-CN" w:bidi="ar"/>
        </w:rPr>
        <w:t>申报内容与实际相符，申报目标合理可行。</w:t>
      </w:r>
    </w:p>
    <w:p w14:paraId="1F67C7E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（三）项目自评步骤及方法</w:t>
      </w:r>
    </w:p>
    <w:p w14:paraId="034A184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32"/>
          <w:sz w:val="32"/>
          <w:szCs w:val="32"/>
        </w:rPr>
      </w:pPr>
      <w:r>
        <w:rPr>
          <w:rFonts w:hint="default" w:ascii="仿宋" w:hAnsi="仿宋" w:eastAsia="仿宋" w:cs="仿宋"/>
          <w:snapToGrid/>
          <w:color w:val="000000"/>
          <w:kern w:val="32"/>
          <w:sz w:val="32"/>
          <w:szCs w:val="32"/>
          <w:lang w:val="en-US" w:eastAsia="zh-CN" w:bidi="ar"/>
        </w:rPr>
        <w:t>按照相关规定，根据项目实际设置绩效指标，包括、产出指标、效益指标、满意度指标三类一级指标，每一类一级指标细分为若干二级指标、三级指标，分别设定具体的指标值，根据预期指标值来指导实际完成指标和开展项目绩效评价。</w:t>
      </w:r>
    </w:p>
    <w:p w14:paraId="0E2C8F2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二、项目资金申报及使用情况</w:t>
      </w:r>
    </w:p>
    <w:p w14:paraId="7C8EFE5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（一）项目资金申报及批复情况</w:t>
      </w:r>
    </w:p>
    <w:p w14:paraId="28F3D75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省财政厅  省农业农村厅《</w:t>
      </w:r>
      <w:r>
        <w:rPr>
          <w:rFonts w:hint="default" w:ascii="仿宋" w:hAnsi="仿宋" w:eastAsia="仿宋" w:cs="仿宋"/>
          <w:snapToGrid/>
          <w:color w:val="000000"/>
          <w:kern w:val="32"/>
          <w:sz w:val="32"/>
          <w:szCs w:val="32"/>
          <w:lang w:val="en-US" w:eastAsia="zh-CN" w:bidi="ar"/>
        </w:rPr>
        <w:t>关于下达2024年中央财政粮油生产保障等六项农业转移支付资金的通知》（川财农〔2024〕48号</w:t>
      </w:r>
      <w:r>
        <w:rPr>
          <w:rFonts w:hint="default" w:ascii="仿宋" w:hAnsi="仿宋" w:eastAsia="仿宋" w:cs="仿宋"/>
          <w:b w:val="0"/>
          <w:bCs w:val="0"/>
          <w:snapToGrid/>
          <w:color w:val="000000"/>
          <w:kern w:val="0"/>
          <w:sz w:val="32"/>
          <w:szCs w:val="32"/>
          <w:lang w:val="en-US" w:eastAsia="zh-CN" w:bidi="ar"/>
        </w:rPr>
        <w:t>下达我区</w:t>
      </w:r>
      <w:r>
        <w:rPr>
          <w:rFonts w:hint="default" w:ascii="仿宋" w:hAnsi="仿宋" w:eastAsia="仿宋" w:cs="仿宋"/>
          <w:snapToGrid/>
          <w:color w:val="000000"/>
          <w:kern w:val="0"/>
          <w:sz w:val="32"/>
          <w:szCs w:val="32"/>
          <w:lang w:val="en-US" w:eastAsia="zh-CN" w:bidi="ar"/>
        </w:rPr>
        <w:t>基层农技推广体系改革与建设补助资金35万元</w:t>
      </w:r>
      <w:r>
        <w:rPr>
          <w:rFonts w:hint="default" w:ascii="仿宋" w:hAnsi="仿宋" w:eastAsia="仿宋" w:cs="仿宋"/>
          <w:b w:val="0"/>
          <w:bCs w:val="0"/>
          <w:snapToGrid/>
          <w:color w:val="000000"/>
          <w:kern w:val="0"/>
          <w:sz w:val="32"/>
          <w:szCs w:val="32"/>
          <w:lang w:val="en-US" w:eastAsia="zh-CN" w:bidi="ar"/>
        </w:rPr>
        <w:t>。</w:t>
      </w:r>
    </w:p>
    <w:p w14:paraId="6581C62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（二）资金计划、到位及使用情况</w:t>
      </w:r>
    </w:p>
    <w:p w14:paraId="6D6C714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1.资金计划。</w:t>
      </w:r>
      <w:r>
        <w:rPr>
          <w:rFonts w:hint="default" w:ascii="仿宋" w:hAnsi="仿宋" w:eastAsia="仿宋" w:cs="仿宋"/>
          <w:snapToGrid/>
          <w:color w:val="000000"/>
          <w:kern w:val="0"/>
          <w:sz w:val="32"/>
          <w:szCs w:val="32"/>
          <w:lang w:val="en-US" w:eastAsia="zh-CN" w:bidi="ar"/>
        </w:rPr>
        <w:t>四川省财政厅 四川省农业农村厅</w:t>
      </w:r>
      <w:r>
        <w:rPr>
          <w:rFonts w:hint="default" w:ascii="仿宋" w:hAnsi="仿宋" w:eastAsia="仿宋" w:cs="仿宋"/>
          <w:snapToGrid/>
          <w:color w:val="000000"/>
          <w:kern w:val="32"/>
          <w:sz w:val="32"/>
          <w:szCs w:val="32"/>
          <w:lang w:val="en-US" w:eastAsia="zh-CN" w:bidi="ar"/>
        </w:rPr>
        <w:t>《关于下达2024年中央财政粮油生产保障等六项农业转移支付资金的通知》（川财农〔2024〕48号）</w:t>
      </w:r>
      <w:r>
        <w:rPr>
          <w:rFonts w:hint="default" w:ascii="仿宋" w:hAnsi="仿宋" w:eastAsia="仿宋" w:cs="仿宋"/>
          <w:snapToGrid/>
          <w:color w:val="000000"/>
          <w:kern w:val="0"/>
          <w:sz w:val="32"/>
          <w:szCs w:val="32"/>
          <w:lang w:val="en-US" w:eastAsia="zh-CN" w:bidi="ar"/>
        </w:rPr>
        <w:t>文件精神，2024年中央财政下达我区基层农技推广体系改革与建设补助资金35万元，</w:t>
      </w:r>
      <w:r>
        <w:rPr>
          <w:rFonts w:hint="default" w:ascii="仿宋" w:hAnsi="仿宋" w:eastAsia="仿宋" w:cs="仿宋"/>
          <w:b w:val="0"/>
          <w:bCs w:val="0"/>
          <w:snapToGrid/>
          <w:color w:val="000000"/>
          <w:kern w:val="0"/>
          <w:sz w:val="32"/>
          <w:szCs w:val="32"/>
          <w:lang w:val="en-US" w:eastAsia="zh-CN" w:bidi="ar"/>
        </w:rPr>
        <w:t>无其他资金。</w:t>
      </w:r>
    </w:p>
    <w:p w14:paraId="19ECBC8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2.资金到位。本项目实际到位中央财政资金35万元，资金到位率100%。</w:t>
      </w:r>
    </w:p>
    <w:p w14:paraId="3D5875B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3.资金使用。截至目前，已按照实施方案规定的资金支出方向，支出2024年基层农技人员省级知识更新骨干培训资金1.0382万元，市级知识更新培训职工调训0.78万元，区级知识更新培训经费3.3016万元</w:t>
      </w:r>
      <w:r>
        <w:rPr>
          <w:rFonts w:hint="default" w:ascii="仿宋" w:hAnsi="仿宋" w:eastAsia="仿宋" w:cs="仿宋"/>
          <w:snapToGrid/>
          <w:color w:val="000000"/>
          <w:kern w:val="0"/>
          <w:sz w:val="32"/>
          <w:szCs w:val="32"/>
          <w:lang w:val="en-US" w:eastAsia="zh-CN" w:bidi="ar"/>
        </w:rPr>
        <w:t>，</w:t>
      </w:r>
      <w:r>
        <w:rPr>
          <w:rFonts w:hint="default" w:ascii="仿宋" w:hAnsi="仿宋" w:eastAsia="仿宋" w:cs="仿宋"/>
          <w:b w:val="0"/>
          <w:bCs w:val="0"/>
          <w:snapToGrid/>
          <w:color w:val="000000"/>
          <w:kern w:val="0"/>
          <w:sz w:val="32"/>
          <w:szCs w:val="32"/>
          <w:lang w:val="en-US" w:eastAsia="zh-CN" w:bidi="ar"/>
        </w:rPr>
        <w:t>基层农技推广机构标准化建设补助4.99万元，示范基地建设补助6万元，</w:t>
      </w:r>
      <w:r>
        <w:rPr>
          <w:rFonts w:hint="default" w:ascii="仿宋" w:hAnsi="仿宋" w:eastAsia="仿宋" w:cs="仿宋"/>
          <w:snapToGrid/>
          <w:color w:val="000000"/>
          <w:kern w:val="0"/>
          <w:sz w:val="32"/>
          <w:szCs w:val="32"/>
          <w:lang w:val="en-US" w:eastAsia="zh-CN" w:bidi="ar"/>
        </w:rPr>
        <w:t>农业科技示范主体补助2</w:t>
      </w:r>
      <w:r>
        <w:rPr>
          <w:rFonts w:hint="default" w:ascii="仿宋" w:hAnsi="仿宋" w:eastAsia="仿宋" w:cs="仿宋"/>
          <w:b w:val="0"/>
          <w:bCs w:val="0"/>
          <w:snapToGrid/>
          <w:color w:val="000000"/>
          <w:kern w:val="0"/>
          <w:sz w:val="32"/>
          <w:szCs w:val="32"/>
          <w:lang w:val="en-US" w:eastAsia="zh-CN" w:bidi="ar"/>
        </w:rPr>
        <w:t>万元，聘请特聘农技员支付服务费5万元，科技示范基地标牌设立支付1.016万元，技术资料打印费0.22519万元。根据项目资金管理相关规定，切实加强项目资金的使用和监督，项目建设过程中严格按照实施方案进行资金使用，做到了专款专用。2024年全年执行数24.35099万元，达到年度下达计划资金的69.57%。</w:t>
      </w:r>
    </w:p>
    <w:p w14:paraId="2AFCFFA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（三）项目财务管理情况</w:t>
      </w:r>
    </w:p>
    <w:p w14:paraId="530FAF1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292929"/>
          <w:kern w:val="0"/>
          <w:sz w:val="32"/>
          <w:szCs w:val="32"/>
        </w:rPr>
      </w:pPr>
      <w:r>
        <w:rPr>
          <w:rFonts w:hint="default" w:ascii="仿宋" w:hAnsi="仿宋" w:eastAsia="仿宋" w:cs="仿宋"/>
          <w:b w:val="0"/>
          <w:bCs w:val="0"/>
          <w:snapToGrid/>
          <w:color w:val="292929"/>
          <w:kern w:val="0"/>
          <w:sz w:val="32"/>
          <w:szCs w:val="32"/>
          <w:lang w:val="en-US" w:eastAsia="zh-CN" w:bidi="ar"/>
        </w:rPr>
        <w:t>广元市利州区农业农村局财务管理制度健全，严格执行财务管理制度，账务处理及时，会计核算规范。</w:t>
      </w:r>
    </w:p>
    <w:p w14:paraId="3354D69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三、项目实施及管理情况</w:t>
      </w:r>
    </w:p>
    <w:p w14:paraId="5949D59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（一）项目组织架构及实施流程。</w:t>
      </w:r>
      <w:r>
        <w:rPr>
          <w:rFonts w:hint="default" w:ascii="仿宋" w:hAnsi="仿宋" w:eastAsia="仿宋" w:cs="仿宋"/>
          <w:snapToGrid/>
          <w:color w:val="000000"/>
          <w:kern w:val="0"/>
          <w:sz w:val="32"/>
          <w:szCs w:val="32"/>
          <w:lang w:val="en-US" w:eastAsia="zh-CN" w:bidi="ar"/>
        </w:rPr>
        <w:t>区农业农村局、区财政局切实加强对项目的组织领导和监督协调，认真研究，精心部署，明确职责分工，保障资金投入，完善工作机制，加强组织管理，任务落实到人，确保本项目扎实有效推进。科技教育与资环管理股负责制定实施方案，具体实施项目。</w:t>
      </w:r>
    </w:p>
    <w:p w14:paraId="1CDA272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FF0000"/>
          <w:kern w:val="0"/>
          <w:sz w:val="32"/>
          <w:szCs w:val="32"/>
          <w:shd w:val="clear" w:fill="FFFFFF"/>
        </w:rPr>
      </w:pPr>
      <w:r>
        <w:rPr>
          <w:rFonts w:hint="default" w:ascii="楷体" w:hAnsi="楷体" w:eastAsia="楷体" w:cs="楷体"/>
          <w:b w:val="0"/>
          <w:bCs w:val="0"/>
          <w:snapToGrid/>
          <w:color w:val="000000"/>
          <w:kern w:val="0"/>
          <w:sz w:val="32"/>
          <w:szCs w:val="32"/>
          <w:lang w:val="en-US" w:eastAsia="zh-CN" w:bidi="ar"/>
        </w:rPr>
        <w:t>（二）项目管理情况。</w:t>
      </w:r>
      <w:r>
        <w:rPr>
          <w:rFonts w:hint="default" w:ascii="仿宋" w:hAnsi="仿宋" w:eastAsia="仿宋" w:cs="仿宋"/>
          <w:snapToGrid/>
          <w:color w:val="000000"/>
          <w:kern w:val="0"/>
          <w:sz w:val="32"/>
          <w:szCs w:val="32"/>
          <w:lang w:val="en-US" w:eastAsia="zh-CN" w:bidi="ar"/>
        </w:rPr>
        <w:t>本项目实施方案经党组会讨论通过并和财政局联合发文，按照实施方案内容和相关项目管理办法组织实施。组织机构健全职责分工明确，实施方案具体，任务和资金使用安排明确。具有明确的工作程序，资金能足额保证。具有相应的质量检查、验收等必要的控制措施，有针对突发事件或未知风险的应急措施。</w:t>
      </w:r>
    </w:p>
    <w:p w14:paraId="0FEF4E0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（三）项目监管情况。</w:t>
      </w:r>
      <w:r>
        <w:rPr>
          <w:rFonts w:hint="default" w:ascii="仿宋" w:hAnsi="仿宋" w:eastAsia="仿宋" w:cs="仿宋"/>
          <w:snapToGrid/>
          <w:color w:val="000000"/>
          <w:kern w:val="0"/>
          <w:sz w:val="32"/>
          <w:szCs w:val="32"/>
          <w:lang w:val="en-US" w:eastAsia="zh-CN" w:bidi="ar"/>
        </w:rPr>
        <w:t>成立由局长任组长的广元市利州区2024年基层农技推广体系改革与建设专项指导工作组，紧紧围绕总体要求和重点任务，统筹种植业、畜牧、农机、渔业等行业制定项目实施方案，加强统筹协调，明确职责任务，强化责任落实，细化工作措施，务求实效。</w:t>
      </w:r>
    </w:p>
    <w:p w14:paraId="1DAA7BF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四、项目绩效情况</w:t>
      </w:r>
      <w:r>
        <w:rPr>
          <w:rFonts w:hint="default" w:ascii="黑体" w:hAnsi="宋体" w:eastAsia="黑体" w:cs="黑体"/>
          <w:b w:val="0"/>
          <w:bCs w:val="0"/>
          <w:snapToGrid/>
          <w:color w:val="000000"/>
          <w:kern w:val="0"/>
          <w:sz w:val="32"/>
          <w:szCs w:val="32"/>
          <w:lang w:val="en-US" w:eastAsia="zh-CN" w:bidi="ar"/>
        </w:rPr>
        <w:tab/>
      </w:r>
    </w:p>
    <w:p w14:paraId="3BEE734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（一）项目完成情况</w:t>
      </w:r>
    </w:p>
    <w:p w14:paraId="00B73C1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2"/>
          <w:sz w:val="32"/>
          <w:szCs w:val="32"/>
          <w:lang w:val="en-US" w:eastAsia="zh-CN" w:bidi="ar"/>
        </w:rPr>
        <w:t>一是建设了河西优质粮油和宝轮镇特殊水果2个长期稳定的农业科技示范基地，新培育了广元市利州区众泰家庭农场和广元市利州区何德光家庭农场2个农业科技示范主体，招募了特聘农技员5人。二是</w:t>
      </w:r>
      <w:r>
        <w:rPr>
          <w:rFonts w:hint="default" w:ascii="仿宋" w:hAnsi="仿宋" w:eastAsia="仿宋" w:cs="仿宋"/>
          <w:snapToGrid/>
          <w:color w:val="000000"/>
          <w:kern w:val="0"/>
          <w:sz w:val="32"/>
          <w:szCs w:val="32"/>
          <w:lang w:val="en-US" w:eastAsia="zh-CN" w:bidi="ar"/>
        </w:rPr>
        <w:t>根据市农业农村局《关于推介发布2024年度农业主推技术的通知》（广农函〔2024〕15号）文件要求，组织相关部门和专家，结合我区实际遴选了43项农业主推技术,发布《广元市利州区农业农村局关于推介发布2024年度农业主推技术的通知》（广利农函〔2024〕25号）</w:t>
      </w:r>
      <w:r>
        <w:rPr>
          <w:rFonts w:hint="default" w:ascii="仿宋" w:hAnsi="仿宋" w:eastAsia="仿宋" w:cs="仿宋"/>
          <w:snapToGrid/>
          <w:color w:val="000000"/>
          <w:kern w:val="2"/>
          <w:sz w:val="32"/>
          <w:szCs w:val="32"/>
          <w:lang w:val="en-US" w:eastAsia="zh-CN" w:bidi="ar"/>
        </w:rPr>
        <w:t>，农业主推技术到位率达95%。</w:t>
      </w:r>
      <w:r>
        <w:rPr>
          <w:rFonts w:hint="default" w:ascii="仿宋" w:hAnsi="仿宋" w:eastAsia="仿宋" w:cs="仿宋"/>
          <w:snapToGrid/>
          <w:color w:val="000000"/>
          <w:kern w:val="0"/>
          <w:sz w:val="32"/>
          <w:szCs w:val="32"/>
          <w:lang w:val="en-US" w:eastAsia="zh-CN" w:bidi="ar"/>
        </w:rPr>
        <w:t>三是遴选推荐5名农技人员参加省级知识更新调训，6名农技人员参加市级知识更新调训。于去年9月，组织29名基层农技人员开展5天全脱产知识更新能力提升培训，到绵阳市等地开展实践培</w:t>
      </w:r>
      <w:r>
        <w:rPr>
          <w:rFonts w:hint="default" w:ascii="仿宋" w:hAnsi="仿宋" w:eastAsia="仿宋" w:cs="仿宋"/>
          <w:b w:val="0"/>
          <w:bCs w:val="0"/>
          <w:snapToGrid/>
          <w:color w:val="292929"/>
          <w:kern w:val="0"/>
          <w:sz w:val="32"/>
          <w:szCs w:val="32"/>
          <w:lang w:val="en-US" w:eastAsia="zh-CN" w:bidi="ar"/>
        </w:rPr>
        <w:t>训，探索现代化农业产业经营模式，从整体上提高基层农技推广人员的</w:t>
      </w:r>
      <w:r>
        <w:rPr>
          <w:rFonts w:hint="default" w:ascii="仿宋" w:hAnsi="仿宋" w:eastAsia="仿宋" w:cs="仿宋"/>
          <w:snapToGrid/>
          <w:color w:val="000000"/>
          <w:kern w:val="0"/>
          <w:sz w:val="32"/>
          <w:szCs w:val="32"/>
          <w:lang w:val="en-US" w:eastAsia="zh-CN" w:bidi="ar"/>
        </w:rPr>
        <w:t>技术水平和综合素质。</w:t>
      </w:r>
    </w:p>
    <w:p w14:paraId="5632112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（二）项目效益情况</w:t>
      </w:r>
    </w:p>
    <w:p w14:paraId="0661E3E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项目实施内容符合当地需求和全区总体发展规划，具有可观的经济效益、社会效益和生态效益。经济效益：农户选用新品种新技术，促进农业产业提质增效。社会效益：促进我区农技推广体系不断健全，服务能力不断提升。生态效益：推广应用农业绿色高质高效技术模式，大量减少了化肥和农药的使用量，实现了化肥农药使用量零增长。可持续发展指标：为农业产业发展提供技术服务支撑。可持续影响指标：新品种新技术推广得到进一步提升，基层农技人员的农技知识得到有效更新，在指导“三农”工作中的能力得到进一步提高。</w:t>
      </w:r>
    </w:p>
    <w:p w14:paraId="185372C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五、评价结论及建议</w:t>
      </w:r>
    </w:p>
    <w:p w14:paraId="0DE69E0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（一）评价结论</w:t>
      </w:r>
    </w:p>
    <w:p w14:paraId="75C47AE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rPr>
      </w:pPr>
      <w:r>
        <w:rPr>
          <w:rFonts w:hint="default" w:ascii="仿宋" w:hAnsi="仿宋" w:eastAsia="仿宋" w:cs="仿宋"/>
          <w:snapToGrid/>
          <w:color w:val="000000"/>
          <w:kern w:val="0"/>
          <w:sz w:val="32"/>
          <w:szCs w:val="32"/>
          <w:lang w:val="en-US" w:eastAsia="zh-CN" w:bidi="ar"/>
        </w:rPr>
        <w:t>根据项目支出绩效自评表，本着实事求是的原则开展自评，得分96分。本项目符合我区农业产业发展要求和群众切实利益需求。通过该项目的实施，能够强化农技推广机构公益性职责履行，推动农业科技社会化服务发展，加大优质品种和先进适用技术示范展示和推广力度，加快信息化服务手段普及应用，大力提升农技推广服务效能，为全面推进乡村振兴、加快农业农村现代化提供坚强的科技支撑和人才保障。</w:t>
      </w:r>
    </w:p>
    <w:p w14:paraId="6C9EA2F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（二）存在的问题</w:t>
      </w:r>
    </w:p>
    <w:p w14:paraId="35BE236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rPr>
      </w:pPr>
      <w:r>
        <w:rPr>
          <w:rFonts w:hint="default" w:ascii="仿宋" w:hAnsi="仿宋" w:eastAsia="仿宋" w:cs="仿宋"/>
          <w:snapToGrid/>
          <w:color w:val="000000"/>
          <w:kern w:val="0"/>
          <w:sz w:val="32"/>
          <w:szCs w:val="32"/>
          <w:lang w:val="en-US" w:eastAsia="zh-CN" w:bidi="ar"/>
        </w:rPr>
        <w:t>一是部分农技人员知识储备不足、结构老化，不能很好的进行技术服务指导；二是部分种养殖户特别是新发展的种养殖户缺乏技术、管理粗放；三是项目资金有限，需要实施的内容太多不能面面俱全、无法过于细化。</w:t>
      </w:r>
    </w:p>
    <w:p w14:paraId="1954839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（三）相关建议</w:t>
      </w:r>
    </w:p>
    <w:p w14:paraId="4339C5D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一是项目实施内容精准化，把有限的资金用在刀刃上；二是加强基层农技人员知识更新培训力度，增强他们服务三农的本领；三是加大对种养殖户培训指导的力度，让他们及时掌握最新种养殖技术，不断提高经济效益。</w:t>
      </w:r>
    </w:p>
    <w:p w14:paraId="3ACF88AA">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t xml:space="preserve"> </w:t>
      </w:r>
    </w:p>
    <w:p w14:paraId="51A89047">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b w:val="0"/>
          <w:bCs/>
          <w:kern w:val="0"/>
          <w:sz w:val="44"/>
          <w:szCs w:val="44"/>
        </w:rPr>
      </w:pPr>
      <w:r>
        <w:rPr>
          <w:rFonts w:hint="eastAsia" w:ascii="方正小标宋简体" w:hAnsi="方正小标宋简体" w:eastAsia="方正小标宋简体" w:cs="方正小标宋简体"/>
          <w:b w:val="0"/>
          <w:bCs/>
          <w:snapToGrid/>
          <w:color w:val="000000"/>
          <w:kern w:val="0"/>
          <w:sz w:val="44"/>
          <w:szCs w:val="44"/>
          <w:lang w:val="en-US" w:eastAsia="zh-CN" w:bidi="ar"/>
        </w:rPr>
        <w:t>2024年提灌站建设项目绩效自评报告</w:t>
      </w:r>
    </w:p>
    <w:p w14:paraId="159400C5">
      <w:pPr>
        <w:pStyle w:val="24"/>
        <w:keepNext/>
        <w:keepLines w:val="0"/>
        <w:widowControl w:val="0"/>
        <w:suppressLineNumbers w:val="0"/>
        <w:kinsoku w:val="0"/>
        <w:autoSpaceDE w:val="0"/>
        <w:autoSpaceDN/>
        <w:adjustRightInd/>
        <w:snapToGrid/>
        <w:spacing w:before="0" w:beforeAutospacing="0" w:after="0" w:afterAutospacing="0" w:line="600" w:lineRule="exact"/>
        <w:ind w:left="0" w:right="0"/>
        <w:jc w:val="left"/>
        <w:textAlignment w:val="auto"/>
        <w:outlineLvl w:val="9"/>
        <w:rPr>
          <w:rFonts w:hint="default" w:ascii="仿宋" w:hAnsi="仿宋" w:eastAsia="仿宋" w:cs="仿宋"/>
          <w:b w:val="0"/>
          <w:bCs w:val="0"/>
          <w:kern w:val="2"/>
          <w:sz w:val="32"/>
          <w:szCs w:val="32"/>
        </w:rPr>
      </w:pPr>
      <w:r>
        <w:rPr>
          <w:rFonts w:hint="default" w:ascii="仿宋" w:hAnsi="仿宋" w:eastAsia="仿宋" w:cs="仿宋"/>
          <w:b w:val="0"/>
          <w:bCs w:val="0"/>
          <w:snapToGrid/>
          <w:color w:val="auto"/>
          <w:kern w:val="2"/>
          <w:sz w:val="32"/>
          <w:szCs w:val="32"/>
          <w:lang w:val="en-US" w:eastAsia="zh-CN" w:bidi="ar"/>
        </w:rPr>
        <w:t xml:space="preserve"> </w:t>
      </w:r>
    </w:p>
    <w:p w14:paraId="2243B79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一、项目概况</w:t>
      </w:r>
    </w:p>
    <w:p w14:paraId="789C4EA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（一）设立背景及基本情况</w:t>
      </w:r>
    </w:p>
    <w:p w14:paraId="19D1C55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2"/>
          <w:sz w:val="32"/>
          <w:szCs w:val="32"/>
        </w:rPr>
      </w:pPr>
      <w:r>
        <w:rPr>
          <w:rFonts w:hint="default" w:ascii="仿宋" w:hAnsi="仿宋" w:eastAsia="仿宋" w:cs="仿宋"/>
          <w:b w:val="0"/>
          <w:bCs w:val="0"/>
          <w:snapToGrid/>
          <w:color w:val="000000"/>
          <w:kern w:val="2"/>
          <w:sz w:val="32"/>
          <w:szCs w:val="32"/>
          <w:lang w:val="en-US" w:eastAsia="zh-CN" w:bidi="ar"/>
        </w:rPr>
        <w:t>1.项目设立原因及背景。以党的二十大精神为指引，深入贯彻落实省委十二届全会精神，坚持以习近平新时代中国特色社会主义思想为指导，按照“节水优先、空间均衡、系统治理、两手发力”的新时期水利工作方针,立足利州区提灌设施发展不平衡不充分问题，把提高利州区农业用水保障能力、促进本地区跨越式发展和长江上游生态屏障建设作为根本目标，通过水利基础设施网络建设，实现水生态系统稳定、水环境良好、水资源可持续利用，为利州区现代农业发展提供水安全保障和支撑，助力乡村振兴。</w:t>
      </w:r>
    </w:p>
    <w:p w14:paraId="2C965E9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2"/>
          <w:sz w:val="32"/>
          <w:szCs w:val="32"/>
        </w:rPr>
      </w:pPr>
      <w:r>
        <w:rPr>
          <w:rFonts w:hint="default" w:ascii="仿宋" w:hAnsi="仿宋" w:eastAsia="仿宋" w:cs="仿宋"/>
          <w:b w:val="0"/>
          <w:bCs w:val="0"/>
          <w:snapToGrid/>
          <w:color w:val="000000"/>
          <w:kern w:val="2"/>
          <w:sz w:val="32"/>
          <w:szCs w:val="32"/>
          <w:lang w:val="en-US" w:eastAsia="zh-CN" w:bidi="ar"/>
        </w:rPr>
        <w:t>2.项目基本情况。2024年提灌站建设项目共新建提灌站5座，改造提灌站11座，项目建设主要内容：一是泵站建筑物以及附属土建设施建设，其中包括泵房、蓄水池、机井、镇墩、支墩、管沟开挖回填等；二是机电设施设备及管道的安装，其中包括水泵、电机、法兰、焊接弯头安装等；三是电气设施、设备的安装，其中包括总配电箱、泵站综合软启动柜安装等。</w:t>
      </w:r>
    </w:p>
    <w:p w14:paraId="0115F18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（二）实施目的及支持方向</w:t>
      </w:r>
    </w:p>
    <w:p w14:paraId="0CE5422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2"/>
          <w:sz w:val="32"/>
          <w:szCs w:val="32"/>
        </w:rPr>
      </w:pPr>
      <w:r>
        <w:rPr>
          <w:rFonts w:hint="default" w:ascii="仿宋" w:hAnsi="仿宋" w:eastAsia="仿宋" w:cs="仿宋"/>
          <w:b w:val="0"/>
          <w:bCs w:val="0"/>
          <w:snapToGrid/>
          <w:color w:val="000000"/>
          <w:kern w:val="2"/>
          <w:sz w:val="32"/>
          <w:szCs w:val="32"/>
          <w:lang w:val="en-US" w:eastAsia="zh-CN" w:bidi="ar"/>
        </w:rPr>
        <w:t>1.实施目的。进一步改善全区农田灌溉用水问题，促进农业产业结构调整和农业产业化建设，保证粮食安全生产，加快推进乡村振兴步伐，促进农村经济发展，农业增效、农民增收。</w:t>
      </w:r>
    </w:p>
    <w:p w14:paraId="7E959CAF">
      <w:pPr>
        <w:pStyle w:val="24"/>
        <w:keepNext w:val="0"/>
        <w:keepLines w:val="0"/>
        <w:widowControl w:val="0"/>
        <w:suppressLineNumbers w:val="0"/>
        <w:kinsoku/>
        <w:autoSpaceDE w:val="0"/>
        <w:autoSpaceDN/>
        <w:adjustRightInd/>
        <w:snapToGrid/>
        <w:spacing w:before="0" w:beforeAutospacing="0" w:after="0" w:afterAutospacing="0" w:line="576" w:lineRule="exact"/>
        <w:ind w:left="0" w:right="0" w:firstLine="640" w:firstLineChars="200"/>
        <w:jc w:val="both"/>
        <w:textAlignment w:val="auto"/>
        <w:outlineLvl w:val="9"/>
        <w:rPr>
          <w:rFonts w:hint="default" w:ascii="仿宋" w:hAnsi="仿宋" w:eastAsia="仿宋" w:cs="仿宋"/>
          <w:b w:val="0"/>
          <w:bCs w:val="0"/>
          <w:kern w:val="2"/>
          <w:sz w:val="32"/>
          <w:szCs w:val="32"/>
        </w:rPr>
      </w:pPr>
      <w:r>
        <w:rPr>
          <w:rFonts w:hint="default" w:ascii="仿宋" w:hAnsi="仿宋" w:eastAsia="仿宋" w:cs="仿宋"/>
          <w:b w:val="0"/>
          <w:bCs w:val="0"/>
          <w:snapToGrid/>
          <w:color w:val="auto"/>
          <w:kern w:val="2"/>
          <w:sz w:val="32"/>
          <w:szCs w:val="32"/>
          <w:lang w:val="en-US" w:eastAsia="zh-CN" w:bidi="ar"/>
        </w:rPr>
        <w:t>2.支持方向。项目支持方向有灌溉面积、严重缺水但无灌溉设施以及提灌站因运行时间长、设备老化严重、运行效率低急需改造的提灌站，以及申报意愿强烈、建设积极性高的乡镇（街道）、村（社区）。</w:t>
      </w:r>
    </w:p>
    <w:p w14:paraId="7E117FB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（三）预算安排及支持方向</w:t>
      </w:r>
    </w:p>
    <w:p w14:paraId="17A3F9C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b w:val="0"/>
          <w:bCs w:val="0"/>
          <w:color w:val="000000"/>
          <w:kern w:val="2"/>
          <w:sz w:val="32"/>
          <w:szCs w:val="32"/>
        </w:rPr>
      </w:pPr>
      <w:r>
        <w:rPr>
          <w:rFonts w:hint="default" w:ascii="仿宋" w:hAnsi="仿宋" w:eastAsia="仿宋" w:cs="仿宋"/>
          <w:b w:val="0"/>
          <w:bCs w:val="0"/>
          <w:snapToGrid/>
          <w:color w:val="000000"/>
          <w:kern w:val="2"/>
          <w:sz w:val="32"/>
          <w:szCs w:val="32"/>
          <w:lang w:val="en-US" w:eastAsia="zh-CN" w:bidi="ar"/>
        </w:rPr>
        <w:t>1.预算安排。该项目省级财政资金为200万元，其中新建提灌站原则上安排建设资金20万元左右，改造提灌站原则上安排建设资金10万元以下。</w:t>
      </w:r>
    </w:p>
    <w:p w14:paraId="2185C651">
      <w:pPr>
        <w:pStyle w:val="24"/>
        <w:keepNext w:val="0"/>
        <w:keepLines w:val="0"/>
        <w:widowControl w:val="0"/>
        <w:suppressLineNumbers w:val="0"/>
        <w:kinsoku/>
        <w:autoSpaceDE w:val="0"/>
        <w:autoSpaceDN/>
        <w:adjustRightInd/>
        <w:snapToGrid/>
        <w:spacing w:before="0" w:beforeAutospacing="0" w:after="0" w:afterAutospacing="0" w:line="576" w:lineRule="exact"/>
        <w:ind w:left="0" w:right="0" w:firstLine="640" w:firstLineChars="200"/>
        <w:jc w:val="both"/>
        <w:textAlignment w:val="auto"/>
        <w:outlineLvl w:val="9"/>
        <w:rPr>
          <w:rFonts w:hint="default" w:ascii="仿宋" w:hAnsi="仿宋" w:eastAsia="仿宋" w:cs="仿宋"/>
          <w:b w:val="0"/>
          <w:bCs w:val="0"/>
          <w:kern w:val="2"/>
          <w:sz w:val="32"/>
          <w:szCs w:val="32"/>
        </w:rPr>
      </w:pPr>
      <w:r>
        <w:rPr>
          <w:rFonts w:hint="default" w:ascii="仿宋" w:hAnsi="仿宋" w:eastAsia="仿宋" w:cs="仿宋"/>
          <w:b w:val="0"/>
          <w:bCs w:val="0"/>
          <w:snapToGrid/>
          <w:color w:val="auto"/>
          <w:kern w:val="2"/>
          <w:sz w:val="32"/>
          <w:szCs w:val="32"/>
          <w:lang w:val="en-US" w:eastAsia="zh-CN" w:bidi="ar"/>
        </w:rPr>
        <w:t>2.支持方向。项目支持方向有灌溉面积、严重缺水但无灌溉设施以及提灌站因运行时间长、设备老化严重、运行效率低急需改造的提灌站，以及申报意愿强烈、建设积极性高的乡镇（街道）、村（社区）。</w:t>
      </w:r>
    </w:p>
    <w:p w14:paraId="35B801B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（四）项目绩效目标设置</w:t>
      </w:r>
    </w:p>
    <w:p w14:paraId="536E8881">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kern w:val="2"/>
          <w:sz w:val="32"/>
          <w:szCs w:val="32"/>
        </w:rPr>
      </w:pPr>
      <w:r>
        <w:rPr>
          <w:rFonts w:hint="default" w:ascii="仿宋" w:hAnsi="仿宋" w:eastAsia="仿宋" w:cs="仿宋"/>
          <w:b w:val="0"/>
          <w:bCs w:val="0"/>
          <w:snapToGrid/>
          <w:color w:val="000000"/>
          <w:kern w:val="2"/>
          <w:sz w:val="32"/>
          <w:szCs w:val="32"/>
          <w:lang w:val="en-US" w:eastAsia="zh-CN" w:bidi="ar"/>
        </w:rPr>
        <w:t>项目绩效目标设置主要包括绩效目标、实施进度、工作开展等。</w:t>
      </w:r>
    </w:p>
    <w:p w14:paraId="177C801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kern w:val="2"/>
          <w:sz w:val="32"/>
          <w:szCs w:val="32"/>
        </w:rPr>
      </w:pPr>
      <w:r>
        <w:rPr>
          <w:rFonts w:hint="default" w:ascii="仿宋" w:hAnsi="仿宋" w:eastAsia="仿宋" w:cs="仿宋"/>
          <w:b w:val="0"/>
          <w:bCs w:val="0"/>
          <w:snapToGrid/>
          <w:color w:val="000000"/>
          <w:kern w:val="2"/>
          <w:sz w:val="32"/>
          <w:szCs w:val="32"/>
          <w:lang w:val="en-US" w:eastAsia="zh-CN" w:bidi="ar"/>
        </w:rPr>
        <w:t>1.绩效目标。2024年，全区拟完成提灌站建设16座,其中新建提灌站5座，改造提灌站11座，保灌能力≥0.64万亩，使用年限≥15年，工程验收合格率100%,群众满意率90%。</w:t>
      </w:r>
    </w:p>
    <w:p w14:paraId="3D657FA9">
      <w:pPr>
        <w:pStyle w:val="24"/>
        <w:keepNext w:val="0"/>
        <w:keepLines w:val="0"/>
        <w:widowControl w:val="0"/>
        <w:suppressLineNumbers w:val="0"/>
        <w:kinsoku/>
        <w:autoSpaceDE w:val="0"/>
        <w:autoSpaceDN/>
        <w:adjustRightInd/>
        <w:snapToGrid/>
        <w:spacing w:before="0" w:beforeAutospacing="0" w:after="0" w:afterAutospacing="0" w:line="576" w:lineRule="exact"/>
        <w:ind w:left="0" w:right="0" w:firstLine="640" w:firstLineChars="200"/>
        <w:jc w:val="both"/>
        <w:textAlignment w:val="auto"/>
        <w:outlineLvl w:val="9"/>
        <w:rPr>
          <w:rFonts w:hint="default" w:ascii="仿宋" w:hAnsi="仿宋" w:eastAsia="仿宋" w:cs="仿宋"/>
          <w:b w:val="0"/>
          <w:bCs w:val="0"/>
          <w:kern w:val="2"/>
          <w:sz w:val="32"/>
          <w:szCs w:val="32"/>
        </w:rPr>
      </w:pPr>
      <w:r>
        <w:rPr>
          <w:rFonts w:hint="default" w:ascii="仿宋" w:hAnsi="仿宋" w:eastAsia="仿宋" w:cs="仿宋"/>
          <w:b w:val="0"/>
          <w:bCs w:val="0"/>
          <w:snapToGrid/>
          <w:color w:val="auto"/>
          <w:kern w:val="2"/>
          <w:sz w:val="32"/>
          <w:szCs w:val="32"/>
          <w:lang w:val="en-US" w:eastAsia="zh-CN" w:bidi="ar"/>
        </w:rPr>
        <w:t>2.实施进度。2024年6月开工，12月底前完工并完成项目验收和资金拨付。</w:t>
      </w:r>
    </w:p>
    <w:p w14:paraId="75A34FF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outlineLvl w:val="9"/>
        <w:rPr>
          <w:rFonts w:hint="default" w:ascii="仿宋" w:hAnsi="仿宋" w:eastAsia="仿宋" w:cs="仿宋"/>
          <w:b w:val="0"/>
          <w:bCs w:val="0"/>
          <w:color w:val="000000"/>
          <w:kern w:val="2"/>
          <w:sz w:val="32"/>
          <w:szCs w:val="32"/>
        </w:rPr>
      </w:pPr>
      <w:r>
        <w:rPr>
          <w:rFonts w:hint="default" w:ascii="仿宋" w:hAnsi="仿宋" w:eastAsia="仿宋" w:cs="仿宋"/>
          <w:b w:val="0"/>
          <w:bCs w:val="0"/>
          <w:snapToGrid/>
          <w:color w:val="000000"/>
          <w:kern w:val="2"/>
          <w:sz w:val="32"/>
          <w:szCs w:val="32"/>
          <w:lang w:val="en-US" w:eastAsia="zh-CN" w:bidi="ar"/>
        </w:rPr>
        <w:t>3.工作开展。成立了由农机、计财、农建等部门主要业务技术骨干组成的2024年度机电提灌站建设项目绩效自评工作小组，工作小组通过实地核实项目实施情况、查阅项目痕迹资料、走访镇村干部、座谈项目区农户代表及项目业主等，自评工作小组核实结果为该项目建设内容与项目申报内容完全相符，综合评价为优。</w:t>
      </w:r>
    </w:p>
    <w:p w14:paraId="67664BB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二、评价实施</w:t>
      </w:r>
    </w:p>
    <w:p w14:paraId="00BC132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outlineLvl w:val="9"/>
        <w:rPr>
          <w:rFonts w:hint="default" w:ascii="仿宋" w:hAnsi="仿宋" w:eastAsia="仿宋" w:cs="仿宋"/>
          <w:b w:val="0"/>
          <w:bCs w:val="0"/>
          <w:color w:val="000000"/>
          <w:kern w:val="2"/>
          <w:sz w:val="32"/>
          <w:szCs w:val="32"/>
        </w:rPr>
      </w:pPr>
      <w:r>
        <w:rPr>
          <w:rFonts w:hint="default" w:ascii="楷体" w:hAnsi="楷体" w:eastAsia="楷体" w:cs="楷体"/>
          <w:b w:val="0"/>
          <w:bCs w:val="0"/>
          <w:snapToGrid/>
          <w:color w:val="000000"/>
          <w:kern w:val="0"/>
          <w:sz w:val="32"/>
          <w:szCs w:val="32"/>
          <w:lang w:val="en-US" w:eastAsia="zh-CN" w:bidi="ar"/>
        </w:rPr>
        <w:t>（一）评价目的。</w:t>
      </w:r>
      <w:r>
        <w:rPr>
          <w:rFonts w:hint="default" w:ascii="仿宋" w:hAnsi="仿宋" w:eastAsia="仿宋" w:cs="仿宋"/>
          <w:b w:val="0"/>
          <w:bCs w:val="0"/>
          <w:snapToGrid/>
          <w:color w:val="000000"/>
          <w:kern w:val="2"/>
          <w:sz w:val="32"/>
          <w:szCs w:val="32"/>
          <w:lang w:val="en-US" w:eastAsia="zh-CN" w:bidi="ar"/>
        </w:rPr>
        <w:t>充分发挥财政资金作用，实施好提灌站建设项目，切实改善全区农田灌溉条件，助力乡村振兴。</w:t>
      </w:r>
    </w:p>
    <w:p w14:paraId="7A9F61C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outlineLvl w:val="9"/>
        <w:rPr>
          <w:rFonts w:hint="default" w:ascii="仿宋" w:hAnsi="仿宋" w:eastAsia="仿宋" w:cs="仿宋"/>
          <w:b w:val="0"/>
          <w:bCs w:val="0"/>
          <w:color w:val="000000"/>
          <w:kern w:val="2"/>
          <w:sz w:val="32"/>
          <w:szCs w:val="32"/>
        </w:rPr>
      </w:pPr>
      <w:r>
        <w:rPr>
          <w:rFonts w:hint="default" w:ascii="楷体" w:hAnsi="楷体" w:eastAsia="楷体" w:cs="楷体"/>
          <w:b w:val="0"/>
          <w:bCs w:val="0"/>
          <w:snapToGrid/>
          <w:color w:val="000000"/>
          <w:kern w:val="0"/>
          <w:sz w:val="32"/>
          <w:szCs w:val="32"/>
          <w:lang w:val="en-US" w:eastAsia="zh-CN" w:bidi="ar"/>
        </w:rPr>
        <w:t>（二）评价重点。</w:t>
      </w:r>
      <w:r>
        <w:rPr>
          <w:rFonts w:hint="default" w:ascii="仿宋" w:hAnsi="仿宋" w:eastAsia="仿宋" w:cs="仿宋"/>
          <w:b w:val="0"/>
          <w:bCs w:val="0"/>
          <w:snapToGrid/>
          <w:color w:val="000000"/>
          <w:kern w:val="2"/>
          <w:sz w:val="32"/>
          <w:szCs w:val="32"/>
          <w:lang w:val="en-US" w:eastAsia="zh-CN" w:bidi="ar"/>
        </w:rPr>
        <w:t>项目的决策、管理、实施、结果及政策符合性、功能实现、群众满意度等。</w:t>
      </w:r>
    </w:p>
    <w:p w14:paraId="6079B0A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outlineLvl w:val="9"/>
        <w:rPr>
          <w:rFonts w:hint="default" w:ascii="仿宋" w:hAnsi="仿宋" w:eastAsia="仿宋" w:cs="仿宋"/>
          <w:b w:val="0"/>
          <w:bCs w:val="0"/>
          <w:color w:val="000000"/>
          <w:kern w:val="2"/>
          <w:sz w:val="32"/>
          <w:szCs w:val="32"/>
        </w:rPr>
      </w:pPr>
      <w:r>
        <w:rPr>
          <w:rFonts w:hint="default" w:ascii="楷体" w:hAnsi="楷体" w:eastAsia="楷体" w:cs="楷体"/>
          <w:b w:val="0"/>
          <w:bCs w:val="0"/>
          <w:snapToGrid/>
          <w:color w:val="000000"/>
          <w:kern w:val="0"/>
          <w:sz w:val="32"/>
          <w:szCs w:val="32"/>
          <w:lang w:val="en-US" w:eastAsia="zh-CN" w:bidi="ar"/>
        </w:rPr>
        <w:t>（三）评价方法。</w:t>
      </w:r>
      <w:r>
        <w:rPr>
          <w:rFonts w:hint="default" w:ascii="仿宋" w:hAnsi="仿宋" w:eastAsia="仿宋" w:cs="仿宋"/>
          <w:b w:val="0"/>
          <w:bCs w:val="0"/>
          <w:snapToGrid/>
          <w:color w:val="000000"/>
          <w:kern w:val="2"/>
          <w:sz w:val="32"/>
          <w:szCs w:val="32"/>
          <w:lang w:val="en-US" w:eastAsia="zh-CN" w:bidi="ar"/>
        </w:rPr>
        <w:t>通过核实项目、查阅痕迹资料、走访镇村干部和项目区农户等多种方法开展自评。</w:t>
      </w:r>
    </w:p>
    <w:p w14:paraId="4C4723C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outlineLvl w:val="9"/>
        <w:rPr>
          <w:rFonts w:hint="default" w:ascii="仿宋" w:hAnsi="仿宋" w:eastAsia="仿宋" w:cs="仿宋"/>
          <w:b w:val="0"/>
          <w:bCs w:val="0"/>
          <w:color w:val="000000"/>
          <w:kern w:val="2"/>
          <w:sz w:val="32"/>
          <w:szCs w:val="32"/>
        </w:rPr>
      </w:pPr>
      <w:r>
        <w:rPr>
          <w:rFonts w:hint="default" w:ascii="楷体" w:hAnsi="楷体" w:eastAsia="楷体" w:cs="楷体"/>
          <w:b w:val="0"/>
          <w:bCs w:val="0"/>
          <w:snapToGrid/>
          <w:color w:val="000000"/>
          <w:kern w:val="0"/>
          <w:sz w:val="32"/>
          <w:szCs w:val="32"/>
          <w:lang w:val="en-US" w:eastAsia="zh-CN" w:bidi="ar"/>
        </w:rPr>
        <w:t>（四）评价组织。</w:t>
      </w:r>
      <w:r>
        <w:rPr>
          <w:rFonts w:hint="default" w:ascii="仿宋" w:hAnsi="仿宋" w:eastAsia="仿宋" w:cs="仿宋"/>
          <w:b w:val="0"/>
          <w:bCs w:val="0"/>
          <w:snapToGrid/>
          <w:color w:val="000000"/>
          <w:kern w:val="2"/>
          <w:sz w:val="32"/>
          <w:szCs w:val="32"/>
          <w:lang w:val="en-US" w:eastAsia="zh-CN" w:bidi="ar"/>
        </w:rPr>
        <w:t>由局计财股股牵头，农机、农建等部门负责人组成并开展自评工作。</w:t>
      </w:r>
    </w:p>
    <w:p w14:paraId="0DF95D1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三、绩效分析</w:t>
      </w:r>
    </w:p>
    <w:p w14:paraId="334AF81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kern w:val="2"/>
          <w:sz w:val="32"/>
          <w:szCs w:val="32"/>
        </w:rPr>
      </w:pPr>
      <w:r>
        <w:rPr>
          <w:rFonts w:hint="default" w:ascii="仿宋" w:hAnsi="仿宋" w:eastAsia="仿宋" w:cs="仿宋"/>
          <w:b w:val="0"/>
          <w:bCs w:val="0"/>
          <w:snapToGrid/>
          <w:color w:val="000000"/>
          <w:kern w:val="2"/>
          <w:sz w:val="32"/>
          <w:szCs w:val="32"/>
          <w:lang w:val="en-US" w:eastAsia="zh-CN" w:bidi="ar"/>
        </w:rPr>
        <w:t>项目绩效分析主要包括产出指标（数量指标、质量指标、时效指标、成本指标）、效益指标（经济效益指标、社会效益指标、生态效益指标、可持续影响指标）、满意度指标（服务对象满意度指标）等，2024年，全区共完成提灌站建设16座,其中新建提灌站5座，改造提灌站11座，保灌能力≥0.64万亩，使用年限≥15年，工程验收合格率100%,群众满意率90%。</w:t>
      </w:r>
    </w:p>
    <w:p w14:paraId="152307E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四、评价结论</w:t>
      </w:r>
    </w:p>
    <w:p w14:paraId="138610C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kern w:val="2"/>
          <w:sz w:val="32"/>
          <w:szCs w:val="32"/>
        </w:rPr>
      </w:pPr>
      <w:r>
        <w:rPr>
          <w:rFonts w:hint="default" w:ascii="仿宋" w:hAnsi="仿宋" w:eastAsia="仿宋" w:cs="仿宋"/>
          <w:b w:val="0"/>
          <w:bCs w:val="0"/>
          <w:snapToGrid/>
          <w:color w:val="000000"/>
          <w:kern w:val="2"/>
          <w:sz w:val="32"/>
          <w:szCs w:val="32"/>
          <w:lang w:val="en-US" w:eastAsia="zh-CN" w:bidi="ar"/>
        </w:rPr>
        <w:t>通过逐项自评，我区实施的2024年度机电提灌站建设项目自评结论为优。</w:t>
      </w:r>
    </w:p>
    <w:p w14:paraId="4180C07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五、存在的主要问题</w:t>
      </w:r>
    </w:p>
    <w:p w14:paraId="30D2BDE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kern w:val="2"/>
          <w:sz w:val="32"/>
          <w:szCs w:val="32"/>
        </w:rPr>
      </w:pPr>
      <w:r>
        <w:rPr>
          <w:rFonts w:hint="default" w:ascii="仿宋" w:hAnsi="仿宋" w:eastAsia="仿宋" w:cs="仿宋"/>
          <w:b w:val="0"/>
          <w:bCs w:val="0"/>
          <w:snapToGrid/>
          <w:color w:val="000000"/>
          <w:kern w:val="2"/>
          <w:sz w:val="32"/>
          <w:szCs w:val="32"/>
          <w:lang w:val="en-US" w:eastAsia="zh-CN" w:bidi="ar"/>
        </w:rPr>
        <w:t>由于村（社区）文员变动频繁，文化参差不齐等原因，缺乏项目实施痕迹记录意识，存在时有资料收集不全的现象。</w:t>
      </w:r>
    </w:p>
    <w:p w14:paraId="42E38FB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六、改进建议</w:t>
      </w:r>
    </w:p>
    <w:p w14:paraId="5DA45AF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kern w:val="2"/>
          <w:sz w:val="32"/>
          <w:szCs w:val="32"/>
        </w:rPr>
      </w:pPr>
      <w:r>
        <w:rPr>
          <w:rFonts w:hint="default" w:ascii="仿宋" w:hAnsi="仿宋" w:eastAsia="仿宋" w:cs="仿宋"/>
          <w:b w:val="0"/>
          <w:bCs w:val="0"/>
          <w:snapToGrid/>
          <w:color w:val="000000"/>
          <w:kern w:val="2"/>
          <w:sz w:val="32"/>
          <w:szCs w:val="32"/>
          <w:lang w:val="en-US" w:eastAsia="zh-CN" w:bidi="ar"/>
        </w:rPr>
        <w:t>督促各乡镇（街道）稳定村（社区）文员，并加强文员培训，提高业务水平，确保项目资料规范和完善。</w:t>
      </w:r>
    </w:p>
    <w:p w14:paraId="2B38306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kern w:val="2"/>
          <w:sz w:val="32"/>
          <w:szCs w:val="32"/>
        </w:rPr>
      </w:pPr>
      <w:r>
        <w:rPr>
          <w:rFonts w:hint="default" w:ascii="仿宋" w:hAnsi="仿宋" w:eastAsia="仿宋" w:cs="仿宋"/>
          <w:b w:val="0"/>
          <w:bCs w:val="0"/>
          <w:snapToGrid/>
          <w:color w:val="000000"/>
          <w:kern w:val="2"/>
          <w:sz w:val="32"/>
          <w:szCs w:val="32"/>
          <w:lang w:val="en-US" w:eastAsia="zh-CN" w:bidi="ar"/>
        </w:rPr>
        <w:t xml:space="preserve"> </w:t>
      </w:r>
    </w:p>
    <w:p w14:paraId="65BFA9C2">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outlineLvl w:val="9"/>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br w:type="page"/>
      </w:r>
    </w:p>
    <w:p w14:paraId="34069908">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b w:val="0"/>
          <w:bCs/>
          <w:snapToGrid/>
          <w:color w:val="000000"/>
          <w:kern w:val="0"/>
          <w:sz w:val="44"/>
          <w:szCs w:val="44"/>
          <w:lang w:val="en-US" w:eastAsia="zh-CN" w:bidi="ar"/>
        </w:rPr>
        <w:t>2024年农机作业通行条件建设项目</w:t>
      </w:r>
    </w:p>
    <w:p w14:paraId="037642B8">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b w:val="0"/>
          <w:bCs/>
          <w:snapToGrid/>
          <w:color w:val="000000"/>
          <w:kern w:val="0"/>
          <w:sz w:val="44"/>
          <w:szCs w:val="44"/>
          <w:lang w:val="en-US" w:eastAsia="zh-CN" w:bidi="ar"/>
        </w:rPr>
        <w:t>绩效自评报告</w:t>
      </w:r>
    </w:p>
    <w:p w14:paraId="4EAB64BA">
      <w:pPr>
        <w:keepNext w:val="0"/>
        <w:keepLines w:val="0"/>
        <w:widowControl w:val="0"/>
        <w:suppressLineNumbers w:val="0"/>
        <w:kinsoku w:val="0"/>
        <w:autoSpaceDE w:val="0"/>
        <w:autoSpaceDN/>
        <w:adjustRightInd w:val="0"/>
        <w:snapToGrid w:val="0"/>
        <w:spacing w:before="0" w:beforeAutospacing="0" w:after="0" w:afterAutospacing="0" w:line="544"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 </w:t>
      </w:r>
    </w:p>
    <w:p w14:paraId="7D11385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一、项目概况</w:t>
      </w:r>
    </w:p>
    <w:p w14:paraId="56DB226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（一）设立背景及基本情况</w:t>
      </w:r>
    </w:p>
    <w:p w14:paraId="46A4993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vertAlign w:val="baseline"/>
        </w:rPr>
      </w:pPr>
      <w:r>
        <w:rPr>
          <w:rFonts w:hint="default" w:ascii="仿宋" w:hAnsi="仿宋" w:eastAsia="仿宋" w:cs="仿宋"/>
          <w:b w:val="0"/>
          <w:bCs w:val="0"/>
          <w:snapToGrid/>
          <w:color w:val="000000"/>
          <w:kern w:val="0"/>
          <w:sz w:val="32"/>
          <w:szCs w:val="32"/>
          <w:vertAlign w:val="baseline"/>
          <w:lang w:val="en-US" w:eastAsia="zh-CN" w:bidi="ar"/>
        </w:rPr>
        <w:t>1.设立背景</w:t>
      </w:r>
    </w:p>
    <w:p w14:paraId="62807C2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根据党的十九届五中全会精神和习近平总书记“补齐农业现代装备短板”的重要指示、《国务院关于加快推进农业机械化和农机装备产业转型升级的指导意见》（国发〔2018〕42号）、《四川省人民政府关于加快推进农业机械化和农机装备产业转型升级的实施意见》（川府发〔2019〕24号）、《四川省农业农村厅关于做好2024年农机作业通行条件建设项目实施工作的通知》（N[2024]-2562号）等精神立项。</w:t>
      </w:r>
    </w:p>
    <w:p w14:paraId="20D8481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vertAlign w:val="baseline"/>
        </w:rPr>
      </w:pPr>
      <w:r>
        <w:rPr>
          <w:rFonts w:hint="default" w:ascii="仿宋" w:hAnsi="仿宋" w:eastAsia="仿宋" w:cs="仿宋"/>
          <w:b w:val="0"/>
          <w:bCs w:val="0"/>
          <w:snapToGrid/>
          <w:color w:val="000000"/>
          <w:kern w:val="0"/>
          <w:sz w:val="32"/>
          <w:szCs w:val="32"/>
          <w:vertAlign w:val="baseline"/>
          <w:lang w:val="en-US" w:eastAsia="zh-CN" w:bidi="ar"/>
        </w:rPr>
        <w:t>2.基本情况</w:t>
      </w:r>
    </w:p>
    <w:p w14:paraId="0E89CCE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vertAlign w:val="baseline"/>
        </w:rPr>
      </w:pPr>
      <w:r>
        <w:rPr>
          <w:rFonts w:hint="default" w:ascii="仿宋" w:hAnsi="仿宋" w:eastAsia="仿宋" w:cs="仿宋"/>
          <w:b w:val="0"/>
          <w:bCs w:val="0"/>
          <w:snapToGrid/>
          <w:color w:val="000000"/>
          <w:kern w:val="0"/>
          <w:sz w:val="32"/>
          <w:szCs w:val="32"/>
          <w:vertAlign w:val="baseline"/>
          <w:lang w:val="en-US" w:eastAsia="zh-CN" w:bidi="ar"/>
        </w:rPr>
        <w:t>该项目经主体申报、乡镇(街道)推荐后，区农业农村局进行主体遴选，经公示无异议后确定项目实施主体，由项目实施主体确定具有相关设计资质的设计单位现场勘测设计并编制项目实施方案，在此基础上我局编制区级项目实施方案，报区人民政府审批后由主体自行组织实施。2024年，全区完成农机作业通行条件建设项目面积2064亩，</w:t>
      </w:r>
      <w:r>
        <w:rPr>
          <w:rFonts w:hint="default" w:ascii="仿宋" w:hAnsi="仿宋" w:eastAsia="仿宋" w:cs="仿宋"/>
          <w:b w:val="0"/>
          <w:bCs w:val="0"/>
          <w:snapToGrid/>
          <w:color w:val="000000"/>
          <w:kern w:val="2"/>
          <w:sz w:val="32"/>
          <w:szCs w:val="32"/>
          <w:vertAlign w:val="baseline"/>
          <w:lang w:val="en-US" w:eastAsia="zh-CN" w:bidi="ar"/>
        </w:rPr>
        <w:t>涉及2个乡镇和1个街道共6个行政村，其中：三堆镇海松种植专业合作社完成332亩、龙潭乡弘伟农业有限公司完成405亩、龙潭乡绿硕水果农民专业合作社完成326亩、嘉陵街道金茂园种养殖家庭农场完成713亩、嘉陵街道永华家庭农场完成288亩。</w:t>
      </w:r>
    </w:p>
    <w:p w14:paraId="54A51691">
      <w:pPr>
        <w:keepNext w:val="0"/>
        <w:keepLines w:val="0"/>
        <w:widowControl w:val="0"/>
        <w:suppressLineNumbers w:val="0"/>
        <w:kinsoku w:val="0"/>
        <w:autoSpaceDE w:val="0"/>
        <w:autoSpaceDN/>
        <w:adjustRightInd w:val="0"/>
        <w:snapToGrid w:val="0"/>
        <w:spacing w:before="0" w:beforeAutospacing="0" w:after="0" w:afterAutospacing="0" w:line="544" w:lineRule="exact"/>
        <w:ind w:left="0" w:right="0" w:firstLine="640" w:firstLineChars="200"/>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（二）实施目的及支持方向</w:t>
      </w:r>
    </w:p>
    <w:p w14:paraId="1294AA42">
      <w:pPr>
        <w:keepNext w:val="0"/>
        <w:keepLines w:val="0"/>
        <w:widowControl w:val="0"/>
        <w:suppressLineNumbers w:val="0"/>
        <w:kinsoku w:val="0"/>
        <w:autoSpaceDE w:val="0"/>
        <w:autoSpaceDN/>
        <w:adjustRightInd w:val="0"/>
        <w:snapToGrid w:val="0"/>
        <w:spacing w:before="0" w:beforeAutospacing="0" w:after="0" w:afterAutospacing="0" w:line="544"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1.实施目的。改善农机作业条件、提升农作物耕种收综合机械化水平、培育壮大农业主体、提高粮食和重要农副产品供给保障能力和促进乡村全面振兴。</w:t>
      </w:r>
    </w:p>
    <w:p w14:paraId="48D44240">
      <w:pPr>
        <w:keepNext w:val="0"/>
        <w:keepLines w:val="0"/>
        <w:widowControl w:val="0"/>
        <w:suppressLineNumbers w:val="0"/>
        <w:kinsoku w:val="0"/>
        <w:autoSpaceDE w:val="0"/>
        <w:autoSpaceDN/>
        <w:adjustRightInd w:val="0"/>
        <w:snapToGrid w:val="0"/>
        <w:spacing w:before="0" w:beforeAutospacing="0" w:after="0" w:afterAutospacing="0" w:line="544"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2.支持方向。项目资金以粮油为重点，按照“先易后难”的原则，优先选择已经规模化流转地块、低效园改造提升、土地集中连片规模化经营、具备农村“三变”条件、地方政府积极性高、宜居宜业和美乡村等选点布局。</w:t>
      </w:r>
    </w:p>
    <w:p w14:paraId="798C3E22">
      <w:pPr>
        <w:keepNext w:val="0"/>
        <w:keepLines w:val="0"/>
        <w:widowControl w:val="0"/>
        <w:suppressLineNumbers w:val="0"/>
        <w:kinsoku w:val="0"/>
        <w:autoSpaceDE w:val="0"/>
        <w:autoSpaceDN/>
        <w:adjustRightInd w:val="0"/>
        <w:snapToGrid w:val="0"/>
        <w:spacing w:before="0" w:beforeAutospacing="0" w:after="0" w:afterAutospacing="0" w:line="544" w:lineRule="exact"/>
        <w:ind w:left="0" w:right="0" w:firstLine="640" w:firstLineChars="200"/>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（三）预算安排及支持方向</w:t>
      </w:r>
    </w:p>
    <w:p w14:paraId="2B55968B">
      <w:pPr>
        <w:pStyle w:val="24"/>
        <w:keepNext w:val="0"/>
        <w:keepLines w:val="0"/>
        <w:widowControl w:val="0"/>
        <w:suppressLineNumbers w:val="0"/>
        <w:pBdr>
          <w:top w:val="none" w:color="auto" w:sz="0" w:space="0"/>
          <w:left w:val="none" w:color="auto" w:sz="0" w:space="0"/>
          <w:bottom w:val="none" w:color="auto" w:sz="0" w:space="0"/>
          <w:right w:val="none" w:color="auto" w:sz="0" w:space="0"/>
        </w:pBdr>
        <w:kinsoku/>
        <w:autoSpaceDE w:val="0"/>
        <w:autoSpaceDN/>
        <w:adjustRightInd/>
        <w:snapToGrid/>
        <w:spacing w:before="0" w:beforeAutospacing="0" w:after="0" w:afterAutospacing="0" w:line="544" w:lineRule="exact"/>
        <w:ind w:left="0" w:right="0" w:firstLine="640" w:firstLineChars="200"/>
        <w:jc w:val="both"/>
        <w:textAlignment w:val="baseline"/>
        <w:rPr>
          <w:rFonts w:hint="default" w:ascii="仿宋" w:hAnsi="仿宋" w:eastAsia="仿宋" w:cs="仿宋"/>
          <w:b w:val="0"/>
          <w:bCs w:val="0"/>
          <w:spacing w:val="0"/>
          <w:kern w:val="0"/>
          <w:sz w:val="32"/>
          <w:szCs w:val="32"/>
          <w:vertAlign w:val="baseline"/>
        </w:rPr>
      </w:pPr>
      <w:r>
        <w:rPr>
          <w:rFonts w:hint="default" w:ascii="仿宋" w:hAnsi="仿宋" w:eastAsia="仿宋" w:cs="仿宋"/>
          <w:b w:val="0"/>
          <w:bCs w:val="0"/>
          <w:snapToGrid/>
          <w:color w:val="auto"/>
          <w:spacing w:val="0"/>
          <w:w w:val="100"/>
          <w:kern w:val="0"/>
          <w:position w:val="0"/>
          <w:sz w:val="32"/>
          <w:szCs w:val="32"/>
          <w:u w:val="none" w:color="auto"/>
          <w:vertAlign w:val="baseline"/>
          <w:lang w:val="en-US" w:eastAsia="zh-CN" w:bidi="ar"/>
        </w:rPr>
        <w:t>1.预算安排。2024年，省农业农村厅安排我区农机作业通行条件建设项目资金300万元。我区经主体申报、乡镇推荐、专家评审、局党组审定、区政府审批等程序，项目补助资金安排如下：</w:t>
      </w:r>
      <w:r>
        <w:rPr>
          <w:rFonts w:hint="default" w:ascii="仿宋" w:hAnsi="仿宋" w:eastAsia="仿宋" w:cs="仿宋"/>
          <w:b w:val="0"/>
          <w:bCs w:val="0"/>
          <w:snapToGrid/>
          <w:color w:val="auto"/>
          <w:spacing w:val="0"/>
          <w:w w:val="100"/>
          <w:kern w:val="2"/>
          <w:position w:val="0"/>
          <w:sz w:val="32"/>
          <w:szCs w:val="32"/>
          <w:u w:val="none" w:color="auto"/>
          <w:vertAlign w:val="baseline"/>
          <w:lang w:val="en-US" w:eastAsia="zh-CN" w:bidi="ar"/>
        </w:rPr>
        <w:t>三堆镇海松种植专业合作社49.5万元、龙潭乡弘伟农业有限公司60万元、龙潭乡绿硕水果农民专业合作社48万元、嘉陵街道金茂园种养殖家庭农场100.5万元、嘉陵街道永华家庭农场42万元。</w:t>
      </w:r>
    </w:p>
    <w:p w14:paraId="294F5672">
      <w:pPr>
        <w:keepNext w:val="0"/>
        <w:keepLines w:val="0"/>
        <w:widowControl w:val="0"/>
        <w:suppressLineNumbers w:val="0"/>
        <w:kinsoku w:val="0"/>
        <w:autoSpaceDE w:val="0"/>
        <w:autoSpaceDN/>
        <w:adjustRightInd w:val="0"/>
        <w:snapToGrid w:val="0"/>
        <w:spacing w:before="0" w:beforeAutospacing="0" w:after="0" w:afterAutospacing="0" w:line="544" w:lineRule="exact"/>
        <w:ind w:left="0" w:right="0" w:firstLine="640" w:firstLineChars="200"/>
        <w:jc w:val="both"/>
        <w:textAlignment w:val="baseline"/>
        <w:rPr>
          <w:rFonts w:hint="default" w:ascii="仿宋" w:hAnsi="仿宋" w:eastAsia="仿宋" w:cs="仿宋"/>
          <w:b w:val="0"/>
          <w:bCs w:val="0"/>
          <w:color w:val="000000"/>
          <w:kern w:val="2"/>
          <w:sz w:val="32"/>
          <w:szCs w:val="32"/>
        </w:rPr>
      </w:pPr>
      <w:r>
        <w:rPr>
          <w:rFonts w:hint="default" w:ascii="仿宋" w:hAnsi="仿宋" w:eastAsia="仿宋" w:cs="仿宋"/>
          <w:b w:val="0"/>
          <w:bCs w:val="0"/>
          <w:snapToGrid/>
          <w:color w:val="000000"/>
          <w:kern w:val="0"/>
          <w:sz w:val="32"/>
          <w:szCs w:val="32"/>
          <w:lang w:val="en-US" w:eastAsia="zh-CN" w:bidi="ar"/>
        </w:rPr>
        <w:t>2.支持方向。</w:t>
      </w:r>
      <w:r>
        <w:rPr>
          <w:rFonts w:hint="default" w:ascii="仿宋" w:hAnsi="仿宋" w:eastAsia="仿宋" w:cs="仿宋"/>
          <w:b w:val="0"/>
          <w:bCs w:val="0"/>
          <w:snapToGrid/>
          <w:color w:val="000000"/>
          <w:kern w:val="2"/>
          <w:sz w:val="32"/>
          <w:szCs w:val="32"/>
          <w:lang w:val="en-US" w:eastAsia="zh-CN" w:bidi="ar"/>
        </w:rPr>
        <w:t>乡镇（街道）和村（社区）支持、申报积极性高且符合条件的主体。</w:t>
      </w:r>
    </w:p>
    <w:p w14:paraId="457F4DBB">
      <w:pPr>
        <w:keepNext w:val="0"/>
        <w:keepLines w:val="0"/>
        <w:widowControl w:val="0"/>
        <w:suppressLineNumbers w:val="0"/>
        <w:kinsoku w:val="0"/>
        <w:autoSpaceDE w:val="0"/>
        <w:autoSpaceDN/>
        <w:adjustRightInd w:val="0"/>
        <w:snapToGrid w:val="0"/>
        <w:spacing w:before="0" w:beforeAutospacing="0" w:after="0" w:afterAutospacing="0" w:line="544" w:lineRule="exact"/>
        <w:ind w:left="0" w:right="0" w:firstLine="640" w:firstLineChars="200"/>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（四）项目绩效目标设置</w:t>
      </w:r>
    </w:p>
    <w:p w14:paraId="39A1CDEA">
      <w:pPr>
        <w:pStyle w:val="24"/>
        <w:keepNext w:val="0"/>
        <w:keepLines w:val="0"/>
        <w:widowControl w:val="0"/>
        <w:suppressLineNumbers w:val="0"/>
        <w:kinsoku w:val="0"/>
        <w:autoSpaceDE w:val="0"/>
        <w:autoSpaceDN/>
        <w:adjustRightInd w:val="0"/>
        <w:snapToGrid w:val="0"/>
        <w:spacing w:before="0" w:beforeAutospacing="0" w:after="0" w:afterAutospacing="0" w:line="544"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项目绩效目标设置主要包括产出指标、效益指标和满意度指标等，该项目拟改造地块2064亩，其中建设集中连片面积200亩以上的全程机械化推广应用基地4个，集中连片面积1000亩的全程机械化推广应用基地1个。项目建成后，大中型农业机械地块通达率达100%。</w:t>
      </w:r>
    </w:p>
    <w:p w14:paraId="2617DE35">
      <w:pPr>
        <w:keepNext w:val="0"/>
        <w:keepLines w:val="0"/>
        <w:widowControl w:val="0"/>
        <w:suppressLineNumbers w:val="0"/>
        <w:kinsoku w:val="0"/>
        <w:autoSpaceDE w:val="0"/>
        <w:autoSpaceDN/>
        <w:adjustRightInd w:val="0"/>
        <w:snapToGrid w:val="0"/>
        <w:spacing w:before="0" w:beforeAutospacing="0" w:after="0" w:afterAutospacing="0" w:line="544"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二、评价实施</w:t>
      </w:r>
    </w:p>
    <w:p w14:paraId="1AF01DE2">
      <w:pPr>
        <w:pStyle w:val="24"/>
        <w:keepNext w:val="0"/>
        <w:keepLines w:val="0"/>
        <w:widowControl w:val="0"/>
        <w:suppressLineNumbers w:val="0"/>
        <w:kinsoku w:val="0"/>
        <w:autoSpaceDE w:val="0"/>
        <w:autoSpaceDN/>
        <w:adjustRightInd w:val="0"/>
        <w:snapToGrid w:val="0"/>
        <w:spacing w:before="0" w:beforeAutospacing="1" w:after="120" w:afterAutospacing="0" w:line="544" w:lineRule="exact"/>
        <w:ind w:left="0" w:leftChars="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楷体" w:hAnsi="楷体" w:eastAsia="楷体" w:cs="楷体"/>
          <w:b w:val="0"/>
          <w:bCs w:val="0"/>
          <w:snapToGrid/>
          <w:color w:val="000000"/>
          <w:kern w:val="2"/>
          <w:sz w:val="32"/>
          <w:szCs w:val="32"/>
          <w:lang w:val="en-US" w:eastAsia="zh-CN" w:bidi="ar"/>
        </w:rPr>
        <w:t>（一）评价目的。</w:t>
      </w:r>
      <w:r>
        <w:rPr>
          <w:rFonts w:hint="default" w:ascii="仿宋" w:hAnsi="仿宋" w:eastAsia="仿宋" w:cs="仿宋"/>
          <w:b w:val="0"/>
          <w:bCs w:val="0"/>
          <w:snapToGrid/>
          <w:color w:val="000000"/>
          <w:kern w:val="0"/>
          <w:sz w:val="32"/>
          <w:szCs w:val="32"/>
          <w:lang w:val="en-US" w:eastAsia="zh-CN" w:bidi="ar"/>
        </w:rPr>
        <w:t>充分发挥财政资金杠杆作用，撬动社会民间资本投入农业生产，实现乡村全面振兴。</w:t>
      </w:r>
    </w:p>
    <w:p w14:paraId="34259756">
      <w:pPr>
        <w:pStyle w:val="24"/>
        <w:keepNext w:val="0"/>
        <w:keepLines w:val="0"/>
        <w:widowControl w:val="0"/>
        <w:suppressLineNumbers w:val="0"/>
        <w:kinsoku w:val="0"/>
        <w:autoSpaceDE w:val="0"/>
        <w:autoSpaceDN/>
        <w:adjustRightInd w:val="0"/>
        <w:snapToGrid w:val="0"/>
        <w:spacing w:before="0" w:beforeAutospacing="1" w:after="120" w:afterAutospacing="0" w:line="544" w:lineRule="exact"/>
        <w:ind w:left="0" w:leftChars="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楷体" w:hAnsi="楷体" w:eastAsia="楷体" w:cs="楷体"/>
          <w:b w:val="0"/>
          <w:bCs w:val="0"/>
          <w:snapToGrid/>
          <w:color w:val="000000"/>
          <w:kern w:val="2"/>
          <w:sz w:val="32"/>
          <w:szCs w:val="32"/>
          <w:lang w:val="en-US" w:eastAsia="zh-CN" w:bidi="ar"/>
        </w:rPr>
        <w:t>（二）评价重点。</w:t>
      </w:r>
      <w:r>
        <w:rPr>
          <w:rFonts w:hint="default" w:ascii="仿宋" w:hAnsi="仿宋" w:eastAsia="仿宋" w:cs="仿宋"/>
          <w:b w:val="0"/>
          <w:bCs w:val="0"/>
          <w:snapToGrid/>
          <w:color w:val="000000"/>
          <w:kern w:val="0"/>
          <w:sz w:val="32"/>
          <w:szCs w:val="32"/>
          <w:lang w:val="en-US" w:eastAsia="zh-CN" w:bidi="ar"/>
        </w:rPr>
        <w:t>项目的决策、管理、实施、结果及政策符合性、功能实现、群众满意度、单个项目区规模、大中型农业机械地块通达率等。</w:t>
      </w:r>
    </w:p>
    <w:p w14:paraId="155015B1">
      <w:pPr>
        <w:keepNext w:val="0"/>
        <w:keepLines w:val="0"/>
        <w:widowControl w:val="0"/>
        <w:suppressLineNumbers w:val="0"/>
        <w:kinsoku w:val="0"/>
        <w:autoSpaceDE w:val="0"/>
        <w:autoSpaceDN/>
        <w:adjustRightInd w:val="0"/>
        <w:snapToGrid w:val="0"/>
        <w:spacing w:before="0" w:beforeAutospacing="0" w:after="0" w:afterAutospacing="0" w:line="544"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（三）评价方法。</w:t>
      </w:r>
      <w:r>
        <w:rPr>
          <w:rFonts w:hint="default" w:ascii="仿宋" w:hAnsi="仿宋" w:eastAsia="仿宋" w:cs="仿宋"/>
          <w:b w:val="0"/>
          <w:bCs w:val="0"/>
          <w:snapToGrid/>
          <w:color w:val="000000"/>
          <w:kern w:val="0"/>
          <w:sz w:val="32"/>
          <w:szCs w:val="32"/>
          <w:lang w:val="en-US" w:eastAsia="zh-CN" w:bidi="ar"/>
        </w:rPr>
        <w:t>通过实地核实项目、查阅痕迹资料、走访镇村干部、座谈项目区农户等多种方法开展自评。</w:t>
      </w:r>
    </w:p>
    <w:p w14:paraId="15627545">
      <w:pPr>
        <w:keepNext w:val="0"/>
        <w:keepLines w:val="0"/>
        <w:widowControl w:val="0"/>
        <w:suppressLineNumbers w:val="0"/>
        <w:kinsoku w:val="0"/>
        <w:autoSpaceDE w:val="0"/>
        <w:autoSpaceDN/>
        <w:adjustRightInd w:val="0"/>
        <w:snapToGrid w:val="0"/>
        <w:spacing w:before="0" w:beforeAutospacing="0" w:after="0" w:afterAutospacing="0" w:line="544"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（四）评价组织。</w:t>
      </w:r>
      <w:r>
        <w:rPr>
          <w:rFonts w:hint="default" w:ascii="仿宋" w:hAnsi="仿宋" w:eastAsia="仿宋" w:cs="仿宋"/>
          <w:b w:val="0"/>
          <w:bCs w:val="0"/>
          <w:snapToGrid/>
          <w:color w:val="000000"/>
          <w:kern w:val="0"/>
          <w:sz w:val="32"/>
          <w:szCs w:val="32"/>
          <w:lang w:val="en-US" w:eastAsia="zh-CN" w:bidi="ar"/>
        </w:rPr>
        <w:t>由局农业机械化股牵头，计财、纪检等部门负责人组成并开展自评工作。</w:t>
      </w:r>
    </w:p>
    <w:p w14:paraId="6910804D">
      <w:pPr>
        <w:keepNext w:val="0"/>
        <w:keepLines w:val="0"/>
        <w:widowControl w:val="0"/>
        <w:suppressLineNumbers w:val="0"/>
        <w:kinsoku w:val="0"/>
        <w:autoSpaceDE w:val="0"/>
        <w:autoSpaceDN/>
        <w:adjustRightInd w:val="0"/>
        <w:snapToGrid w:val="0"/>
        <w:spacing w:before="0" w:beforeAutospacing="0" w:after="0" w:afterAutospacing="0" w:line="544"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三、绩效分析</w:t>
      </w:r>
    </w:p>
    <w:p w14:paraId="5074032A">
      <w:pPr>
        <w:pStyle w:val="24"/>
        <w:keepNext w:val="0"/>
        <w:keepLines w:val="0"/>
        <w:widowControl w:val="0"/>
        <w:suppressLineNumbers w:val="0"/>
        <w:kinsoku w:val="0"/>
        <w:autoSpaceDE w:val="0"/>
        <w:autoSpaceDN/>
        <w:adjustRightInd w:val="0"/>
        <w:snapToGrid w:val="0"/>
        <w:spacing w:before="0" w:beforeAutospacing="1" w:after="120" w:afterAutospacing="0" w:line="544" w:lineRule="exact"/>
        <w:ind w:left="0" w:leftChars="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根据“通用指标”中的项目决策、项目管理、项目实施、项目结果，“专用指标”中的政策符合性、功能实现、产业恢复及群众满意度，“个性指标”及预算绩效评价指标体系“通用指标”“专用指标”“个性指标”中的单个项目区规模、大中型农业机械地块通达等指标进行逐项分析并评分。</w:t>
      </w:r>
    </w:p>
    <w:p w14:paraId="7062E429">
      <w:pPr>
        <w:keepNext w:val="0"/>
        <w:keepLines w:val="0"/>
        <w:widowControl w:val="0"/>
        <w:suppressLineNumbers w:val="0"/>
        <w:kinsoku w:val="0"/>
        <w:autoSpaceDE w:val="0"/>
        <w:autoSpaceDN/>
        <w:adjustRightInd w:val="0"/>
        <w:snapToGrid w:val="0"/>
        <w:spacing w:before="0" w:beforeAutospacing="0" w:after="0" w:afterAutospacing="0" w:line="544"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四、评价结论</w:t>
      </w:r>
    </w:p>
    <w:p w14:paraId="67C4EB76">
      <w:pPr>
        <w:keepNext w:val="0"/>
        <w:keepLines w:val="0"/>
        <w:widowControl w:val="0"/>
        <w:suppressLineNumbers w:val="0"/>
        <w:kinsoku w:val="0"/>
        <w:autoSpaceDE w:val="0"/>
        <w:autoSpaceDN/>
        <w:adjustRightInd w:val="0"/>
        <w:snapToGrid w:val="0"/>
        <w:spacing w:before="0" w:beforeAutospacing="0" w:after="0" w:afterAutospacing="0" w:line="544" w:lineRule="exact"/>
        <w:ind w:left="0" w:right="0" w:firstLine="640" w:firstLineChars="200"/>
        <w:jc w:val="both"/>
        <w:textAlignment w:val="baseline"/>
        <w:rPr>
          <w:rFonts w:hint="default" w:ascii="仿宋" w:hAnsi="仿宋" w:eastAsia="仿宋" w:cs="仿宋"/>
          <w:b w:val="0"/>
          <w:bCs w:val="0"/>
          <w:kern w:val="0"/>
          <w:sz w:val="32"/>
          <w:szCs w:val="32"/>
        </w:rPr>
      </w:pPr>
      <w:r>
        <w:rPr>
          <w:rFonts w:hint="default" w:ascii="仿宋" w:hAnsi="仿宋" w:eastAsia="仿宋" w:cs="仿宋"/>
          <w:b w:val="0"/>
          <w:bCs w:val="0"/>
          <w:snapToGrid/>
          <w:color w:val="000000"/>
          <w:kern w:val="0"/>
          <w:sz w:val="32"/>
          <w:szCs w:val="32"/>
          <w:lang w:val="en-US" w:eastAsia="zh-CN" w:bidi="ar"/>
        </w:rPr>
        <w:t>通过逐项自评，2024年农机作业通行条件建设项目评价结论为优。</w:t>
      </w:r>
    </w:p>
    <w:p w14:paraId="2ACE6F78">
      <w:pPr>
        <w:keepNext w:val="0"/>
        <w:keepLines w:val="0"/>
        <w:widowControl w:val="0"/>
        <w:suppressLineNumbers w:val="0"/>
        <w:kinsoku w:val="0"/>
        <w:autoSpaceDE w:val="0"/>
        <w:autoSpaceDN/>
        <w:adjustRightInd w:val="0"/>
        <w:snapToGrid w:val="0"/>
        <w:spacing w:before="0" w:beforeAutospacing="0" w:after="0" w:afterAutospacing="0" w:line="544"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五、存在的主要问题</w:t>
      </w:r>
    </w:p>
    <w:p w14:paraId="2EA96968">
      <w:pPr>
        <w:pStyle w:val="24"/>
        <w:keepNext w:val="0"/>
        <w:keepLines w:val="0"/>
        <w:widowControl w:val="0"/>
        <w:suppressLineNumbers w:val="0"/>
        <w:kinsoku w:val="0"/>
        <w:autoSpaceDE w:val="0"/>
        <w:autoSpaceDN/>
        <w:adjustRightInd w:val="0"/>
        <w:snapToGrid w:val="0"/>
        <w:spacing w:before="0" w:beforeAutospacing="1" w:after="120" w:afterAutospacing="0" w:line="544" w:lineRule="exact"/>
        <w:ind w:left="0" w:leftChars="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楷体" w:hAnsi="楷体" w:eastAsia="楷体" w:cs="楷体"/>
          <w:b w:val="0"/>
          <w:bCs w:val="0"/>
          <w:snapToGrid/>
          <w:color w:val="000000"/>
          <w:kern w:val="2"/>
          <w:sz w:val="32"/>
          <w:szCs w:val="32"/>
          <w:lang w:val="en-US" w:eastAsia="zh-CN" w:bidi="ar"/>
        </w:rPr>
        <w:t>（一）</w:t>
      </w:r>
      <w:r>
        <w:rPr>
          <w:rFonts w:hint="default" w:ascii="仿宋" w:hAnsi="仿宋" w:eastAsia="仿宋" w:cs="仿宋"/>
          <w:b w:val="0"/>
          <w:bCs w:val="0"/>
          <w:snapToGrid/>
          <w:color w:val="000000"/>
          <w:kern w:val="0"/>
          <w:sz w:val="32"/>
          <w:szCs w:val="32"/>
          <w:lang w:val="en-US" w:eastAsia="zh-CN" w:bidi="ar"/>
        </w:rPr>
        <w:t>受丘陵山区自然条件限制，集中连片200-1000亩以上的地块较少，因此只能选择相对集中连片的地块实施农机作业通行条件建设项目。</w:t>
      </w:r>
    </w:p>
    <w:p w14:paraId="54F3EE32">
      <w:pPr>
        <w:keepNext w:val="0"/>
        <w:keepLines w:val="0"/>
        <w:widowControl w:val="0"/>
        <w:suppressLineNumbers w:val="0"/>
        <w:kinsoku w:val="0"/>
        <w:autoSpaceDE w:val="0"/>
        <w:autoSpaceDN/>
        <w:adjustRightInd w:val="0"/>
        <w:snapToGrid w:val="0"/>
        <w:spacing w:before="0" w:beforeAutospacing="0" w:after="0" w:afterAutospacing="0" w:line="544"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w:t>
      </w:r>
      <w:r>
        <w:rPr>
          <w:rFonts w:hint="default" w:ascii="仿宋" w:hAnsi="仿宋" w:eastAsia="仿宋" w:cs="仿宋"/>
          <w:b w:val="0"/>
          <w:bCs w:val="0"/>
          <w:snapToGrid/>
          <w:color w:val="000000"/>
          <w:kern w:val="0"/>
          <w:sz w:val="32"/>
          <w:szCs w:val="32"/>
          <w:lang w:val="en-US" w:eastAsia="zh-CN" w:bidi="ar"/>
        </w:rPr>
        <w:t>由于业主普遍存在文化偏低、年龄偏大等，缺乏项目实施痕迹记录意识，存在时有资料收集不全的现象。</w:t>
      </w:r>
    </w:p>
    <w:p w14:paraId="397FC02D">
      <w:pPr>
        <w:keepNext w:val="0"/>
        <w:keepLines w:val="0"/>
        <w:widowControl w:val="0"/>
        <w:suppressLineNumbers w:val="0"/>
        <w:kinsoku w:val="0"/>
        <w:autoSpaceDE w:val="0"/>
        <w:autoSpaceDN/>
        <w:adjustRightInd w:val="0"/>
        <w:snapToGrid w:val="0"/>
        <w:spacing w:before="0" w:beforeAutospacing="0" w:after="0" w:afterAutospacing="0" w:line="544"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六、改进建议</w:t>
      </w:r>
    </w:p>
    <w:p w14:paraId="3216DF37">
      <w:pPr>
        <w:pStyle w:val="24"/>
        <w:keepNext w:val="0"/>
        <w:keepLines w:val="0"/>
        <w:widowControl w:val="0"/>
        <w:suppressLineNumbers w:val="0"/>
        <w:kinsoku w:val="0"/>
        <w:autoSpaceDE w:val="0"/>
        <w:autoSpaceDN/>
        <w:adjustRightInd w:val="0"/>
        <w:snapToGrid w:val="0"/>
        <w:spacing w:before="0" w:beforeAutospacing="1" w:after="120" w:afterAutospacing="0" w:line="544" w:lineRule="exact"/>
        <w:ind w:left="0" w:leftChars="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楷体" w:hAnsi="楷体" w:eastAsia="楷体" w:cs="楷体"/>
          <w:b w:val="0"/>
          <w:bCs w:val="0"/>
          <w:snapToGrid/>
          <w:color w:val="000000"/>
          <w:kern w:val="2"/>
          <w:sz w:val="32"/>
          <w:szCs w:val="32"/>
          <w:lang w:val="en-US" w:eastAsia="zh-CN" w:bidi="ar"/>
        </w:rPr>
        <w:t>（一）</w:t>
      </w:r>
      <w:r>
        <w:rPr>
          <w:rFonts w:hint="default" w:ascii="仿宋" w:hAnsi="仿宋" w:eastAsia="仿宋" w:cs="仿宋"/>
          <w:b w:val="0"/>
          <w:bCs w:val="0"/>
          <w:snapToGrid/>
          <w:color w:val="000000"/>
          <w:kern w:val="0"/>
          <w:sz w:val="32"/>
          <w:szCs w:val="32"/>
          <w:lang w:val="en-US" w:eastAsia="zh-CN" w:bidi="ar"/>
        </w:rPr>
        <w:t>利州区受自然条件限制，只能选择相对集中连片的地块实施农机作业通行条件建设项目。</w:t>
      </w:r>
    </w:p>
    <w:p w14:paraId="58E29880">
      <w:pPr>
        <w:keepNext w:val="0"/>
        <w:keepLines w:val="0"/>
        <w:widowControl w:val="0"/>
        <w:suppressLineNumbers w:val="0"/>
        <w:kinsoku w:val="0"/>
        <w:autoSpaceDE w:val="0"/>
        <w:autoSpaceDN/>
        <w:adjustRightInd w:val="0"/>
        <w:snapToGrid w:val="0"/>
        <w:spacing w:before="0" w:beforeAutospacing="0" w:after="0" w:afterAutospacing="0" w:line="544" w:lineRule="exact"/>
        <w:ind w:left="0" w:right="0" w:firstLine="640" w:firstLineChars="200"/>
        <w:jc w:val="both"/>
        <w:textAlignment w:val="baseline"/>
        <w:rPr>
          <w:rFonts w:hint="default" w:ascii="仿宋" w:hAnsi="仿宋" w:eastAsia="仿宋" w:cs="仿宋"/>
          <w:b w:val="0"/>
          <w:bCs w:val="0"/>
          <w:color w:val="000000"/>
          <w:kern w:val="2"/>
          <w:sz w:val="32"/>
          <w:szCs w:val="32"/>
        </w:rPr>
      </w:pPr>
      <w:r>
        <w:rPr>
          <w:rFonts w:hint="default" w:ascii="楷体" w:hAnsi="楷体" w:eastAsia="楷体" w:cs="楷体"/>
          <w:b w:val="0"/>
          <w:bCs w:val="0"/>
          <w:snapToGrid/>
          <w:color w:val="000000"/>
          <w:kern w:val="0"/>
          <w:sz w:val="32"/>
          <w:szCs w:val="32"/>
          <w:lang w:val="en-US" w:eastAsia="zh-CN" w:bidi="ar"/>
        </w:rPr>
        <w:t>（二）</w:t>
      </w:r>
      <w:r>
        <w:rPr>
          <w:rFonts w:hint="default" w:ascii="仿宋" w:hAnsi="仿宋" w:eastAsia="仿宋" w:cs="仿宋"/>
          <w:b w:val="0"/>
          <w:bCs w:val="0"/>
          <w:snapToGrid/>
          <w:color w:val="000000"/>
          <w:kern w:val="0"/>
          <w:sz w:val="32"/>
          <w:szCs w:val="32"/>
          <w:lang w:val="en-US" w:eastAsia="zh-CN" w:bidi="ar"/>
        </w:rPr>
        <w:t>督促各乡镇（街道）稳定村（社区）文员，并加强文员培训，提高业务水平，确保项目资料规范和完善。</w:t>
      </w:r>
    </w:p>
    <w:p w14:paraId="3026916F">
      <w:pPr>
        <w:keepNext w:val="0"/>
        <w:keepLines w:val="0"/>
        <w:widowControl w:val="0"/>
        <w:suppressLineNumbers w:val="0"/>
        <w:kinsoku w:val="0"/>
        <w:autoSpaceDE w:val="0"/>
        <w:autoSpaceDN/>
        <w:adjustRightInd w:val="0"/>
        <w:snapToGrid w:val="0"/>
        <w:spacing w:before="0" w:beforeAutospacing="0" w:after="0" w:afterAutospacing="0" w:line="544" w:lineRule="exact"/>
        <w:ind w:left="0" w:right="0" w:firstLine="640" w:firstLineChars="200"/>
        <w:jc w:val="both"/>
        <w:textAlignment w:val="baseline"/>
        <w:rPr>
          <w:rFonts w:hint="default" w:ascii="仿宋" w:hAnsi="仿宋" w:eastAsia="仿宋" w:cs="仿宋"/>
          <w:b w:val="0"/>
          <w:bCs w:val="0"/>
          <w:color w:val="000000"/>
          <w:kern w:val="2"/>
          <w:sz w:val="32"/>
          <w:szCs w:val="32"/>
        </w:rPr>
      </w:pPr>
      <w:r>
        <w:rPr>
          <w:rFonts w:hint="default" w:ascii="仿宋" w:hAnsi="仿宋" w:eastAsia="仿宋" w:cs="仿宋"/>
          <w:b w:val="0"/>
          <w:bCs w:val="0"/>
          <w:snapToGrid/>
          <w:color w:val="000000"/>
          <w:kern w:val="2"/>
          <w:sz w:val="32"/>
          <w:szCs w:val="32"/>
          <w:lang w:val="en-US" w:eastAsia="zh-CN" w:bidi="ar"/>
        </w:rPr>
        <w:t xml:space="preserve"> </w:t>
      </w:r>
    </w:p>
    <w:p w14:paraId="417E163F">
      <w:pPr>
        <w:pStyle w:val="24"/>
        <w:keepNext w:val="0"/>
        <w:keepLines w:val="0"/>
        <w:widowControl w:val="0"/>
        <w:suppressLineNumbers w:val="0"/>
        <w:kinsoku w:val="0"/>
        <w:wordWrap w:val="0"/>
        <w:autoSpaceDE w:val="0"/>
        <w:autoSpaceDN/>
        <w:adjustRightInd w:val="0"/>
        <w:snapToGrid w:val="0"/>
        <w:spacing w:before="0" w:beforeAutospacing="0" w:after="0" w:afterAutospacing="0" w:line="576" w:lineRule="exact"/>
        <w:ind w:left="0" w:right="0" w:firstLine="420" w:firstLineChars="200"/>
        <w:jc w:val="right"/>
        <w:textAlignment w:val="baseline"/>
        <w:rPr>
          <w:rFonts w:hint="default" w:ascii="等线" w:hAnsi="等线" w:eastAsia="等线" w:cs="Arial"/>
          <w:strike/>
          <w:dstrike w:val="0"/>
          <w:color w:val="000000"/>
          <w:kern w:val="0"/>
          <w:sz w:val="21"/>
          <w:szCs w:val="21"/>
        </w:rPr>
      </w:pPr>
      <w:r>
        <w:rPr>
          <w:rFonts w:hint="default" w:ascii="等线" w:hAnsi="等线" w:eastAsia="等线" w:cs="Arial"/>
          <w:strike/>
          <w:dstrike w:val="0"/>
          <w:snapToGrid/>
          <w:color w:val="000000"/>
          <w:kern w:val="0"/>
          <w:sz w:val="21"/>
          <w:szCs w:val="21"/>
          <w:lang w:val="en-US" w:eastAsia="zh-CN" w:bidi="ar"/>
        </w:rPr>
        <w:t xml:space="preserve"> </w:t>
      </w:r>
    </w:p>
    <w:p w14:paraId="171A34A9">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br w:type="page"/>
      </w:r>
    </w:p>
    <w:p w14:paraId="1563A2B7">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b w:val="0"/>
          <w:bCs w:val="0"/>
          <w:spacing w:val="0"/>
          <w:kern w:val="0"/>
          <w:sz w:val="45"/>
          <w:szCs w:val="45"/>
        </w:rPr>
      </w:pPr>
      <w:r>
        <w:rPr>
          <w:rFonts w:hint="eastAsia" w:ascii="方正小标宋简体" w:hAnsi="方正小标宋简体" w:eastAsia="方正小标宋简体" w:cs="方正小标宋简体"/>
          <w:b w:val="0"/>
          <w:bCs w:val="0"/>
          <w:snapToGrid/>
          <w:color w:val="000000"/>
          <w:spacing w:val="0"/>
          <w:kern w:val="0"/>
          <w:sz w:val="45"/>
          <w:szCs w:val="45"/>
          <w:lang w:val="en-US" w:eastAsia="zh-CN" w:bidi="ar"/>
        </w:rPr>
        <w:t>利州区2024年高标准农田建设项目（增发</w:t>
      </w:r>
    </w:p>
    <w:p w14:paraId="3ED320EF">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b w:val="0"/>
          <w:bCs w:val="0"/>
          <w:spacing w:val="0"/>
          <w:kern w:val="0"/>
          <w:sz w:val="45"/>
          <w:szCs w:val="45"/>
        </w:rPr>
      </w:pPr>
      <w:r>
        <w:rPr>
          <w:rFonts w:hint="eastAsia" w:ascii="方正小标宋简体" w:hAnsi="方正小标宋简体" w:eastAsia="方正小标宋简体" w:cs="方正小标宋简体"/>
          <w:b w:val="0"/>
          <w:bCs w:val="0"/>
          <w:snapToGrid/>
          <w:color w:val="000000"/>
          <w:spacing w:val="0"/>
          <w:kern w:val="0"/>
          <w:sz w:val="45"/>
          <w:szCs w:val="45"/>
          <w:lang w:val="en-US" w:eastAsia="zh-CN" w:bidi="ar"/>
        </w:rPr>
        <w:t>国债）专项预算绩效自评报告</w:t>
      </w:r>
    </w:p>
    <w:p w14:paraId="385E519B">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FF0000"/>
          <w:spacing w:val="0"/>
          <w:kern w:val="2"/>
          <w:sz w:val="32"/>
          <w:szCs w:val="32"/>
        </w:rPr>
      </w:pPr>
      <w:r>
        <w:rPr>
          <w:rFonts w:hint="default" w:ascii="仿宋" w:hAnsi="仿宋" w:eastAsia="仿宋" w:cs="仿宋"/>
          <w:snapToGrid/>
          <w:color w:val="FF0000"/>
          <w:spacing w:val="0"/>
          <w:kern w:val="2"/>
          <w:sz w:val="32"/>
          <w:szCs w:val="32"/>
          <w:lang w:val="en-US" w:eastAsia="zh-CN" w:bidi="ar"/>
        </w:rPr>
        <w:t xml:space="preserve"> </w:t>
      </w:r>
    </w:p>
    <w:p w14:paraId="07E9962A">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spacing w:val="0"/>
          <w:kern w:val="2"/>
          <w:sz w:val="32"/>
          <w:szCs w:val="32"/>
        </w:rPr>
      </w:pPr>
      <w:r>
        <w:rPr>
          <w:rFonts w:hint="default" w:ascii="仿宋" w:hAnsi="仿宋" w:eastAsia="仿宋" w:cs="仿宋"/>
          <w:snapToGrid/>
          <w:color w:val="000000"/>
          <w:spacing w:val="0"/>
          <w:kern w:val="2"/>
          <w:sz w:val="32"/>
          <w:szCs w:val="32"/>
          <w:lang w:val="en-US" w:eastAsia="zh-CN" w:bidi="ar"/>
        </w:rPr>
        <w:t>按照</w:t>
      </w:r>
      <w:r>
        <w:rPr>
          <w:rFonts w:hint="default" w:ascii="仿宋" w:hAnsi="仿宋" w:eastAsia="仿宋" w:cs="仿宋"/>
          <w:snapToGrid/>
          <w:color w:val="000000"/>
          <w:spacing w:val="0"/>
          <w:kern w:val="0"/>
          <w:sz w:val="32"/>
          <w:szCs w:val="32"/>
          <w:lang w:val="en-US" w:eastAsia="zh-CN" w:bidi="ar"/>
        </w:rPr>
        <w:t>根据《四川省财政厅关于印发〈推进财政绩效监督“三管三必须”落地见效实施办法〉的通知》（川财办〔2024〕31号）、《广元市财政局关于开展市级部门预算绩效自评工作的通知》（广财绩〔2025〕4号）等有关要求</w:t>
      </w:r>
      <w:r>
        <w:rPr>
          <w:rFonts w:hint="default" w:ascii="仿宋" w:hAnsi="仿宋" w:eastAsia="仿宋" w:cs="仿宋"/>
          <w:snapToGrid/>
          <w:color w:val="000000"/>
          <w:spacing w:val="0"/>
          <w:kern w:val="2"/>
          <w:sz w:val="32"/>
          <w:szCs w:val="32"/>
          <w:lang w:val="en-US" w:eastAsia="zh-CN" w:bidi="ar"/>
        </w:rPr>
        <w:t>，现将利州区2024年高标准农田建设项目（增发国债）专项预算绩效自评情况报送如下。</w:t>
      </w:r>
    </w:p>
    <w:p w14:paraId="06B12881">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一、项目概况</w:t>
      </w:r>
    </w:p>
    <w:p w14:paraId="0CB8EE71">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spacing w:val="0"/>
          <w:kern w:val="2"/>
          <w:sz w:val="32"/>
          <w:szCs w:val="32"/>
        </w:rPr>
      </w:pPr>
      <w:r>
        <w:rPr>
          <w:rFonts w:hint="default" w:ascii="仿宋" w:hAnsi="仿宋" w:eastAsia="仿宋" w:cs="仿宋"/>
          <w:snapToGrid/>
          <w:color w:val="000000"/>
          <w:spacing w:val="0"/>
          <w:kern w:val="2"/>
          <w:sz w:val="32"/>
          <w:szCs w:val="32"/>
          <w:lang w:val="en-US" w:eastAsia="zh-CN" w:bidi="ar"/>
        </w:rPr>
        <w:t>高标准农田建设是巩固和提高粮食生产能力，保障国家粮食安全的关键举措。党中央、国务院高度重视高标准农田建设。党的二十大以来，各地区各部门认真贯彻党中央、国务院决策部署，大力推进高标准农田建设，有力支撑了粮食和重要农产品生产能力的提升。</w:t>
      </w:r>
    </w:p>
    <w:p w14:paraId="45BE742C">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spacing w:val="0"/>
          <w:kern w:val="2"/>
          <w:sz w:val="32"/>
          <w:szCs w:val="32"/>
        </w:rPr>
      </w:pPr>
      <w:r>
        <w:rPr>
          <w:rFonts w:hint="default" w:ascii="仿宋" w:hAnsi="仿宋" w:eastAsia="仿宋" w:cs="仿宋"/>
          <w:snapToGrid/>
          <w:color w:val="000000"/>
          <w:spacing w:val="0"/>
          <w:kern w:val="2"/>
          <w:sz w:val="32"/>
          <w:szCs w:val="32"/>
          <w:lang w:val="en-US" w:eastAsia="zh-CN" w:bidi="ar"/>
        </w:rPr>
        <w:t>农业农村部下发《农业农村部关于推进高标准农田改造提升的指导意见》农建发〔2022]5号文件，四川省农业农村厅下发《关于印发《四川省实施高标准农田改造提升工程十条措施》的通知》川农发〔2023]1号文件，《四川省高标准农田建设技术规范》（DB51/T3062-2023），要求与建成的高标准农田套合比对，重点对永久基本农田划定范围内已建的、用于粮食生产的高标准农田实施改造提升。</w:t>
      </w:r>
    </w:p>
    <w:p w14:paraId="335FB839">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rPr>
      </w:pPr>
      <w:r>
        <w:rPr>
          <w:rFonts w:hint="default" w:ascii="仿宋" w:hAnsi="仿宋" w:eastAsia="仿宋" w:cs="仿宋"/>
          <w:snapToGrid/>
          <w:color w:val="000000"/>
          <w:spacing w:val="0"/>
          <w:kern w:val="2"/>
          <w:sz w:val="32"/>
          <w:szCs w:val="32"/>
          <w:lang w:val="en-US" w:eastAsia="zh-CN" w:bidi="ar"/>
        </w:rPr>
        <w:t>本次高标准农田建设项目区建设范围涉及大石镇青岭村，宝轮镇范家村，三堆镇井田村、白岩村、飞龙村、九龙村，荣山镇太山村、花园村、宋坪村、明月村。共计4个镇10个村，拟提升高标准农田1.0万亩，田型调整1020.7亩（旱地608.9亩，水田411.8亩），新建0.9-2.0米高土石结合埂45339.20m³，新建田间排水口218处，新建下田坡道78处，地力培肥10000亩，新建蓄水池4口，整治山坪塘3座，新建0.4x0.4米排灌渠3896米，新建0.6x0.6米排灌渠1774米，新建DN400涵管12米，新建DN600涵管24米，新建DN1000涵管20米，新建2.5米宽生产路3483米，新建单</w:t>
      </w:r>
      <w:r>
        <w:rPr>
          <w:rFonts w:hint="default" w:ascii="仿宋" w:hAnsi="仿宋" w:eastAsia="仿宋" w:cs="仿宋"/>
          <w:snapToGrid/>
          <w:color w:val="000000"/>
          <w:spacing w:val="0"/>
          <w:kern w:val="0"/>
          <w:sz w:val="32"/>
          <w:szCs w:val="32"/>
          <w:lang w:val="en-US" w:eastAsia="zh-CN" w:bidi="ar"/>
        </w:rPr>
        <w:t>项标识牌57个。</w:t>
      </w:r>
    </w:p>
    <w:p w14:paraId="113F26CF">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rPr>
      </w:pPr>
      <w:r>
        <w:rPr>
          <w:rFonts w:hint="default" w:ascii="仿宋" w:hAnsi="仿宋" w:eastAsia="仿宋" w:cs="仿宋"/>
          <w:snapToGrid/>
          <w:color w:val="000000"/>
          <w:spacing w:val="0"/>
          <w:kern w:val="0"/>
          <w:sz w:val="32"/>
          <w:szCs w:val="32"/>
          <w:lang w:val="en-US" w:eastAsia="zh-CN" w:bidi="ar"/>
        </w:rPr>
        <w:t>项目总投资为2350万元，资金筹措主要为高标准农田建设项目专项资金，其中：中央增发国债资金2200万元，省级财政配套资金100万元，区级资金50万元。实际到位资金2400万元，其中中央增发国债资金2200万元，市级财政配套资金150万元，区级资金50万元</w:t>
      </w:r>
    </w:p>
    <w:p w14:paraId="26E8BCB0">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spacing w:val="0"/>
          <w:kern w:val="0"/>
          <w:sz w:val="32"/>
          <w:szCs w:val="32"/>
          <w:vertAlign w:val="baseline"/>
        </w:rPr>
      </w:pPr>
      <w:r>
        <w:rPr>
          <w:rFonts w:hint="default" w:ascii="黑体" w:hAnsi="宋体" w:eastAsia="黑体" w:cs="黑体"/>
          <w:b w:val="0"/>
          <w:bCs w:val="0"/>
          <w:snapToGrid/>
          <w:color w:val="000000"/>
          <w:spacing w:val="0"/>
          <w:kern w:val="0"/>
          <w:sz w:val="32"/>
          <w:szCs w:val="32"/>
          <w:vertAlign w:val="baseline"/>
          <w:lang w:val="en-US" w:eastAsia="zh-CN" w:bidi="ar"/>
        </w:rPr>
        <w:t>二、评价实施</w:t>
      </w:r>
    </w:p>
    <w:p w14:paraId="16FDAF0F">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rPr>
      </w:pPr>
      <w:r>
        <w:rPr>
          <w:rFonts w:hint="default" w:ascii="仿宋" w:hAnsi="仿宋" w:eastAsia="仿宋" w:cs="仿宋"/>
          <w:snapToGrid/>
          <w:color w:val="000000"/>
          <w:spacing w:val="0"/>
          <w:kern w:val="0"/>
          <w:sz w:val="32"/>
          <w:szCs w:val="32"/>
          <w:lang w:val="en-US" w:eastAsia="zh-CN" w:bidi="ar"/>
        </w:rPr>
        <w:t>为深入贯彻落实党中央国务院、省委省政府、市委市政府和区委区政府关于全面实施预算绩效管理的决策部署，进一步强化预算绩效管理理念及主体责任的落实，在项目实施过程前期，我单位充分争取项目所在乡镇（街道）、村（社区）、农户代表意见，并组织实地勘探，确保设计内容科学合理、群众满意；项目实施过程中，一是加强现场监管。充分发挥乡镇（街道）、村（社区）属地管理职能职责，邀请项目所在乡镇（街区道）驻村干部作为现场代表，全程参与履行项目实施过程监管职责，做实项目日常监管。二是开展日常巡查。严格督促项目监理方履行好现场监督管理职责；重点监管施工工序和措施、建设材料、工程数量等是否符合设计要求，及时解决施工过程中遇到的重难点问题，保障施工顺利进行。</w:t>
      </w:r>
    </w:p>
    <w:p w14:paraId="16957969">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vertAlign w:val="baseline"/>
        </w:rPr>
      </w:pPr>
      <w:r>
        <w:rPr>
          <w:rFonts w:hint="default" w:ascii="黑体" w:hAnsi="宋体" w:eastAsia="黑体" w:cs="黑体"/>
          <w:b w:val="0"/>
          <w:bCs w:val="0"/>
          <w:snapToGrid/>
          <w:color w:val="000000"/>
          <w:spacing w:val="0"/>
          <w:kern w:val="0"/>
          <w:sz w:val="32"/>
          <w:szCs w:val="32"/>
          <w:vertAlign w:val="baseline"/>
          <w:lang w:val="en-US" w:eastAsia="zh-CN" w:bidi="ar"/>
        </w:rPr>
        <w:t>三、绩效分析</w:t>
      </w:r>
    </w:p>
    <w:p w14:paraId="5FADC86C">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（一）通用指标绩效分析。</w:t>
      </w:r>
    </w:p>
    <w:p w14:paraId="62B97492">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1.项目决策。项目设立符合资金管理基本规范和决策程序要求，项目方案符合中省市区要求，绩效目标设置科学合理，项目资金与项目总体方案、相关行业事业发展相匹配。</w:t>
      </w:r>
    </w:p>
    <w:p w14:paraId="0C148A54">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spacing w:val="0"/>
          <w:kern w:val="2"/>
          <w:sz w:val="32"/>
          <w:szCs w:val="32"/>
        </w:rPr>
      </w:pPr>
      <w:r>
        <w:rPr>
          <w:rFonts w:hint="default" w:ascii="仿宋" w:hAnsi="仿宋" w:eastAsia="仿宋" w:cs="仿宋"/>
          <w:snapToGrid/>
          <w:color w:val="000000"/>
          <w:spacing w:val="0"/>
          <w:kern w:val="0"/>
          <w:sz w:val="32"/>
          <w:szCs w:val="32"/>
          <w:lang w:val="en-US" w:eastAsia="zh-CN" w:bidi="ar"/>
        </w:rPr>
        <w:t>2.项目管理。</w:t>
      </w:r>
      <w:r>
        <w:rPr>
          <w:rFonts w:hint="default" w:ascii="仿宋" w:hAnsi="仿宋" w:eastAsia="仿宋" w:cs="仿宋"/>
          <w:snapToGrid/>
          <w:color w:val="000000"/>
          <w:spacing w:val="0"/>
          <w:kern w:val="2"/>
          <w:sz w:val="32"/>
          <w:szCs w:val="32"/>
          <w:lang w:val="en-US" w:eastAsia="zh-CN" w:bidi="ar"/>
        </w:rPr>
        <w:t>严格按照项目规定程序执行项目实施方案编制、招投标等工作，促进项目管理更加规范、有序，确保项目建设顺利进行。项目绩效监管按要求开展，对下指导有力有效。</w:t>
      </w:r>
    </w:p>
    <w:p w14:paraId="78FFA17E">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3.项目实施。财政资金足额拨付，单位严格按照合同约定履行资金管理及拨付流程。项目资金使用、拨付符合国家财经法规、财务管理制度及有关专项资金管理制度办法规定和审批程序，不存在超范围、超标准、超进度使用专项资金及资金损失浪费、长期沉淀、截留、挤占、挪用、虚列支出等情况，项目实施遵守相关法律法规和地方配套到位情况围绕预算执行、资金使用进行了绩效分析。</w:t>
      </w:r>
    </w:p>
    <w:p w14:paraId="102D332B">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4.项目结果。该项目实施年限为2025年，目前该项目已完成98%。</w:t>
      </w:r>
    </w:p>
    <w:p w14:paraId="6E1D0CC5">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（二）专用指标绩效分析。</w:t>
      </w:r>
    </w:p>
    <w:p w14:paraId="27B3CEE2">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利州区2024年高标准农田建设项目（增发国债）根据省级下发草案，结合区域实际情况进行资金测算，资金分配科学合理、均衡公平。资金实际支持对象符合管理要求，符合支持对象范围。</w:t>
      </w:r>
    </w:p>
    <w:p w14:paraId="54C3A355">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（三）个性指标绩效分析。</w:t>
      </w:r>
    </w:p>
    <w:p w14:paraId="61F5DCB7">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已按照设计方案项目建设内容，项目建设过程中充分吸纳农民工就业，第三方质量检查报告明确项目建设质量符合设计要求，现场评价未发现影响工程质量的问题。</w:t>
      </w:r>
    </w:p>
    <w:p w14:paraId="67F25D56">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spacing w:val="0"/>
          <w:kern w:val="0"/>
          <w:sz w:val="32"/>
          <w:szCs w:val="32"/>
          <w:vertAlign w:val="baseline"/>
        </w:rPr>
      </w:pPr>
      <w:r>
        <w:rPr>
          <w:rFonts w:hint="default" w:ascii="黑体" w:hAnsi="宋体" w:eastAsia="黑体" w:cs="黑体"/>
          <w:b w:val="0"/>
          <w:bCs w:val="0"/>
          <w:snapToGrid/>
          <w:color w:val="000000"/>
          <w:spacing w:val="0"/>
          <w:kern w:val="0"/>
          <w:sz w:val="32"/>
          <w:szCs w:val="32"/>
          <w:vertAlign w:val="baseline"/>
          <w:lang w:val="en-US" w:eastAsia="zh-CN" w:bidi="ar"/>
        </w:rPr>
        <w:t>四、评价结论</w:t>
      </w:r>
    </w:p>
    <w:p w14:paraId="176D6049">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专项预算项目绩效自评评价总分为97分，</w:t>
      </w:r>
      <w:r>
        <w:rPr>
          <w:rFonts w:hint="default" w:ascii="仿宋" w:hAnsi="仿宋" w:eastAsia="仿宋" w:cs="仿宋"/>
          <w:snapToGrid/>
          <w:color w:val="000000"/>
          <w:spacing w:val="0"/>
          <w:kern w:val="0"/>
          <w:sz w:val="32"/>
          <w:szCs w:val="32"/>
          <w:vertAlign w:val="baseline"/>
          <w:lang w:val="en-US" w:eastAsia="zh-CN" w:bidi="ar"/>
        </w:rPr>
        <w:t>项目按照各级要求扎实推进，落地效果良好。</w:t>
      </w:r>
    </w:p>
    <w:p w14:paraId="61F415EA">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spacing w:val="0"/>
          <w:kern w:val="0"/>
          <w:sz w:val="32"/>
          <w:szCs w:val="32"/>
          <w:vertAlign w:val="baseline"/>
        </w:rPr>
      </w:pPr>
      <w:r>
        <w:rPr>
          <w:rFonts w:hint="default" w:ascii="黑体" w:hAnsi="宋体" w:eastAsia="黑体" w:cs="黑体"/>
          <w:b w:val="0"/>
          <w:bCs w:val="0"/>
          <w:snapToGrid/>
          <w:color w:val="000000"/>
          <w:spacing w:val="0"/>
          <w:kern w:val="0"/>
          <w:sz w:val="32"/>
          <w:szCs w:val="32"/>
          <w:vertAlign w:val="baseline"/>
          <w:lang w:val="en-US" w:eastAsia="zh-CN" w:bidi="ar"/>
        </w:rPr>
        <w:t>五、存在主要问题</w:t>
      </w:r>
    </w:p>
    <w:p w14:paraId="333B35B9">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无。</w:t>
      </w:r>
    </w:p>
    <w:p w14:paraId="39DCBC5A">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spacing w:val="0"/>
          <w:kern w:val="0"/>
          <w:sz w:val="32"/>
          <w:szCs w:val="32"/>
          <w:vertAlign w:val="baseline"/>
        </w:rPr>
      </w:pPr>
      <w:r>
        <w:rPr>
          <w:rFonts w:hint="default" w:ascii="黑体" w:hAnsi="宋体" w:eastAsia="黑体" w:cs="黑体"/>
          <w:b w:val="0"/>
          <w:bCs w:val="0"/>
          <w:snapToGrid/>
          <w:color w:val="000000"/>
          <w:spacing w:val="0"/>
          <w:kern w:val="0"/>
          <w:sz w:val="32"/>
          <w:szCs w:val="32"/>
          <w:vertAlign w:val="baseline"/>
          <w:lang w:val="en-US" w:eastAsia="zh-CN" w:bidi="ar"/>
        </w:rPr>
        <w:t>六、改进建议</w:t>
      </w:r>
    </w:p>
    <w:p w14:paraId="427F44DA">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项目规划初期，加强与财政部门沟通，使项目实施过程与中长期财政规划相衔接，提高财政预算的前瞻性。项目实施过程中，严格按照资金管理办法及相关政策要求履行资金申拨程序，加强资金管理。推进全过程项目支出绩效管理，加强绩效目标管理，开展绩效监控，实施绩效评价，强化评价结果的运用。</w:t>
      </w:r>
    </w:p>
    <w:p w14:paraId="39D13A8E">
      <w:pPr>
        <w:pStyle w:val="24"/>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 xml:space="preserve"> </w:t>
      </w:r>
    </w:p>
    <w:p w14:paraId="3F663F00">
      <w:pPr>
        <w:keepNext w:val="0"/>
        <w:keepLines w:val="0"/>
        <w:widowControl/>
        <w:suppressLineNumbers w:val="0"/>
        <w:kinsoku w:val="0"/>
        <w:autoSpaceDE w:val="0"/>
        <w:autoSpaceDN w:val="0"/>
        <w:adjustRightInd w:val="0"/>
        <w:snapToGrid w:val="0"/>
        <w:spacing w:before="91" w:beforeAutospacing="0" w:after="0" w:afterAutospacing="0"/>
        <w:ind w:left="0" w:right="0"/>
        <w:jc w:val="left"/>
        <w:textAlignment w:val="baseline"/>
        <w:rPr>
          <w:rFonts w:hint="default" w:ascii="仿宋_GB2312" w:hAnsi="仿宋_GB2312" w:eastAsia="仿宋_GB2312" w:cs="仿宋_GB2312"/>
          <w:color w:val="000000"/>
          <w:kern w:val="0"/>
          <w:sz w:val="28"/>
          <w:szCs w:val="28"/>
        </w:rPr>
      </w:pPr>
      <w:r>
        <w:rPr>
          <w:rFonts w:hint="default" w:ascii="仿宋_GB2312" w:hAnsi="仿宋_GB2312" w:eastAsia="仿宋_GB2312" w:cs="仿宋_GB2312"/>
          <w:snapToGrid/>
          <w:color w:val="000000"/>
          <w:kern w:val="0"/>
          <w:sz w:val="28"/>
          <w:szCs w:val="28"/>
          <w:lang w:val="en-US" w:eastAsia="zh-CN" w:bidi="ar"/>
        </w:rPr>
        <w:t xml:space="preserve"> </w:t>
      </w:r>
    </w:p>
    <w:p w14:paraId="4DF2A4DB">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b w:val="0"/>
          <w:bCs w:val="0"/>
          <w:color w:val="000000"/>
          <w:spacing w:val="0"/>
          <w:kern w:val="0"/>
          <w:sz w:val="45"/>
          <w:szCs w:val="45"/>
        </w:rPr>
      </w:pPr>
      <w:r>
        <w:rPr>
          <w:rFonts w:hint="eastAsia" w:ascii="方正小标宋简体" w:hAnsi="方正小标宋简体" w:eastAsia="方正小标宋简体" w:cs="方正小标宋简体"/>
          <w:b w:val="0"/>
          <w:bCs w:val="0"/>
          <w:snapToGrid/>
          <w:color w:val="000000"/>
          <w:spacing w:val="0"/>
          <w:kern w:val="0"/>
          <w:sz w:val="45"/>
          <w:szCs w:val="45"/>
          <w:lang w:val="en-US" w:eastAsia="zh-CN" w:bidi="ar"/>
        </w:rPr>
        <w:t>广元市利州区2024年中央转移支付高标准</w:t>
      </w:r>
    </w:p>
    <w:p w14:paraId="29E6C95C">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b w:val="0"/>
          <w:bCs w:val="0"/>
          <w:color w:val="000000"/>
          <w:spacing w:val="0"/>
          <w:kern w:val="0"/>
          <w:sz w:val="45"/>
          <w:szCs w:val="45"/>
        </w:rPr>
      </w:pPr>
      <w:r>
        <w:rPr>
          <w:rFonts w:hint="eastAsia" w:ascii="方正小标宋简体" w:hAnsi="方正小标宋简体" w:eastAsia="方正小标宋简体" w:cs="方正小标宋简体"/>
          <w:b w:val="0"/>
          <w:bCs w:val="0"/>
          <w:snapToGrid/>
          <w:color w:val="000000"/>
          <w:spacing w:val="0"/>
          <w:kern w:val="0"/>
          <w:sz w:val="45"/>
          <w:szCs w:val="45"/>
          <w:lang w:val="en-US" w:eastAsia="zh-CN" w:bidi="ar"/>
        </w:rPr>
        <w:t>农田改造提升项目预算绩效自评报告</w:t>
      </w:r>
    </w:p>
    <w:p w14:paraId="464B9AD9">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Cs/>
          <w:color w:val="000000"/>
          <w:kern w:val="0"/>
          <w:sz w:val="32"/>
          <w:szCs w:val="32"/>
        </w:rPr>
      </w:pPr>
      <w:r>
        <w:rPr>
          <w:rFonts w:hint="default" w:ascii="仿宋" w:hAnsi="仿宋" w:eastAsia="仿宋" w:cs="仿宋"/>
          <w:bCs/>
          <w:snapToGrid/>
          <w:color w:val="000000"/>
          <w:kern w:val="0"/>
          <w:sz w:val="32"/>
          <w:szCs w:val="32"/>
          <w:lang w:val="en-US" w:eastAsia="zh-CN" w:bidi="ar"/>
        </w:rPr>
        <w:t xml:space="preserve"> </w:t>
      </w:r>
    </w:p>
    <w:p w14:paraId="130598A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根据《广元市利州区财政局关于开展区级部门预算绩效自评工作的通知》（广利财绩〔2025〕3号）等有关要求，结合工作安排，现就广元市利州区2024年中央转移支付高标准农田改造提升项目预算绩效自评情况函告如下。</w:t>
      </w:r>
    </w:p>
    <w:p w14:paraId="359177B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一、项目概况</w:t>
      </w:r>
    </w:p>
    <w:p w14:paraId="7A185B0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（一）设立背景及基本情况。</w:t>
      </w:r>
      <w:r>
        <w:rPr>
          <w:rFonts w:hint="default" w:ascii="仿宋" w:hAnsi="仿宋" w:eastAsia="仿宋" w:cs="仿宋"/>
          <w:snapToGrid/>
          <w:color w:val="000000"/>
          <w:spacing w:val="0"/>
          <w:kern w:val="0"/>
          <w:sz w:val="32"/>
          <w:szCs w:val="32"/>
          <w:vertAlign w:val="baseline"/>
          <w:lang w:val="en-US" w:eastAsia="zh-CN" w:bidi="ar"/>
        </w:rPr>
        <w:t>为深入贯彻省委、省政府关于农田建设的部署要求，全面实施“天府良田”建设攻坚提质行动，稳步提升耕地质量，加快补齐农田基础设施短板，夯实新时代更高水平“天府粮仓”基础。根据四川省农业农村厅《关于扎实做好2024年农田建设工作的通知》（川农函〔2024〕210号），省厅下达我区2024年中央财政转移支付高标准农田改造提升任务0.9万亩，含高效节水灌溉任务0.1万亩。</w:t>
      </w:r>
    </w:p>
    <w:p w14:paraId="4C8DE58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项目由广元市农业农村局以广农函〔2024〕193号批复，计划总投资2100万元，其中，中央财政农业相关转移支付直达资金（高标准农田）1980万元，区级配套资金120万元。主要建设内容为田型调整513.54亩，整治山坪塘9座，新建蓄水池19口、围水田1处、拦河堰3座、渠道3402米、高效节水管道5013米、泥结石生产路3827米。</w:t>
      </w:r>
    </w:p>
    <w:p w14:paraId="1B75EF4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（二）实施目的及支持方向。</w:t>
      </w:r>
      <w:r>
        <w:rPr>
          <w:rFonts w:hint="default" w:ascii="仿宋" w:hAnsi="仿宋" w:eastAsia="仿宋" w:cs="仿宋"/>
          <w:snapToGrid/>
          <w:color w:val="000000"/>
          <w:spacing w:val="0"/>
          <w:kern w:val="0"/>
          <w:sz w:val="32"/>
          <w:szCs w:val="32"/>
          <w:vertAlign w:val="baseline"/>
          <w:lang w:val="en-US" w:eastAsia="zh-CN" w:bidi="ar"/>
        </w:rPr>
        <w:t>高标准农田作为落实“藏粮于地、藏粮于技”战略的重要内容，是保障国家粮食安全和重要农产品供给能力的关键举措，是建设农业强国的资源基础。严格执行《农田建设补助资金管理办法》《耕地建设与利用资金管理办法实施细则》（川财农〔2023〕95号）等规定，按合同约定支付相关款项。</w:t>
      </w:r>
    </w:p>
    <w:p w14:paraId="7B03F9B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项目以田块平整、通水通路、提升地力产量效益为基本标准，统筹开展田、土、水、路、林、电、技、管综合治理，将建设重点放在田内。</w:t>
      </w:r>
    </w:p>
    <w:p w14:paraId="750777F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（三）预算安排及分配管理。</w:t>
      </w:r>
      <w:r>
        <w:rPr>
          <w:rFonts w:hint="default" w:ascii="仿宋" w:hAnsi="仿宋" w:eastAsia="仿宋" w:cs="仿宋"/>
          <w:snapToGrid/>
          <w:color w:val="000000"/>
          <w:spacing w:val="0"/>
          <w:kern w:val="0"/>
          <w:sz w:val="32"/>
          <w:szCs w:val="32"/>
          <w:vertAlign w:val="baseline"/>
          <w:lang w:val="en-US" w:eastAsia="zh-CN" w:bidi="ar"/>
        </w:rPr>
        <w:t>项目计划总投资2100万元，其中，其中，中央财政农业相关转移支付直达资金（高标准农田）1980万元，区级配套资金120万元。</w:t>
      </w:r>
    </w:p>
    <w:p w14:paraId="3FEA80F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（四）项目绩效目标设置。</w:t>
      </w:r>
    </w:p>
    <w:p w14:paraId="717A27B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rPr>
      </w:pPr>
      <w:r>
        <w:rPr>
          <w:rFonts w:hint="default" w:ascii="仿宋" w:hAnsi="仿宋" w:eastAsia="仿宋" w:cs="仿宋"/>
          <w:b w:val="0"/>
          <w:bCs w:val="0"/>
          <w:snapToGrid/>
          <w:color w:val="000000"/>
          <w:kern w:val="0"/>
          <w:sz w:val="32"/>
          <w:szCs w:val="32"/>
          <w:lang w:val="en-US" w:eastAsia="zh-CN" w:bidi="ar"/>
        </w:rPr>
        <w:t>项目年度目标任务为改造提升高标准农田0.9万亩（含高效节水灌溉任务0.1万亩）。</w:t>
      </w:r>
    </w:p>
    <w:p w14:paraId="13AD62A3">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仿宋" w:hAnsi="仿宋" w:eastAsia="仿宋" w:cs="仿宋"/>
          <w:color w:val="000000"/>
          <w:spacing w:val="0"/>
          <w:kern w:val="0"/>
          <w:sz w:val="32"/>
          <w:szCs w:val="32"/>
        </w:rPr>
      </w:pPr>
      <w:r>
        <w:rPr>
          <w:rFonts w:hint="default" w:ascii="仿宋" w:hAnsi="仿宋" w:eastAsia="仿宋" w:cs="仿宋"/>
          <w:b w:val="0"/>
          <w:bCs w:val="0"/>
          <w:snapToGrid/>
          <w:color w:val="000000"/>
          <w:kern w:val="0"/>
          <w:sz w:val="32"/>
          <w:szCs w:val="32"/>
          <w:lang w:val="en-US" w:eastAsia="zh-CN" w:bidi="ar"/>
        </w:rPr>
        <w:t>本项目绩效评价坚持科学规范，公开公正，绩效相关的原则，在绩效评价中，结合项目建成面积，验收合格率，任务完成及时性，财政资金亩均补助标准，粮食综合生产能力，田间道路通达度，耕地质量，受益群众满意率等指标进行评价，绩效目标和绩效指标可量化可考核，相互匹配、全面完整，契合项目实质，与年度工作目标相一致。</w:t>
      </w:r>
    </w:p>
    <w:p w14:paraId="07BC0AF5">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二、评价实施</w:t>
      </w:r>
    </w:p>
    <w:p w14:paraId="253FEFD2">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（一）评价目的。</w:t>
      </w:r>
      <w:r>
        <w:rPr>
          <w:rFonts w:hint="default" w:ascii="仿宋" w:hAnsi="仿宋" w:eastAsia="仿宋" w:cs="仿宋"/>
          <w:snapToGrid/>
          <w:color w:val="000000"/>
          <w:spacing w:val="0"/>
          <w:kern w:val="0"/>
          <w:sz w:val="32"/>
          <w:szCs w:val="32"/>
          <w:vertAlign w:val="baseline"/>
          <w:lang w:val="en-US" w:eastAsia="zh-CN" w:bidi="ar"/>
        </w:rPr>
        <w:t>通过项目绩效自评要实现的目的。</w:t>
      </w:r>
    </w:p>
    <w:p w14:paraId="16B18204">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对高标准农田建设资金从决策、过程、产出、效益四个角度进行综合分析和评价，提高财政资金的使用效率和管理水平，及时发现预算执行、资金使用管理过程中存在的问题，为以后年度预算资金安排提供重要依据。</w:t>
      </w:r>
    </w:p>
    <w:p w14:paraId="44662F02">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（二）预设问题及评价重点。</w:t>
      </w:r>
      <w:r>
        <w:rPr>
          <w:rFonts w:hint="default" w:ascii="仿宋" w:hAnsi="仿宋" w:eastAsia="仿宋" w:cs="仿宋"/>
          <w:snapToGrid/>
          <w:color w:val="000000"/>
          <w:spacing w:val="0"/>
          <w:kern w:val="0"/>
          <w:sz w:val="32"/>
          <w:szCs w:val="32"/>
          <w:vertAlign w:val="baseline"/>
          <w:lang w:val="en-US" w:eastAsia="zh-CN" w:bidi="ar"/>
        </w:rPr>
        <w:t>本项目严格按行业相关规定组织实施，严格资金使用审批程序，圆满完成了项目建设各项绩效指标任务。</w:t>
      </w:r>
    </w:p>
    <w:p w14:paraId="513CCA66">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（三）评价选点。</w:t>
      </w:r>
      <w:r>
        <w:rPr>
          <w:rFonts w:hint="default" w:ascii="仿宋" w:hAnsi="仿宋" w:eastAsia="仿宋" w:cs="仿宋"/>
          <w:snapToGrid/>
          <w:color w:val="000000"/>
          <w:spacing w:val="0"/>
          <w:kern w:val="0"/>
          <w:sz w:val="32"/>
          <w:szCs w:val="32"/>
          <w:vertAlign w:val="baseline"/>
          <w:lang w:val="en-US" w:eastAsia="zh-CN" w:bidi="ar"/>
        </w:rPr>
        <w:t>项目绩效自评选择了龙潭乡、嘉陵街道两个点位，资金投资超过50%。</w:t>
      </w:r>
    </w:p>
    <w:p w14:paraId="2166C210">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（四）评价方法。</w:t>
      </w:r>
      <w:r>
        <w:rPr>
          <w:rFonts w:hint="default" w:ascii="仿宋" w:hAnsi="仿宋" w:eastAsia="仿宋" w:cs="仿宋"/>
          <w:snapToGrid/>
          <w:color w:val="000000"/>
          <w:spacing w:val="0"/>
          <w:kern w:val="0"/>
          <w:sz w:val="32"/>
          <w:szCs w:val="32"/>
          <w:vertAlign w:val="baseline"/>
          <w:lang w:val="en-US" w:eastAsia="zh-CN" w:bidi="ar"/>
        </w:rPr>
        <w:t>采取成本效益分析法、比较分析法、因素分析法、最低成本等。</w:t>
      </w:r>
    </w:p>
    <w:p w14:paraId="5E2EBBBA">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（五）评价组织。</w:t>
      </w:r>
      <w:r>
        <w:rPr>
          <w:rFonts w:hint="default" w:ascii="仿宋" w:hAnsi="仿宋" w:eastAsia="仿宋" w:cs="仿宋"/>
          <w:snapToGrid/>
          <w:color w:val="000000"/>
          <w:spacing w:val="0"/>
          <w:kern w:val="0"/>
          <w:sz w:val="32"/>
          <w:szCs w:val="32"/>
          <w:vertAlign w:val="baseline"/>
          <w:lang w:val="en-US" w:eastAsia="zh-CN" w:bidi="ar"/>
        </w:rPr>
        <w:t>项目绩效评价工作流程主要包括前期准备、组织实施、撰写与提交绩效评价报告等三个阶段。</w:t>
      </w:r>
    </w:p>
    <w:p w14:paraId="5444F692">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三、绩效分析</w:t>
      </w:r>
    </w:p>
    <w:p w14:paraId="2E023F2F">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（一）通用指标绩效分析。</w:t>
      </w:r>
    </w:p>
    <w:p w14:paraId="20187DA8">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1．项目决策。项目立项依据充分、立项程序规范，项目绩效目标与实际工作内容相关，项目预期产出效益和效果符合正常业绩水平，绩效指标清晰、细化、可衡量。</w:t>
      </w:r>
    </w:p>
    <w:p w14:paraId="733C4532">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2．项目管理。项目实施遵守相关法律法规和管理规定，项目资金支出手续完备，有关合同书、验收报告、技术鉴定等资料较齐全并及时归档；项目实施的人员条件、场地设备、信息支撑等基本落实到位。</w:t>
      </w:r>
    </w:p>
    <w:p w14:paraId="0C6EC8B8">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3．项目实施。项目严格执行《农田建设补助资金管理办法》《耕地建设与利用资金管理办法实施细则》等资金管理办法，未超出资金预算。</w:t>
      </w:r>
    </w:p>
    <w:p w14:paraId="475E007B">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4．项目结果。项目按时按质按量完成建设任务。</w:t>
      </w:r>
    </w:p>
    <w:p w14:paraId="523833D0">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（二）专用指标绩效分析。</w:t>
      </w:r>
    </w:p>
    <w:p w14:paraId="78C650AF">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项目资金分配体现的均衡公平，资金实际支持对象符合管理要求和支持对象范围，资金实际补贴标准符合资金管理办法规定的补助标准，项目区受益农户满意度超过95%。</w:t>
      </w:r>
    </w:p>
    <w:p w14:paraId="00F73896">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（三）个性指标绩效分析。</w:t>
      </w:r>
    </w:p>
    <w:p w14:paraId="18AAE1C3">
      <w:pPr>
        <w:pStyle w:val="24"/>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仿宋" w:hAnsi="仿宋" w:eastAsia="仿宋" w:cs="仿宋"/>
          <w:bCs/>
          <w:color w:val="000000"/>
          <w:kern w:val="0"/>
          <w:sz w:val="32"/>
          <w:szCs w:val="32"/>
          <w:vertAlign w:val="baseline"/>
        </w:rPr>
      </w:pPr>
      <w:r>
        <w:rPr>
          <w:rFonts w:hint="default" w:ascii="仿宋" w:hAnsi="仿宋" w:eastAsia="仿宋" w:cs="仿宋"/>
          <w:bCs/>
          <w:snapToGrid/>
          <w:color w:val="000000"/>
          <w:kern w:val="0"/>
          <w:sz w:val="32"/>
          <w:szCs w:val="32"/>
          <w:vertAlign w:val="baseline"/>
          <w:lang w:val="en-US" w:eastAsia="zh-CN" w:bidi="ar"/>
        </w:rPr>
        <w:t>项目严格按照项目实施方案和计划执行，整体推进要素齐全。</w:t>
      </w:r>
    </w:p>
    <w:p w14:paraId="450BFDDD">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四、评价结论</w:t>
      </w:r>
    </w:p>
    <w:p w14:paraId="6CE5B352">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经评价，本项目绩效评价综合得分为98.24分。</w:t>
      </w:r>
    </w:p>
    <w:p w14:paraId="58BCDAC6">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五、存在主要问题</w:t>
      </w:r>
    </w:p>
    <w:p w14:paraId="4B1A8EE2">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一是项目管理水平有待提高。机构改革以后，农田建设管理职能从财政、水务、国土等部门划至农业农村部门，但相关人员不能随职能一起划转，导致农业农村部门缺少农田建设管理专业人员。</w:t>
      </w:r>
    </w:p>
    <w:p w14:paraId="0F988876">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二是项目资金支付方式和程序、绩效管理等工作还需进一步加强完善。</w:t>
      </w:r>
    </w:p>
    <w:p w14:paraId="094FC138">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三是由于项目实施方案编制细节考虑不够周全，施工过程中对设计方案进行了部分优化。</w:t>
      </w:r>
    </w:p>
    <w:p w14:paraId="48BAFA3A">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六、改进建议</w:t>
      </w:r>
    </w:p>
    <w:p w14:paraId="16C31C8D">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一是完善管理机制，提高人员素质。一是细化农田建设管理办法、招投标管理办法及项目资金管理办法，按照相关管理办法实施项目建设；二是安排专项资金，统筹编制县级农田建设项目规划，强化项目储备及项目建设的科学性和可持续性，避免项目的重复建设；三是加强基层农田建设管理人员的培训，不断提高农田建设管理人员的整体素质。同时，建立人才引进机制，充实农田建设管理人员队伍。</w:t>
      </w:r>
    </w:p>
    <w:p w14:paraId="157369EC">
      <w:pPr>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二是加强后期管护，确保效益充分发挥。要消除重建设轻管理的思想，牢固树立建管并重意识，做到一手抓建设，一手抓管护。</w:t>
      </w:r>
    </w:p>
    <w:p w14:paraId="0F9348C2">
      <w:pPr>
        <w:pStyle w:val="24"/>
        <w:keepNext w:val="0"/>
        <w:keepLines w:val="0"/>
        <w:widowControl w:val="0"/>
        <w:suppressLineNumbers w:val="0"/>
        <w:kinsoku w:val="0"/>
        <w:autoSpaceDE w:val="0"/>
        <w:autoSpaceDN/>
        <w:adjustRightInd w:val="0"/>
        <w:snapToGrid w:val="0"/>
        <w:spacing w:before="0" w:beforeAutospacing="0" w:after="0" w:afterAutospacing="0" w:line="546" w:lineRule="exact"/>
        <w:ind w:left="0" w:right="0" w:firstLine="640" w:firstLineChars="200"/>
        <w:jc w:val="both"/>
        <w:textAlignment w:val="baseline"/>
        <w:rPr>
          <w:rFonts w:hint="default" w:ascii="仿宋" w:hAnsi="仿宋" w:eastAsia="仿宋" w:cs="仿宋"/>
          <w:bCs/>
          <w:color w:val="000000"/>
          <w:kern w:val="0"/>
          <w:sz w:val="32"/>
          <w:szCs w:val="32"/>
          <w:vertAlign w:val="baseline"/>
        </w:rPr>
      </w:pPr>
      <w:r>
        <w:rPr>
          <w:rFonts w:hint="default" w:ascii="仿宋" w:hAnsi="仿宋" w:eastAsia="仿宋" w:cs="仿宋"/>
          <w:bCs/>
          <w:snapToGrid/>
          <w:color w:val="000000"/>
          <w:kern w:val="0"/>
          <w:sz w:val="32"/>
          <w:szCs w:val="32"/>
          <w:vertAlign w:val="baseline"/>
          <w:lang w:val="en-US" w:eastAsia="zh-CN" w:bidi="ar"/>
        </w:rPr>
        <w:t xml:space="preserve"> </w:t>
      </w:r>
    </w:p>
    <w:p w14:paraId="0BBF8D5E">
      <w:pPr>
        <w:keepNext w:val="0"/>
        <w:keepLines w:val="0"/>
        <w:widowControl/>
        <w:suppressLineNumbers w:val="0"/>
        <w:kinsoku w:val="0"/>
        <w:autoSpaceDE w:val="0"/>
        <w:autoSpaceDN w:val="0"/>
        <w:adjustRightInd w:val="0"/>
        <w:snapToGrid w:val="0"/>
        <w:spacing w:before="0" w:beforeAutospacing="0" w:after="0" w:afterAutospacing="0" w:line="600" w:lineRule="exact"/>
        <w:ind w:left="0" w:right="0"/>
        <w:jc w:val="both"/>
        <w:textAlignment w:val="baseline"/>
        <w:rPr>
          <w:rFonts w:hint="eastAsia" w:ascii="方正小标宋简体" w:hAnsi="方正小标宋简体" w:eastAsia="方正小标宋简体" w:cs="方正小标宋简体"/>
          <w:color w:val="000000"/>
          <w:spacing w:val="0"/>
          <w:kern w:val="0"/>
          <w:sz w:val="44"/>
          <w:szCs w:val="44"/>
          <w:vertAlign w:val="baseline"/>
        </w:rPr>
      </w:pPr>
      <w:r>
        <w:rPr>
          <w:rFonts w:hint="eastAsia" w:ascii="方正小标宋简体" w:hAnsi="方正小标宋简体" w:eastAsia="方正小标宋简体" w:cs="方正小标宋简体"/>
          <w:snapToGrid/>
          <w:color w:val="000000"/>
          <w:spacing w:val="0"/>
          <w:kern w:val="0"/>
          <w:sz w:val="44"/>
          <w:szCs w:val="44"/>
          <w:vertAlign w:val="baseline"/>
          <w:lang w:val="en-US" w:eastAsia="zh-CN" w:bidi="ar"/>
        </w:rPr>
        <w:t xml:space="preserve"> </w:t>
      </w:r>
    </w:p>
    <w:p w14:paraId="7569AA11">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br w:type="page"/>
      </w:r>
    </w:p>
    <w:p w14:paraId="626F4B96">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b w:val="0"/>
          <w:bCs w:val="0"/>
          <w:color w:val="000000"/>
          <w:spacing w:val="0"/>
          <w:kern w:val="0"/>
          <w:sz w:val="45"/>
          <w:szCs w:val="45"/>
        </w:rPr>
      </w:pPr>
      <w:r>
        <w:rPr>
          <w:rFonts w:hint="eastAsia" w:ascii="方正小标宋简体" w:hAnsi="方正小标宋简体" w:eastAsia="方正小标宋简体" w:cs="方正小标宋简体"/>
          <w:b w:val="0"/>
          <w:bCs w:val="0"/>
          <w:snapToGrid/>
          <w:color w:val="000000"/>
          <w:spacing w:val="0"/>
          <w:kern w:val="0"/>
          <w:sz w:val="45"/>
          <w:szCs w:val="45"/>
          <w:lang w:val="en-US" w:eastAsia="zh-CN" w:bidi="ar"/>
        </w:rPr>
        <w:t>广元市利州区第三次全国土壤普查项目专项预算绩效自评报告</w:t>
      </w:r>
    </w:p>
    <w:p w14:paraId="7F0ED61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 xml:space="preserve"> </w:t>
      </w:r>
    </w:p>
    <w:p w14:paraId="03F3504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按照根据《四川省财政厅关于印发〈推进财政绩效监督“三管三必须”落地见效实施办法〉的通知》（川财办〔2024〕31号）、《广元市财政局关于开展市级部门预算绩效自评工作的通知》（广财绩〔2025〕4号）等有关要求，现将利州区第三次全国土壤普查项目专项预算绩效自评情况报送如下。</w:t>
      </w:r>
    </w:p>
    <w:p w14:paraId="2034EBE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一、项目概况</w:t>
      </w:r>
    </w:p>
    <w:p w14:paraId="7086F5C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为查明全区土壤类型及分布规律,查清土壤资源数量和质量，使普查结果为土壤的科学分类、规划利用、改良培肥、保护管理等提供科学支撑，根据省、市关于开展第三次全国土壤普查的文件要求，结合省市土壤普查办下达给实际工作任务，利州区土壤普查预设样点共519个，其中表层样点493个，剖面样点26个。我区土壤普查办严格落实各级要求，积极开展土壤普查，紧盯各阶段工作目标，委托专业三方单位四川省地质矿产开发局川西北地质队（四川省第十地质大队）、谱尼测试集团四川有限公司为联合体，严格按照《四川省第三次全国土壤普查技术规程规范（1+11）》的相关要求，完成对布设的样点实地校核、外业采样、样品检测、数据审核及成果编制等工作，并通过各级验收。</w:t>
      </w:r>
    </w:p>
    <w:p w14:paraId="132DDB6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利州区第三次全国土壤普查项目经费共计498万元。其中，中央资金59万元，区本级预算配套资金439万元。</w:t>
      </w:r>
    </w:p>
    <w:p w14:paraId="1F9E64C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二、评价实施</w:t>
      </w:r>
    </w:p>
    <w:p w14:paraId="1B94319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为深入贯彻落实党中央国务院、省委省政府、市委市政府和区委区政府关于全面实施预算绩效管理的决策部署，进一步强化预算绩效管理理念及主体责任的落实，在项目实施过程中，我区组织人员到四川省地质矿产开发局川西北地质队（四川省第十地质大队）进行实地勘察，单位人员架构清晰、完善，职责分工明确，对资金的支出使用过程管理严格，项目实施效果良好。</w:t>
      </w:r>
    </w:p>
    <w:p w14:paraId="69E2590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三、绩效分析</w:t>
      </w:r>
    </w:p>
    <w:p w14:paraId="3B40C40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（一）通用指标绩效分析。</w:t>
      </w:r>
    </w:p>
    <w:p w14:paraId="1D3EC39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1.项目决策。项目设立符合资金管理基本规范和决策程序要求，项目方案符合中省市区要求，绩效目标设置科学合理，项目资金与项目总体方案、相关行业事业发展相匹配。</w:t>
      </w:r>
    </w:p>
    <w:p w14:paraId="0145C81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2.项目管理。严格按照项目规定程序执行项目实施方案编制、招投标等工作，促进项目管理更加规范、有序，确保项目建设顺利进行。项目绩效监管按要求开展，对下指导有力有效。</w:t>
      </w:r>
    </w:p>
    <w:p w14:paraId="0DE379B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3.项目实施。中央及地方配套到位，财政资金足额拨付，单位严格按照合同约定履行资金管理及拨付流程。项目资金使用、拨付符合国家财经法规、财务管理制度及有关专项资金管理制度办法规定和审批程序，不存在超范围、超标准、超进度使用专项资金及资金损失浪费、长期沉淀、截留、挤占、挪用、虚列支出等情况，项目实施遵守相关法律法规和地方配套到位情况围绕预算执行、资金使用进行了绩效分析。</w:t>
      </w:r>
    </w:p>
    <w:p w14:paraId="4BCDC49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4.项目结果。该项目实施年限为2023-2025年，目前已完成表层样调查采样、风干、检测、数据上传、数据审核及内业检测化验区级验收，预计按照省、市的时间节点要求在2025年12月31日前完成成果编制工作。</w:t>
      </w:r>
    </w:p>
    <w:p w14:paraId="4024714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（二）专用指标绩效分析。</w:t>
      </w:r>
    </w:p>
    <w:p w14:paraId="38C372D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利州区第三次全国土壤普查项目根据省级下发草案，结合区域实际情况进行资金测算，资金分配科学合理、均衡公平。资金实际支持对象符合管理要求，符合支持对象范围。</w:t>
      </w:r>
    </w:p>
    <w:p w14:paraId="3B5F46D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（三）个性指标绩效分析。</w:t>
      </w:r>
      <w:r>
        <w:rPr>
          <w:rFonts w:hint="default" w:ascii="仿宋" w:hAnsi="仿宋" w:eastAsia="仿宋" w:cs="仿宋"/>
          <w:snapToGrid/>
          <w:color w:val="000000"/>
          <w:spacing w:val="0"/>
          <w:kern w:val="0"/>
          <w:sz w:val="32"/>
          <w:szCs w:val="32"/>
          <w:vertAlign w:val="baseline"/>
          <w:lang w:val="en-US" w:eastAsia="zh-CN" w:bidi="ar"/>
        </w:rPr>
        <w:t>已按照方案完成国家下达预设519个样点的表层样调查采样及风干送样，并通过四级验收；截至目前完成所有采样样品的相关理化指标的检测、数据上报及数据审核，并通过内业检测化验区级验收；成果编制工作正在同步开展，预计按照省、市的时间节点要求在2025年12月31日前完成。</w:t>
      </w:r>
    </w:p>
    <w:p w14:paraId="0AE5FF3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四、评价结论</w:t>
      </w:r>
    </w:p>
    <w:p w14:paraId="1744B38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专项预算项目绩效自评评价总分为98分，项目按照各级要求扎实推进，落地效果良好。</w:t>
      </w:r>
    </w:p>
    <w:p w14:paraId="37A3DFD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五、存在主要问题</w:t>
      </w:r>
    </w:p>
    <w:p w14:paraId="4494AB4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无。</w:t>
      </w:r>
    </w:p>
    <w:p w14:paraId="31EE245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六、改进建议</w:t>
      </w:r>
    </w:p>
    <w:p w14:paraId="031CA52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项目规划初期，加强与财政部门沟通，使项目实施过程与中长期财政规划相衔接，提高财政预算的前瞻性。项目实施过程中，严格按照资金管理办法及相关政策要求履行资金申拨程序，加强资金管理。推进全过程项目支出绩效管理，加强绩效目标管理，开展绩效监控，实施绩效评价，强化评价结果的运用。</w:t>
      </w:r>
    </w:p>
    <w:p w14:paraId="5D230F2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 xml:space="preserve"> </w:t>
      </w:r>
    </w:p>
    <w:p w14:paraId="7B08F71A">
      <w:pPr>
        <w:keepNext w:val="0"/>
        <w:keepLines w:val="0"/>
        <w:widowControl/>
        <w:suppressLineNumbers w:val="0"/>
        <w:kinsoku w:val="0"/>
        <w:autoSpaceDE w:val="0"/>
        <w:autoSpaceDN w:val="0"/>
        <w:adjustRightInd w:val="0"/>
        <w:snapToGrid w:val="0"/>
        <w:spacing w:before="91" w:beforeAutospacing="0" w:after="0" w:afterAutospacing="0"/>
        <w:ind w:left="0" w:right="0"/>
        <w:jc w:val="left"/>
        <w:textAlignment w:val="baseline"/>
        <w:rPr>
          <w:rFonts w:hint="default" w:ascii="仿宋_GB2312" w:hAnsi="仿宋_GB2312" w:eastAsia="仿宋_GB2312" w:cs="仿宋_GB2312"/>
          <w:color w:val="000000"/>
          <w:kern w:val="0"/>
          <w:sz w:val="28"/>
          <w:szCs w:val="28"/>
        </w:rPr>
      </w:pPr>
      <w:r>
        <w:rPr>
          <w:rFonts w:hint="default" w:ascii="仿宋_GB2312" w:hAnsi="仿宋_GB2312" w:eastAsia="仿宋_GB2312" w:cs="仿宋_GB2312"/>
          <w:snapToGrid/>
          <w:color w:val="000000"/>
          <w:kern w:val="0"/>
          <w:sz w:val="28"/>
          <w:szCs w:val="28"/>
          <w:lang w:val="en-US" w:eastAsia="zh-CN" w:bidi="ar"/>
        </w:rPr>
        <w:t xml:space="preserve"> </w:t>
      </w:r>
    </w:p>
    <w:p w14:paraId="3C25137E">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br w:type="page"/>
      </w:r>
    </w:p>
    <w:p w14:paraId="79C51CB2">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firstLine="0"/>
        <w:jc w:val="center"/>
        <w:textAlignment w:val="baseline"/>
        <w:outlineLvl w:val="2"/>
        <w:rPr>
          <w:rFonts w:hint="eastAsia" w:ascii="方正小标宋简体" w:hAnsi="Arial" w:eastAsia="方正小标宋简体" w:cs="Arial"/>
          <w:color w:val="000000"/>
          <w:kern w:val="0"/>
          <w:sz w:val="44"/>
          <w:szCs w:val="44"/>
        </w:rPr>
      </w:pPr>
      <w:r>
        <w:rPr>
          <w:rFonts w:hint="eastAsia" w:ascii="方正小标宋简体" w:hAnsi="方正小标宋简体" w:eastAsia="方正小标宋简体" w:cs="方正小标宋简体"/>
          <w:snapToGrid/>
          <w:color w:val="000000"/>
          <w:kern w:val="0"/>
          <w:sz w:val="44"/>
          <w:szCs w:val="44"/>
          <w:lang w:val="en-US" w:eastAsia="zh-CN" w:bidi="ar"/>
        </w:rPr>
        <w:t>2024年社会化服务项目绩效评估报告</w:t>
      </w:r>
    </w:p>
    <w:p w14:paraId="18A0B51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 xml:space="preserve"> </w:t>
      </w:r>
    </w:p>
    <w:p w14:paraId="3BFC872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kern w:val="0"/>
          <w:sz w:val="32"/>
          <w:szCs w:val="32"/>
        </w:rPr>
      </w:pPr>
      <w:r>
        <w:rPr>
          <w:rFonts w:hint="default" w:ascii="黑体" w:hAnsi="宋体" w:eastAsia="黑体" w:cs="黑体"/>
          <w:b w:val="0"/>
          <w:bCs w:val="0"/>
          <w:snapToGrid/>
          <w:color w:val="000000"/>
          <w:kern w:val="0"/>
          <w:sz w:val="32"/>
          <w:szCs w:val="32"/>
          <w:lang w:val="en-US" w:eastAsia="zh-CN" w:bidi="ar"/>
        </w:rPr>
        <w:t>一、项目概况</w:t>
      </w:r>
    </w:p>
    <w:p w14:paraId="1AA6934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2"/>
          <w:sz w:val="32"/>
          <w:szCs w:val="32"/>
          <w:lang w:val="en-US" w:eastAsia="zh-CN" w:bidi="ar"/>
        </w:rPr>
        <w:t>（一）</w:t>
      </w:r>
      <w:r>
        <w:rPr>
          <w:rFonts w:hint="default" w:ascii="仿宋" w:hAnsi="仿宋" w:eastAsia="仿宋" w:cs="仿宋"/>
          <w:snapToGrid/>
          <w:color w:val="000000"/>
          <w:spacing w:val="0"/>
          <w:kern w:val="0"/>
          <w:sz w:val="32"/>
          <w:szCs w:val="32"/>
          <w:lang w:val="en-US" w:eastAsia="zh-CN" w:bidi="ar"/>
        </w:rPr>
        <w:t>设立背景及基本情况。</w:t>
      </w:r>
      <w:r>
        <w:rPr>
          <w:rFonts w:hint="default" w:ascii="仿宋" w:hAnsi="仿宋" w:eastAsia="仿宋" w:cs="仿宋"/>
          <w:snapToGrid/>
          <w:color w:val="000000"/>
          <w:kern w:val="0"/>
          <w:sz w:val="32"/>
          <w:szCs w:val="32"/>
          <w:lang w:val="en-US" w:eastAsia="zh-CN" w:bidi="ar"/>
        </w:rPr>
        <w:t>项目紧扣农业供给侧结构性改革要求，围绕脱贫攻坚和乡村振兴战略有效衔接，推进遏荒复垦。根据《四川省农业农村厅  四川省供销合作社联合社〈关于加快推动2024年中央财政农业社会化服务项目实施的通知〉》（川农函〔2024〕216号）；广元市财政局《关于下达2024年中央财政粮油生产保障等六项农业转移支付资金的通知》（广财农〔2024〕58号）文件精神的安排和要求。以我区生产优势明显的小麦油菜、水稻、玉米大豆为实施对象，推进各类粮食作物“耕、种、防、收”等环节的社会化服务，提高粮食作物机械化生产技术、绿色生产技术及规模化生产水平，着力构建综合服务相协调的新型农业社会化服务体系。</w:t>
      </w:r>
    </w:p>
    <w:p w14:paraId="78F49B9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（二）实施目的及支持方向。</w:t>
      </w:r>
      <w:r>
        <w:rPr>
          <w:rFonts w:hint="default" w:ascii="仿宋" w:hAnsi="仿宋" w:eastAsia="仿宋" w:cs="仿宋"/>
          <w:snapToGrid/>
          <w:color w:val="000000"/>
          <w:kern w:val="0"/>
          <w:sz w:val="32"/>
          <w:szCs w:val="32"/>
          <w:vertAlign w:val="baseline"/>
          <w:lang w:val="en-US" w:eastAsia="zh-CN" w:bidi="ar"/>
        </w:rPr>
        <w:t>利州区开展以粮油优先的社会化服务项目，项目下达任务面积为2.3万亩。切实有力的解决了部分劳动力薄弱的小农户“谁来种地”“怎样种好地”的问题。按照绿色生态种植要求，以及油菜小麦、水稻、玉米大豆等社会化服务生产技术规范，并结合我区生产实际，规划大豆“耕、种、防、收”等社会化服务，</w:t>
      </w:r>
      <w:r>
        <w:rPr>
          <w:rFonts w:hint="default" w:ascii="仿宋" w:hAnsi="仿宋" w:eastAsia="仿宋" w:cs="仿宋"/>
          <w:snapToGrid/>
          <w:color w:val="000000"/>
          <w:spacing w:val="0"/>
          <w:kern w:val="0"/>
          <w:sz w:val="32"/>
          <w:szCs w:val="32"/>
          <w:vertAlign w:val="baseline"/>
          <w:lang w:val="en-US" w:eastAsia="zh-CN" w:bidi="ar"/>
        </w:rPr>
        <w:t>区供销社</w:t>
      </w:r>
      <w:r>
        <w:rPr>
          <w:rFonts w:hint="default" w:ascii="仿宋" w:hAnsi="仿宋" w:eastAsia="仿宋" w:cs="仿宋"/>
          <w:snapToGrid/>
          <w:color w:val="000000"/>
          <w:kern w:val="0"/>
          <w:sz w:val="32"/>
          <w:szCs w:val="32"/>
          <w:vertAlign w:val="baseline"/>
          <w:lang w:val="en-US" w:eastAsia="zh-CN" w:bidi="ar"/>
        </w:rPr>
        <w:t>在荣山镇、宝轮镇等11个街道</w:t>
      </w:r>
      <w:r>
        <w:rPr>
          <w:rFonts w:hint="default" w:ascii="仿宋" w:hAnsi="仿宋" w:eastAsia="仿宋" w:cs="仿宋"/>
          <w:snapToGrid/>
          <w:color w:val="000000"/>
          <w:spacing w:val="0"/>
          <w:kern w:val="0"/>
          <w:sz w:val="32"/>
          <w:szCs w:val="32"/>
          <w:vertAlign w:val="baseline"/>
          <w:lang w:val="en-US" w:eastAsia="zh-CN" w:bidi="ar"/>
        </w:rPr>
        <w:t>开展</w:t>
      </w:r>
      <w:r>
        <w:rPr>
          <w:rFonts w:hint="default" w:ascii="仿宋" w:hAnsi="仿宋" w:eastAsia="仿宋" w:cs="仿宋"/>
          <w:snapToGrid/>
          <w:color w:val="000000"/>
          <w:kern w:val="0"/>
          <w:sz w:val="32"/>
          <w:szCs w:val="32"/>
          <w:vertAlign w:val="baseline"/>
          <w:lang w:val="en-US" w:eastAsia="zh-CN" w:bidi="ar"/>
        </w:rPr>
        <w:t>实施油菜小麦、水稻、玉米、大豆等社会化服务。</w:t>
      </w:r>
    </w:p>
    <w:p w14:paraId="7836B218">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leftChars="0" w:right="0" w:firstLine="640" w:firstLineChars="200"/>
        <w:jc w:val="both"/>
        <w:textAlignment w:val="baseline"/>
        <w:rPr>
          <w:rFonts w:hint="default" w:ascii="仿宋" w:hAnsi="仿宋" w:eastAsia="仿宋" w:cs="仿宋"/>
          <w:color w:val="000000"/>
          <w:spacing w:val="0"/>
          <w:kern w:val="0"/>
          <w:sz w:val="32"/>
          <w:szCs w:val="32"/>
        </w:rPr>
      </w:pPr>
      <w:r>
        <w:rPr>
          <w:rFonts w:hint="default" w:ascii="楷体" w:hAnsi="楷体" w:eastAsia="楷体" w:cs="楷体"/>
          <w:snapToGrid/>
          <w:color w:val="000000"/>
          <w:spacing w:val="0"/>
          <w:kern w:val="2"/>
          <w:sz w:val="32"/>
          <w:szCs w:val="32"/>
          <w:lang w:val="en-US" w:eastAsia="zh-CN" w:bidi="ar"/>
        </w:rPr>
        <w:t>（三）预算安排及分配管理。</w:t>
      </w:r>
      <w:r>
        <w:rPr>
          <w:rFonts w:hint="default" w:ascii="仿宋" w:hAnsi="仿宋" w:eastAsia="仿宋" w:cs="仿宋"/>
          <w:snapToGrid/>
          <w:color w:val="000000"/>
          <w:spacing w:val="0"/>
          <w:kern w:val="0"/>
          <w:sz w:val="32"/>
          <w:szCs w:val="32"/>
          <w:lang w:val="en-US" w:eastAsia="zh-CN" w:bidi="ar"/>
        </w:rPr>
        <w:t>目标完成4.29万亩；使用资金391万元，在全区范围内开展油菜小麦、水稻、玉米大豆“耕、种、防、收”等服务环节的社会化服务。</w:t>
      </w:r>
    </w:p>
    <w:p w14:paraId="0566CF5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（四）项目绩效目标设置。</w:t>
      </w:r>
      <w:r>
        <w:rPr>
          <w:rFonts w:hint="default" w:ascii="仿宋" w:hAnsi="仿宋" w:eastAsia="仿宋" w:cs="仿宋"/>
          <w:snapToGrid/>
          <w:color w:val="000000"/>
          <w:spacing w:val="0"/>
          <w:kern w:val="0"/>
          <w:sz w:val="32"/>
          <w:szCs w:val="32"/>
          <w:vertAlign w:val="baseline"/>
          <w:lang w:val="en-US" w:eastAsia="zh-CN" w:bidi="ar"/>
        </w:rPr>
        <w:t>项目整体、区域和具体绩效目标设置情况，项目自评工作开展情况。</w:t>
      </w:r>
    </w:p>
    <w:p w14:paraId="4D02D50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bCs/>
          <w:kern w:val="0"/>
          <w:sz w:val="32"/>
          <w:szCs w:val="32"/>
        </w:rPr>
      </w:pPr>
      <w:r>
        <w:rPr>
          <w:rFonts w:hint="default" w:ascii="仿宋" w:hAnsi="仿宋" w:eastAsia="仿宋" w:cs="仿宋"/>
          <w:b w:val="0"/>
          <w:bCs w:val="0"/>
          <w:snapToGrid/>
          <w:color w:val="000000"/>
          <w:kern w:val="0"/>
          <w:sz w:val="32"/>
          <w:szCs w:val="32"/>
          <w:shd w:val="clear" w:fill="FFFFFF"/>
          <w:lang w:val="en-US" w:eastAsia="zh-CN" w:bidi="ar"/>
        </w:rPr>
        <w:t>部门负责人组织业务办公室工作人员，对照下达资金预算项目支出绩效目标自评表和2024年专项资金预算项目支出绩效评价指标体系表，结合项目实际运行情况，逐一对照指标解释和评分方法进行打分自评。</w:t>
      </w:r>
      <w:r>
        <w:rPr>
          <w:rFonts w:hint="default" w:ascii="仿宋" w:hAnsi="仿宋" w:eastAsia="仿宋" w:cs="仿宋"/>
          <w:snapToGrid/>
          <w:color w:val="000000"/>
          <w:kern w:val="0"/>
          <w:sz w:val="32"/>
          <w:szCs w:val="32"/>
          <w:lang w:val="en-US" w:eastAsia="zh-CN" w:bidi="ar"/>
        </w:rPr>
        <w:t>本项目共设置产出指标3个，效益指标5个，满意度指标1个，成本指标1个，绩效目标和绩效指标均量化可考核，相匹配，全面完整，契合政策和项目实质，与部门的长期规划目标、年度工作目标相一致，产出和效果相关联，设置了服务对象满意度指标。</w:t>
      </w:r>
      <w:r>
        <w:rPr>
          <w:rFonts w:hint="default" w:ascii="仿宋" w:hAnsi="仿宋" w:eastAsia="仿宋" w:cs="仿宋"/>
          <w:b w:val="0"/>
          <w:bCs w:val="0"/>
          <w:snapToGrid/>
          <w:color w:val="000000"/>
          <w:kern w:val="0"/>
          <w:sz w:val="32"/>
          <w:szCs w:val="32"/>
          <w:shd w:val="clear" w:fill="FFFFFF"/>
          <w:lang w:val="en-US" w:eastAsia="zh-CN" w:bidi="ar"/>
        </w:rPr>
        <w:t>项目实施单位财务管理制度健全，严格执行财务管理制度。</w:t>
      </w:r>
    </w:p>
    <w:p w14:paraId="1B9BF14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kern w:val="0"/>
          <w:sz w:val="32"/>
          <w:szCs w:val="32"/>
        </w:rPr>
      </w:pPr>
      <w:r>
        <w:rPr>
          <w:rFonts w:hint="default" w:ascii="黑体" w:hAnsi="宋体" w:eastAsia="黑体" w:cs="黑体"/>
          <w:b w:val="0"/>
          <w:bCs w:val="0"/>
          <w:snapToGrid/>
          <w:color w:val="000000"/>
          <w:kern w:val="0"/>
          <w:sz w:val="32"/>
          <w:szCs w:val="32"/>
          <w:lang w:val="en-US" w:eastAsia="zh-CN" w:bidi="ar"/>
        </w:rPr>
        <w:t>二、评价实施</w:t>
      </w:r>
    </w:p>
    <w:p w14:paraId="1A6CECB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（一）评价目的。</w:t>
      </w:r>
      <w:r>
        <w:rPr>
          <w:rFonts w:hint="default" w:ascii="仿宋" w:hAnsi="仿宋" w:eastAsia="仿宋" w:cs="仿宋"/>
          <w:snapToGrid/>
          <w:color w:val="000000"/>
          <w:spacing w:val="0"/>
          <w:kern w:val="0"/>
          <w:sz w:val="32"/>
          <w:szCs w:val="32"/>
          <w:vertAlign w:val="baseline"/>
          <w:lang w:val="en-US" w:eastAsia="zh-CN" w:bidi="ar"/>
        </w:rPr>
        <w:t>通过项目绩效自评成功完成</w:t>
      </w:r>
      <w:r>
        <w:rPr>
          <w:rFonts w:hint="default" w:ascii="仿宋" w:hAnsi="仿宋" w:eastAsia="仿宋" w:cs="仿宋"/>
          <w:snapToGrid/>
          <w:color w:val="000000"/>
          <w:kern w:val="0"/>
          <w:sz w:val="32"/>
          <w:szCs w:val="32"/>
          <w:vertAlign w:val="baseline"/>
          <w:lang w:val="en-US" w:eastAsia="zh-CN" w:bidi="ar"/>
        </w:rPr>
        <w:t>下达任务4.29万亩，其中区农业农村局3.29万亩，区供销社1万亩；</w:t>
      </w:r>
      <w:r>
        <w:rPr>
          <w:rFonts w:hint="default" w:ascii="仿宋" w:hAnsi="仿宋" w:eastAsia="仿宋" w:cs="仿宋"/>
          <w:b w:val="0"/>
          <w:bCs w:val="0"/>
          <w:snapToGrid/>
          <w:color w:val="000000"/>
          <w:kern w:val="0"/>
          <w:sz w:val="32"/>
          <w:szCs w:val="32"/>
          <w:shd w:val="clear" w:fill="FFFFFF"/>
          <w:vertAlign w:val="baseline"/>
          <w:lang w:val="en-US" w:eastAsia="zh-CN" w:bidi="ar"/>
        </w:rPr>
        <w:t>全年完成任务合格率大于等于98%。</w:t>
      </w:r>
      <w:r>
        <w:rPr>
          <w:rFonts w:hint="default" w:ascii="仿宋" w:hAnsi="仿宋" w:eastAsia="仿宋" w:cs="仿宋"/>
          <w:snapToGrid/>
          <w:color w:val="000000"/>
          <w:spacing w:val="0"/>
          <w:kern w:val="0"/>
          <w:sz w:val="32"/>
          <w:szCs w:val="32"/>
          <w:vertAlign w:val="baseline"/>
          <w:lang w:val="en-US" w:eastAsia="zh-CN" w:bidi="ar"/>
        </w:rPr>
        <w:t xml:space="preserve"> </w:t>
      </w:r>
    </w:p>
    <w:p w14:paraId="226AE76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（二）预设问题及评价重点。</w:t>
      </w:r>
      <w:r>
        <w:rPr>
          <w:rFonts w:hint="default" w:ascii="仿宋" w:hAnsi="仿宋" w:eastAsia="仿宋" w:cs="仿宋"/>
          <w:snapToGrid/>
          <w:color w:val="000000"/>
          <w:spacing w:val="0"/>
          <w:kern w:val="0"/>
          <w:sz w:val="32"/>
          <w:szCs w:val="32"/>
          <w:vertAlign w:val="baseline"/>
          <w:lang w:val="en-US" w:eastAsia="zh-CN" w:bidi="ar"/>
        </w:rPr>
        <w:t>按照绩效评价指标体系，严格按照下达的预算安排及分配管理对资金支出使用全过程及其实施效果进行全程监管，资金主要用于油菜小麦、水稻、玉米大豆“耕、种、防、收”等服务环节的社会化服务。</w:t>
      </w:r>
    </w:p>
    <w:p w14:paraId="6FC3DB0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（三）评价选点。</w:t>
      </w:r>
      <w:r>
        <w:rPr>
          <w:rFonts w:hint="default" w:ascii="仿宋" w:hAnsi="仿宋" w:eastAsia="仿宋" w:cs="仿宋"/>
          <w:snapToGrid/>
          <w:color w:val="000000"/>
          <w:spacing w:val="0"/>
          <w:kern w:val="0"/>
          <w:sz w:val="32"/>
          <w:szCs w:val="32"/>
          <w:vertAlign w:val="baseline"/>
          <w:lang w:val="en-US" w:eastAsia="zh-CN" w:bidi="ar"/>
        </w:rPr>
        <w:t>本项目资金391万元全部用于利州区油菜小麦、水稻、玉米大豆等粮油作物“耕、种、防、收”等环节的社会化服务工作，农业农村局和联合乡镇（街道）对各服务主体全覆盖验收、</w:t>
      </w:r>
      <w:r>
        <w:rPr>
          <w:rFonts w:hint="default" w:ascii="仿宋" w:hAnsi="仿宋" w:eastAsia="仿宋" w:cs="仿宋"/>
          <w:b w:val="0"/>
          <w:bCs w:val="0"/>
          <w:snapToGrid/>
          <w:color w:val="000000"/>
          <w:kern w:val="0"/>
          <w:sz w:val="32"/>
          <w:szCs w:val="32"/>
          <w:vertAlign w:val="baseline"/>
          <w:lang w:val="en-US" w:eastAsia="zh-CN" w:bidi="ar"/>
        </w:rPr>
        <w:t>对服务的农户（业主）按随机抽取10％的比例进行</w:t>
      </w:r>
      <w:r>
        <w:rPr>
          <w:rFonts w:hint="default" w:ascii="仿宋" w:hAnsi="仿宋" w:eastAsia="仿宋" w:cs="仿宋"/>
          <w:b w:val="0"/>
          <w:bCs w:val="0"/>
          <w:snapToGrid/>
          <w:color w:val="000000"/>
          <w:spacing w:val="0"/>
          <w:kern w:val="0"/>
          <w:sz w:val="32"/>
          <w:szCs w:val="32"/>
          <w:vertAlign w:val="baseline"/>
          <w:lang w:val="en-US" w:eastAsia="zh-CN" w:bidi="ar"/>
        </w:rPr>
        <w:t>实地踏勘</w:t>
      </w:r>
      <w:r>
        <w:rPr>
          <w:rFonts w:hint="default" w:ascii="仿宋" w:hAnsi="仿宋" w:eastAsia="仿宋" w:cs="仿宋"/>
          <w:b w:val="0"/>
          <w:bCs w:val="0"/>
          <w:snapToGrid/>
          <w:color w:val="000000"/>
          <w:kern w:val="0"/>
          <w:sz w:val="32"/>
          <w:szCs w:val="32"/>
          <w:vertAlign w:val="baseline"/>
          <w:lang w:val="en-US" w:eastAsia="zh-CN" w:bidi="ar"/>
        </w:rPr>
        <w:t>核实验收</w:t>
      </w:r>
      <w:r>
        <w:rPr>
          <w:rFonts w:hint="default" w:ascii="仿宋" w:hAnsi="仿宋" w:eastAsia="仿宋" w:cs="仿宋"/>
          <w:b w:val="0"/>
          <w:bCs w:val="0"/>
          <w:snapToGrid/>
          <w:color w:val="000000"/>
          <w:spacing w:val="0"/>
          <w:kern w:val="0"/>
          <w:sz w:val="32"/>
          <w:szCs w:val="32"/>
          <w:vertAlign w:val="baseline"/>
          <w:lang w:val="en-US" w:eastAsia="zh-CN" w:bidi="ar"/>
        </w:rPr>
        <w:t>，</w:t>
      </w:r>
      <w:r>
        <w:rPr>
          <w:rFonts w:hint="default" w:ascii="仿宋" w:hAnsi="仿宋" w:eastAsia="仿宋" w:cs="仿宋"/>
          <w:snapToGrid/>
          <w:color w:val="000000"/>
          <w:spacing w:val="0"/>
          <w:kern w:val="0"/>
          <w:sz w:val="32"/>
          <w:szCs w:val="32"/>
          <w:vertAlign w:val="baseline"/>
          <w:lang w:val="en-US" w:eastAsia="zh-CN" w:bidi="ar"/>
        </w:rPr>
        <w:t>且把点位清单作为自评附表。</w:t>
      </w:r>
    </w:p>
    <w:p w14:paraId="3C771B9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（四）评价方法。</w:t>
      </w:r>
      <w:r>
        <w:rPr>
          <w:rFonts w:hint="default" w:ascii="仿宋" w:hAnsi="仿宋" w:eastAsia="仿宋" w:cs="仿宋"/>
          <w:snapToGrid/>
          <w:color w:val="000000"/>
          <w:spacing w:val="0"/>
          <w:kern w:val="0"/>
          <w:sz w:val="32"/>
          <w:szCs w:val="32"/>
          <w:vertAlign w:val="baseline"/>
          <w:lang w:val="en-US" w:eastAsia="zh-CN" w:bidi="ar"/>
        </w:rPr>
        <w:t>本项目根据项目情况和评价重点，采用实地勘察法、座谈调研法等用来收集相关材料和开展具体评价的方法。</w:t>
      </w:r>
    </w:p>
    <w:p w14:paraId="6C2774B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（五）评价组织。</w:t>
      </w:r>
      <w:r>
        <w:rPr>
          <w:rFonts w:hint="default" w:ascii="仿宋" w:hAnsi="仿宋" w:eastAsia="仿宋" w:cs="仿宋"/>
          <w:snapToGrid/>
          <w:color w:val="000000"/>
          <w:spacing w:val="0"/>
          <w:kern w:val="0"/>
          <w:sz w:val="32"/>
          <w:szCs w:val="32"/>
          <w:vertAlign w:val="baseline"/>
          <w:lang w:val="en-US" w:eastAsia="zh-CN" w:bidi="ar"/>
        </w:rPr>
        <w:t>评价组设立在新型农业经营主体发展股，办公室全体工作人员共计4人开展评价，设组长1名，成员3名，按照评价内容开展项目绩效评价工作，</w:t>
      </w:r>
      <w:r>
        <w:rPr>
          <w:rFonts w:hint="default" w:ascii="仿宋" w:hAnsi="仿宋" w:eastAsia="仿宋" w:cs="仿宋"/>
          <w:b w:val="0"/>
          <w:bCs w:val="0"/>
          <w:snapToGrid/>
          <w:color w:val="000000"/>
          <w:kern w:val="0"/>
          <w:sz w:val="32"/>
          <w:szCs w:val="32"/>
          <w:shd w:val="clear" w:fill="FFFFFF"/>
          <w:vertAlign w:val="baseline"/>
          <w:lang w:val="en-US" w:eastAsia="zh-CN" w:bidi="ar"/>
        </w:rPr>
        <w:t>利州区农业农村局机关纪检委员的全程监督</w:t>
      </w:r>
      <w:r>
        <w:rPr>
          <w:rFonts w:hint="default" w:ascii="仿宋" w:hAnsi="仿宋" w:eastAsia="仿宋" w:cs="仿宋"/>
          <w:snapToGrid/>
          <w:color w:val="000000"/>
          <w:spacing w:val="0"/>
          <w:kern w:val="0"/>
          <w:sz w:val="32"/>
          <w:szCs w:val="32"/>
          <w:vertAlign w:val="baseline"/>
          <w:lang w:val="en-US" w:eastAsia="zh-CN" w:bidi="ar"/>
        </w:rPr>
        <w:t>。</w:t>
      </w:r>
    </w:p>
    <w:p w14:paraId="3F3C514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kern w:val="0"/>
          <w:sz w:val="32"/>
          <w:szCs w:val="32"/>
        </w:rPr>
      </w:pPr>
      <w:r>
        <w:rPr>
          <w:rFonts w:hint="default" w:ascii="黑体" w:hAnsi="宋体" w:eastAsia="黑体" w:cs="黑体"/>
          <w:b w:val="0"/>
          <w:bCs w:val="0"/>
          <w:snapToGrid/>
          <w:color w:val="000000"/>
          <w:kern w:val="0"/>
          <w:sz w:val="32"/>
          <w:szCs w:val="32"/>
          <w:lang w:val="en-US" w:eastAsia="zh-CN" w:bidi="ar"/>
        </w:rPr>
        <w:t>三、绩效分析</w:t>
      </w:r>
    </w:p>
    <w:p w14:paraId="0957E5E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（一）通用指标绩效分析。</w:t>
      </w:r>
    </w:p>
    <w:p w14:paraId="5EF9E47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2"/>
          <w:sz w:val="32"/>
          <w:szCs w:val="32"/>
          <w:lang w:val="en-US" w:eastAsia="zh-CN" w:bidi="ar"/>
        </w:rPr>
        <w:t>1.</w:t>
      </w:r>
      <w:r>
        <w:rPr>
          <w:rFonts w:hint="default" w:ascii="仿宋" w:hAnsi="仿宋" w:eastAsia="仿宋" w:cs="仿宋"/>
          <w:snapToGrid/>
          <w:color w:val="000000"/>
          <w:spacing w:val="0"/>
          <w:kern w:val="0"/>
          <w:sz w:val="32"/>
          <w:szCs w:val="32"/>
          <w:lang w:val="en-US" w:eastAsia="zh-CN" w:bidi="ar"/>
        </w:rPr>
        <w:t>项目决策。围绕决策程序、规划论证、资金投向进行绩效分析。社会化服务工作是解决</w:t>
      </w:r>
      <w:r>
        <w:rPr>
          <w:rFonts w:hint="default" w:ascii="仿宋" w:hAnsi="仿宋" w:eastAsia="仿宋" w:cs="仿宋"/>
          <w:snapToGrid/>
          <w:color w:val="000000"/>
          <w:kern w:val="0"/>
          <w:sz w:val="32"/>
          <w:szCs w:val="32"/>
          <w:lang w:val="en-US" w:eastAsia="zh-CN" w:bidi="ar"/>
        </w:rPr>
        <w:t>“谁来种地”“怎样种好地”，切实解决广大农户的“下地”问题。开展农业社会化服务工作，是各级</w:t>
      </w:r>
      <w:r>
        <w:rPr>
          <w:rFonts w:hint="default" w:ascii="仿宋" w:hAnsi="仿宋" w:eastAsia="仿宋" w:cs="仿宋"/>
          <w:b w:val="0"/>
          <w:bCs w:val="0"/>
          <w:snapToGrid/>
          <w:color w:val="000000"/>
          <w:kern w:val="0"/>
          <w:sz w:val="32"/>
          <w:szCs w:val="32"/>
          <w:shd w:val="clear" w:fill="FFFFFF"/>
          <w:lang w:val="en-US" w:eastAsia="zh-CN" w:bidi="ar"/>
        </w:rPr>
        <w:t>农业农村行政主管部门的工作职责，2024年社会化服务工作县区分管领导高度重视，</w:t>
      </w:r>
      <w:r>
        <w:rPr>
          <w:rFonts w:hint="default" w:ascii="仿宋" w:hAnsi="仿宋" w:eastAsia="仿宋" w:cs="仿宋"/>
          <w:snapToGrid/>
          <w:color w:val="000000"/>
          <w:kern w:val="0"/>
          <w:sz w:val="32"/>
          <w:szCs w:val="32"/>
          <w:lang w:val="en-US" w:eastAsia="zh-CN" w:bidi="ar"/>
        </w:rPr>
        <w:t>亲自组织局分管领导和股室负责同</w:t>
      </w:r>
      <w:r>
        <w:rPr>
          <w:rFonts w:hint="default" w:ascii="仿宋" w:hAnsi="仿宋" w:eastAsia="仿宋" w:cs="仿宋"/>
          <w:b w:val="0"/>
          <w:bCs w:val="0"/>
          <w:snapToGrid/>
          <w:color w:val="000000"/>
          <w:kern w:val="0"/>
          <w:sz w:val="32"/>
          <w:szCs w:val="32"/>
          <w:shd w:val="clear" w:fill="FFFFFF"/>
          <w:lang w:val="en-US" w:eastAsia="zh-CN" w:bidi="ar"/>
        </w:rPr>
        <w:t>志研究项目整改实施工作，提出初步方案。区纪委书记带领区委第四巡视组到我局现场办公，深入调研了解社会化服务存在的问题。主要领导和分管领导先后四次组织相关股室进行研究制定整改方案。分管领导带领主体培育股到江油市学习先进经验、了解实际困难和问题，实际制定切实可行的项目实施方案，确保工作</w:t>
      </w:r>
      <w:r>
        <w:rPr>
          <w:rFonts w:hint="default" w:ascii="仿宋" w:hAnsi="仿宋" w:eastAsia="仿宋" w:cs="仿宋"/>
          <w:snapToGrid/>
          <w:color w:val="000000"/>
          <w:kern w:val="0"/>
          <w:sz w:val="32"/>
          <w:szCs w:val="32"/>
          <w:lang w:val="en-US" w:eastAsia="zh-CN" w:bidi="ar"/>
        </w:rPr>
        <w:t>顺利实施</w:t>
      </w:r>
    </w:p>
    <w:p w14:paraId="4449D182">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leftChars="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spacing w:val="0"/>
          <w:kern w:val="0"/>
          <w:sz w:val="32"/>
          <w:szCs w:val="32"/>
          <w:lang w:val="en-US" w:eastAsia="zh-CN" w:bidi="ar"/>
        </w:rPr>
        <w:t>2.项目管理。项目实施单位：广元市利州区新型经营主体培育发展股，项目实施流程：按照要求评审进入名录系统、申报、遴选、公示、批复、跟踪进度、验收、报账。</w:t>
      </w:r>
      <w:r>
        <w:rPr>
          <w:rFonts w:hint="default" w:ascii="仿宋" w:hAnsi="仿宋" w:eastAsia="仿宋" w:cs="仿宋"/>
          <w:b w:val="0"/>
          <w:bCs w:val="0"/>
          <w:snapToGrid/>
          <w:color w:val="000000"/>
          <w:kern w:val="0"/>
          <w:sz w:val="32"/>
          <w:szCs w:val="32"/>
          <w:shd w:val="clear" w:fill="FFFFFF"/>
          <w:lang w:val="en-US" w:eastAsia="zh-CN" w:bidi="ar"/>
        </w:rPr>
        <w:t>严格执行相关法律法规、项目管理制度等情况，如项目遴选、公示制等相关规定。项目遴选阶段邀请各相关股室人员成立评审组，在利州区农业农村局机关纪检委员的监督下进行。</w:t>
      </w:r>
    </w:p>
    <w:p w14:paraId="2038B6B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3.项目实施。</w:t>
      </w:r>
      <w:r>
        <w:rPr>
          <w:rFonts w:hint="default" w:ascii="仿宋" w:hAnsi="仿宋" w:eastAsia="仿宋" w:cs="仿宋"/>
          <w:b w:val="0"/>
          <w:bCs w:val="0"/>
          <w:snapToGrid/>
          <w:color w:val="000000"/>
          <w:kern w:val="0"/>
          <w:sz w:val="32"/>
          <w:szCs w:val="32"/>
          <w:vertAlign w:val="baseline"/>
          <w:lang w:val="en-US" w:eastAsia="zh-CN" w:bidi="ar"/>
        </w:rPr>
        <w:t>规划在全区实施油菜小麦、水稻、玉米大豆等粮油作物，各环节总面积22.7812万亩次，项目面积4.29029万亩（在今年宜居宜业“和美乡村”建设村中优先开展</w:t>
      </w:r>
      <w:r>
        <w:rPr>
          <w:rFonts w:hint="default" w:ascii="仿宋" w:hAnsi="仿宋" w:eastAsia="仿宋" w:cs="仿宋"/>
          <w:b w:val="0"/>
          <w:bCs w:val="0"/>
          <w:snapToGrid/>
          <w:color w:val="000000"/>
          <w:spacing w:val="0"/>
          <w:kern w:val="0"/>
          <w:sz w:val="32"/>
          <w:szCs w:val="32"/>
          <w:vertAlign w:val="baseline"/>
          <w:lang w:val="en-US" w:eastAsia="zh-CN" w:bidi="ar"/>
        </w:rPr>
        <w:t>）。其中，区供销联社在白朝乡、金洞乡、河西街道、上西</w:t>
      </w:r>
      <w:r>
        <w:rPr>
          <w:rFonts w:hint="default" w:ascii="仿宋" w:hAnsi="仿宋" w:eastAsia="仿宋" w:cs="仿宋"/>
          <w:b w:val="0"/>
          <w:bCs w:val="0"/>
          <w:snapToGrid/>
          <w:color w:val="000000"/>
          <w:kern w:val="0"/>
          <w:sz w:val="32"/>
          <w:szCs w:val="32"/>
          <w:vertAlign w:val="baseline"/>
          <w:lang w:val="en-US" w:eastAsia="zh-CN" w:bidi="ar"/>
        </w:rPr>
        <w:t>街</w:t>
      </w:r>
      <w:r>
        <w:rPr>
          <w:rFonts w:hint="default" w:ascii="仿宋" w:hAnsi="仿宋" w:eastAsia="仿宋" w:cs="仿宋"/>
          <w:b w:val="0"/>
          <w:bCs w:val="0"/>
          <w:snapToGrid/>
          <w:color w:val="000000"/>
          <w:spacing w:val="0"/>
          <w:kern w:val="0"/>
          <w:sz w:val="32"/>
          <w:szCs w:val="32"/>
          <w:vertAlign w:val="baseline"/>
          <w:lang w:val="en-US" w:eastAsia="zh-CN" w:bidi="ar"/>
        </w:rPr>
        <w:t>道、嘉陵街道等地组织开展粮油作物社会化服务项目面积1.0523万</w:t>
      </w:r>
      <w:r>
        <w:rPr>
          <w:rFonts w:hint="default" w:ascii="仿宋" w:hAnsi="仿宋" w:eastAsia="仿宋" w:cs="仿宋"/>
          <w:b w:val="0"/>
          <w:bCs w:val="0"/>
          <w:snapToGrid/>
          <w:color w:val="000000"/>
          <w:kern w:val="0"/>
          <w:sz w:val="32"/>
          <w:szCs w:val="32"/>
          <w:vertAlign w:val="baseline"/>
          <w:lang w:val="en-US" w:eastAsia="zh-CN" w:bidi="ar"/>
        </w:rPr>
        <w:t>亩；区农业农村局在荣山镇、大石镇、龙潭乡、宝轮镇、三堆镇等地组织开展粮油作物社会化服务项目面积3.238万亩。</w:t>
      </w:r>
    </w:p>
    <w:p w14:paraId="74EE26A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4.项目结果。已完成项目4.29万亩的粮油农业社会化服务，其中:其中农业农村部门3.29万元，区供销社1万亩社会化服务任务。</w:t>
      </w:r>
    </w:p>
    <w:p w14:paraId="52D732F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楷体" w:hAnsi="楷体" w:eastAsia="楷体" w:cs="楷体"/>
          <w:snapToGrid/>
          <w:color w:val="000000"/>
          <w:spacing w:val="0"/>
          <w:kern w:val="0"/>
          <w:sz w:val="32"/>
          <w:szCs w:val="32"/>
          <w:lang w:val="en-US" w:eastAsia="zh-CN" w:bidi="ar"/>
        </w:rPr>
        <w:t>（二）专用指标绩效分析。</w:t>
      </w:r>
      <w:r>
        <w:rPr>
          <w:rFonts w:hint="default" w:ascii="仿宋" w:hAnsi="仿宋" w:eastAsia="仿宋" w:cs="仿宋"/>
          <w:snapToGrid/>
          <w:color w:val="000000"/>
          <w:kern w:val="0"/>
          <w:sz w:val="32"/>
          <w:szCs w:val="32"/>
          <w:lang w:val="en-US" w:eastAsia="zh-CN" w:bidi="ar"/>
        </w:rPr>
        <w:t>项目围绕乡村振兴战略有效衔接，推进遏荒复垦。以培育壮大农业社会化服务主体为依托，大力支持新型农业经营主体、服务主体和农村集体经济组织提升农业社会化服务能力和水平，大力推广水稻等粮食作物机械化生产技术、绿色生产技术及规模化生产水平，着力构建公益性服务和经营性服务相结合、专项服务和综合服务相协调的新型农业社会化服务体系，推进家庭经营、集体经营、合作经营、企业经营共同发展。通过项目实施，项目区小麦每亩增加产量3公斤，可增加产量17.8万公斤，增加产值60万元。</w:t>
      </w:r>
    </w:p>
    <w:p w14:paraId="6B6DDF8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（三）个性指标绩效分析。</w:t>
      </w:r>
      <w:r>
        <w:rPr>
          <w:rFonts w:hint="default" w:ascii="仿宋" w:hAnsi="仿宋" w:eastAsia="仿宋" w:cs="仿宋"/>
          <w:snapToGrid/>
          <w:color w:val="000000"/>
          <w:spacing w:val="0"/>
          <w:kern w:val="0"/>
          <w:sz w:val="32"/>
          <w:szCs w:val="32"/>
          <w:vertAlign w:val="baseline"/>
          <w:lang w:val="en-US" w:eastAsia="zh-CN" w:bidi="ar"/>
        </w:rPr>
        <w:t>根据项目个性设定</w:t>
      </w:r>
      <w:r>
        <w:rPr>
          <w:rFonts w:hint="default" w:ascii="仿宋" w:hAnsi="仿宋" w:eastAsia="仿宋" w:cs="仿宋"/>
          <w:b w:val="0"/>
          <w:bCs w:val="0"/>
          <w:snapToGrid/>
          <w:color w:val="000000"/>
          <w:spacing w:val="0"/>
          <w:kern w:val="0"/>
          <w:sz w:val="32"/>
          <w:szCs w:val="32"/>
          <w:vertAlign w:val="baseline"/>
          <w:lang w:val="en-US" w:eastAsia="zh-CN" w:bidi="ar"/>
        </w:rPr>
        <w:t>3个</w:t>
      </w:r>
      <w:r>
        <w:rPr>
          <w:rFonts w:hint="default" w:ascii="仿宋" w:hAnsi="仿宋" w:eastAsia="仿宋" w:cs="仿宋"/>
          <w:snapToGrid/>
          <w:color w:val="000000"/>
          <w:spacing w:val="0"/>
          <w:kern w:val="0"/>
          <w:sz w:val="32"/>
          <w:szCs w:val="32"/>
          <w:vertAlign w:val="baseline"/>
          <w:lang w:val="en-US" w:eastAsia="zh-CN" w:bidi="ar"/>
        </w:rPr>
        <w:t>个性指标，依次为项目是否完成社会化服务任务、项目完成任务合格率是否达标、相关群体满意度调查情况。本项目完成各乡镇项目验收，并按要求录入统一数据平台。项目验收合格率大于98%。相关群体满意度等于98%。</w:t>
      </w:r>
    </w:p>
    <w:p w14:paraId="540291E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kern w:val="0"/>
          <w:sz w:val="32"/>
          <w:szCs w:val="32"/>
        </w:rPr>
      </w:pPr>
      <w:r>
        <w:rPr>
          <w:rFonts w:hint="default" w:ascii="黑体" w:hAnsi="宋体" w:eastAsia="黑体" w:cs="黑体"/>
          <w:b w:val="0"/>
          <w:bCs w:val="0"/>
          <w:snapToGrid/>
          <w:color w:val="000000"/>
          <w:kern w:val="0"/>
          <w:sz w:val="32"/>
          <w:szCs w:val="32"/>
          <w:lang w:val="en-US" w:eastAsia="zh-CN" w:bidi="ar"/>
        </w:rPr>
        <w:t>四、评价结论</w:t>
      </w:r>
    </w:p>
    <w:p w14:paraId="227DC81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本项目评价总分为80.1分。本项目共设置产出指标3个，效益指标5个，满意度指标2个，成本指标0个，绩效目标和绩效指标均量化可考核，相匹配，全面完整，契合政策和项目实质，与部门的长期规划目标、年度工作目标相一致，产出和效果相关联，设置了服务对象满意度指标。</w:t>
      </w:r>
    </w:p>
    <w:p w14:paraId="1E79352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重点指标设置情况：本项目产出指标中数量指标设置为完成农业生产全程托管服务面积4.29029（农业农村部门3.238万亩、供销部门1.0523万亩），已经全部完工。</w:t>
      </w:r>
    </w:p>
    <w:p w14:paraId="6E66371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kern w:val="0"/>
          <w:sz w:val="32"/>
          <w:szCs w:val="32"/>
        </w:rPr>
      </w:pPr>
      <w:r>
        <w:rPr>
          <w:rFonts w:hint="default" w:ascii="黑体" w:hAnsi="宋体" w:eastAsia="黑体" w:cs="黑体"/>
          <w:b w:val="0"/>
          <w:bCs w:val="0"/>
          <w:snapToGrid/>
          <w:color w:val="000000"/>
          <w:kern w:val="0"/>
          <w:sz w:val="32"/>
          <w:szCs w:val="32"/>
          <w:lang w:val="en-US" w:eastAsia="zh-CN" w:bidi="ar"/>
        </w:rPr>
        <w:t>五、存在主要问题</w:t>
      </w:r>
    </w:p>
    <w:p w14:paraId="103F8E7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 xml:space="preserve">农业生产基础条件难以支撑项目实施 我区地处丘陵山区，农村人均耕地面积较少（人均0.5-1亩，户均1.5-5亩不等），且多以丘陵山区土地为主，农村土地耕种基本以小型微耕机为主，每季作物耕、种、防、收全环节费用在600 - 800 左右，成本相对于平原大坝，成本高了2-3倍，全区适合且农户自愿接受开展等社会化服务的面积较小。补助标准偏低难激励。经调查，我区大田作物耕种收防全环节服务价格普遍在600-800元不等，而此前补助标准仅为90元/亩，总体补助比例较低，难以有效调动农户和服务主体的积极性，不利于社会化服务项目的持续推进；提高补助标准又会让服务环节，服务系数难以统一。项目实施监管验收遇困境。农业社会化服务项目实施涉及范围广、涉及农户多、地块分散、服务周期长、环节繁杂等现实难题，而具体从事项目实施监管验收的部门和乡镇村干部人力有限、事务繁多，难以全程全覆盖参与项目的监管与验收工作。此前部分参与项目监管验收的干部被追责，使得各级干部在推动项目实施时顾虑重重、缩手缩脚，项目推进困难。 </w:t>
      </w:r>
    </w:p>
    <w:p w14:paraId="7842C07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kern w:val="0"/>
          <w:sz w:val="32"/>
          <w:szCs w:val="32"/>
        </w:rPr>
      </w:pPr>
      <w:r>
        <w:rPr>
          <w:rFonts w:hint="default" w:ascii="黑体" w:hAnsi="宋体" w:eastAsia="黑体" w:cs="黑体"/>
          <w:b w:val="0"/>
          <w:bCs w:val="0"/>
          <w:snapToGrid/>
          <w:color w:val="000000"/>
          <w:kern w:val="0"/>
          <w:sz w:val="32"/>
          <w:szCs w:val="32"/>
          <w:lang w:val="en-US" w:eastAsia="zh-CN" w:bidi="ar"/>
        </w:rPr>
        <w:t>六、改进建议</w:t>
      </w:r>
    </w:p>
    <w:p w14:paraId="7F9F66A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1.提高补助标准。由于我区地处山区，社会化服务工作成本较高，按照原有补助标准100元/亩进行补助难以对我区社会化服务主体起到较大帮助，建议提高到130元/亩来激发主体工作的积极性。</w:t>
      </w:r>
    </w:p>
    <w:p w14:paraId="4E11CA8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2.明确验收方式。对“全覆盖验收”进行进一步明确，对每个服务主体实施的项目全覆盖验收，对主体服务小农户按10%进行抽验，使乡镇在推进过程中有政策依据，同时避免因歧义而可能带来的后续问题。</w:t>
      </w:r>
    </w:p>
    <w:p w14:paraId="035C166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3.积极探索推行托管模式。建议将各项农业补贴资金整合，积极推行全程社会化托管服务，由集体经济组织或服务主体对无人耕种的土地开展全程社会化托管服务，村集体经济组织或服务主体享受服务补贴（包括整合的其它农业补贴）对农作物收成按一定比例对农户和服务主体（集体经济组织）进行分配（也可以实物折价的方式分配），制定符合我区情况的托管合同模板，为托管提供参考，有利于推进我区社会化服务项目长效实施，提高种粮积极性，发挥补贴资金的聚和效应，逐步解决农村土地无人耕种的问题。</w:t>
      </w:r>
    </w:p>
    <w:p w14:paraId="29EDA9F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4.变革项目实施模式。现在项目以下任务的方式下达到乡镇，乡镇实际按照系数、钱数始终不可能完成当年下达的任务。该项目属于补助项目，应该由业主申报服务环节和面积，乡镇和主管部门备案，业主实施过程中按市场价进行收费，并做好报账资料，后乡镇组织抽验的基础上，农业财政等部门抽验，据实按实际服务环节和面积进行补助，补助资金按政策要求的比例分别补助给农户和服务主体。实际完成多少就补助多少，节余资金转入下一年滚动实施或财政收回统筹使用。</w:t>
      </w:r>
    </w:p>
    <w:p w14:paraId="5A58EC6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 xml:space="preserve"> </w:t>
      </w:r>
    </w:p>
    <w:p w14:paraId="0632BF2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附表：1.专项预算绩效自评打分表</w:t>
      </w:r>
    </w:p>
    <w:p w14:paraId="3E70AEB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1600" w:firstLineChars="5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2.专项预算绩效自评实地踏勘点位清单表</w:t>
      </w:r>
    </w:p>
    <w:p w14:paraId="70C6267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bCs/>
          <w:kern w:val="0"/>
          <w:sz w:val="32"/>
          <w:szCs w:val="32"/>
        </w:rPr>
      </w:pPr>
      <w:r>
        <w:rPr>
          <w:rFonts w:hint="default" w:ascii="仿宋" w:hAnsi="仿宋" w:eastAsia="仿宋" w:cs="仿宋"/>
          <w:snapToGrid/>
          <w:color w:val="000000"/>
          <w:spacing w:val="0"/>
          <w:kern w:val="0"/>
          <w:sz w:val="32"/>
          <w:szCs w:val="32"/>
          <w:lang w:val="en-US" w:eastAsia="zh-CN" w:bidi="ar"/>
        </w:rPr>
        <w:t xml:space="preserve">      3.专项预算项目绩效目标完成情况自评</w:t>
      </w:r>
    </w:p>
    <w:p w14:paraId="4EC7D43B">
      <w:pPr>
        <w:rPr>
          <w:rFonts w:hint="eastAsia" w:ascii="Calibri" w:hAnsi="Calibri" w:eastAsia="宋体" w:cs="Arial"/>
          <w:kern w:val="2"/>
          <w:sz w:val="18"/>
          <w:szCs w:val="18"/>
        </w:rPr>
        <w:sectPr>
          <w:pgSz w:w="11907" w:h="16840"/>
          <w:pgMar w:top="2098" w:right="1474" w:bottom="1984" w:left="1587" w:header="1" w:footer="1474" w:gutter="0"/>
          <w:pgNumType w:fmt="numberInDash"/>
          <w:cols w:space="720" w:num="1"/>
          <w:rtlGutter w:val="1"/>
          <w:docGrid w:type="lines" w:linePitch="312" w:charSpace="0"/>
        </w:sectPr>
      </w:pPr>
    </w:p>
    <w:p w14:paraId="7FCD87BD">
      <w:pPr>
        <w:keepNext w:val="0"/>
        <w:keepLines w:val="0"/>
        <w:widowControl/>
        <w:suppressLineNumbers w:val="0"/>
        <w:kinsoku w:val="0"/>
        <w:overflowPunct w:val="0"/>
        <w:autoSpaceDE w:val="0"/>
        <w:autoSpaceDN w:val="0"/>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color w:val="000000"/>
          <w:spacing w:val="0"/>
          <w:kern w:val="2"/>
          <w:sz w:val="44"/>
          <w:szCs w:val="44"/>
        </w:rPr>
      </w:pPr>
      <w:r>
        <w:rPr>
          <w:rFonts w:hint="eastAsia" w:ascii="方正小标宋简体" w:hAnsi="方正小标宋简体" w:eastAsia="方正小标宋简体" w:cs="方正小标宋简体"/>
          <w:snapToGrid/>
          <w:color w:val="000000"/>
          <w:spacing w:val="0"/>
          <w:kern w:val="2"/>
          <w:sz w:val="44"/>
          <w:szCs w:val="44"/>
          <w:lang w:val="en-US" w:eastAsia="zh-CN" w:bidi="ar"/>
        </w:rPr>
        <w:t>2024年生产设施条件改善项目绩效评估报告</w:t>
      </w:r>
    </w:p>
    <w:p w14:paraId="6D3EF3C4">
      <w:pPr>
        <w:keepNext w:val="0"/>
        <w:keepLines w:val="0"/>
        <w:widowControl/>
        <w:suppressLineNumbers w:val="0"/>
        <w:kinsoku w:val="0"/>
        <w:overflowPunct w:val="0"/>
        <w:autoSpaceDE w:val="0"/>
        <w:autoSpaceDN w:val="0"/>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color w:val="000000"/>
          <w:spacing w:val="0"/>
          <w:kern w:val="2"/>
          <w:sz w:val="44"/>
          <w:szCs w:val="44"/>
        </w:rPr>
      </w:pPr>
      <w:r>
        <w:rPr>
          <w:rFonts w:hint="eastAsia" w:ascii="方正小标宋简体" w:hAnsi="方正小标宋简体" w:eastAsia="方正小标宋简体" w:cs="方正小标宋简体"/>
          <w:snapToGrid/>
          <w:color w:val="000000"/>
          <w:spacing w:val="0"/>
          <w:kern w:val="2"/>
          <w:sz w:val="44"/>
          <w:szCs w:val="44"/>
          <w:lang w:val="en-US" w:eastAsia="zh-CN" w:bidi="ar"/>
        </w:rPr>
        <w:t>‌</w:t>
      </w:r>
    </w:p>
    <w:p w14:paraId="3A7C79BF">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‌一、项目概况‌</w:t>
      </w:r>
    </w:p>
    <w:p w14:paraId="497F8F26">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（一）设立背景及基本情况</w:t>
      </w:r>
    </w:p>
    <w:p w14:paraId="06F85716">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根据《四川省财政厅 省农业农村厅关于下达2024年中央财政粮油生产保障等五项农业转移支付资金的通知》（川财农〔2024〕58号）及《四川省农业农村厅关于印发〈2024年生产设施条件改善项目实施方案〉的通知》（川农函〔2024〕401号）要求，为改善农业生产设施条件，推动粮油生产和农村经济发展，利州区农业农村局通过村、乡镇（街道）推荐，经局党组会研究并公示，选定广元市利州区葳蕤家庭农场等9家示范家庭农场实施2024年生产设施条件改善项目。</w:t>
      </w:r>
    </w:p>
    <w:p w14:paraId="08771556">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（二）实施目的及支持方向</w:t>
      </w:r>
    </w:p>
    <w:p w14:paraId="2A620513">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项目旨在通过财政补助支持家庭农场提升经营水平，资金主要用于农业设施建设和设备购置，重点支持农业生产等产业规模化经营，积极扩大产业基地规模，带动农户增收。</w:t>
      </w:r>
    </w:p>
    <w:p w14:paraId="6CE4E879">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（三）预算安排及分配管理</w:t>
      </w:r>
    </w:p>
    <w:p w14:paraId="484E4A9C">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项目资金为财政补助资金，实行“先建后补”管理。资金分配综合考虑农场规模、示范等级、带动农户能力等因素，确保公平性和效益性。</w:t>
      </w:r>
    </w:p>
    <w:p w14:paraId="24F04FF0">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（四）项目绩效目标设置</w:t>
      </w:r>
    </w:p>
    <w:p w14:paraId="491D0B87">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目标包括：</w:t>
      </w:r>
    </w:p>
    <w:p w14:paraId="66817F0C">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‌经济效益‌：项目实施后农场年增收1100万元以上，带动农户950人，户均增收1500元；</w:t>
      </w:r>
    </w:p>
    <w:p w14:paraId="70229168">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‌社会效益‌：推动农业产业结构调整，促进“家庭农场+合作社+农户”模式发展，降低农户生产风险；</w:t>
      </w:r>
    </w:p>
    <w:p w14:paraId="7C32B012">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‌可持续性‌：通过设施改善和技术升级，为长期产业发展奠定基础。</w:t>
      </w:r>
    </w:p>
    <w:p w14:paraId="7F803114">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‌二、评价实施‌</w:t>
      </w:r>
    </w:p>
    <w:p w14:paraId="0A48E0B8">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（一）评价目的</w:t>
      </w:r>
    </w:p>
    <w:p w14:paraId="346097EE">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黑体" w:hAnsi="宋体" w:eastAsia="黑体" w:cs="黑体"/>
          <w:b w:val="0"/>
          <w:bCs w:val="0"/>
          <w:color w:val="000000"/>
          <w:kern w:val="0"/>
          <w:sz w:val="32"/>
          <w:szCs w:val="32"/>
        </w:rPr>
      </w:pPr>
      <w:r>
        <w:rPr>
          <w:rFonts w:hint="default" w:ascii="仿宋" w:hAnsi="仿宋" w:eastAsia="仿宋" w:cs="仿宋"/>
          <w:b w:val="0"/>
          <w:bCs w:val="0"/>
          <w:snapToGrid/>
          <w:color w:val="000000"/>
          <w:kern w:val="0"/>
          <w:sz w:val="32"/>
          <w:szCs w:val="32"/>
          <w:shd w:val="clear" w:fill="FFFFFF"/>
          <w:lang w:val="en-US" w:eastAsia="zh-CN" w:bidi="ar"/>
        </w:rPr>
        <w:t>确保财政资金使用合规性、经济性和效益性，验证项目实施方案可行性，优化后续政策支持。</w:t>
      </w:r>
    </w:p>
    <w:p w14:paraId="5993F55C">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（二）预设问题及评价重点</w:t>
      </w:r>
    </w:p>
    <w:p w14:paraId="7C92FC3F">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项目实施是否按计划推进；带动农户增收效果是否达标。</w:t>
      </w:r>
    </w:p>
    <w:p w14:paraId="413A7FD7">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（三）评价选点</w:t>
      </w:r>
    </w:p>
    <w:p w14:paraId="1D142E23">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选取财政补助资金分配占比较高的‌广元市利州区富明家庭农场‌、广元市‌利州区众泰家庭农场‌，作为实地踏勘点位。</w:t>
      </w:r>
    </w:p>
    <w:p w14:paraId="23400100">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（四）评价方法</w:t>
      </w:r>
    </w:p>
    <w:p w14:paraId="7B71CE15">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黑体" w:hAnsi="宋体" w:eastAsia="黑体" w:cs="黑体"/>
          <w:b w:val="0"/>
          <w:bCs w:val="0"/>
          <w:color w:val="000000"/>
          <w:kern w:val="0"/>
          <w:sz w:val="32"/>
          <w:szCs w:val="32"/>
        </w:rPr>
      </w:pPr>
      <w:r>
        <w:rPr>
          <w:rFonts w:hint="default" w:ascii="仿宋" w:hAnsi="仿宋" w:eastAsia="仿宋" w:cs="仿宋"/>
          <w:b w:val="0"/>
          <w:bCs w:val="0"/>
          <w:snapToGrid/>
          <w:color w:val="000000"/>
          <w:kern w:val="0"/>
          <w:sz w:val="32"/>
          <w:szCs w:val="32"/>
          <w:shd w:val="clear" w:fill="FFFFFF"/>
          <w:lang w:val="en-US" w:eastAsia="zh-CN" w:bidi="ar"/>
        </w:rPr>
        <w:t>采用‌实地勘察法‌（核查设施建设进度）。</w:t>
      </w:r>
    </w:p>
    <w:p w14:paraId="3A15E92E">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（五）评价组织</w:t>
      </w:r>
    </w:p>
    <w:p w14:paraId="7C4FD893">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评价组设立在广元市利州区农业农村局新型经营主体培育发展股，股室全体工作人员共计4人为评价组人员，设组长1名，成员3名，按照评价内容开展项目绩效评价工作，利州区农业农村局机关纪检委员全程监督。</w:t>
      </w:r>
    </w:p>
    <w:p w14:paraId="7F20BFEF">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‌三、绩效分析‌</w:t>
      </w:r>
    </w:p>
    <w:p w14:paraId="328FFC45">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（一）通用指标绩效分析</w:t>
      </w:r>
    </w:p>
    <w:p w14:paraId="1557E0D3">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1.‌项目决策</w:t>
      </w:r>
    </w:p>
    <w:p w14:paraId="0DCE7B0B">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仿宋" w:hAnsi="仿宋" w:eastAsia="仿宋" w:cs="仿宋"/>
          <w:b w:val="0"/>
          <w:bCs w:val="0"/>
          <w:snapToGrid/>
          <w:color w:val="000000"/>
          <w:kern w:val="0"/>
          <w:sz w:val="32"/>
          <w:szCs w:val="32"/>
          <w:shd w:val="clear" w:fill="FFFFFF"/>
          <w:lang w:val="en-US" w:eastAsia="zh-CN" w:bidi="ar"/>
        </w:rPr>
        <w:t>立项符合中央及省级政策导向，程序规范，资金投向精准聚焦农业生产和设施改善</w:t>
      </w:r>
      <w:r>
        <w:rPr>
          <w:rFonts w:hint="default" w:ascii="黑体" w:hAnsi="宋体" w:eastAsia="黑体" w:cs="黑体"/>
          <w:b w:val="0"/>
          <w:bCs w:val="0"/>
          <w:snapToGrid/>
          <w:color w:val="000000"/>
          <w:kern w:val="0"/>
          <w:sz w:val="32"/>
          <w:szCs w:val="32"/>
          <w:lang w:val="en-US" w:eastAsia="zh-CN" w:bidi="ar"/>
        </w:rPr>
        <w:t>。</w:t>
      </w:r>
    </w:p>
    <w:p w14:paraId="2F8BA2BF">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仿宋" w:hAnsi="仿宋" w:eastAsia="仿宋" w:cs="仿宋"/>
          <w:b w:val="0"/>
          <w:bCs w:val="0"/>
          <w:snapToGrid/>
          <w:color w:val="000000"/>
          <w:kern w:val="0"/>
          <w:sz w:val="32"/>
          <w:szCs w:val="32"/>
          <w:shd w:val="clear" w:fill="FFFFFF"/>
          <w:lang w:val="en-US" w:eastAsia="zh-CN" w:bidi="ar"/>
        </w:rPr>
        <w:t>2.‌项目管理</w:t>
      </w:r>
      <w:r>
        <w:rPr>
          <w:rFonts w:hint="default" w:ascii="黑体" w:hAnsi="宋体" w:eastAsia="黑体" w:cs="黑体"/>
          <w:b w:val="0"/>
          <w:bCs w:val="0"/>
          <w:snapToGrid/>
          <w:color w:val="000000"/>
          <w:kern w:val="0"/>
          <w:sz w:val="32"/>
          <w:szCs w:val="32"/>
          <w:lang w:val="en-US" w:eastAsia="zh-CN" w:bidi="ar"/>
        </w:rPr>
        <w:t>‌</w:t>
      </w:r>
    </w:p>
    <w:p w14:paraId="4FFDD87D">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由新型经营主体培育发展股按程序进行储备、实施、验收及资金拨付。</w:t>
      </w:r>
    </w:p>
    <w:p w14:paraId="1B28928D">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3.‌项目实施</w:t>
      </w:r>
    </w:p>
    <w:p w14:paraId="30494931">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仿宋" w:hAnsi="仿宋" w:eastAsia="仿宋" w:cs="仿宋"/>
          <w:b w:val="0"/>
          <w:bCs w:val="0"/>
          <w:snapToGrid/>
          <w:color w:val="000000"/>
          <w:kern w:val="0"/>
          <w:sz w:val="32"/>
          <w:szCs w:val="32"/>
          <w:shd w:val="clear" w:fill="FFFFFF"/>
          <w:lang w:val="en-US" w:eastAsia="zh-CN" w:bidi="ar"/>
        </w:rPr>
        <w:t>项目财政补助资金共计115万元。资金主要用于农业设施建设和设备购置，由9家家庭农场按计划进行实施。</w:t>
      </w:r>
    </w:p>
    <w:p w14:paraId="6FAB00CB">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仿宋" w:hAnsi="仿宋" w:eastAsia="仿宋" w:cs="仿宋"/>
          <w:b w:val="0"/>
          <w:bCs w:val="0"/>
          <w:snapToGrid/>
          <w:color w:val="000000"/>
          <w:kern w:val="0"/>
          <w:sz w:val="32"/>
          <w:szCs w:val="32"/>
          <w:shd w:val="clear" w:fill="FFFFFF"/>
          <w:lang w:val="en-US" w:eastAsia="zh-CN" w:bidi="ar"/>
        </w:rPr>
        <w:t>4.‌项目结果</w:t>
      </w:r>
      <w:r>
        <w:rPr>
          <w:rFonts w:hint="default" w:ascii="黑体" w:hAnsi="宋体" w:eastAsia="黑体" w:cs="黑体"/>
          <w:b w:val="0"/>
          <w:bCs w:val="0"/>
          <w:snapToGrid/>
          <w:color w:val="000000"/>
          <w:kern w:val="0"/>
          <w:sz w:val="32"/>
          <w:szCs w:val="32"/>
          <w:lang w:val="en-US" w:eastAsia="zh-CN" w:bidi="ar"/>
        </w:rPr>
        <w:t>‌</w:t>
      </w:r>
    </w:p>
    <w:p w14:paraId="70C8FEA2">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9家家庭农场已经全部完成项目实施</w:t>
      </w:r>
    </w:p>
    <w:p w14:paraId="0BA1FAFE">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（二）专用指标绩效分析</w:t>
      </w:r>
    </w:p>
    <w:p w14:paraId="05536EA8">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仿宋" w:hAnsi="仿宋" w:eastAsia="仿宋" w:cs="仿宋"/>
          <w:b w:val="0"/>
          <w:bCs w:val="0"/>
          <w:snapToGrid/>
          <w:color w:val="000000"/>
          <w:kern w:val="0"/>
          <w:sz w:val="32"/>
          <w:szCs w:val="32"/>
          <w:shd w:val="clear" w:fill="FFFFFF"/>
          <w:lang w:val="en-US" w:eastAsia="zh-CN" w:bidi="ar"/>
        </w:rPr>
        <w:t>项目实施与区委区政府支持重点、优势产业支持政策符合，能够提升相关家庭农场的长期经营水平，促进提高经营收入，带动周边农户增收。</w:t>
      </w:r>
    </w:p>
    <w:p w14:paraId="102DAA1D">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（三）个性指标绩效分析</w:t>
      </w:r>
    </w:p>
    <w:p w14:paraId="552BFE63">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vertAlign w:val="baseline"/>
        </w:rPr>
      </w:pPr>
      <w:r>
        <w:rPr>
          <w:rFonts w:hint="default" w:ascii="仿宋" w:hAnsi="仿宋" w:eastAsia="仿宋" w:cs="仿宋"/>
          <w:snapToGrid/>
          <w:color w:val="000000"/>
          <w:spacing w:val="0"/>
          <w:kern w:val="0"/>
          <w:sz w:val="32"/>
          <w:szCs w:val="32"/>
          <w:vertAlign w:val="baseline"/>
          <w:lang w:val="en-US" w:eastAsia="zh-CN" w:bidi="ar"/>
        </w:rPr>
        <w:t>根据项目个性设定3个个性指标，依次为项目完成情况、带动农户增收情况、相关群体满意度调查情况。本项目9家家庭农场均按计划完成项目建设。带动相关农户平均增收1500元。相关群体满意度等于98%。</w:t>
      </w:r>
    </w:p>
    <w:p w14:paraId="1C39DB6F">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‌四、评价结论‌</w:t>
      </w:r>
    </w:p>
    <w:p w14:paraId="06D17E17">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本项目评价总分为100分。本项目共设置产出指标3个，效益指标3个，满意度指标1个，成本指标1个，项目实际完成情况与部门的长期规划目标、年度工作目标相一致，产出和效果相关联，设置了服务对象满意度指标。</w:t>
      </w:r>
    </w:p>
    <w:p w14:paraId="7B8A8ADF">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仿宋" w:hAnsi="仿宋" w:eastAsia="仿宋" w:cs="仿宋"/>
          <w:snapToGrid/>
          <w:color w:val="000000"/>
          <w:kern w:val="0"/>
          <w:sz w:val="32"/>
          <w:szCs w:val="32"/>
          <w:lang w:val="en-US" w:eastAsia="zh-CN" w:bidi="ar"/>
        </w:rPr>
        <w:t>重点指标设置情况：本项目产出指标中数量指标设置9家家庭农场均按计划开展实施，已经全部完工。</w:t>
      </w:r>
    </w:p>
    <w:p w14:paraId="27F53FC7">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‌五、存在主要问题‌</w:t>
      </w:r>
    </w:p>
    <w:p w14:paraId="7C6994D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原材料价格普遍上涨、人工成本持续增加等情况，主体生产的农产品，销售存在一定困难；受农产品市场竞争及价格影响、农产品进口力度增加，农产品价格大幅度下降，直接影响主体销售收入。</w:t>
      </w:r>
    </w:p>
    <w:p w14:paraId="3EE0428B">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‌六、改进建议‌</w:t>
      </w:r>
    </w:p>
    <w:p w14:paraId="1B066E9D">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优化资金拨付流程，简化报账资料，建立进度预警机制,确保按计划完成项目实施、验收和资金拨付等工作</w:t>
      </w:r>
    </w:p>
    <w:p w14:paraId="108C4C4D">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 xml:space="preserve"> </w:t>
      </w:r>
    </w:p>
    <w:p w14:paraId="7E981383">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1600" w:firstLineChars="5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 xml:space="preserve"> </w:t>
      </w:r>
    </w:p>
    <w:p w14:paraId="45455D7C">
      <w:pPr>
        <w:rPr>
          <w:rFonts w:hint="default" w:ascii="Arial" w:hAnsi="Arial" w:cs="Times New Roman"/>
          <w:color w:val="000000"/>
          <w:kern w:val="0"/>
          <w:sz w:val="21"/>
          <w:szCs w:val="21"/>
        </w:rPr>
        <w:sectPr>
          <w:pgSz w:w="11906" w:h="16838"/>
          <w:pgMar w:top="2098" w:right="1474" w:bottom="1984" w:left="1587" w:header="851" w:footer="1474" w:gutter="0"/>
          <w:pgNumType w:fmt="numberInDash"/>
          <w:cols w:space="720" w:num="1"/>
          <w:rtlGutter w:val="1"/>
          <w:docGrid w:type="lines" w:linePitch="312" w:charSpace="0"/>
        </w:sectPr>
      </w:pPr>
    </w:p>
    <w:p w14:paraId="02ED9030">
      <w:pPr>
        <w:keepNext w:val="0"/>
        <w:keepLines w:val="0"/>
        <w:widowControl w:val="0"/>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Calibri" w:hAnsi="Calibri" w:eastAsia="宋体" w:cs="黑体"/>
          <w:color w:val="000000"/>
          <w:kern w:val="2"/>
          <w:sz w:val="18"/>
          <w:szCs w:val="18"/>
        </w:rPr>
      </w:pPr>
      <w:r>
        <w:rPr>
          <w:rFonts w:hint="eastAsia" w:ascii="Calibri" w:hAnsi="Calibri" w:eastAsia="宋体" w:cs="黑体"/>
          <w:snapToGrid/>
          <w:color w:val="000000"/>
          <w:kern w:val="2"/>
          <w:sz w:val="18"/>
          <w:szCs w:val="18"/>
          <w:lang w:val="en-US" w:eastAsia="zh-CN" w:bidi="ar"/>
        </w:rPr>
        <w:t xml:space="preserve"> </w:t>
      </w:r>
    </w:p>
    <w:p w14:paraId="454F80F8">
      <w:pPr>
        <w:pStyle w:val="24"/>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b w:val="0"/>
          <w:bCs w:val="0"/>
          <w:color w:val="000000"/>
          <w:spacing w:val="0"/>
          <w:kern w:val="2"/>
          <w:sz w:val="44"/>
          <w:szCs w:val="44"/>
        </w:rPr>
      </w:pPr>
      <w:r>
        <w:rPr>
          <w:rFonts w:hint="eastAsia" w:ascii="方正小标宋简体" w:hAnsi="方正小标宋简体" w:eastAsia="方正小标宋简体" w:cs="方正小标宋简体"/>
          <w:b w:val="0"/>
          <w:bCs w:val="0"/>
          <w:snapToGrid/>
          <w:color w:val="000000"/>
          <w:spacing w:val="0"/>
          <w:kern w:val="2"/>
          <w:sz w:val="44"/>
          <w:szCs w:val="44"/>
          <w:lang w:val="en-US" w:eastAsia="zh-CN" w:bidi="ar"/>
        </w:rPr>
        <w:t>广元市利州区2024年省级农业社会化服务</w:t>
      </w:r>
    </w:p>
    <w:p w14:paraId="4D5D60B8">
      <w:pPr>
        <w:pStyle w:val="24"/>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b w:val="0"/>
          <w:bCs w:val="0"/>
          <w:kern w:val="2"/>
          <w:sz w:val="44"/>
          <w:szCs w:val="44"/>
        </w:rPr>
      </w:pPr>
      <w:r>
        <w:rPr>
          <w:rFonts w:hint="eastAsia" w:ascii="方正小标宋简体" w:hAnsi="方正小标宋简体" w:eastAsia="方正小标宋简体" w:cs="方正小标宋简体"/>
          <w:b w:val="0"/>
          <w:bCs w:val="0"/>
          <w:snapToGrid/>
          <w:color w:val="000000"/>
          <w:spacing w:val="0"/>
          <w:kern w:val="2"/>
          <w:sz w:val="44"/>
          <w:szCs w:val="44"/>
          <w:lang w:val="en-US" w:eastAsia="zh-CN" w:bidi="ar"/>
        </w:rPr>
        <w:t>非整县推进试点项目绩效自评报告</w:t>
      </w:r>
    </w:p>
    <w:p w14:paraId="483C1245">
      <w:pPr>
        <w:pStyle w:val="24"/>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2"/>
          <w:sz w:val="32"/>
          <w:szCs w:val="32"/>
        </w:rPr>
      </w:pPr>
      <w:r>
        <w:rPr>
          <w:rFonts w:hint="default" w:ascii="仿宋" w:hAnsi="仿宋" w:eastAsia="仿宋" w:cs="仿宋"/>
          <w:b w:val="0"/>
          <w:bCs w:val="0"/>
          <w:snapToGrid/>
          <w:color w:val="000000"/>
          <w:kern w:val="2"/>
          <w:sz w:val="32"/>
          <w:szCs w:val="32"/>
          <w:lang w:val="en-US" w:eastAsia="zh-CN" w:bidi="ar"/>
        </w:rPr>
        <w:t xml:space="preserve"> </w:t>
      </w:r>
    </w:p>
    <w:p w14:paraId="6B4D215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一、项目概况</w:t>
      </w:r>
    </w:p>
    <w:p w14:paraId="7D8D5FF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(一)设立背景及基本情况</w:t>
      </w:r>
    </w:p>
    <w:p w14:paraId="58E5D39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为贯彻落实党的二十届三中全会精神，提升我区农业社会化服务水平，健全便捷高效的农业社会化服务体系，根据《四川省农业农村厅关于做好2024年省级农业社会化服务试点项目的通知》（川农函〔2024〕447号）文件精神，为规范项目实施，推动项目有序开展，加大农业社会化服务示范推广力度，加快补齐农业社会化服务短板，积极探索盆周山区的社会化服务模式，促进小农户与现代农业有效衔接，推动全区农业社会化服务高质量发展，区农业农村局、区财政局共同编制广元市利州区2024年省级农业社会化服务非整县推进试点项目实施方案。</w:t>
      </w:r>
    </w:p>
    <w:p w14:paraId="38409D6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（二）实施目的及支持方向</w:t>
      </w:r>
    </w:p>
    <w:p w14:paraId="61A5143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主要聚焦小麦、油菜、大豆、玉米等粮经复合种植，推进农业全程机械化服务，兼顾特色经济作物的专业化服务。聚焦重点作物、重点环节、重点区域，支持市场机制作用有限、专业化要求较高、规模化效应较好的防、收、烘干、育苗等环节。依托农业社会化服务体系，创新组织形式和服务模式，引导符合条件的农村集体经济组织、农民合作社、家庭农场、供销合作社、农业企业等服务组织提供直接服务和居间服务，大力推广“服务组织+村集体经济组织+农户”“服务组织+乡农业社会化服务站（点）+农户”“服务组织+村协办员+农户”等组织形式。</w:t>
      </w:r>
    </w:p>
    <w:p w14:paraId="6E734EC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2"/>
          <w:sz w:val="32"/>
          <w:szCs w:val="32"/>
          <w:lang w:val="en-US" w:eastAsia="zh-CN" w:bidi="ar"/>
        </w:rPr>
        <w:t>（三）</w:t>
      </w:r>
      <w:r>
        <w:rPr>
          <w:rFonts w:hint="default" w:ascii="楷体" w:hAnsi="楷体" w:eastAsia="楷体" w:cs="楷体"/>
          <w:b w:val="0"/>
          <w:bCs w:val="0"/>
          <w:snapToGrid/>
          <w:color w:val="000000"/>
          <w:kern w:val="0"/>
          <w:sz w:val="32"/>
          <w:szCs w:val="32"/>
          <w:lang w:val="en-US" w:eastAsia="zh-CN" w:bidi="ar"/>
        </w:rPr>
        <w:t>预算安排及分配管理</w:t>
      </w:r>
    </w:p>
    <w:p w14:paraId="69E011EE">
      <w:pPr>
        <w:pStyle w:val="9"/>
        <w:keepNext w:val="0"/>
        <w:keepLines w:val="0"/>
        <w:widowControl w:val="0"/>
        <w:suppressLineNumbers w:val="0"/>
        <w:autoSpaceDE w:val="0"/>
        <w:autoSpaceDN/>
        <w:spacing w:line="576" w:lineRule="exact"/>
        <w:ind w:left="0" w:firstLine="640" w:firstLineChars="200"/>
        <w:rPr>
          <w:rFonts w:hint="default" w:ascii="楷体" w:hAnsi="楷体" w:eastAsia="楷体" w:cs="楷体"/>
          <w:color w:val="000000"/>
          <w:kern w:val="2"/>
          <w:sz w:val="32"/>
          <w:szCs w:val="32"/>
        </w:rPr>
      </w:pPr>
      <w:r>
        <w:rPr>
          <w:rFonts w:hint="default" w:ascii="楷体" w:hAnsi="楷体" w:eastAsia="楷体" w:cs="楷体"/>
          <w:color w:val="000000"/>
          <w:kern w:val="2"/>
          <w:sz w:val="32"/>
          <w:szCs w:val="32"/>
        </w:rPr>
        <w:t>大荣粮油园区农业社会化服务区域中心,</w:t>
      </w:r>
      <w:r>
        <w:rPr>
          <w:rFonts w:hint="default" w:ascii="仿宋" w:hAnsi="仿宋" w:eastAsia="仿宋" w:cs="仿宋"/>
          <w:b w:val="0"/>
          <w:i w:val="0"/>
          <w:color w:val="000000"/>
          <w:spacing w:val="0"/>
          <w:kern w:val="0"/>
          <w:sz w:val="32"/>
          <w:szCs w:val="32"/>
        </w:rPr>
        <w:t>项目预计总投资:350万元，其中财政补助135万元，自筹资金215万元，财政资金补助占比38.6%;</w:t>
      </w:r>
      <w:r>
        <w:rPr>
          <w:rFonts w:hint="default" w:ascii="楷体" w:hAnsi="楷体" w:eastAsia="楷体" w:cs="楷体"/>
          <w:color w:val="000000"/>
          <w:kern w:val="0"/>
          <w:sz w:val="32"/>
          <w:szCs w:val="32"/>
        </w:rPr>
        <w:t>三堆粮油园区农业社会化服务区域中心,</w:t>
      </w:r>
      <w:r>
        <w:rPr>
          <w:rFonts w:hint="default" w:ascii="仿宋" w:hAnsi="仿宋" w:eastAsia="仿宋" w:cs="仿宋"/>
          <w:b w:val="0"/>
          <w:i w:val="0"/>
          <w:color w:val="000000"/>
          <w:spacing w:val="0"/>
          <w:kern w:val="0"/>
          <w:sz w:val="32"/>
          <w:szCs w:val="32"/>
        </w:rPr>
        <w:t>项目预计总投:325.7万元，其中财政补助125万元，自筹资金200.7万元，财政资金补助占比38.4%;</w:t>
      </w:r>
      <w:r>
        <w:rPr>
          <w:rFonts w:hint="default" w:ascii="楷体" w:hAnsi="楷体" w:eastAsia="楷体" w:cs="楷体"/>
          <w:color w:val="000000"/>
          <w:kern w:val="0"/>
          <w:sz w:val="32"/>
          <w:szCs w:val="32"/>
        </w:rPr>
        <w:t>龙潭农业社会化服务区域中心,</w:t>
      </w:r>
      <w:r>
        <w:rPr>
          <w:rFonts w:hint="default" w:ascii="仿宋" w:hAnsi="仿宋" w:eastAsia="仿宋" w:cs="仿宋"/>
          <w:b w:val="0"/>
          <w:i w:val="0"/>
          <w:color w:val="000000"/>
          <w:spacing w:val="0"/>
          <w:kern w:val="0"/>
          <w:sz w:val="32"/>
          <w:szCs w:val="32"/>
        </w:rPr>
        <w:t>项目预计总投:50.3万元，其中财政补助20万元，自筹资金30.2万元，财政资金补助占比39.8%;</w:t>
      </w:r>
      <w:r>
        <w:rPr>
          <w:rFonts w:hint="default" w:ascii="楷体" w:hAnsi="楷体" w:eastAsia="楷体" w:cs="楷体"/>
          <w:color w:val="000000"/>
          <w:kern w:val="0"/>
          <w:sz w:val="32"/>
          <w:szCs w:val="32"/>
        </w:rPr>
        <w:t>大石农业社会化服务区域中心,</w:t>
      </w:r>
      <w:r>
        <w:rPr>
          <w:rFonts w:hint="default" w:ascii="仿宋" w:hAnsi="仿宋" w:eastAsia="仿宋" w:cs="仿宋"/>
          <w:b w:val="0"/>
          <w:i w:val="0"/>
          <w:color w:val="000000"/>
          <w:spacing w:val="0"/>
          <w:kern w:val="0"/>
          <w:sz w:val="32"/>
          <w:szCs w:val="32"/>
        </w:rPr>
        <w:t>项目预计总投:50万元，其中财政补助20万元，自筹资金30万元，财政资金补助占比40%</w:t>
      </w:r>
      <w:r>
        <w:rPr>
          <w:rFonts w:hint="default" w:ascii="仿宋" w:hAnsi="仿宋" w:eastAsia="仿宋" w:cs="仿宋"/>
          <w:color w:val="000000"/>
          <w:kern w:val="0"/>
          <w:sz w:val="32"/>
          <w:szCs w:val="32"/>
        </w:rPr>
        <w:t>。</w:t>
      </w:r>
    </w:p>
    <w:p w14:paraId="6D9CCEE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楷体" w:hAnsi="楷体" w:eastAsia="楷体" w:cs="楷体"/>
          <w:b w:val="0"/>
          <w:bCs w:val="0"/>
          <w:kern w:val="0"/>
          <w:sz w:val="32"/>
          <w:szCs w:val="32"/>
        </w:rPr>
      </w:pPr>
      <w:r>
        <w:rPr>
          <w:rFonts w:hint="default" w:ascii="仿宋" w:hAnsi="仿宋" w:eastAsia="仿宋" w:cs="仿宋"/>
          <w:snapToGrid/>
          <w:color w:val="000000"/>
          <w:kern w:val="0"/>
          <w:sz w:val="32"/>
          <w:szCs w:val="32"/>
          <w:lang w:val="en-US" w:eastAsia="zh-CN" w:bidi="ar"/>
        </w:rPr>
        <w:t>项目总投资767.3万元，其中省级农业社会化服务试点项目补助300万元（占比39.1%），区内社会化服务主体自筹467.3万元（占比60.9%）。</w:t>
      </w:r>
    </w:p>
    <w:p w14:paraId="67404DC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（四）项目绩效目标设置</w:t>
      </w:r>
    </w:p>
    <w:p w14:paraId="2D7F7AC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rPr>
      </w:pPr>
      <w:r>
        <w:rPr>
          <w:rFonts w:hint="default" w:ascii="仿宋" w:hAnsi="仿宋" w:eastAsia="仿宋" w:cs="仿宋"/>
          <w:b w:val="0"/>
          <w:bCs w:val="0"/>
          <w:snapToGrid/>
          <w:color w:val="000000"/>
          <w:kern w:val="0"/>
          <w:sz w:val="32"/>
          <w:szCs w:val="32"/>
          <w:shd w:val="clear" w:fill="FFFFFF"/>
          <w:lang w:val="en-US" w:eastAsia="zh-CN" w:bidi="ar"/>
        </w:rPr>
        <w:t>部门负责人组织业务办公室工作人员，对照部门预算、专项资金预算项目支出绩效目标自评表和2024年专项资金预算项目支出绩效评价指标体系表，结合项目实际运行情况，逐一对照指标解释和评分方法进行打分自评。</w:t>
      </w:r>
      <w:r>
        <w:rPr>
          <w:rFonts w:hint="default" w:ascii="仿宋" w:hAnsi="仿宋" w:eastAsia="仿宋" w:cs="仿宋"/>
          <w:snapToGrid/>
          <w:color w:val="000000"/>
          <w:kern w:val="0"/>
          <w:sz w:val="32"/>
          <w:szCs w:val="32"/>
          <w:lang w:val="en-US" w:eastAsia="zh-CN" w:bidi="ar"/>
        </w:rPr>
        <w:t>本项目共设置产出指标3个，效益指标6个，满意度指标1个，成本指标1个，绩效目标和绩效指标均量化可考核，相匹配，全面完整，契合政策和项目实质，与部门的长期规划目标、年度工作目标相一致，产出和效果相关联，设置了服务对象满意度指标。</w:t>
      </w:r>
      <w:r>
        <w:rPr>
          <w:rFonts w:hint="default" w:ascii="仿宋" w:hAnsi="仿宋" w:eastAsia="仿宋" w:cs="仿宋"/>
          <w:b w:val="0"/>
          <w:bCs w:val="0"/>
          <w:snapToGrid/>
          <w:color w:val="000000"/>
          <w:kern w:val="0"/>
          <w:sz w:val="32"/>
          <w:szCs w:val="32"/>
          <w:shd w:val="clear" w:fill="FFFFFF"/>
          <w:lang w:val="en-US" w:eastAsia="zh-CN" w:bidi="ar"/>
        </w:rPr>
        <w:t>项目实施单位财务管理制度健全，严格执行财务管理制度。</w:t>
      </w:r>
    </w:p>
    <w:p w14:paraId="12D79A0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二、评价实施</w:t>
      </w:r>
    </w:p>
    <w:p w14:paraId="7A418D6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vertAlign w:val="baseline"/>
        </w:rPr>
      </w:pPr>
      <w:r>
        <w:rPr>
          <w:rFonts w:hint="default" w:ascii="楷体" w:hAnsi="楷体" w:eastAsia="楷体" w:cs="楷体"/>
          <w:b w:val="0"/>
          <w:bCs w:val="0"/>
          <w:snapToGrid/>
          <w:color w:val="000000"/>
          <w:kern w:val="0"/>
          <w:sz w:val="32"/>
          <w:szCs w:val="32"/>
          <w:vertAlign w:val="baseline"/>
          <w:lang w:val="en-US" w:eastAsia="zh-CN" w:bidi="ar"/>
        </w:rPr>
        <w:t>（一）评价目的。</w:t>
      </w:r>
      <w:r>
        <w:rPr>
          <w:rFonts w:hint="default" w:ascii="仿宋" w:hAnsi="仿宋" w:eastAsia="仿宋" w:cs="仿宋"/>
          <w:snapToGrid/>
          <w:color w:val="000000"/>
          <w:spacing w:val="0"/>
          <w:kern w:val="0"/>
          <w:sz w:val="32"/>
          <w:szCs w:val="32"/>
          <w:vertAlign w:val="baseline"/>
          <w:lang w:val="en-US" w:eastAsia="zh-CN" w:bidi="ar"/>
        </w:rPr>
        <w:t>通过项目绩效自评成功完成</w:t>
      </w:r>
      <w:r>
        <w:rPr>
          <w:rFonts w:hint="default" w:ascii="仿宋" w:hAnsi="仿宋" w:eastAsia="仿宋" w:cs="仿宋"/>
          <w:snapToGrid/>
          <w:color w:val="000000"/>
          <w:kern w:val="0"/>
          <w:sz w:val="32"/>
          <w:szCs w:val="32"/>
          <w:vertAlign w:val="baseline"/>
          <w:lang w:val="en-US" w:eastAsia="zh-CN" w:bidi="ar"/>
        </w:rPr>
        <w:t>省级下达支持4个社会化服务区域中心建设，实际完成支持4个社会化服务区域中心建设，项目完成合格率100%</w:t>
      </w:r>
      <w:r>
        <w:rPr>
          <w:rFonts w:hint="default" w:ascii="仿宋" w:hAnsi="仿宋" w:eastAsia="仿宋" w:cs="仿宋"/>
          <w:b w:val="0"/>
          <w:bCs w:val="0"/>
          <w:snapToGrid/>
          <w:color w:val="000000"/>
          <w:kern w:val="0"/>
          <w:sz w:val="32"/>
          <w:szCs w:val="32"/>
          <w:shd w:val="clear" w:fill="FFFFFF"/>
          <w:vertAlign w:val="baseline"/>
          <w:lang w:val="en-US" w:eastAsia="zh-CN" w:bidi="ar"/>
        </w:rPr>
        <w:t>。</w:t>
      </w:r>
    </w:p>
    <w:p w14:paraId="4CF5C8C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b w:val="0"/>
          <w:bCs w:val="0"/>
          <w:snapToGrid/>
          <w:color w:val="000000"/>
          <w:kern w:val="0"/>
          <w:sz w:val="32"/>
          <w:szCs w:val="32"/>
          <w:vertAlign w:val="baseline"/>
          <w:lang w:val="en-US" w:eastAsia="zh-CN" w:bidi="ar"/>
        </w:rPr>
        <w:t>（二）预设问题及评价重点。</w:t>
      </w:r>
      <w:r>
        <w:rPr>
          <w:rFonts w:hint="default" w:ascii="仿宋" w:hAnsi="仿宋" w:eastAsia="仿宋" w:cs="仿宋"/>
          <w:snapToGrid/>
          <w:color w:val="000000"/>
          <w:spacing w:val="0"/>
          <w:kern w:val="0"/>
          <w:sz w:val="32"/>
          <w:szCs w:val="32"/>
          <w:vertAlign w:val="baseline"/>
          <w:lang w:val="en-US" w:eastAsia="zh-CN" w:bidi="ar"/>
        </w:rPr>
        <w:t>按照绩效评价指标体系，严格按照预算安排及分配管理对资金支出使用全过程及其实施效果进行全程监管，资金主要用于基础设施、机械设备更新、烘干仓储等区域中心建设。</w:t>
      </w:r>
    </w:p>
    <w:p w14:paraId="25F3667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b w:val="0"/>
          <w:bCs w:val="0"/>
          <w:snapToGrid/>
          <w:color w:val="000000"/>
          <w:kern w:val="0"/>
          <w:sz w:val="32"/>
          <w:szCs w:val="32"/>
          <w:vertAlign w:val="baseline"/>
          <w:lang w:val="en-US" w:eastAsia="zh-CN" w:bidi="ar"/>
        </w:rPr>
        <w:t>（三）评价选点。</w:t>
      </w:r>
      <w:r>
        <w:rPr>
          <w:rFonts w:hint="default" w:ascii="仿宋" w:hAnsi="仿宋" w:eastAsia="仿宋" w:cs="仿宋"/>
          <w:snapToGrid/>
          <w:color w:val="000000"/>
          <w:spacing w:val="0"/>
          <w:kern w:val="0"/>
          <w:sz w:val="32"/>
          <w:szCs w:val="32"/>
          <w:vertAlign w:val="baseline"/>
          <w:lang w:val="en-US" w:eastAsia="zh-CN" w:bidi="ar"/>
        </w:rPr>
        <w:t>本项目省级资金300万元全部用于4个区域中心建设相关工作，主要用于区域中心基础设施、机械设备更新、烘干仓储等项目内容建设。</w:t>
      </w:r>
    </w:p>
    <w:p w14:paraId="345BDC0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b w:val="0"/>
          <w:bCs w:val="0"/>
          <w:snapToGrid/>
          <w:color w:val="000000"/>
          <w:kern w:val="0"/>
          <w:sz w:val="32"/>
          <w:szCs w:val="32"/>
          <w:vertAlign w:val="baseline"/>
          <w:lang w:val="en-US" w:eastAsia="zh-CN" w:bidi="ar"/>
        </w:rPr>
        <w:t>（四）评价方法。</w:t>
      </w:r>
      <w:r>
        <w:rPr>
          <w:rFonts w:hint="default" w:ascii="仿宋" w:hAnsi="仿宋" w:eastAsia="仿宋" w:cs="仿宋"/>
          <w:snapToGrid/>
          <w:color w:val="000000"/>
          <w:spacing w:val="0"/>
          <w:kern w:val="0"/>
          <w:sz w:val="32"/>
          <w:szCs w:val="32"/>
          <w:vertAlign w:val="baseline"/>
          <w:lang w:val="en-US" w:eastAsia="zh-CN" w:bidi="ar"/>
        </w:rPr>
        <w:t>本项目根据项目情况和评价重点，采用成本效益分析法、实地勘察法、座谈调研法等多种方法用来收集相关材料和开展具体评价的方法。</w:t>
      </w:r>
    </w:p>
    <w:p w14:paraId="71C6504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vertAlign w:val="baseline"/>
        </w:rPr>
      </w:pPr>
      <w:r>
        <w:rPr>
          <w:rFonts w:hint="default" w:ascii="楷体" w:hAnsi="楷体" w:eastAsia="楷体" w:cs="楷体"/>
          <w:b w:val="0"/>
          <w:bCs w:val="0"/>
          <w:snapToGrid/>
          <w:color w:val="000000"/>
          <w:kern w:val="0"/>
          <w:sz w:val="32"/>
          <w:szCs w:val="32"/>
          <w:vertAlign w:val="baseline"/>
          <w:lang w:val="en-US" w:eastAsia="zh-CN" w:bidi="ar"/>
        </w:rPr>
        <w:t>（五）评价组织。</w:t>
      </w:r>
      <w:r>
        <w:rPr>
          <w:rFonts w:hint="default" w:ascii="仿宋" w:hAnsi="仿宋" w:eastAsia="仿宋" w:cs="仿宋"/>
          <w:snapToGrid/>
          <w:color w:val="000000"/>
          <w:spacing w:val="0"/>
          <w:kern w:val="0"/>
          <w:sz w:val="32"/>
          <w:szCs w:val="32"/>
          <w:vertAlign w:val="baseline"/>
          <w:lang w:val="en-US" w:eastAsia="zh-CN" w:bidi="ar"/>
        </w:rPr>
        <w:t>评价组设立在广元市利州区新型经营培育发展股，办公室共计4人为评价组人员，设组长1名，成员3名，按照评价内容开展项目绩效评价工作，</w:t>
      </w:r>
      <w:r>
        <w:rPr>
          <w:rFonts w:hint="default" w:ascii="仿宋" w:hAnsi="仿宋" w:eastAsia="仿宋" w:cs="仿宋"/>
          <w:b w:val="0"/>
          <w:bCs w:val="0"/>
          <w:snapToGrid/>
          <w:color w:val="000000"/>
          <w:kern w:val="0"/>
          <w:sz w:val="32"/>
          <w:szCs w:val="32"/>
          <w:shd w:val="clear" w:fill="FFFFFF"/>
          <w:vertAlign w:val="baseline"/>
          <w:lang w:val="en-US" w:eastAsia="zh-CN" w:bidi="ar"/>
        </w:rPr>
        <w:t>利州区农业农村局机关纪检委员的全程监督</w:t>
      </w:r>
      <w:r>
        <w:rPr>
          <w:rFonts w:hint="default" w:ascii="仿宋" w:hAnsi="仿宋" w:eastAsia="仿宋" w:cs="仿宋"/>
          <w:snapToGrid/>
          <w:color w:val="000000"/>
          <w:spacing w:val="0"/>
          <w:kern w:val="0"/>
          <w:sz w:val="32"/>
          <w:szCs w:val="32"/>
          <w:vertAlign w:val="baseline"/>
          <w:lang w:val="en-US" w:eastAsia="zh-CN" w:bidi="ar"/>
        </w:rPr>
        <w:t>。</w:t>
      </w:r>
    </w:p>
    <w:p w14:paraId="596D982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三、绩效分析</w:t>
      </w:r>
    </w:p>
    <w:p w14:paraId="3620B9A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（一）通用指标绩效分析</w:t>
      </w:r>
    </w:p>
    <w:p w14:paraId="4E99C0B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1.项目决策</w:t>
      </w:r>
    </w:p>
    <w:p w14:paraId="388B0FC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snapToGrid/>
          <w:color w:val="000000"/>
          <w:kern w:val="2"/>
          <w:sz w:val="32"/>
          <w:szCs w:val="32"/>
          <w:lang w:val="en-US" w:eastAsia="zh-CN" w:bidi="ar"/>
        </w:rPr>
        <w:t>为贯彻落实党的二十届三中全会精神，提升我区农业社会化服务水平，健全便捷高效的农业社会化服务体系。为规范项目实施，推动项目有序开展，加大农业社会化服务示范推广力度，加快补齐农业社会化服务短板，积极探索盆周山区的社会化服务模式，促进小农户与现代农业有效衔接，推动全区农业社会化服务高质量发展。</w:t>
      </w:r>
      <w:r>
        <w:rPr>
          <w:rFonts w:hint="default" w:ascii="仿宋" w:hAnsi="仿宋" w:eastAsia="仿宋" w:cs="仿宋"/>
          <w:b w:val="0"/>
          <w:bCs w:val="0"/>
          <w:snapToGrid/>
          <w:color w:val="000000"/>
          <w:kern w:val="0"/>
          <w:sz w:val="32"/>
          <w:szCs w:val="32"/>
          <w:shd w:val="clear" w:fill="FFFFFF"/>
          <w:lang w:val="en-US" w:eastAsia="zh-CN" w:bidi="ar"/>
        </w:rPr>
        <w:t>开展社会化服务非示范县项目建设工作，是各级农业农村行政主管部门的法定职责。各县（市、区）农业农村行政主管部门高度重视，切实履行属地管理责任，加强组织领导，在人、财、物等方面给予积极支持和保障，确保监测工作顺利实施。</w:t>
      </w:r>
    </w:p>
    <w:p w14:paraId="35DCD97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2.项目管理</w:t>
      </w:r>
    </w:p>
    <w:p w14:paraId="54A0AA12">
      <w:pPr>
        <w:pStyle w:val="24"/>
        <w:keepNext w:val="0"/>
        <w:keepLines w:val="0"/>
        <w:widowControl w:val="0"/>
        <w:suppressLineNumbers w:val="0"/>
        <w:kinsoku w:val="0"/>
        <w:autoSpaceDE w:val="0"/>
        <w:autoSpaceDN/>
        <w:adjustRightInd w:val="0"/>
        <w:snapToGrid w:val="0"/>
        <w:spacing w:before="0" w:beforeAutospacing="1" w:after="0" w:afterAutospacing="0" w:line="576" w:lineRule="exact"/>
        <w:ind w:left="0" w:leftChars="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b w:val="0"/>
          <w:bCs w:val="0"/>
          <w:snapToGrid/>
          <w:color w:val="000000"/>
          <w:kern w:val="0"/>
          <w:sz w:val="32"/>
          <w:szCs w:val="32"/>
          <w:shd w:val="clear" w:fill="FFFFFF"/>
          <w:lang w:val="en-US" w:eastAsia="zh-CN" w:bidi="ar"/>
        </w:rPr>
        <w:t>项目实施单位：广元市利州区农业农村局，</w:t>
      </w:r>
      <w:r>
        <w:rPr>
          <w:rFonts w:hint="default" w:ascii="仿宋" w:hAnsi="仿宋" w:eastAsia="仿宋" w:cs="仿宋"/>
          <w:snapToGrid/>
          <w:color w:val="000000"/>
          <w:kern w:val="0"/>
          <w:sz w:val="32"/>
          <w:szCs w:val="32"/>
          <w:lang w:val="en-US" w:eastAsia="zh-CN" w:bidi="ar"/>
        </w:rPr>
        <w:t>项目实施流程：</w:t>
      </w:r>
      <w:r>
        <w:rPr>
          <w:rFonts w:hint="default" w:ascii="仿宋" w:hAnsi="仿宋" w:eastAsia="仿宋" w:cs="仿宋"/>
          <w:b w:val="0"/>
          <w:bCs w:val="0"/>
          <w:snapToGrid/>
          <w:color w:val="000000"/>
          <w:kern w:val="0"/>
          <w:sz w:val="32"/>
          <w:szCs w:val="32"/>
          <w:shd w:val="clear" w:fill="FFFFFF"/>
          <w:lang w:val="en-US" w:eastAsia="zh-CN" w:bidi="ar"/>
        </w:rPr>
        <w:t>申报、批复、实施、验收、报账。严格执行相关项目管理规定，如申报、验收、项目公示制等相关规定。</w:t>
      </w:r>
    </w:p>
    <w:p w14:paraId="5138267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3.项目实施</w:t>
      </w:r>
    </w:p>
    <w:p w14:paraId="5AAE432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color w:val="000000"/>
          <w:spacing w:val="0"/>
          <w:kern w:val="0"/>
          <w:sz w:val="32"/>
          <w:szCs w:val="32"/>
        </w:rPr>
      </w:pPr>
      <w:r>
        <w:rPr>
          <w:rFonts w:hint="default" w:ascii="仿宋" w:hAnsi="仿宋" w:eastAsia="仿宋" w:cs="仿宋"/>
          <w:b w:val="0"/>
          <w:bCs w:val="0"/>
          <w:snapToGrid/>
          <w:color w:val="000000"/>
          <w:kern w:val="0"/>
          <w:sz w:val="32"/>
          <w:szCs w:val="32"/>
          <w:shd w:val="clear" w:fill="FFFFFF"/>
          <w:lang w:val="en-US" w:eastAsia="zh-CN" w:bidi="ar"/>
        </w:rPr>
        <w:t>项目资金：300万元；</w:t>
      </w:r>
      <w:r>
        <w:rPr>
          <w:rFonts w:hint="default" w:ascii="仿宋" w:hAnsi="仿宋" w:eastAsia="仿宋" w:cs="仿宋"/>
          <w:snapToGrid/>
          <w:color w:val="000000"/>
          <w:kern w:val="0"/>
          <w:sz w:val="32"/>
          <w:szCs w:val="32"/>
          <w:lang w:val="en-US" w:eastAsia="zh-CN" w:bidi="ar"/>
        </w:rPr>
        <w:t>资金主要用于</w:t>
      </w:r>
      <w:r>
        <w:rPr>
          <w:rFonts w:hint="default" w:ascii="仿宋" w:hAnsi="仿宋" w:eastAsia="仿宋" w:cs="仿宋"/>
          <w:snapToGrid/>
          <w:color w:val="000000"/>
          <w:spacing w:val="0"/>
          <w:kern w:val="0"/>
          <w:sz w:val="32"/>
          <w:szCs w:val="32"/>
          <w:lang w:val="en-US" w:eastAsia="zh-CN" w:bidi="ar"/>
        </w:rPr>
        <w:t>主要用于利州区4个社会化服务区域中心基础设施、机械设备更新、烘干仓储等项目内容建设。</w:t>
      </w:r>
    </w:p>
    <w:p w14:paraId="5A0725C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4.项目结果</w:t>
      </w:r>
    </w:p>
    <w:p w14:paraId="0EB2944D">
      <w:pPr>
        <w:pStyle w:val="24"/>
        <w:keepNext w:val="0"/>
        <w:keepLines w:val="0"/>
        <w:widowControl w:val="0"/>
        <w:suppressLineNumbers w:val="0"/>
        <w:kinsoku w:val="0"/>
        <w:autoSpaceDE w:val="0"/>
        <w:autoSpaceDN/>
        <w:adjustRightInd w:val="0"/>
        <w:snapToGrid w:val="0"/>
        <w:spacing w:before="0" w:beforeAutospacing="1" w:after="0" w:afterAutospacing="0" w:line="576" w:lineRule="exact"/>
        <w:ind w:left="0" w:leftChars="0" w:right="0" w:firstLine="640" w:firstLineChars="200"/>
        <w:jc w:val="both"/>
        <w:textAlignment w:val="baseline"/>
        <w:rPr>
          <w:rFonts w:hint="default" w:ascii="仿宋" w:hAnsi="仿宋" w:eastAsia="仿宋" w:cs="仿宋"/>
          <w:b w:val="0"/>
          <w:bCs w:val="0"/>
          <w:kern w:val="0"/>
          <w:sz w:val="32"/>
          <w:szCs w:val="32"/>
        </w:rPr>
      </w:pPr>
      <w:r>
        <w:rPr>
          <w:rFonts w:hint="default" w:ascii="仿宋" w:hAnsi="仿宋" w:eastAsia="仿宋" w:cs="仿宋"/>
          <w:b w:val="0"/>
          <w:bCs w:val="0"/>
          <w:snapToGrid/>
          <w:color w:val="000000"/>
          <w:kern w:val="0"/>
          <w:sz w:val="32"/>
          <w:szCs w:val="32"/>
          <w:shd w:val="clear" w:fill="FFFFFF"/>
          <w:lang w:val="en-US" w:eastAsia="zh-CN" w:bidi="ar"/>
        </w:rPr>
        <w:t>省农业农村厅下达给利州区农业农村局300万元，资金用于利州区4个社会化服务区域中心建设，目前正在完成4个任务指标，预计2025年10月前完成建设任务。</w:t>
      </w:r>
    </w:p>
    <w:p w14:paraId="4082582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（二）专用指标绩效分析</w:t>
      </w:r>
    </w:p>
    <w:p w14:paraId="659E725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聚焦解决“谁来种地”问题，把“健全便捷高效的农业社会化服务体系”作为巩固和完善农村基本经营制度的重要内容，大力提升农业社会化服务水平，加快各类社会化服务组织培育，构建面向小农户的农业社会化服务体系，实现小农户与现代农业发展有机衔接，加快打造适应现代农业发展的高素质生产经营队伍。</w:t>
      </w:r>
    </w:p>
    <w:p w14:paraId="3A612F0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vertAlign w:val="baseline"/>
        </w:rPr>
      </w:pPr>
      <w:r>
        <w:rPr>
          <w:rFonts w:hint="default" w:ascii="楷体" w:hAnsi="楷体" w:eastAsia="楷体" w:cs="楷体"/>
          <w:b w:val="0"/>
          <w:bCs w:val="0"/>
          <w:snapToGrid/>
          <w:color w:val="000000"/>
          <w:kern w:val="0"/>
          <w:sz w:val="32"/>
          <w:szCs w:val="32"/>
          <w:vertAlign w:val="baseline"/>
          <w:lang w:val="en-US" w:eastAsia="zh-CN" w:bidi="ar"/>
        </w:rPr>
        <w:t>（三）个性指标绩效分析</w:t>
      </w:r>
    </w:p>
    <w:p w14:paraId="4623FBB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vertAlign w:val="baseline"/>
        </w:rPr>
      </w:pPr>
      <w:r>
        <w:rPr>
          <w:rFonts w:hint="default" w:ascii="仿宋" w:hAnsi="仿宋" w:eastAsia="仿宋" w:cs="仿宋"/>
          <w:b w:val="0"/>
          <w:bCs w:val="0"/>
          <w:snapToGrid/>
          <w:color w:val="000000"/>
          <w:spacing w:val="0"/>
          <w:kern w:val="0"/>
          <w:sz w:val="32"/>
          <w:szCs w:val="32"/>
          <w:vertAlign w:val="baseline"/>
          <w:lang w:val="en-US" w:eastAsia="zh-CN" w:bidi="ar"/>
        </w:rPr>
        <w:t>根据项目个性设定3个个性指标，依次为项目是否完成建设任务、项目实施建设内容是否达标、服务对象满意度调查情况。本项目完成支持4个社会化服务区域中心建设；并按要求录入全省统一数据平台，项目合格率100%，相关群体满意度等于100%。</w:t>
      </w:r>
    </w:p>
    <w:p w14:paraId="09DF304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四、评价结论</w:t>
      </w:r>
    </w:p>
    <w:p w14:paraId="59E15E8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本项目评价总分为100分。本项目共设置产出指标3个，效益指标5个，满意度指标1个，成本指标1个；绩效目标和绩效指标均量化可考核，相匹配，全面完整，契合政策和项目实质，与部门的长期规划目标、年度工作目标相一致，产出和效果相关联，设置了服务对象满意度指标。</w:t>
      </w:r>
    </w:p>
    <w:p w14:paraId="0D9633D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重点指标设置情况：本项目产出指标中数量指标设置为完成省农业农村厅下达资金300万元支持利州区4个社会化服务区域中心建设，目前已经完成70%的目标任务，项目预计2025年10底前全面完工。</w:t>
      </w:r>
    </w:p>
    <w:p w14:paraId="28F59EC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五、存在的问题</w:t>
      </w:r>
    </w:p>
    <w:p w14:paraId="1E1B5F2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因项目建设内容设置条件有限，部分区域中心最需要建设项目内容，不符合项目支持的方向，纳入不了项目实施建设内容；社会化服务主体规模不大，服务体量较小，承担社会化服务面积受局限；因地理位置影响，部分偏远乡镇无法使用先进农业装备开展社会化服务。</w:t>
      </w:r>
    </w:p>
    <w:p w14:paraId="5016DFE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六、改进建议</w:t>
      </w:r>
    </w:p>
    <w:p w14:paraId="30F4890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加强基本农田高标准建设，具备大型机械作业的标准；培强社会化服务主体，提升主体社会化服务实力；做优社会化服务，拓展社会化服务领域。</w:t>
      </w:r>
    </w:p>
    <w:p w14:paraId="71700F8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 xml:space="preserve"> </w:t>
      </w:r>
    </w:p>
    <w:p w14:paraId="7FCFDE45">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方正小标宋简体" w:hAnsi="方正小标宋简体" w:eastAsia="方正小标宋简体" w:cs="方正小标宋简体"/>
          <w:b w:val="0"/>
          <w:bCs w:val="0"/>
          <w:color w:val="000000"/>
          <w:kern w:val="0"/>
          <w:sz w:val="44"/>
          <w:szCs w:val="44"/>
        </w:rPr>
      </w:pPr>
      <w:r>
        <w:rPr>
          <w:rFonts w:hint="eastAsia" w:ascii="方正小标宋简体" w:hAnsi="方正小标宋简体" w:eastAsia="方正小标宋简体" w:cs="方正小标宋简体"/>
          <w:b w:val="0"/>
          <w:bCs w:val="0"/>
          <w:snapToGrid/>
          <w:color w:val="000000"/>
          <w:kern w:val="0"/>
          <w:sz w:val="44"/>
          <w:szCs w:val="44"/>
          <w:lang w:val="en-US" w:eastAsia="zh-CN" w:bidi="ar"/>
        </w:rPr>
        <w:br w:type="page"/>
      </w:r>
    </w:p>
    <w:p w14:paraId="40F36690">
      <w:pPr>
        <w:pStyle w:val="24"/>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b w:val="0"/>
          <w:bCs w:val="0"/>
          <w:color w:val="000000"/>
          <w:kern w:val="0"/>
          <w:sz w:val="44"/>
          <w:szCs w:val="44"/>
        </w:rPr>
      </w:pPr>
      <w:r>
        <w:rPr>
          <w:rFonts w:hint="eastAsia" w:ascii="方正小标宋简体" w:hAnsi="方正小标宋简体" w:eastAsia="方正小标宋简体" w:cs="方正小标宋简体"/>
          <w:b w:val="0"/>
          <w:bCs w:val="0"/>
          <w:snapToGrid/>
          <w:color w:val="000000"/>
          <w:kern w:val="0"/>
          <w:sz w:val="44"/>
          <w:szCs w:val="44"/>
          <w:lang w:val="en-US" w:eastAsia="zh-CN" w:bidi="ar"/>
        </w:rPr>
        <w:t>2024年中央财政农民合作社培育项目</w:t>
      </w:r>
    </w:p>
    <w:p w14:paraId="3E52B4C1">
      <w:pPr>
        <w:pStyle w:val="24"/>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b w:val="0"/>
          <w:bCs w:val="0"/>
          <w:kern w:val="2"/>
          <w:sz w:val="44"/>
          <w:szCs w:val="44"/>
        </w:rPr>
      </w:pPr>
      <w:r>
        <w:rPr>
          <w:rFonts w:hint="eastAsia" w:ascii="方正小标宋简体" w:hAnsi="方正小标宋简体" w:eastAsia="方正小标宋简体" w:cs="方正小标宋简体"/>
          <w:b w:val="0"/>
          <w:bCs w:val="0"/>
          <w:snapToGrid/>
          <w:color w:val="000000"/>
          <w:spacing w:val="0"/>
          <w:kern w:val="2"/>
          <w:sz w:val="44"/>
          <w:szCs w:val="44"/>
          <w:lang w:val="en-US" w:eastAsia="zh-CN" w:bidi="ar"/>
        </w:rPr>
        <w:t>绩效自评报告</w:t>
      </w:r>
    </w:p>
    <w:p w14:paraId="28B4E273">
      <w:pPr>
        <w:pStyle w:val="24"/>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2"/>
          <w:sz w:val="32"/>
          <w:szCs w:val="32"/>
        </w:rPr>
      </w:pPr>
      <w:r>
        <w:rPr>
          <w:rFonts w:hint="default" w:ascii="仿宋" w:hAnsi="仿宋" w:eastAsia="仿宋" w:cs="仿宋"/>
          <w:b w:val="0"/>
          <w:bCs w:val="0"/>
          <w:snapToGrid/>
          <w:color w:val="000000"/>
          <w:kern w:val="2"/>
          <w:sz w:val="32"/>
          <w:szCs w:val="32"/>
          <w:lang w:val="en-US" w:eastAsia="zh-CN" w:bidi="ar"/>
        </w:rPr>
        <w:t xml:space="preserve"> </w:t>
      </w:r>
    </w:p>
    <w:p w14:paraId="4D1164F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一、项目概况</w:t>
      </w:r>
    </w:p>
    <w:p w14:paraId="7D73CAB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（一）设立背景及基本情况</w:t>
      </w:r>
    </w:p>
    <w:p w14:paraId="4D63502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深入贯彻2024年中央一号文件“提升农民合作社生产经营水平，增强服务带动小农户能力”“推进设施农业现代化提升行动”部署要求，以示范引领为方向，以带动农民增收为目的”，全面提升农民合作社发展质量、带动能力和服务“三农”的水平，助力农民合作社高质量发展。根据省财政厅 省农业农村厅《关于下达2024年中央财政粮油生产保障等五项农业转移支付资金的通知》（川财农〔2024〕58号）要求，为做好2024年中央财政农民合作社培育项目，经村、乡镇（街道）推荐，区农业农村局按照《</w:t>
      </w:r>
      <w:r>
        <w:rPr>
          <w:rFonts w:hint="default" w:ascii="仿宋" w:hAnsi="仿宋" w:eastAsia="仿宋" w:cs="仿宋"/>
          <w:snapToGrid/>
          <w:color w:val="000000"/>
          <w:spacing w:val="0"/>
          <w:kern w:val="16"/>
          <w:sz w:val="32"/>
          <w:szCs w:val="32"/>
          <w:lang w:val="en-US" w:eastAsia="zh-CN" w:bidi="ar"/>
        </w:rPr>
        <w:t>关于报送&lt;2024年中央财政农业经营主体能力提升合作社培育项目实施方案&gt;》的报告,</w:t>
      </w:r>
      <w:r>
        <w:rPr>
          <w:rFonts w:hint="default" w:ascii="仿宋" w:hAnsi="仿宋" w:eastAsia="仿宋" w:cs="仿宋"/>
          <w:snapToGrid/>
          <w:color w:val="000000"/>
          <w:kern w:val="0"/>
          <w:sz w:val="32"/>
          <w:szCs w:val="32"/>
          <w:lang w:val="en-US" w:eastAsia="zh-CN" w:bidi="ar"/>
        </w:rPr>
        <w:t>拟定专业合作社项目实施名单，经局党组会研究，公示无异议，决定推荐广元市勤丰种养殖专业合作社等4家专业合作社实中央财政合作社培育项目。</w:t>
      </w:r>
    </w:p>
    <w:p w14:paraId="5C2193D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（二）实施目的及支持方向</w:t>
      </w:r>
    </w:p>
    <w:p w14:paraId="6E7C4B4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b w:val="0"/>
          <w:bCs w:val="0"/>
          <w:snapToGrid/>
          <w:color w:val="000000"/>
          <w:kern w:val="0"/>
          <w:sz w:val="32"/>
          <w:szCs w:val="32"/>
          <w:shd w:val="clear" w:fill="FFFFFF"/>
          <w:lang w:val="en-US" w:eastAsia="zh-CN" w:bidi="ar"/>
        </w:rPr>
        <w:t>对照省级绩效工作目标任务，制定了</w:t>
      </w:r>
      <w:r>
        <w:rPr>
          <w:rFonts w:hint="default" w:ascii="仿宋" w:hAnsi="仿宋" w:eastAsia="仿宋" w:cs="仿宋"/>
          <w:snapToGrid/>
          <w:color w:val="000000"/>
          <w:kern w:val="0"/>
          <w:sz w:val="32"/>
          <w:szCs w:val="32"/>
          <w:lang w:val="en-US" w:eastAsia="zh-CN" w:bidi="ar"/>
        </w:rPr>
        <w:t>区农业农村局按照《</w:t>
      </w:r>
      <w:r>
        <w:rPr>
          <w:rFonts w:hint="default" w:ascii="仿宋" w:hAnsi="仿宋" w:eastAsia="仿宋" w:cs="仿宋"/>
          <w:snapToGrid/>
          <w:color w:val="000000"/>
          <w:spacing w:val="0"/>
          <w:kern w:val="16"/>
          <w:sz w:val="32"/>
          <w:szCs w:val="32"/>
          <w:lang w:val="en-US" w:eastAsia="zh-CN" w:bidi="ar"/>
        </w:rPr>
        <w:t>关于报送〈2024年中央财政农业经营主体能力提升合作社培育项目实施方案〉的报告（广利农〔2024〕104号）</w:t>
      </w:r>
      <w:r>
        <w:rPr>
          <w:rFonts w:hint="default" w:ascii="仿宋" w:hAnsi="仿宋" w:eastAsia="仿宋" w:cs="仿宋"/>
          <w:b w:val="0"/>
          <w:bCs w:val="0"/>
          <w:snapToGrid/>
          <w:color w:val="000000"/>
          <w:kern w:val="0"/>
          <w:sz w:val="32"/>
          <w:szCs w:val="32"/>
          <w:shd w:val="clear" w:fill="FFFFFF"/>
          <w:lang w:val="en-US" w:eastAsia="zh-CN" w:bidi="ar"/>
        </w:rPr>
        <w:t>，严格按照建设方案实施合作社能力提升项目工作，</w:t>
      </w:r>
      <w:r>
        <w:rPr>
          <w:rFonts w:hint="default" w:ascii="仿宋" w:hAnsi="仿宋" w:eastAsia="仿宋" w:cs="仿宋"/>
          <w:snapToGrid/>
          <w:color w:val="000000"/>
          <w:kern w:val="0"/>
          <w:sz w:val="32"/>
          <w:szCs w:val="32"/>
          <w:lang w:val="en-US" w:eastAsia="zh-CN" w:bidi="ar"/>
        </w:rPr>
        <w:t>确保农民专业合作社提升规范化管理建设水平。我区2024年合作社能力提升培育项目、由项目实施主体按照项目建设方案自行实施，完成支持4个合作社，支持合作社完成</w:t>
      </w:r>
      <w:r>
        <w:rPr>
          <w:rFonts w:hint="default" w:ascii="仿宋" w:hAnsi="仿宋" w:eastAsia="仿宋" w:cs="仿宋"/>
          <w:snapToGrid/>
          <w:color w:val="000000"/>
          <w:spacing w:val="0"/>
          <w:kern w:val="16"/>
          <w:sz w:val="32"/>
          <w:szCs w:val="32"/>
          <w:lang w:val="en-US" w:eastAsia="zh-CN" w:bidi="ar"/>
        </w:rPr>
        <w:t>农民合作社提升规范化水平，购置档案柜、标识标牌、制度上墙；购买财务软件、电脑一套；开展有机认证，培育四季绣生态农庄品牌；社员培训，请专家教授讲解种养殖技术，带领社员代表外出参观学习；开设自媒体账号，实行农超对接，促进农产品进学校，拓展“线上+线下”销售渠道、新建饮水管道650米。</w:t>
      </w:r>
    </w:p>
    <w:p w14:paraId="06A6494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（三）预算安排及分配管理</w:t>
      </w:r>
    </w:p>
    <w:p w14:paraId="1519747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目标完成广元市勤丰种养殖专业合作社、广元市林园无公害农业专业合作社、广元市利州区金轮果蔬专业合作社、广元市利州区君兴植保农民专业合作社4家合作社能力提升。</w:t>
      </w:r>
      <w:r>
        <w:rPr>
          <w:rFonts w:hint="default" w:ascii="仿宋" w:hAnsi="仿宋" w:eastAsia="仿宋" w:cs="仿宋"/>
          <w:snapToGrid/>
          <w:color w:val="000000"/>
          <w:kern w:val="0"/>
          <w:sz w:val="32"/>
          <w:szCs w:val="32"/>
          <w:lang w:val="en-US" w:eastAsia="zh-CN" w:bidi="ar"/>
        </w:rPr>
        <w:t>项目资金使用方向：资金主要用于农民专业合作社</w:t>
      </w:r>
      <w:r>
        <w:rPr>
          <w:rFonts w:hint="default" w:ascii="仿宋" w:hAnsi="仿宋" w:eastAsia="仿宋" w:cs="仿宋"/>
          <w:b w:val="0"/>
          <w:bCs w:val="0"/>
          <w:snapToGrid/>
          <w:color w:val="000000"/>
          <w:kern w:val="0"/>
          <w:sz w:val="32"/>
          <w:szCs w:val="32"/>
          <w:shd w:val="clear" w:fill="FFFFFF"/>
          <w:lang w:val="en-US" w:eastAsia="zh-CN" w:bidi="ar"/>
        </w:rPr>
        <w:t>规范化管理提升、财务软件购买、开展有机认证、开展社员培训及外出学习参观、开设自媒体账号进行“线上+线下”销售，新建饮水管网等建设任务，使用资金32万元。</w:t>
      </w:r>
    </w:p>
    <w:p w14:paraId="5D75E06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（四）项目绩效目标设置</w:t>
      </w:r>
    </w:p>
    <w:p w14:paraId="0002754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rPr>
      </w:pPr>
      <w:r>
        <w:rPr>
          <w:rFonts w:hint="default" w:ascii="仿宋" w:hAnsi="仿宋" w:eastAsia="仿宋" w:cs="仿宋"/>
          <w:b w:val="0"/>
          <w:bCs w:val="0"/>
          <w:snapToGrid/>
          <w:color w:val="000000"/>
          <w:kern w:val="0"/>
          <w:sz w:val="32"/>
          <w:szCs w:val="32"/>
          <w:shd w:val="clear" w:fill="FFFFFF"/>
          <w:lang w:val="en-US" w:eastAsia="zh-CN" w:bidi="ar"/>
        </w:rPr>
        <w:t>部门负责人组织业务办公室工作人员，对照部门预算、专项资金预算项目支出绩效目标自评表和2024年专项资金预算项目支出绩效评价指标体系表，结合项目实际运行情况，逐一对照指标解释和评分方法进行打分自评。</w:t>
      </w:r>
      <w:r>
        <w:rPr>
          <w:rFonts w:hint="default" w:ascii="仿宋" w:hAnsi="仿宋" w:eastAsia="仿宋" w:cs="仿宋"/>
          <w:snapToGrid/>
          <w:color w:val="000000"/>
          <w:kern w:val="0"/>
          <w:sz w:val="32"/>
          <w:szCs w:val="32"/>
          <w:lang w:val="en-US" w:eastAsia="zh-CN" w:bidi="ar"/>
        </w:rPr>
        <w:t>本项目共设置产出指标3个，效益指标5个，满意度指标1个，成本指标1个绩效目标和绩效指标均量化可考核，相匹配，全面完整，契合政策和项目实质，与部门的长期规划目标、年度工作目标相一致，产出和效果相关联，设置了服务对象满意度指标。</w:t>
      </w:r>
      <w:r>
        <w:rPr>
          <w:rFonts w:hint="default" w:ascii="仿宋" w:hAnsi="仿宋" w:eastAsia="仿宋" w:cs="仿宋"/>
          <w:b w:val="0"/>
          <w:bCs w:val="0"/>
          <w:snapToGrid/>
          <w:color w:val="000000"/>
          <w:kern w:val="0"/>
          <w:sz w:val="32"/>
          <w:szCs w:val="32"/>
          <w:shd w:val="clear" w:fill="FFFFFF"/>
          <w:lang w:val="en-US" w:eastAsia="zh-CN" w:bidi="ar"/>
        </w:rPr>
        <w:t>项目实施单位财务管理制度健全，严格执行财务管理制度。</w:t>
      </w:r>
    </w:p>
    <w:p w14:paraId="6EC16F7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二、评价实施</w:t>
      </w:r>
    </w:p>
    <w:p w14:paraId="53D97FA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vertAlign w:val="baseline"/>
        </w:rPr>
      </w:pPr>
      <w:r>
        <w:rPr>
          <w:rFonts w:hint="default" w:ascii="楷体" w:hAnsi="楷体" w:eastAsia="楷体" w:cs="楷体"/>
          <w:b w:val="0"/>
          <w:bCs w:val="0"/>
          <w:snapToGrid/>
          <w:color w:val="000000"/>
          <w:kern w:val="0"/>
          <w:sz w:val="32"/>
          <w:szCs w:val="32"/>
          <w:vertAlign w:val="baseline"/>
          <w:lang w:val="en-US" w:eastAsia="zh-CN" w:bidi="ar"/>
        </w:rPr>
        <w:t>（一）评价目的。</w:t>
      </w:r>
      <w:r>
        <w:rPr>
          <w:rFonts w:hint="default" w:ascii="仿宋" w:hAnsi="仿宋" w:eastAsia="仿宋" w:cs="仿宋"/>
          <w:snapToGrid/>
          <w:color w:val="000000"/>
          <w:spacing w:val="0"/>
          <w:kern w:val="0"/>
          <w:sz w:val="32"/>
          <w:szCs w:val="32"/>
          <w:vertAlign w:val="baseline"/>
          <w:lang w:val="en-US" w:eastAsia="zh-CN" w:bidi="ar"/>
        </w:rPr>
        <w:t>通过项目绩效自评成功完成中央</w:t>
      </w:r>
      <w:r>
        <w:rPr>
          <w:rFonts w:hint="default" w:ascii="仿宋" w:hAnsi="仿宋" w:eastAsia="仿宋" w:cs="仿宋"/>
          <w:snapToGrid/>
          <w:color w:val="000000"/>
          <w:kern w:val="0"/>
          <w:sz w:val="32"/>
          <w:szCs w:val="32"/>
          <w:vertAlign w:val="baseline"/>
          <w:lang w:val="en-US" w:eastAsia="zh-CN" w:bidi="ar"/>
        </w:rPr>
        <w:t>下达支持3个合作社，实际完成支持4个合作社能力提升，项目完成合格率100%</w:t>
      </w:r>
      <w:r>
        <w:rPr>
          <w:rFonts w:hint="default" w:ascii="仿宋" w:hAnsi="仿宋" w:eastAsia="仿宋" w:cs="仿宋"/>
          <w:b w:val="0"/>
          <w:bCs w:val="0"/>
          <w:snapToGrid/>
          <w:color w:val="000000"/>
          <w:kern w:val="0"/>
          <w:sz w:val="32"/>
          <w:szCs w:val="32"/>
          <w:shd w:val="clear" w:fill="FFFFFF"/>
          <w:vertAlign w:val="baseline"/>
          <w:lang w:val="en-US" w:eastAsia="zh-CN" w:bidi="ar"/>
        </w:rPr>
        <w:t>。</w:t>
      </w:r>
    </w:p>
    <w:p w14:paraId="4CDD894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楷体" w:hAnsi="楷体" w:eastAsia="楷体" w:cs="楷体"/>
          <w:b w:val="0"/>
          <w:bCs w:val="0"/>
          <w:snapToGrid/>
          <w:color w:val="000000"/>
          <w:kern w:val="0"/>
          <w:sz w:val="32"/>
          <w:szCs w:val="32"/>
          <w:vertAlign w:val="baseline"/>
          <w:lang w:val="en-US" w:eastAsia="zh-CN" w:bidi="ar"/>
        </w:rPr>
        <w:t>（二）预设问题及评价重点。</w:t>
      </w:r>
      <w:r>
        <w:rPr>
          <w:rFonts w:hint="default" w:ascii="仿宋" w:hAnsi="仿宋" w:eastAsia="仿宋" w:cs="仿宋"/>
          <w:snapToGrid/>
          <w:color w:val="000000"/>
          <w:spacing w:val="0"/>
          <w:kern w:val="0"/>
          <w:sz w:val="32"/>
          <w:szCs w:val="32"/>
          <w:vertAlign w:val="baseline"/>
          <w:lang w:val="en-US" w:eastAsia="zh-CN" w:bidi="ar"/>
        </w:rPr>
        <w:t>按照绩效评价指标体系，严格按照预算安排及分配管理对资金支出使用全过程及其实施效果进行全程监管，资金主要用于</w:t>
      </w:r>
      <w:r>
        <w:rPr>
          <w:rFonts w:hint="default" w:ascii="仿宋" w:hAnsi="仿宋" w:eastAsia="仿宋" w:cs="仿宋"/>
          <w:snapToGrid/>
          <w:color w:val="000000"/>
          <w:kern w:val="0"/>
          <w:sz w:val="32"/>
          <w:szCs w:val="32"/>
          <w:vertAlign w:val="baseline"/>
          <w:lang w:val="en-US" w:eastAsia="zh-CN" w:bidi="ar"/>
        </w:rPr>
        <w:t>农民专业合作社</w:t>
      </w:r>
      <w:r>
        <w:rPr>
          <w:rFonts w:hint="default" w:ascii="仿宋" w:hAnsi="仿宋" w:eastAsia="仿宋" w:cs="仿宋"/>
          <w:b w:val="0"/>
          <w:bCs w:val="0"/>
          <w:snapToGrid/>
          <w:color w:val="000000"/>
          <w:kern w:val="0"/>
          <w:sz w:val="32"/>
          <w:szCs w:val="32"/>
          <w:shd w:val="clear" w:fill="FFFFFF"/>
          <w:vertAlign w:val="baseline"/>
          <w:lang w:val="en-US" w:eastAsia="zh-CN" w:bidi="ar"/>
        </w:rPr>
        <w:t>规范化管理提升、财务软件购买、开展有机认证、开展社员培训及外出学习参观、开始自媒体账号进行“线上+线下”销售，新建饮水管网等建设任务</w:t>
      </w:r>
      <w:r>
        <w:rPr>
          <w:rFonts w:hint="default" w:ascii="仿宋" w:hAnsi="仿宋" w:eastAsia="仿宋" w:cs="仿宋"/>
          <w:snapToGrid/>
          <w:color w:val="000000"/>
          <w:spacing w:val="0"/>
          <w:kern w:val="0"/>
          <w:sz w:val="32"/>
          <w:szCs w:val="32"/>
          <w:vertAlign w:val="baseline"/>
          <w:lang w:val="en-US" w:eastAsia="zh-CN" w:bidi="ar"/>
        </w:rPr>
        <w:t>。</w:t>
      </w:r>
    </w:p>
    <w:p w14:paraId="5C31CCE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楷体" w:hAnsi="楷体" w:eastAsia="楷体" w:cs="楷体"/>
          <w:b w:val="0"/>
          <w:bCs w:val="0"/>
          <w:snapToGrid/>
          <w:color w:val="000000"/>
          <w:kern w:val="0"/>
          <w:sz w:val="32"/>
          <w:szCs w:val="32"/>
          <w:vertAlign w:val="baseline"/>
          <w:lang w:val="en-US" w:eastAsia="zh-CN" w:bidi="ar"/>
        </w:rPr>
        <w:t>（三）评价选点。</w:t>
      </w:r>
      <w:r>
        <w:rPr>
          <w:rFonts w:hint="default" w:ascii="仿宋" w:hAnsi="仿宋" w:eastAsia="仿宋" w:cs="仿宋"/>
          <w:snapToGrid/>
          <w:color w:val="000000"/>
          <w:spacing w:val="0"/>
          <w:kern w:val="0"/>
          <w:sz w:val="32"/>
          <w:szCs w:val="32"/>
          <w:vertAlign w:val="baseline"/>
          <w:lang w:val="en-US" w:eastAsia="zh-CN" w:bidi="ar"/>
        </w:rPr>
        <w:t>本项目资金32万元全部用于4个农民专业合作社能力提升相关工作，主要用于</w:t>
      </w:r>
      <w:r>
        <w:rPr>
          <w:rFonts w:hint="default" w:ascii="仿宋" w:hAnsi="仿宋" w:eastAsia="仿宋" w:cs="仿宋"/>
          <w:b w:val="0"/>
          <w:bCs w:val="0"/>
          <w:snapToGrid/>
          <w:color w:val="000000"/>
          <w:kern w:val="0"/>
          <w:sz w:val="32"/>
          <w:szCs w:val="32"/>
          <w:shd w:val="clear" w:fill="FFFFFF"/>
          <w:vertAlign w:val="baseline"/>
          <w:lang w:val="en-US" w:eastAsia="zh-CN" w:bidi="ar"/>
        </w:rPr>
        <w:t>规范化管理提升、财务软件购买、开展有机认证、开展社员培训及外出学习参观、开始自媒体账号进行“线上+线下”销售，新建饮水管网等</w:t>
      </w:r>
      <w:r>
        <w:rPr>
          <w:rFonts w:hint="default" w:ascii="仿宋" w:hAnsi="仿宋" w:eastAsia="仿宋" w:cs="仿宋"/>
          <w:snapToGrid/>
          <w:color w:val="000000"/>
          <w:spacing w:val="0"/>
          <w:kern w:val="0"/>
          <w:sz w:val="32"/>
          <w:szCs w:val="32"/>
          <w:vertAlign w:val="baseline"/>
          <w:lang w:val="en-US" w:eastAsia="zh-CN" w:bidi="ar"/>
        </w:rPr>
        <w:t>，选取广元市林园无公害农业专业合作社进行实地踏勘，且把点位清单应作为自评附表。</w:t>
      </w:r>
    </w:p>
    <w:p w14:paraId="13E4C53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b w:val="0"/>
          <w:bCs w:val="0"/>
          <w:snapToGrid/>
          <w:color w:val="000000"/>
          <w:kern w:val="0"/>
          <w:sz w:val="32"/>
          <w:szCs w:val="32"/>
          <w:vertAlign w:val="baseline"/>
          <w:lang w:val="en-US" w:eastAsia="zh-CN" w:bidi="ar"/>
        </w:rPr>
        <w:t>（四）评价方法。</w:t>
      </w:r>
      <w:r>
        <w:rPr>
          <w:rFonts w:hint="default" w:ascii="仿宋" w:hAnsi="仿宋" w:eastAsia="仿宋" w:cs="仿宋"/>
          <w:snapToGrid/>
          <w:color w:val="000000"/>
          <w:spacing w:val="0"/>
          <w:kern w:val="0"/>
          <w:sz w:val="32"/>
          <w:szCs w:val="32"/>
          <w:vertAlign w:val="baseline"/>
          <w:lang w:val="en-US" w:eastAsia="zh-CN" w:bidi="ar"/>
        </w:rPr>
        <w:t>本项目根据项目情况和评价重点，采用成本效益分析法、实地勘察法、座谈调研法等多种方法用来收集相关材料和开展具体评价的方法。</w:t>
      </w:r>
    </w:p>
    <w:p w14:paraId="302E260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vertAlign w:val="baseline"/>
        </w:rPr>
      </w:pPr>
      <w:r>
        <w:rPr>
          <w:rFonts w:hint="default" w:ascii="楷体" w:hAnsi="楷体" w:eastAsia="楷体" w:cs="楷体"/>
          <w:b w:val="0"/>
          <w:bCs w:val="0"/>
          <w:snapToGrid/>
          <w:color w:val="000000"/>
          <w:kern w:val="0"/>
          <w:sz w:val="32"/>
          <w:szCs w:val="32"/>
          <w:vertAlign w:val="baseline"/>
          <w:lang w:val="en-US" w:eastAsia="zh-CN" w:bidi="ar"/>
        </w:rPr>
        <w:t>（五）评价组织。</w:t>
      </w:r>
      <w:r>
        <w:rPr>
          <w:rFonts w:hint="default" w:ascii="仿宋" w:hAnsi="仿宋" w:eastAsia="仿宋" w:cs="仿宋"/>
          <w:snapToGrid/>
          <w:color w:val="000000"/>
          <w:spacing w:val="0"/>
          <w:kern w:val="0"/>
          <w:sz w:val="32"/>
          <w:szCs w:val="32"/>
          <w:vertAlign w:val="baseline"/>
          <w:lang w:val="en-US" w:eastAsia="zh-CN" w:bidi="ar"/>
        </w:rPr>
        <w:t>评价组设立在广元市利州区新型经营培育发展股，办公室共计4人为评价组人员，设组长1名，成员3名，按照评价内容开展项目绩效评价工作，</w:t>
      </w:r>
      <w:r>
        <w:rPr>
          <w:rFonts w:hint="default" w:ascii="仿宋" w:hAnsi="仿宋" w:eastAsia="仿宋" w:cs="仿宋"/>
          <w:b w:val="0"/>
          <w:bCs w:val="0"/>
          <w:snapToGrid/>
          <w:color w:val="000000"/>
          <w:kern w:val="0"/>
          <w:sz w:val="32"/>
          <w:szCs w:val="32"/>
          <w:shd w:val="clear" w:fill="FFFFFF"/>
          <w:vertAlign w:val="baseline"/>
          <w:lang w:val="en-US" w:eastAsia="zh-CN" w:bidi="ar"/>
        </w:rPr>
        <w:t>利州区农业农村局机关纪检委员的全程监督</w:t>
      </w:r>
      <w:r>
        <w:rPr>
          <w:rFonts w:hint="default" w:ascii="仿宋" w:hAnsi="仿宋" w:eastAsia="仿宋" w:cs="仿宋"/>
          <w:snapToGrid/>
          <w:color w:val="000000"/>
          <w:spacing w:val="0"/>
          <w:kern w:val="0"/>
          <w:sz w:val="32"/>
          <w:szCs w:val="32"/>
          <w:vertAlign w:val="baseline"/>
          <w:lang w:val="en-US" w:eastAsia="zh-CN" w:bidi="ar"/>
        </w:rPr>
        <w:t>。</w:t>
      </w:r>
    </w:p>
    <w:p w14:paraId="2BFC35E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三、绩效分析</w:t>
      </w:r>
    </w:p>
    <w:p w14:paraId="333FB6D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（一）通用指标绩效分析</w:t>
      </w:r>
    </w:p>
    <w:p w14:paraId="7883E76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1.项目决策</w:t>
      </w:r>
    </w:p>
    <w:p w14:paraId="7C56362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合作社能力提升是帮助合作社规范管理、能力提升、高质量发展、示范引领、带动农户增收为目的的综合性项目，开展农民专业合作社项目建设工作，是各级农业农村行政主管部门的法定职责。各县（市、区）农业农村行政主管部门高度重视，切实履行属地管理责任，加强组织领导，在人、财、物等方面给予积极支持和保障，确保监测工作顺利实施。</w:t>
      </w:r>
    </w:p>
    <w:p w14:paraId="5918C9E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2.项目管理</w:t>
      </w:r>
    </w:p>
    <w:p w14:paraId="2C975809">
      <w:pPr>
        <w:pStyle w:val="24"/>
        <w:keepNext w:val="0"/>
        <w:keepLines w:val="0"/>
        <w:widowControl w:val="0"/>
        <w:suppressLineNumbers w:val="0"/>
        <w:kinsoku w:val="0"/>
        <w:autoSpaceDE w:val="0"/>
        <w:autoSpaceDN/>
        <w:adjustRightInd w:val="0"/>
        <w:snapToGrid w:val="0"/>
        <w:spacing w:before="0" w:beforeAutospacing="1" w:after="0" w:afterAutospacing="0" w:line="576" w:lineRule="exact"/>
        <w:ind w:left="0" w:leftChars="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b w:val="0"/>
          <w:bCs w:val="0"/>
          <w:snapToGrid/>
          <w:color w:val="000000"/>
          <w:kern w:val="0"/>
          <w:sz w:val="32"/>
          <w:szCs w:val="32"/>
          <w:shd w:val="clear" w:fill="FFFFFF"/>
          <w:lang w:val="en-US" w:eastAsia="zh-CN" w:bidi="ar"/>
        </w:rPr>
        <w:t>项目实施单位：广元市利州区农业农村局，</w:t>
      </w:r>
      <w:r>
        <w:rPr>
          <w:rFonts w:hint="default" w:ascii="仿宋" w:hAnsi="仿宋" w:eastAsia="仿宋" w:cs="仿宋"/>
          <w:snapToGrid/>
          <w:color w:val="000000"/>
          <w:kern w:val="0"/>
          <w:sz w:val="32"/>
          <w:szCs w:val="32"/>
          <w:lang w:val="en-US" w:eastAsia="zh-CN" w:bidi="ar"/>
        </w:rPr>
        <w:t>项目实施流程：</w:t>
      </w:r>
      <w:r>
        <w:rPr>
          <w:rFonts w:hint="default" w:ascii="仿宋" w:hAnsi="仿宋" w:eastAsia="仿宋" w:cs="仿宋"/>
          <w:b w:val="0"/>
          <w:bCs w:val="0"/>
          <w:snapToGrid/>
          <w:color w:val="000000"/>
          <w:kern w:val="0"/>
          <w:sz w:val="32"/>
          <w:szCs w:val="32"/>
          <w:shd w:val="clear" w:fill="FFFFFF"/>
          <w:lang w:val="en-US" w:eastAsia="zh-CN" w:bidi="ar"/>
        </w:rPr>
        <w:t>申报、批复、实施、验收、报账。严格执行相关规定，如申报、验收、项目公示制等。</w:t>
      </w:r>
    </w:p>
    <w:p w14:paraId="2C076F3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3.项目实施</w:t>
      </w:r>
    </w:p>
    <w:p w14:paraId="5A707D1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项目资金：32万元；</w:t>
      </w:r>
      <w:r>
        <w:rPr>
          <w:rFonts w:hint="default" w:ascii="仿宋" w:hAnsi="仿宋" w:eastAsia="仿宋" w:cs="仿宋"/>
          <w:snapToGrid/>
          <w:color w:val="000000"/>
          <w:kern w:val="0"/>
          <w:sz w:val="32"/>
          <w:szCs w:val="32"/>
          <w:lang w:val="en-US" w:eastAsia="zh-CN" w:bidi="ar"/>
        </w:rPr>
        <w:t>资金主要用于农民专业合作社</w:t>
      </w:r>
      <w:r>
        <w:rPr>
          <w:rFonts w:hint="default" w:ascii="仿宋" w:hAnsi="仿宋" w:eastAsia="仿宋" w:cs="仿宋"/>
          <w:b w:val="0"/>
          <w:bCs w:val="0"/>
          <w:snapToGrid/>
          <w:color w:val="000000"/>
          <w:kern w:val="0"/>
          <w:sz w:val="32"/>
          <w:szCs w:val="32"/>
          <w:shd w:val="clear" w:fill="FFFFFF"/>
          <w:lang w:val="en-US" w:eastAsia="zh-CN" w:bidi="ar"/>
        </w:rPr>
        <w:t>规范化管理提升、财务软件购买、开展有机认证、开展社员培训及外出学习参观、开设自媒体账号进行“线上+线下”销售，新建饮水管网等建设任务。</w:t>
      </w:r>
    </w:p>
    <w:p w14:paraId="7D55B8B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4.项目结果</w:t>
      </w:r>
    </w:p>
    <w:p w14:paraId="6D80C137">
      <w:pPr>
        <w:pStyle w:val="24"/>
        <w:keepNext w:val="0"/>
        <w:keepLines w:val="0"/>
        <w:widowControl w:val="0"/>
        <w:suppressLineNumbers w:val="0"/>
        <w:kinsoku w:val="0"/>
        <w:autoSpaceDE w:val="0"/>
        <w:autoSpaceDN/>
        <w:adjustRightInd w:val="0"/>
        <w:snapToGrid w:val="0"/>
        <w:spacing w:before="0" w:beforeAutospacing="1" w:after="0" w:afterAutospacing="0" w:line="576" w:lineRule="exact"/>
        <w:ind w:left="0" w:leftChars="0" w:right="0" w:firstLine="640" w:firstLineChars="200"/>
        <w:jc w:val="both"/>
        <w:textAlignment w:val="baseline"/>
        <w:rPr>
          <w:rFonts w:hint="default" w:ascii="仿宋" w:hAnsi="仿宋" w:eastAsia="仿宋" w:cs="仿宋"/>
          <w:b w:val="0"/>
          <w:bCs w:val="0"/>
          <w:kern w:val="0"/>
          <w:sz w:val="32"/>
          <w:szCs w:val="32"/>
        </w:rPr>
      </w:pPr>
      <w:r>
        <w:rPr>
          <w:rFonts w:hint="default" w:ascii="仿宋" w:hAnsi="仿宋" w:eastAsia="仿宋" w:cs="仿宋"/>
          <w:b w:val="0"/>
          <w:bCs w:val="0"/>
          <w:snapToGrid/>
          <w:color w:val="000000"/>
          <w:kern w:val="0"/>
          <w:sz w:val="32"/>
          <w:szCs w:val="32"/>
          <w:shd w:val="clear" w:fill="FFFFFF"/>
          <w:lang w:val="en-US" w:eastAsia="zh-CN" w:bidi="ar"/>
        </w:rPr>
        <w:t>省农业农村厅下达给利州区农业农村局支持3个合作社建设任务，目前完成4个任务指标，超额完成1个指标，建设任务已经全部完工，并完成验收，正在准备报账资料。</w:t>
      </w:r>
    </w:p>
    <w:p w14:paraId="08D8191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（二）专用指标绩效分析</w:t>
      </w:r>
    </w:p>
    <w:p w14:paraId="38EB04B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能够对利州区农业产业结构调整和农村经济结构调整起到积极的推动作用。改变现有农民群众的生产方式，将民间闲散资金转为民间资本，提高资金利用率，农民的经济收入来源也变得稳定和多元化。“家庭农场+合作社+农户”的运作方式，避免农户自主经营带来的与市场发展不同步的问题，将农民群众的自主生产转变为在龙头企业带动下的市场化生产，进一步降低农业生产的风险性。通过产业，既可提高农户的经济收入，解决规划实施区农民致富奔小康，还可安置剩余劳动力，将妇女和老人从繁重的传统种植业中解放出来从事第二、三产业，为促进社会主义乡村振兴建设，构建和谐社会作出积极贡献。</w:t>
      </w:r>
    </w:p>
    <w:p w14:paraId="2791826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vertAlign w:val="baseline"/>
        </w:rPr>
      </w:pPr>
      <w:r>
        <w:rPr>
          <w:rFonts w:hint="default" w:ascii="楷体" w:hAnsi="楷体" w:eastAsia="楷体" w:cs="楷体"/>
          <w:b w:val="0"/>
          <w:bCs w:val="0"/>
          <w:snapToGrid/>
          <w:color w:val="000000"/>
          <w:kern w:val="0"/>
          <w:sz w:val="32"/>
          <w:szCs w:val="32"/>
          <w:vertAlign w:val="baseline"/>
          <w:lang w:val="en-US" w:eastAsia="zh-CN" w:bidi="ar"/>
        </w:rPr>
        <w:t>（三）个性指标绩效分析。</w:t>
      </w:r>
      <w:r>
        <w:rPr>
          <w:rFonts w:hint="default" w:ascii="仿宋" w:hAnsi="仿宋" w:eastAsia="仿宋" w:cs="仿宋"/>
          <w:b w:val="0"/>
          <w:bCs w:val="0"/>
          <w:snapToGrid/>
          <w:color w:val="000000"/>
          <w:spacing w:val="0"/>
          <w:kern w:val="0"/>
          <w:sz w:val="32"/>
          <w:szCs w:val="32"/>
          <w:vertAlign w:val="baseline"/>
          <w:lang w:val="en-US" w:eastAsia="zh-CN" w:bidi="ar"/>
        </w:rPr>
        <w:t>根据项目个性设定3个个性指标，依次为项目是否完成建设任务、项目实施建设内容是否达标、服务对象满意度调查情况。本项目完成支持4个合作社；并按要求录入全省统一数据平台，项目合格率100%，相关群体满意度等于100%。</w:t>
      </w:r>
    </w:p>
    <w:p w14:paraId="03B7B5F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四、评价结论</w:t>
      </w:r>
    </w:p>
    <w:p w14:paraId="62829F6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本项目评价总分为100分。本项目共设置产出指标3个，效益指标5个，满意度指标1个，成本指标1个；绩效目标和绩效指标均量化可考核，相匹配，全面完整，契合政策和项目实质，与部门的长期规划目标、年度工作目标相一致，产出和效果相关联，设置了服务对象满意度指标。</w:t>
      </w:r>
    </w:p>
    <w:p w14:paraId="25BC276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重点指标设置情况：本项目产出指标中数量指标设置为完成省农业农村厅下达利州区支持3个合作社建设，已完成支持4个合作社建设，建设项目已经全部完工。</w:t>
      </w:r>
    </w:p>
    <w:p w14:paraId="24032B0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五、存在的问题</w:t>
      </w:r>
    </w:p>
    <w:p w14:paraId="1A752A5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原材料价格普遍上涨、人工成本持续增加等情况，主体生产的农产品，销售存在一定困难；受农产品市场竞争及价格影响、农产品进口力度增加，农产品价格大幅度下降，直接影响主体销售收入。</w:t>
      </w:r>
    </w:p>
    <w:p w14:paraId="4975761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六、改进建议</w:t>
      </w:r>
    </w:p>
    <w:p w14:paraId="076B830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开展节能减排，降低主体生产成本；更新农业生产设施装备、提高农业生产效率；学习先进技术、提升产品品质；开通抖音直播等自媒体账号、拓宽市场销售渠道。</w:t>
      </w:r>
    </w:p>
    <w:p w14:paraId="7BCACA52">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 xml:space="preserve"> </w:t>
      </w:r>
    </w:p>
    <w:p w14:paraId="72D9CCC0">
      <w:pPr>
        <w:keepNext w:val="0"/>
        <w:keepLines w:val="0"/>
        <w:widowControl/>
        <w:suppressLineNumbers w:val="0"/>
        <w:kinsoku w:val="0"/>
        <w:overflowPunct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color w:val="000000"/>
          <w:kern w:val="2"/>
          <w:sz w:val="44"/>
          <w:szCs w:val="44"/>
        </w:rPr>
      </w:pPr>
      <w:r>
        <w:rPr>
          <w:rFonts w:hint="eastAsia" w:ascii="方正小标宋简体" w:hAnsi="方正小标宋简体" w:eastAsia="方正小标宋简体" w:cs="方正小标宋简体"/>
          <w:snapToGrid/>
          <w:color w:val="000000"/>
          <w:kern w:val="2"/>
          <w:sz w:val="44"/>
          <w:szCs w:val="44"/>
          <w:lang w:val="en-US" w:eastAsia="zh-CN" w:bidi="ar"/>
        </w:rPr>
        <w:t xml:space="preserve"> </w:t>
      </w:r>
    </w:p>
    <w:p w14:paraId="72A9604A">
      <w:pPr>
        <w:keepNext w:val="0"/>
        <w:keepLines w:val="0"/>
        <w:widowControl/>
        <w:suppressLineNumbers w:val="0"/>
        <w:kinsoku w:val="0"/>
        <w:overflowPunct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color w:val="000000"/>
          <w:kern w:val="2"/>
          <w:sz w:val="44"/>
          <w:szCs w:val="44"/>
        </w:rPr>
      </w:pPr>
      <w:r>
        <w:rPr>
          <w:rFonts w:hint="eastAsia" w:ascii="方正小标宋简体" w:hAnsi="方正小标宋简体" w:eastAsia="方正小标宋简体" w:cs="方正小标宋简体"/>
          <w:snapToGrid/>
          <w:color w:val="000000"/>
          <w:kern w:val="2"/>
          <w:sz w:val="44"/>
          <w:szCs w:val="44"/>
          <w:lang w:val="en-US" w:eastAsia="zh-CN" w:bidi="ar"/>
        </w:rPr>
        <w:t xml:space="preserve"> </w:t>
      </w:r>
    </w:p>
    <w:p w14:paraId="67F71DBF">
      <w:pPr>
        <w:keepNext w:val="0"/>
        <w:keepLines w:val="0"/>
        <w:widowControl/>
        <w:suppressLineNumbers w:val="0"/>
        <w:kinsoku w:val="0"/>
        <w:overflowPunct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color w:val="000000"/>
          <w:kern w:val="2"/>
          <w:sz w:val="44"/>
          <w:szCs w:val="44"/>
        </w:rPr>
      </w:pPr>
      <w:r>
        <w:rPr>
          <w:rFonts w:hint="eastAsia" w:ascii="方正小标宋简体" w:hAnsi="方正小标宋简体" w:eastAsia="方正小标宋简体" w:cs="方正小标宋简体"/>
          <w:snapToGrid/>
          <w:color w:val="000000"/>
          <w:kern w:val="2"/>
          <w:sz w:val="44"/>
          <w:szCs w:val="44"/>
          <w:lang w:val="en-US" w:eastAsia="zh-CN" w:bidi="ar"/>
        </w:rPr>
        <w:t xml:space="preserve"> </w:t>
      </w:r>
    </w:p>
    <w:p w14:paraId="63B4CE19">
      <w:pPr>
        <w:keepNext w:val="0"/>
        <w:keepLines w:val="0"/>
        <w:widowControl/>
        <w:suppressLineNumbers w:val="0"/>
        <w:kinsoku w:val="0"/>
        <w:overflowPunct w:val="0"/>
        <w:autoSpaceDE w:val="0"/>
        <w:autoSpaceDN/>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color w:val="000000"/>
          <w:kern w:val="2"/>
          <w:sz w:val="44"/>
          <w:szCs w:val="44"/>
        </w:rPr>
      </w:pPr>
      <w:r>
        <w:rPr>
          <w:rFonts w:hint="eastAsia" w:ascii="方正小标宋简体" w:hAnsi="方正小标宋简体" w:eastAsia="方正小标宋简体" w:cs="方正小标宋简体"/>
          <w:snapToGrid/>
          <w:color w:val="000000"/>
          <w:kern w:val="2"/>
          <w:sz w:val="44"/>
          <w:szCs w:val="44"/>
          <w:lang w:val="en-US" w:eastAsia="zh-CN" w:bidi="ar"/>
        </w:rPr>
        <w:t>2024年省级财政农业改革创新科技示范奖补专项资金项目（肉牛稳产提质激励）专项</w:t>
      </w:r>
    </w:p>
    <w:p w14:paraId="78CDF13A">
      <w:pPr>
        <w:keepNext w:val="0"/>
        <w:keepLines w:val="0"/>
        <w:widowControl/>
        <w:suppressLineNumbers w:val="0"/>
        <w:kinsoku w:val="0"/>
        <w:overflowPunct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color w:val="000000"/>
          <w:kern w:val="2"/>
          <w:sz w:val="44"/>
          <w:szCs w:val="44"/>
        </w:rPr>
      </w:pPr>
      <w:r>
        <w:rPr>
          <w:rFonts w:hint="eastAsia" w:ascii="方正小标宋简体" w:hAnsi="方正小标宋简体" w:eastAsia="方正小标宋简体" w:cs="方正小标宋简体"/>
          <w:snapToGrid/>
          <w:color w:val="000000"/>
          <w:kern w:val="2"/>
          <w:sz w:val="44"/>
          <w:szCs w:val="44"/>
          <w:lang w:val="en-US" w:eastAsia="zh-CN" w:bidi="ar"/>
        </w:rPr>
        <w:t>预算绩效自评报告</w:t>
      </w:r>
    </w:p>
    <w:p w14:paraId="7419716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 xml:space="preserve"> </w:t>
      </w:r>
    </w:p>
    <w:p w14:paraId="2014A57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一、项目概况</w:t>
      </w:r>
    </w:p>
    <w:p w14:paraId="065D94D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（一）项目基本情况。</w:t>
      </w:r>
    </w:p>
    <w:p w14:paraId="1DC5C33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根据《四川省人民政府办公厅印发&lt;关于推动经济持续回升向好的若干政策措施&gt;的通知》(川办规〔2024〕3号)和四川省财政厅、四川省农业农村厅《关于2024年省级财政农业改革创新科技示范奖补专项资金的通知》(川财农〔2024〕88号)要求，按照“先配后补、据实激励”原则，对饲养肉牛（含牦牛）基础母牛并选用优良种公牛冻精配种的农户和养殖场给予激励，稳住基础母牛群体数量，提升母牛种用性能和繁殖效率。</w:t>
      </w:r>
    </w:p>
    <w:p w14:paraId="59AEA9A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（二）项目绩效目标。</w:t>
      </w:r>
    </w:p>
    <w:p w14:paraId="14EE863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通过项目实施进一步稳定肉牛基础产能，稳住基础母牛群体数量，改善肉牛品种，提升肉牛品质，增强肉牛产品安全供应保障能力。资金使用无重大违规违纪问题，资金使用率100%,绩效目标合理。</w:t>
      </w:r>
    </w:p>
    <w:p w14:paraId="688A4DF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（三）项目自评步骤及方法</w:t>
      </w:r>
    </w:p>
    <w:p w14:paraId="1F4F406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按照相关规定，根据项目实际设置绩效指标，包括、产出指标、效益指标、满意度指标三类一级指标，每一类一级指标细分为若干二级指标、三级指标，分别设定具体的指标值，根据预期指标值来指导实际完成指标和开展项目绩效评价。</w:t>
      </w:r>
    </w:p>
    <w:p w14:paraId="1B649F1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二、项目资金申报及使用情况</w:t>
      </w:r>
    </w:p>
    <w:p w14:paraId="69F5424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（一）项目资金申报及批复情况。</w:t>
      </w:r>
    </w:p>
    <w:p w14:paraId="55232C3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根据广元市财政局  广元市农业农村局《关于下达2024年省级财政农业改革创新科技示范奖补专项资金的通知》（广财农〔2024〕84号），下达财政专项资金15万元。</w:t>
      </w:r>
    </w:p>
    <w:p w14:paraId="2A6992E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（二）资金计划、到位及使用情况</w:t>
      </w:r>
    </w:p>
    <w:tbl>
      <w:tblPr>
        <w:tblStyle w:val="27"/>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58"/>
        <w:gridCol w:w="1201"/>
        <w:gridCol w:w="1352"/>
        <w:gridCol w:w="1268"/>
        <w:gridCol w:w="1068"/>
        <w:gridCol w:w="1051"/>
        <w:gridCol w:w="1519"/>
      </w:tblGrid>
      <w:tr w14:paraId="53EE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07" w:hRule="atLeast"/>
          <w:jc w:val="center"/>
        </w:trPr>
        <w:tc>
          <w:tcPr>
            <w:tcW w:w="1358" w:type="dxa"/>
            <w:tcBorders>
              <w:top w:val="single" w:color="auto" w:sz="4" w:space="0"/>
              <w:left w:val="single" w:color="auto" w:sz="4" w:space="0"/>
              <w:bottom w:val="single" w:color="auto" w:sz="4" w:space="0"/>
              <w:right w:val="single" w:color="auto" w:sz="4" w:space="0"/>
            </w:tcBorders>
            <w:shd w:val="clear" w:color="auto" w:fill="auto"/>
            <w:vAlign w:val="center"/>
          </w:tcPr>
          <w:p w14:paraId="717EBBDB">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项目</w:t>
            </w:r>
          </w:p>
          <w:p w14:paraId="0425DDD9">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名称</w:t>
            </w:r>
          </w:p>
        </w:tc>
        <w:tc>
          <w:tcPr>
            <w:tcW w:w="1201" w:type="dxa"/>
            <w:tcBorders>
              <w:top w:val="single" w:color="auto" w:sz="4" w:space="0"/>
              <w:left w:val="single" w:color="auto" w:sz="4" w:space="0"/>
              <w:bottom w:val="single" w:color="auto" w:sz="4" w:space="0"/>
              <w:right w:val="single" w:color="auto" w:sz="4" w:space="0"/>
            </w:tcBorders>
            <w:shd w:val="clear" w:color="auto" w:fill="auto"/>
            <w:vAlign w:val="center"/>
          </w:tcPr>
          <w:p w14:paraId="0A2D6B7B">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资金类别</w:t>
            </w: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63821A21">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资金计划</w:t>
            </w:r>
          </w:p>
          <w:p w14:paraId="4DDCBE68">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（万元）</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47A1186F">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资金下达</w:t>
            </w:r>
          </w:p>
          <w:p w14:paraId="48389F63">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文号</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14:paraId="45A85631">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到位资金（万元）</w:t>
            </w: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14:paraId="2FA875C6">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资金</w:t>
            </w:r>
          </w:p>
          <w:p w14:paraId="3E0837B3">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到位率</w:t>
            </w:r>
          </w:p>
        </w:tc>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14:paraId="2353E383">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资金执行情况</w:t>
            </w:r>
          </w:p>
          <w:p w14:paraId="5DC12BBD">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（万元）</w:t>
            </w:r>
          </w:p>
        </w:tc>
      </w:tr>
      <w:tr w14:paraId="3ED96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8" w:hRule="atLeast"/>
          <w:jc w:val="center"/>
        </w:trPr>
        <w:tc>
          <w:tcPr>
            <w:tcW w:w="1358" w:type="dxa"/>
            <w:tcBorders>
              <w:top w:val="single" w:color="auto" w:sz="4" w:space="0"/>
              <w:left w:val="single" w:color="auto" w:sz="4" w:space="0"/>
              <w:bottom w:val="single" w:color="auto" w:sz="4" w:space="0"/>
              <w:right w:val="single" w:color="auto" w:sz="4" w:space="0"/>
            </w:tcBorders>
            <w:shd w:val="clear" w:color="auto" w:fill="auto"/>
            <w:vAlign w:val="center"/>
          </w:tcPr>
          <w:p w14:paraId="071AEC83">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肉牛稳产提质激励</w:t>
            </w:r>
          </w:p>
        </w:tc>
        <w:tc>
          <w:tcPr>
            <w:tcW w:w="1201" w:type="dxa"/>
            <w:tcBorders>
              <w:top w:val="single" w:color="auto" w:sz="4" w:space="0"/>
              <w:left w:val="nil"/>
              <w:bottom w:val="single" w:color="auto" w:sz="4" w:space="0"/>
              <w:right w:val="single" w:color="auto" w:sz="4" w:space="0"/>
            </w:tcBorders>
            <w:shd w:val="clear" w:color="auto" w:fill="auto"/>
            <w:vAlign w:val="center"/>
          </w:tcPr>
          <w:p w14:paraId="11A91499">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省级资金</w:t>
            </w:r>
          </w:p>
        </w:tc>
        <w:tc>
          <w:tcPr>
            <w:tcW w:w="1352" w:type="dxa"/>
            <w:tcBorders>
              <w:top w:val="single" w:color="auto" w:sz="4" w:space="0"/>
              <w:left w:val="nil"/>
              <w:bottom w:val="single" w:color="auto" w:sz="4" w:space="0"/>
              <w:right w:val="single" w:color="auto" w:sz="4" w:space="0"/>
            </w:tcBorders>
            <w:shd w:val="clear" w:color="auto" w:fill="auto"/>
            <w:vAlign w:val="center"/>
          </w:tcPr>
          <w:p w14:paraId="0F3D0CAF">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15</w:t>
            </w:r>
          </w:p>
        </w:tc>
        <w:tc>
          <w:tcPr>
            <w:tcW w:w="1268" w:type="dxa"/>
            <w:tcBorders>
              <w:top w:val="single" w:color="auto" w:sz="4" w:space="0"/>
              <w:left w:val="nil"/>
              <w:bottom w:val="single" w:color="auto" w:sz="4" w:space="0"/>
              <w:right w:val="single" w:color="auto" w:sz="4" w:space="0"/>
            </w:tcBorders>
            <w:shd w:val="clear" w:color="auto" w:fill="auto"/>
            <w:vAlign w:val="center"/>
          </w:tcPr>
          <w:p w14:paraId="2CED1F5A">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广财农〔2024〕84号</w:t>
            </w:r>
          </w:p>
        </w:tc>
        <w:tc>
          <w:tcPr>
            <w:tcW w:w="1068" w:type="dxa"/>
            <w:tcBorders>
              <w:top w:val="single" w:color="auto" w:sz="4" w:space="0"/>
              <w:left w:val="nil"/>
              <w:bottom w:val="single" w:color="auto" w:sz="4" w:space="0"/>
              <w:right w:val="single" w:color="auto" w:sz="4" w:space="0"/>
            </w:tcBorders>
            <w:shd w:val="clear" w:color="auto" w:fill="auto"/>
            <w:vAlign w:val="center"/>
          </w:tcPr>
          <w:p w14:paraId="59351C49">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15</w:t>
            </w:r>
          </w:p>
        </w:tc>
        <w:tc>
          <w:tcPr>
            <w:tcW w:w="1051" w:type="dxa"/>
            <w:tcBorders>
              <w:top w:val="single" w:color="auto" w:sz="4" w:space="0"/>
              <w:left w:val="nil"/>
              <w:bottom w:val="single" w:color="auto" w:sz="4" w:space="0"/>
              <w:right w:val="single" w:color="auto" w:sz="4" w:space="0"/>
            </w:tcBorders>
            <w:shd w:val="clear" w:color="auto" w:fill="auto"/>
            <w:vAlign w:val="center"/>
          </w:tcPr>
          <w:p w14:paraId="59553CA5">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100%</w:t>
            </w:r>
          </w:p>
        </w:tc>
        <w:tc>
          <w:tcPr>
            <w:tcW w:w="1519" w:type="dxa"/>
            <w:tcBorders>
              <w:top w:val="single" w:color="auto" w:sz="4" w:space="0"/>
              <w:left w:val="nil"/>
              <w:bottom w:val="single" w:color="auto" w:sz="4" w:space="0"/>
              <w:right w:val="single" w:color="auto" w:sz="4" w:space="0"/>
            </w:tcBorders>
            <w:shd w:val="clear" w:color="auto" w:fill="auto"/>
            <w:vAlign w:val="center"/>
          </w:tcPr>
          <w:p w14:paraId="10FB1562">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0</w:t>
            </w:r>
          </w:p>
        </w:tc>
      </w:tr>
    </w:tbl>
    <w:p w14:paraId="15DE369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（三）项目财务管理情况。</w:t>
      </w:r>
    </w:p>
    <w:p w14:paraId="5EBF17C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财务管理严格按照《四川省农业相关转移支付资金绩效管理办法实施细则》（川财农〔2019〕187号）等支付规定要求，建立了相关制度，财务处理和会计核算都按要求严格执行。</w:t>
      </w:r>
    </w:p>
    <w:p w14:paraId="0B13580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三、项目管理情况</w:t>
      </w:r>
    </w:p>
    <w:p w14:paraId="1F992AA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(一)加强项目管理。</w:t>
      </w:r>
      <w:r>
        <w:rPr>
          <w:rFonts w:hint="default" w:ascii="仿宋" w:hAnsi="仿宋" w:eastAsia="仿宋" w:cs="仿宋"/>
          <w:snapToGrid/>
          <w:color w:val="000000"/>
          <w:spacing w:val="0"/>
          <w:kern w:val="0"/>
          <w:sz w:val="32"/>
          <w:szCs w:val="32"/>
          <w:vertAlign w:val="baseline"/>
          <w:lang w:val="en-US" w:eastAsia="zh-CN" w:bidi="ar"/>
        </w:rPr>
        <w:t>按照全市实施方案的要求，结合本区实施方案，突出重点，细化布点，做到责任到人、任务到点、措施具体。确保按时保质完成项目要求的目标任务。</w:t>
      </w:r>
    </w:p>
    <w:p w14:paraId="3C180E0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(二)加强资金管理。</w:t>
      </w:r>
      <w:r>
        <w:rPr>
          <w:rFonts w:hint="default" w:ascii="仿宋" w:hAnsi="仿宋" w:eastAsia="仿宋" w:cs="仿宋"/>
          <w:snapToGrid/>
          <w:color w:val="000000"/>
          <w:spacing w:val="0"/>
          <w:kern w:val="0"/>
          <w:sz w:val="32"/>
          <w:szCs w:val="32"/>
          <w:vertAlign w:val="baseline"/>
          <w:lang w:val="en-US" w:eastAsia="zh-CN" w:bidi="ar"/>
        </w:rPr>
        <w:t>严格执行财务规定，项目资金严格按照“两部”相关规定，实行专款专用、专帐管理，严禁克扣和挪用。</w:t>
      </w:r>
    </w:p>
    <w:p w14:paraId="182C354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(三)建立档案制度。</w:t>
      </w:r>
      <w:r>
        <w:rPr>
          <w:rFonts w:hint="default" w:ascii="仿宋" w:hAnsi="仿宋" w:eastAsia="仿宋" w:cs="仿宋"/>
          <w:snapToGrid/>
          <w:color w:val="000000"/>
          <w:spacing w:val="0"/>
          <w:kern w:val="0"/>
          <w:sz w:val="32"/>
          <w:szCs w:val="32"/>
          <w:vertAlign w:val="baseline"/>
          <w:lang w:val="en-US" w:eastAsia="zh-CN" w:bidi="ar"/>
        </w:rPr>
        <w:t>按照项目要求，做好相关资料的收集整理，完善有关数据资料，搞好档案管理，按要求做好保密工作。</w:t>
      </w:r>
    </w:p>
    <w:p w14:paraId="771B690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四、项目绩效情况</w:t>
      </w:r>
      <w:r>
        <w:rPr>
          <w:rFonts w:hint="default" w:ascii="黑体" w:hAnsi="宋体" w:eastAsia="黑体" w:cs="黑体"/>
          <w:snapToGrid/>
          <w:color w:val="000000"/>
          <w:spacing w:val="0"/>
          <w:kern w:val="0"/>
          <w:sz w:val="32"/>
          <w:szCs w:val="32"/>
          <w:vertAlign w:val="baseline"/>
          <w:lang w:val="en-US" w:eastAsia="zh-CN" w:bidi="ar"/>
        </w:rPr>
        <w:tab/>
      </w:r>
    </w:p>
    <w:p w14:paraId="392FF36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（一）项目完成情况。</w:t>
      </w:r>
    </w:p>
    <w:p w14:paraId="752CCFE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2024年省级财政农业改革创新科技示范奖补专项资金项目（肉牛稳产提质激励），目前养殖户申报数为0，资金拨付0元。</w:t>
      </w:r>
    </w:p>
    <w:p w14:paraId="59944BE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（二）项目效益情况。</w:t>
      </w:r>
    </w:p>
    <w:p w14:paraId="7060F4A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1.社会效益。通过项目实施进一步增强养殖户养殖信心，稳定能繁母牛数量，鼓励老百姓自繁自养，降低老百姓饲养成本。实现全年出栏肉牛1.1万头以上。</w:t>
      </w:r>
    </w:p>
    <w:p w14:paraId="47DE4CE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2.生态效益。鼓励养殖户使用优质肉牛和牦牛冻精通过人工授精完成品种改良，通过人工受精进一步稳定肉牛基础产能，提升肉牛品质，提高产值。</w:t>
      </w:r>
    </w:p>
    <w:p w14:paraId="69B3B36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3.社会公众或服务对象满意度。通过该项目的实施，大大提升了养殖户的信心，社会公众对项目实施的满意度很高。</w:t>
      </w:r>
    </w:p>
    <w:p w14:paraId="0F6AD45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五、评价结论及建议</w:t>
      </w:r>
    </w:p>
    <w:p w14:paraId="2635188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（一）评价结论。</w:t>
      </w:r>
    </w:p>
    <w:p w14:paraId="1279BDF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根据项目支出绩效自评表，本着实事求是的原则开展自评，得分96分。本项目符合我区农业产业发展要求和群众切实利益需求。</w:t>
      </w:r>
    </w:p>
    <w:p w14:paraId="3C26A2F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（二）存在的问题。</w:t>
      </w:r>
    </w:p>
    <w:p w14:paraId="6B66312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无。</w:t>
      </w:r>
    </w:p>
    <w:p w14:paraId="6FA101E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 xml:space="preserve"> </w:t>
      </w:r>
    </w:p>
    <w:p w14:paraId="186ADD0D">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t xml:space="preserve"> </w:t>
      </w:r>
    </w:p>
    <w:p w14:paraId="3D84637C">
      <w:pPr>
        <w:pStyle w:val="24"/>
        <w:keepNext w:val="0"/>
        <w:keepLines w:val="0"/>
        <w:widowControl/>
        <w:suppressLineNumbers w:val="0"/>
        <w:kinsoku w:val="0"/>
        <w:autoSpaceDE w:val="0"/>
        <w:autoSpaceDN w:val="0"/>
        <w:adjustRightInd w:val="0"/>
        <w:snapToGrid w:val="0"/>
        <w:spacing w:before="0" w:beforeAutospacing="1" w:after="120" w:afterAutospacing="0"/>
        <w:ind w:left="0" w:leftChars="0" w:right="0" w:firstLine="0" w:firstLineChars="0"/>
        <w:jc w:val="left"/>
        <w:textAlignment w:val="baseline"/>
        <w:rPr>
          <w:rFonts w:hint="default" w:ascii="Arial" w:hAnsi="Arial" w:cs="Times New Roman"/>
          <w:color w:val="000000"/>
          <w:kern w:val="0"/>
          <w:sz w:val="21"/>
          <w:szCs w:val="21"/>
        </w:rPr>
      </w:pPr>
      <w:r>
        <w:rPr>
          <w:rFonts w:hint="default" w:ascii="Arial" w:hAnsi="Arial" w:cs="Times New Roman"/>
          <w:snapToGrid/>
          <w:color w:val="000000"/>
          <w:kern w:val="0"/>
          <w:sz w:val="21"/>
          <w:szCs w:val="21"/>
          <w:lang w:val="en-US" w:eastAsia="zh-CN" w:bidi="ar"/>
        </w:rPr>
        <w:t xml:space="preserve"> </w:t>
      </w:r>
    </w:p>
    <w:p w14:paraId="7FADBD3B">
      <w:pPr>
        <w:keepNext w:val="0"/>
        <w:keepLines w:val="0"/>
        <w:widowControl/>
        <w:suppressLineNumbers w:val="0"/>
        <w:kinsoku w:val="0"/>
        <w:overflowPunct w:val="0"/>
        <w:autoSpaceDE w:val="0"/>
        <w:autoSpaceDN/>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color w:val="000000"/>
          <w:kern w:val="2"/>
          <w:sz w:val="44"/>
          <w:szCs w:val="44"/>
        </w:rPr>
      </w:pPr>
      <w:r>
        <w:rPr>
          <w:rFonts w:hint="eastAsia" w:ascii="方正小标宋简体" w:hAnsi="方正小标宋简体" w:eastAsia="方正小标宋简体" w:cs="方正小标宋简体"/>
          <w:snapToGrid/>
          <w:color w:val="000000"/>
          <w:kern w:val="2"/>
          <w:sz w:val="44"/>
          <w:szCs w:val="44"/>
          <w:lang w:val="en-US" w:eastAsia="zh-CN" w:bidi="ar"/>
        </w:rPr>
        <w:t>2023年超额完成生猪出栏省级激励奖补发展资金项目专项预算绩效自评报告</w:t>
      </w:r>
    </w:p>
    <w:p w14:paraId="2793DED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 xml:space="preserve"> </w:t>
      </w:r>
    </w:p>
    <w:p w14:paraId="45A16F9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一、项目概况</w:t>
      </w:r>
    </w:p>
    <w:p w14:paraId="0D37538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（一）项目基本情况。</w:t>
      </w:r>
    </w:p>
    <w:p w14:paraId="0ABE1A9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根据《关于下达2024年中央财政粮油生产保障等五项农业转移支付资金的通知》（川财农〔2024〕58号）和《四川省农业农村厅 关于做好2023年农业高质量发展资金项目实施工作的通知》（川农函〔2023〕432号）《四川省农业农村厅 四川省财政厅 四川省自然资源厅关于印发进一步强化生猪稳产保供七条措施的通知》（川农函〔2024〕213号）要求，将资金用于生猪产业发展，包括生猪生产条件改善、现代设施装备提升、动物疾病防控等方面。</w:t>
      </w:r>
    </w:p>
    <w:p w14:paraId="1AE4358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（二）项目绩效目标。</w:t>
      </w:r>
    </w:p>
    <w:p w14:paraId="312DB2F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1.全区生猪养殖场（户）粪污资源化利用达90%以上。</w:t>
      </w:r>
    </w:p>
    <w:p w14:paraId="5E161C4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2.开展生猪养殖户养殖、防疫技术培训。</w:t>
      </w:r>
    </w:p>
    <w:p w14:paraId="3783D6C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4.群众满意度达到96%以上。</w:t>
      </w:r>
    </w:p>
    <w:p w14:paraId="01E9447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（三）项目自评步骤及方法</w:t>
      </w:r>
    </w:p>
    <w:p w14:paraId="2F6E919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按照相关规定，根据项目实际设置绩效指标，包括、产出指标、效益指标、满意度指标三类一级指标，每一类一级指标细分为若干二级指标、三级指标，分别设定具体的指标值，根据预期指标值来指导实际完成指标和开展项目绩效评价。</w:t>
      </w:r>
    </w:p>
    <w:p w14:paraId="6BFF19F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二、项目资金申报及使用情况</w:t>
      </w:r>
    </w:p>
    <w:p w14:paraId="21AA4E1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（一）项目资金申报及批复情况。</w:t>
      </w:r>
    </w:p>
    <w:p w14:paraId="5EC3157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根据四川省财政厅  四川省农业农村厅《关于下达2024年中央财政粮油生产保障等五项农业转移支付资金的通知》（川财农〔2024〕58号）和广元市财政局《关于下达2024年中央财政粮油生产保障等思想农业转移支付资金的通知》（广财农〔2024〕64号），下达财政专项资金27.51万元。</w:t>
      </w:r>
    </w:p>
    <w:p w14:paraId="5D0500A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（二）资金计划、到位及使用情况</w:t>
      </w:r>
    </w:p>
    <w:tbl>
      <w:tblPr>
        <w:tblStyle w:val="27"/>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05"/>
        <w:gridCol w:w="1260"/>
        <w:gridCol w:w="1233"/>
        <w:gridCol w:w="1196"/>
        <w:gridCol w:w="1213"/>
        <w:gridCol w:w="892"/>
        <w:gridCol w:w="1499"/>
      </w:tblGrid>
      <w:tr w14:paraId="533BF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1DBB923D">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项目</w:t>
            </w:r>
          </w:p>
          <w:p w14:paraId="50FC7EDD">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名称</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08122965">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资金类别</w:t>
            </w:r>
          </w:p>
        </w:tc>
        <w:tc>
          <w:tcPr>
            <w:tcW w:w="1233" w:type="dxa"/>
            <w:tcBorders>
              <w:top w:val="single" w:color="auto" w:sz="4" w:space="0"/>
              <w:left w:val="single" w:color="auto" w:sz="4" w:space="0"/>
              <w:bottom w:val="single" w:color="auto" w:sz="4" w:space="0"/>
              <w:right w:val="single" w:color="auto" w:sz="4" w:space="0"/>
            </w:tcBorders>
            <w:shd w:val="clear" w:color="auto" w:fill="auto"/>
            <w:vAlign w:val="center"/>
          </w:tcPr>
          <w:p w14:paraId="0FDEA0DA">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资金计划</w:t>
            </w:r>
          </w:p>
          <w:p w14:paraId="6FBF70C0">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（万元）</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297BD3A0">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资金下达文号</w:t>
            </w:r>
          </w:p>
        </w:tc>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14:paraId="4C955A55">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到位资金（万元）</w:t>
            </w:r>
          </w:p>
        </w:tc>
        <w:tc>
          <w:tcPr>
            <w:tcW w:w="892" w:type="dxa"/>
            <w:tcBorders>
              <w:top w:val="single" w:color="auto" w:sz="4" w:space="0"/>
              <w:left w:val="single" w:color="auto" w:sz="4" w:space="0"/>
              <w:bottom w:val="single" w:color="auto" w:sz="4" w:space="0"/>
              <w:right w:val="single" w:color="auto" w:sz="4" w:space="0"/>
            </w:tcBorders>
            <w:shd w:val="clear" w:color="auto" w:fill="auto"/>
            <w:vAlign w:val="center"/>
          </w:tcPr>
          <w:p w14:paraId="2D1D3D20">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资金</w:t>
            </w:r>
          </w:p>
          <w:p w14:paraId="5B252B4A">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到位率</w:t>
            </w:r>
          </w:p>
        </w:tc>
        <w:tc>
          <w:tcPr>
            <w:tcW w:w="1499" w:type="dxa"/>
            <w:tcBorders>
              <w:top w:val="single" w:color="auto" w:sz="4" w:space="0"/>
              <w:left w:val="single" w:color="auto" w:sz="4" w:space="0"/>
              <w:bottom w:val="single" w:color="auto" w:sz="4" w:space="0"/>
              <w:right w:val="single" w:color="auto" w:sz="4" w:space="0"/>
            </w:tcBorders>
            <w:shd w:val="clear" w:color="auto" w:fill="auto"/>
            <w:vAlign w:val="center"/>
          </w:tcPr>
          <w:p w14:paraId="7FEA638B">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资金执行情况</w:t>
            </w:r>
          </w:p>
          <w:p w14:paraId="0008A7FC">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（万元）</w:t>
            </w:r>
          </w:p>
        </w:tc>
      </w:tr>
      <w:tr w14:paraId="48B77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30BD997A">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生猪出栏奖补</w:t>
            </w:r>
          </w:p>
        </w:tc>
        <w:tc>
          <w:tcPr>
            <w:tcW w:w="1260" w:type="dxa"/>
            <w:tcBorders>
              <w:top w:val="single" w:color="auto" w:sz="4" w:space="0"/>
              <w:left w:val="nil"/>
              <w:bottom w:val="single" w:color="auto" w:sz="4" w:space="0"/>
              <w:right w:val="single" w:color="auto" w:sz="4" w:space="0"/>
            </w:tcBorders>
            <w:shd w:val="clear" w:color="auto" w:fill="auto"/>
            <w:vAlign w:val="center"/>
          </w:tcPr>
          <w:p w14:paraId="0A1DDD1A">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省级资金</w:t>
            </w:r>
          </w:p>
        </w:tc>
        <w:tc>
          <w:tcPr>
            <w:tcW w:w="1233" w:type="dxa"/>
            <w:tcBorders>
              <w:top w:val="single" w:color="auto" w:sz="4" w:space="0"/>
              <w:left w:val="nil"/>
              <w:bottom w:val="single" w:color="auto" w:sz="4" w:space="0"/>
              <w:right w:val="single" w:color="auto" w:sz="4" w:space="0"/>
            </w:tcBorders>
            <w:shd w:val="clear" w:color="auto" w:fill="auto"/>
            <w:vAlign w:val="center"/>
          </w:tcPr>
          <w:p w14:paraId="119F58B5">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27.51</w:t>
            </w:r>
          </w:p>
        </w:tc>
        <w:tc>
          <w:tcPr>
            <w:tcW w:w="1196" w:type="dxa"/>
            <w:tcBorders>
              <w:top w:val="single" w:color="auto" w:sz="4" w:space="0"/>
              <w:left w:val="nil"/>
              <w:bottom w:val="single" w:color="auto" w:sz="4" w:space="0"/>
              <w:right w:val="single" w:color="auto" w:sz="4" w:space="0"/>
            </w:tcBorders>
            <w:shd w:val="clear" w:color="auto" w:fill="auto"/>
            <w:vAlign w:val="center"/>
          </w:tcPr>
          <w:p w14:paraId="74062457">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川财农〔2024〕58号</w:t>
            </w:r>
          </w:p>
        </w:tc>
        <w:tc>
          <w:tcPr>
            <w:tcW w:w="1213" w:type="dxa"/>
            <w:tcBorders>
              <w:top w:val="single" w:color="auto" w:sz="4" w:space="0"/>
              <w:left w:val="nil"/>
              <w:bottom w:val="single" w:color="auto" w:sz="4" w:space="0"/>
              <w:right w:val="single" w:color="auto" w:sz="4" w:space="0"/>
            </w:tcBorders>
            <w:shd w:val="clear" w:color="auto" w:fill="auto"/>
            <w:vAlign w:val="center"/>
          </w:tcPr>
          <w:p w14:paraId="2D62AD8F">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27.51</w:t>
            </w:r>
          </w:p>
        </w:tc>
        <w:tc>
          <w:tcPr>
            <w:tcW w:w="892" w:type="dxa"/>
            <w:tcBorders>
              <w:top w:val="single" w:color="auto" w:sz="4" w:space="0"/>
              <w:left w:val="nil"/>
              <w:bottom w:val="single" w:color="auto" w:sz="4" w:space="0"/>
              <w:right w:val="single" w:color="auto" w:sz="4" w:space="0"/>
            </w:tcBorders>
            <w:shd w:val="clear" w:color="auto" w:fill="auto"/>
            <w:vAlign w:val="center"/>
          </w:tcPr>
          <w:p w14:paraId="2671AB1D">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100%</w:t>
            </w:r>
          </w:p>
        </w:tc>
        <w:tc>
          <w:tcPr>
            <w:tcW w:w="1499" w:type="dxa"/>
            <w:tcBorders>
              <w:top w:val="single" w:color="auto" w:sz="4" w:space="0"/>
              <w:left w:val="nil"/>
              <w:bottom w:val="single" w:color="auto" w:sz="4" w:space="0"/>
              <w:right w:val="single" w:color="auto" w:sz="4" w:space="0"/>
            </w:tcBorders>
            <w:shd w:val="clear" w:color="auto" w:fill="auto"/>
            <w:vAlign w:val="center"/>
          </w:tcPr>
          <w:p w14:paraId="7D89BE21">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27.51</w:t>
            </w:r>
          </w:p>
        </w:tc>
      </w:tr>
    </w:tbl>
    <w:p w14:paraId="2A1B0CF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（三）项目财务管理情况。</w:t>
      </w:r>
    </w:p>
    <w:p w14:paraId="6E1EF6F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财务管理严格按照《四川省农业相关转移支付资金绩效管理办法实施细则》（川财农〔2019〕187号）等支付规定要求，建立了相关制度，财务处理和会计核算都按要求严格执行。</w:t>
      </w:r>
    </w:p>
    <w:p w14:paraId="6A800DB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三、项目管理情况</w:t>
      </w:r>
    </w:p>
    <w:p w14:paraId="525F9DD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(一)加强项目管理。</w:t>
      </w:r>
      <w:r>
        <w:rPr>
          <w:rFonts w:hint="default" w:ascii="仿宋" w:hAnsi="仿宋" w:eastAsia="仿宋" w:cs="仿宋"/>
          <w:snapToGrid/>
          <w:color w:val="000000"/>
          <w:spacing w:val="0"/>
          <w:kern w:val="0"/>
          <w:sz w:val="32"/>
          <w:szCs w:val="32"/>
          <w:vertAlign w:val="baseline"/>
          <w:lang w:val="en-US" w:eastAsia="zh-CN" w:bidi="ar"/>
        </w:rPr>
        <w:t>按照全市实施方案的要求，结合本区实施方案，突出重点，细化布点，做到责任到人、任务到点、措施具体。确保按时保质完成项目要求的目标任务。</w:t>
      </w:r>
    </w:p>
    <w:p w14:paraId="2E8D051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(二)加强资金管理。</w:t>
      </w:r>
      <w:r>
        <w:rPr>
          <w:rFonts w:hint="default" w:ascii="仿宋" w:hAnsi="仿宋" w:eastAsia="仿宋" w:cs="仿宋"/>
          <w:snapToGrid/>
          <w:color w:val="000000"/>
          <w:spacing w:val="0"/>
          <w:kern w:val="0"/>
          <w:sz w:val="32"/>
          <w:szCs w:val="32"/>
          <w:vertAlign w:val="baseline"/>
          <w:lang w:val="en-US" w:eastAsia="zh-CN" w:bidi="ar"/>
        </w:rPr>
        <w:t>严格执行财务规定，项目资金严格按照“两部”相关规定，实行专款专用、专帐管理，严禁克扣和挪用。</w:t>
      </w:r>
    </w:p>
    <w:p w14:paraId="3A3A112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(三)建立档案制度。按照项目要求，做好相关资料的收集整理，完善有关数据资料，搞好档案管理，按要求做好保密工作。</w:t>
      </w:r>
    </w:p>
    <w:p w14:paraId="200CBFC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四、项目绩效情况</w:t>
      </w:r>
      <w:r>
        <w:rPr>
          <w:rFonts w:hint="default" w:ascii="黑体" w:hAnsi="宋体" w:eastAsia="黑体" w:cs="黑体"/>
          <w:snapToGrid/>
          <w:color w:val="000000"/>
          <w:spacing w:val="0"/>
          <w:kern w:val="0"/>
          <w:sz w:val="32"/>
          <w:szCs w:val="32"/>
          <w:vertAlign w:val="baseline"/>
          <w:lang w:val="en-US" w:eastAsia="zh-CN" w:bidi="ar"/>
        </w:rPr>
        <w:tab/>
      </w:r>
    </w:p>
    <w:p w14:paraId="66279C5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（一）项目完成情况。</w:t>
      </w:r>
    </w:p>
    <w:p w14:paraId="4897B07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农业高质量发展共同财政事权转移支付资金（生猪出栏奖补）项目已对14个生猪监测点补助11.2万元，购买生猪粪污清运车1台补助14.81万元，生猪养殖有限空间安全宣传等资料费1.5万元，共拨付资金27.51万元，拨付率100%。</w:t>
      </w:r>
    </w:p>
    <w:p w14:paraId="301DFFA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（二）项目效益情况。</w:t>
      </w:r>
    </w:p>
    <w:p w14:paraId="0C867D1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1.社会效益。通过项目实施进一步稳定生猪基础生产能力、提升生猪监测点动物疫病防控能力、引领生猪养殖标准化示范创建和现代化发展，确保全区生猪规模养殖场保有量50个，常年存栏能繁母猪1.3万头以上，实现全年出栏生猪19万头以上。</w:t>
      </w:r>
    </w:p>
    <w:p w14:paraId="2B45ADC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2.生态效益。一是指导养殖户资金用于生猪产业发展，包括生猪生产条件改善、现代设施装备提升、动物疫病防控等方面。进一步降低了全区动物疫病传播风险，降低疫病发病率，减少了生态环境污染，减少老百姓损失。同时保障全区生猪粪污清运能力，力争全区生猪粪污资源化利用率稳定在90%以上。</w:t>
      </w:r>
    </w:p>
    <w:p w14:paraId="7CA85A9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3.社会公众或服务对象满意度。通过该项目的实施，大大提升了养殖户的信心，社会公众对项目实施的满意度很高。</w:t>
      </w:r>
    </w:p>
    <w:p w14:paraId="62FA8CA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五、评价结论及建议</w:t>
      </w:r>
    </w:p>
    <w:p w14:paraId="3DC2A25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（一）评价结论。</w:t>
      </w:r>
    </w:p>
    <w:p w14:paraId="5870A64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生猪出栏奖补已全部拨付到位，资金拨付合规。自评得分99分。</w:t>
      </w:r>
    </w:p>
    <w:p w14:paraId="087CDAF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（二）存在的问题。</w:t>
      </w:r>
    </w:p>
    <w:p w14:paraId="14EFB2B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无。</w:t>
      </w:r>
    </w:p>
    <w:p w14:paraId="61BFFA4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（三）相关建议。</w:t>
      </w:r>
    </w:p>
    <w:p w14:paraId="4D0C125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无</w:t>
      </w:r>
    </w:p>
    <w:p w14:paraId="0433B14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 xml:space="preserve"> </w:t>
      </w:r>
    </w:p>
    <w:p w14:paraId="56D8831A">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t xml:space="preserve"> </w:t>
      </w:r>
    </w:p>
    <w:p w14:paraId="6AFBEDB4">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br w:type="page"/>
      </w:r>
    </w:p>
    <w:p w14:paraId="23B988C7">
      <w:pPr>
        <w:keepNext w:val="0"/>
        <w:keepLines w:val="0"/>
        <w:widowControl/>
        <w:suppressLineNumbers w:val="0"/>
        <w:kinsoku w:val="0"/>
        <w:overflowPunct w:val="0"/>
        <w:autoSpaceDE w:val="0"/>
        <w:autoSpaceDN/>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color w:val="000000"/>
          <w:kern w:val="2"/>
          <w:sz w:val="44"/>
          <w:szCs w:val="44"/>
        </w:rPr>
      </w:pPr>
      <w:r>
        <w:rPr>
          <w:rFonts w:hint="eastAsia" w:ascii="方正小标宋简体" w:hAnsi="方正小标宋简体" w:eastAsia="方正小标宋简体" w:cs="方正小标宋简体"/>
          <w:snapToGrid/>
          <w:color w:val="000000"/>
          <w:kern w:val="2"/>
          <w:sz w:val="44"/>
          <w:szCs w:val="44"/>
          <w:lang w:val="en-US" w:eastAsia="zh-CN" w:bidi="ar"/>
        </w:rPr>
        <w:t>2024粮改饲项目专项预算绩效自评报告</w:t>
      </w:r>
    </w:p>
    <w:p w14:paraId="4B4A1D05">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 xml:space="preserve"> </w:t>
      </w:r>
    </w:p>
    <w:p w14:paraId="7CF676F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一、项目概况</w:t>
      </w:r>
    </w:p>
    <w:p w14:paraId="63FC905C">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（一）项目基本情况。</w:t>
      </w:r>
    </w:p>
    <w:p w14:paraId="09D8683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根据四川省农业农村厅《关于做好2024年财政转移支付资金涉农项目(第一批)储备工作的通知》(川农函〔2023〕627号)文件要求，2023年11月我区申报储备《广元市利州区2024年粮改饲项目》,经省农业农村厅组织评选，我区成功入围，并获得中央财政资金155万元，主要用于开展粮改饲结构调整面积10334亩，收储优质青贮饲草料20667吨。</w:t>
      </w:r>
    </w:p>
    <w:p w14:paraId="4D1BF313">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（二）项目绩效目标。</w:t>
      </w:r>
    </w:p>
    <w:p w14:paraId="5FC2137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大力推进粮改饲种植结构调整，扩大玉米等优质饲草种植面积、增加收贮量，提升种、收、贮、用综合能力和社会化服务水平，推动饲草品种专用化、生产规模化、销售商品化，全面提升种植收益、草食家畜生产效率和养殖效益。2024年全区种植饲用玉米、高丹草等优质饲草料面积10334亩，可收储青贮饲料20667吨。群众满意度达到96%以上。</w:t>
      </w:r>
    </w:p>
    <w:p w14:paraId="72424BF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（三）项目自评步骤及方法</w:t>
      </w:r>
    </w:p>
    <w:p w14:paraId="2BFAE1E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按照相关规定，根据项目实际设置绩效指标，包括、产出指标、效益指标、满意度指标三类一级指标，每一类一级指标细分为若干二级指标、三级指标，分别设定具体的指标值，根据预期指标值来指导实际完成指标和开展项目绩效评价。</w:t>
      </w:r>
    </w:p>
    <w:p w14:paraId="730F8C6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二、项目资金申报及使用情况</w:t>
      </w:r>
    </w:p>
    <w:p w14:paraId="320BA78D">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（一）项目资金申报及批复情况。</w:t>
      </w:r>
    </w:p>
    <w:p w14:paraId="47F370DA">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根据四川省财政厅  四川省农业农村厅《关于下达2024年中央财政粮油生产保障等六项农业转移支付资金的通知》（川财农〔2024〕48号）和《广元市财政局关于下达2024年中央财政粮油生产保障等六项农业转移支付资金的通知》（广财农〔2024〕58号），下达财政专项资金155万元。</w:t>
      </w:r>
    </w:p>
    <w:p w14:paraId="67769295">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（二）资金计划、到位及使用情况</w:t>
      </w:r>
    </w:p>
    <w:tbl>
      <w:tblPr>
        <w:tblStyle w:val="27"/>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91"/>
        <w:gridCol w:w="1069"/>
        <w:gridCol w:w="1707"/>
        <w:gridCol w:w="1165"/>
        <w:gridCol w:w="1152"/>
        <w:gridCol w:w="1002"/>
        <w:gridCol w:w="1571"/>
      </w:tblGrid>
      <w:tr w14:paraId="213A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01" w:hRule="atLeast"/>
        </w:trPr>
        <w:tc>
          <w:tcPr>
            <w:tcW w:w="1391" w:type="dxa"/>
            <w:tcBorders>
              <w:top w:val="single" w:color="auto" w:sz="4" w:space="0"/>
              <w:left w:val="single" w:color="auto" w:sz="4" w:space="0"/>
              <w:bottom w:val="single" w:color="auto" w:sz="4" w:space="0"/>
              <w:right w:val="single" w:color="auto" w:sz="4" w:space="0"/>
            </w:tcBorders>
            <w:shd w:val="clear" w:color="auto" w:fill="auto"/>
            <w:vAlign w:val="center"/>
          </w:tcPr>
          <w:p w14:paraId="6E7FCE10">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项目</w:t>
            </w:r>
          </w:p>
          <w:p w14:paraId="796A5DD1">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名称</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center"/>
          </w:tcPr>
          <w:p w14:paraId="6AA72EEC">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2"/>
                <w:sz w:val="21"/>
                <w:szCs w:val="21"/>
                <w:vertAlign w:val="baseline"/>
              </w:rPr>
            </w:pPr>
            <w:r>
              <w:rPr>
                <w:rFonts w:hint="eastAsia" w:ascii="宋体" w:hAnsi="宋体" w:eastAsia="宋体" w:cs="宋体"/>
                <w:snapToGrid/>
                <w:color w:val="000000"/>
                <w:kern w:val="0"/>
                <w:sz w:val="21"/>
                <w:szCs w:val="21"/>
                <w:vertAlign w:val="baseline"/>
                <w:lang w:val="en-US" w:eastAsia="zh-CN" w:bidi="ar"/>
              </w:rPr>
              <w:t>资金类别</w:t>
            </w:r>
          </w:p>
        </w:tc>
        <w:tc>
          <w:tcPr>
            <w:tcW w:w="1707" w:type="dxa"/>
            <w:tcBorders>
              <w:top w:val="single" w:color="auto" w:sz="4" w:space="0"/>
              <w:left w:val="single" w:color="auto" w:sz="4" w:space="0"/>
              <w:bottom w:val="single" w:color="auto" w:sz="4" w:space="0"/>
              <w:right w:val="single" w:color="auto" w:sz="4" w:space="0"/>
            </w:tcBorders>
            <w:shd w:val="clear" w:color="auto" w:fill="auto"/>
            <w:vAlign w:val="center"/>
          </w:tcPr>
          <w:p w14:paraId="233D1551">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资金计划</w:t>
            </w:r>
          </w:p>
          <w:p w14:paraId="42411875">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2"/>
                <w:sz w:val="21"/>
                <w:szCs w:val="21"/>
                <w:vertAlign w:val="baseline"/>
              </w:rPr>
            </w:pPr>
            <w:r>
              <w:rPr>
                <w:rFonts w:hint="eastAsia" w:ascii="宋体" w:hAnsi="宋体" w:eastAsia="宋体" w:cs="宋体"/>
                <w:snapToGrid/>
                <w:color w:val="000000"/>
                <w:kern w:val="0"/>
                <w:sz w:val="21"/>
                <w:szCs w:val="21"/>
                <w:vertAlign w:val="baseline"/>
                <w:lang w:val="en-US" w:eastAsia="zh-CN" w:bidi="ar"/>
              </w:rPr>
              <w:t>（万元）</w:t>
            </w: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14:paraId="0AEF43F5">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2"/>
                <w:sz w:val="21"/>
                <w:szCs w:val="21"/>
                <w:vertAlign w:val="baseline"/>
              </w:rPr>
            </w:pPr>
            <w:r>
              <w:rPr>
                <w:rFonts w:hint="eastAsia" w:ascii="宋体" w:hAnsi="宋体" w:eastAsia="宋体" w:cs="宋体"/>
                <w:snapToGrid/>
                <w:color w:val="000000"/>
                <w:kern w:val="0"/>
                <w:sz w:val="21"/>
                <w:szCs w:val="21"/>
                <w:vertAlign w:val="baseline"/>
                <w:lang w:val="en-US" w:eastAsia="zh-CN" w:bidi="ar"/>
              </w:rPr>
              <w:t>资金下达文号</w:t>
            </w:r>
          </w:p>
        </w:tc>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14:paraId="5BB03C52">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2"/>
                <w:sz w:val="21"/>
                <w:szCs w:val="21"/>
                <w:vertAlign w:val="baseline"/>
              </w:rPr>
            </w:pPr>
            <w:r>
              <w:rPr>
                <w:rFonts w:hint="eastAsia" w:ascii="宋体" w:hAnsi="宋体" w:eastAsia="宋体" w:cs="宋体"/>
                <w:snapToGrid/>
                <w:color w:val="000000"/>
                <w:kern w:val="0"/>
                <w:sz w:val="21"/>
                <w:szCs w:val="21"/>
                <w:vertAlign w:val="baseline"/>
                <w:lang w:val="en-US" w:eastAsia="zh-CN" w:bidi="ar"/>
              </w:rPr>
              <w:t>到位资金（万元）</w:t>
            </w:r>
          </w:p>
        </w:tc>
        <w:tc>
          <w:tcPr>
            <w:tcW w:w="1002" w:type="dxa"/>
            <w:tcBorders>
              <w:top w:val="single" w:color="auto" w:sz="4" w:space="0"/>
              <w:left w:val="single" w:color="auto" w:sz="4" w:space="0"/>
              <w:bottom w:val="single" w:color="auto" w:sz="4" w:space="0"/>
              <w:right w:val="single" w:color="auto" w:sz="4" w:space="0"/>
            </w:tcBorders>
            <w:shd w:val="clear" w:color="auto" w:fill="auto"/>
            <w:vAlign w:val="center"/>
          </w:tcPr>
          <w:p w14:paraId="1E619F23">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资金</w:t>
            </w:r>
          </w:p>
          <w:p w14:paraId="16C9291F">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2"/>
                <w:sz w:val="21"/>
                <w:szCs w:val="21"/>
                <w:vertAlign w:val="baseline"/>
              </w:rPr>
            </w:pPr>
            <w:r>
              <w:rPr>
                <w:rFonts w:hint="eastAsia" w:ascii="宋体" w:hAnsi="宋体" w:eastAsia="宋体" w:cs="宋体"/>
                <w:snapToGrid/>
                <w:color w:val="000000"/>
                <w:kern w:val="0"/>
                <w:sz w:val="21"/>
                <w:szCs w:val="21"/>
                <w:vertAlign w:val="baseline"/>
                <w:lang w:val="en-US" w:eastAsia="zh-CN" w:bidi="ar"/>
              </w:rPr>
              <w:t>到位率</w:t>
            </w: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14:paraId="5CADBE49">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资金执行情况</w:t>
            </w:r>
          </w:p>
          <w:p w14:paraId="35F65631">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2"/>
                <w:sz w:val="21"/>
                <w:szCs w:val="21"/>
                <w:vertAlign w:val="baseline"/>
              </w:rPr>
            </w:pPr>
            <w:r>
              <w:rPr>
                <w:rFonts w:hint="eastAsia" w:ascii="宋体" w:hAnsi="宋体" w:eastAsia="宋体" w:cs="宋体"/>
                <w:snapToGrid/>
                <w:color w:val="000000"/>
                <w:kern w:val="0"/>
                <w:sz w:val="21"/>
                <w:szCs w:val="21"/>
                <w:vertAlign w:val="baseline"/>
                <w:lang w:val="en-US" w:eastAsia="zh-CN" w:bidi="ar"/>
              </w:rPr>
              <w:t>（万元）</w:t>
            </w:r>
          </w:p>
        </w:tc>
      </w:tr>
      <w:tr w14:paraId="1F64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12" w:hRule="atLeast"/>
        </w:trPr>
        <w:tc>
          <w:tcPr>
            <w:tcW w:w="1391" w:type="dxa"/>
            <w:tcBorders>
              <w:top w:val="single" w:color="auto" w:sz="4" w:space="0"/>
              <w:left w:val="single" w:color="auto" w:sz="4" w:space="0"/>
              <w:bottom w:val="single" w:color="auto" w:sz="4" w:space="0"/>
              <w:right w:val="single" w:color="auto" w:sz="4" w:space="0"/>
            </w:tcBorders>
            <w:shd w:val="clear" w:color="auto" w:fill="auto"/>
            <w:vAlign w:val="center"/>
          </w:tcPr>
          <w:p w14:paraId="7F9E28D7">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粮改饲项目</w:t>
            </w:r>
          </w:p>
        </w:tc>
        <w:tc>
          <w:tcPr>
            <w:tcW w:w="1069" w:type="dxa"/>
            <w:tcBorders>
              <w:top w:val="single" w:color="auto" w:sz="4" w:space="0"/>
              <w:left w:val="nil"/>
              <w:bottom w:val="single" w:color="auto" w:sz="4" w:space="0"/>
              <w:right w:val="single" w:color="auto" w:sz="4" w:space="0"/>
            </w:tcBorders>
            <w:shd w:val="clear" w:color="auto" w:fill="auto"/>
            <w:vAlign w:val="center"/>
          </w:tcPr>
          <w:p w14:paraId="2E5C0255">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省级资金</w:t>
            </w:r>
          </w:p>
        </w:tc>
        <w:tc>
          <w:tcPr>
            <w:tcW w:w="1707" w:type="dxa"/>
            <w:tcBorders>
              <w:top w:val="single" w:color="auto" w:sz="4" w:space="0"/>
              <w:left w:val="nil"/>
              <w:bottom w:val="single" w:color="auto" w:sz="4" w:space="0"/>
              <w:right w:val="single" w:color="auto" w:sz="4" w:space="0"/>
            </w:tcBorders>
            <w:shd w:val="clear" w:color="auto" w:fill="auto"/>
            <w:vAlign w:val="center"/>
          </w:tcPr>
          <w:p w14:paraId="3680FAFA">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155</w:t>
            </w:r>
          </w:p>
        </w:tc>
        <w:tc>
          <w:tcPr>
            <w:tcW w:w="1165" w:type="dxa"/>
            <w:tcBorders>
              <w:top w:val="single" w:color="auto" w:sz="4" w:space="0"/>
              <w:left w:val="nil"/>
              <w:bottom w:val="single" w:color="auto" w:sz="4" w:space="0"/>
              <w:right w:val="single" w:color="auto" w:sz="4" w:space="0"/>
            </w:tcBorders>
            <w:shd w:val="clear" w:color="auto" w:fill="auto"/>
            <w:vAlign w:val="center"/>
          </w:tcPr>
          <w:p w14:paraId="6E3DC5E2">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川财农〔2024〕58号</w:t>
            </w:r>
          </w:p>
        </w:tc>
        <w:tc>
          <w:tcPr>
            <w:tcW w:w="1152" w:type="dxa"/>
            <w:tcBorders>
              <w:top w:val="single" w:color="auto" w:sz="4" w:space="0"/>
              <w:left w:val="nil"/>
              <w:bottom w:val="single" w:color="auto" w:sz="4" w:space="0"/>
              <w:right w:val="single" w:color="auto" w:sz="4" w:space="0"/>
            </w:tcBorders>
            <w:shd w:val="clear" w:color="auto" w:fill="auto"/>
            <w:vAlign w:val="center"/>
          </w:tcPr>
          <w:p w14:paraId="7316C45E">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155</w:t>
            </w:r>
          </w:p>
        </w:tc>
        <w:tc>
          <w:tcPr>
            <w:tcW w:w="1002" w:type="dxa"/>
            <w:tcBorders>
              <w:top w:val="single" w:color="auto" w:sz="4" w:space="0"/>
              <w:left w:val="nil"/>
              <w:bottom w:val="single" w:color="auto" w:sz="4" w:space="0"/>
              <w:right w:val="single" w:color="auto" w:sz="4" w:space="0"/>
            </w:tcBorders>
            <w:shd w:val="clear" w:color="auto" w:fill="auto"/>
            <w:vAlign w:val="center"/>
          </w:tcPr>
          <w:p w14:paraId="14FD4AC9">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100%</w:t>
            </w:r>
          </w:p>
        </w:tc>
        <w:tc>
          <w:tcPr>
            <w:tcW w:w="1571" w:type="dxa"/>
            <w:tcBorders>
              <w:top w:val="single" w:color="auto" w:sz="4" w:space="0"/>
              <w:left w:val="nil"/>
              <w:bottom w:val="single" w:color="auto" w:sz="4" w:space="0"/>
              <w:right w:val="single" w:color="auto" w:sz="4" w:space="0"/>
            </w:tcBorders>
            <w:shd w:val="clear" w:color="auto" w:fill="auto"/>
            <w:vAlign w:val="center"/>
          </w:tcPr>
          <w:p w14:paraId="00FD6FC6">
            <w:pPr>
              <w:pStyle w:val="24"/>
              <w:keepNext w:val="0"/>
              <w:keepLines w:val="0"/>
              <w:widowControl w:val="0"/>
              <w:suppressLineNumbers w:val="0"/>
              <w:kinsoku w:val="0"/>
              <w:autoSpaceDE w:val="0"/>
              <w:autoSpaceDN w:val="0"/>
              <w:adjustRightInd w:val="0"/>
              <w:snapToGrid w:val="0"/>
              <w:spacing w:before="0" w:beforeAutospacing="1" w:after="0" w:afterAutospacing="0" w:line="360" w:lineRule="exact"/>
              <w:ind w:left="0" w:leftChars="0" w:right="0" w:firstLine="0" w:firstLineChars="0"/>
              <w:jc w:val="center"/>
              <w:textAlignment w:val="baseline"/>
              <w:rPr>
                <w:rFonts w:hint="eastAsia" w:ascii="宋体" w:hAnsi="宋体" w:eastAsia="宋体" w:cs="宋体"/>
                <w:color w:val="000000"/>
                <w:kern w:val="0"/>
                <w:sz w:val="21"/>
                <w:szCs w:val="21"/>
                <w:vertAlign w:val="baseline"/>
              </w:rPr>
            </w:pPr>
            <w:r>
              <w:rPr>
                <w:rFonts w:hint="eastAsia" w:ascii="宋体" w:hAnsi="宋体" w:eastAsia="宋体" w:cs="宋体"/>
                <w:snapToGrid/>
                <w:color w:val="000000"/>
                <w:kern w:val="0"/>
                <w:sz w:val="21"/>
                <w:szCs w:val="21"/>
                <w:vertAlign w:val="baseline"/>
                <w:lang w:val="en-US" w:eastAsia="zh-CN" w:bidi="ar"/>
              </w:rPr>
              <w:t>77.80</w:t>
            </w:r>
          </w:p>
        </w:tc>
      </w:tr>
    </w:tbl>
    <w:p w14:paraId="151A198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（三）项目财务管理情况。</w:t>
      </w:r>
    </w:p>
    <w:p w14:paraId="6AA5657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财务管理严格按照《四川省农业相关转移支付资金绩效管理办法实施细则》（川财农〔2019〕187号）等支付规定要求，建立了相关制度，财务处理和会计核算都按要求严格执行</w:t>
      </w:r>
      <w:r>
        <w:rPr>
          <w:rFonts w:hint="default" w:ascii="仿宋" w:hAnsi="仿宋" w:eastAsia="仿宋" w:cs="仿宋"/>
          <w:snapToGrid/>
          <w:color w:val="000000"/>
          <w:kern w:val="0"/>
          <w:sz w:val="32"/>
          <w:szCs w:val="32"/>
          <w:vertAlign w:val="baseline"/>
          <w:lang w:val="en-US" w:eastAsia="zh-CN" w:bidi="ar"/>
        </w:rPr>
        <w:t>。</w:t>
      </w:r>
    </w:p>
    <w:p w14:paraId="731CCCD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三、项目管理情况</w:t>
      </w:r>
    </w:p>
    <w:p w14:paraId="4A9ED5B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(一)加强项目管理。</w:t>
      </w:r>
      <w:r>
        <w:rPr>
          <w:rFonts w:hint="default" w:ascii="仿宋" w:hAnsi="仿宋" w:eastAsia="仿宋" w:cs="仿宋"/>
          <w:snapToGrid/>
          <w:color w:val="000000"/>
          <w:spacing w:val="0"/>
          <w:kern w:val="0"/>
          <w:sz w:val="32"/>
          <w:szCs w:val="32"/>
          <w:vertAlign w:val="baseline"/>
          <w:lang w:val="en-US" w:eastAsia="zh-CN" w:bidi="ar"/>
        </w:rPr>
        <w:t>按照全市实施方案的要求，结合本区实施方案，突出重点，细化布点，做到责任到人、任务到点、措施具体。确保按时保质完成项目要求的目标任务。</w:t>
      </w:r>
    </w:p>
    <w:p w14:paraId="3BC55D1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(二)加强资金管理。</w:t>
      </w:r>
      <w:r>
        <w:rPr>
          <w:rFonts w:hint="default" w:ascii="仿宋" w:hAnsi="仿宋" w:eastAsia="仿宋" w:cs="仿宋"/>
          <w:snapToGrid/>
          <w:color w:val="000000"/>
          <w:spacing w:val="0"/>
          <w:kern w:val="0"/>
          <w:sz w:val="32"/>
          <w:szCs w:val="32"/>
          <w:vertAlign w:val="baseline"/>
          <w:lang w:val="en-US" w:eastAsia="zh-CN" w:bidi="ar"/>
        </w:rPr>
        <w:t>严格执行财务规定，项目资金严格按照“两部”相关规定，实行专款专用、专帐管理，严禁克扣和挪用。</w:t>
      </w:r>
    </w:p>
    <w:p w14:paraId="37C2758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(三)建立档案制度。</w:t>
      </w:r>
      <w:r>
        <w:rPr>
          <w:rFonts w:hint="default" w:ascii="仿宋" w:hAnsi="仿宋" w:eastAsia="仿宋" w:cs="仿宋"/>
          <w:snapToGrid/>
          <w:color w:val="000000"/>
          <w:spacing w:val="0"/>
          <w:kern w:val="0"/>
          <w:sz w:val="32"/>
          <w:szCs w:val="32"/>
          <w:vertAlign w:val="baseline"/>
          <w:lang w:val="en-US" w:eastAsia="zh-CN" w:bidi="ar"/>
        </w:rPr>
        <w:t>按照项目要求，做好相关资料的收集整理，完善有关数据资料，搞好档案管理，按要求做好保密工作。</w:t>
      </w:r>
    </w:p>
    <w:p w14:paraId="1D7D51A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四、项目绩效情况</w:t>
      </w:r>
      <w:r>
        <w:rPr>
          <w:rFonts w:hint="default" w:ascii="黑体" w:hAnsi="宋体" w:eastAsia="黑体" w:cs="黑体"/>
          <w:snapToGrid/>
          <w:color w:val="000000"/>
          <w:spacing w:val="0"/>
          <w:kern w:val="0"/>
          <w:sz w:val="32"/>
          <w:szCs w:val="32"/>
          <w:vertAlign w:val="baseline"/>
          <w:lang w:val="en-US" w:eastAsia="zh-CN" w:bidi="ar"/>
        </w:rPr>
        <w:tab/>
      </w:r>
    </w:p>
    <w:p w14:paraId="269E389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（一）项目完成情况。</w:t>
      </w:r>
    </w:p>
    <w:p w14:paraId="04ABAFC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粮改饲项目采取“先收贮后补助”的方式，用于种植饲用玉米为主的优质饲草料收贮补助，每收贮1吨补助75元/吨。目前已对37户适度规模以上肉牛羊养殖场户（合作社）、专业青贮饲料收贮企业等经营主体进行补助，完成数量为：粮改饲结构调整5033亩，收贮青贮玉米10064.64万吨。</w:t>
      </w:r>
    </w:p>
    <w:p w14:paraId="247A55A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（二）项目效益情况。</w:t>
      </w:r>
    </w:p>
    <w:p w14:paraId="522DA5C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1.社会效益。通过项目实施，保障了我区肉牛羊养殖优质饲草料来，增加了农户收入，提高了肉牛羊产品品质，大力促进了肉牛羊产业发展，力争全区全年出栏肉牛1.1万头，肉羊3.7万只上。</w:t>
      </w:r>
    </w:p>
    <w:p w14:paraId="2DB43BD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2.生态效益。一是促进牛羊养殖增产增效，减少出栏周期，降低饲养成本。二是促进种养结合循环发展，将牛羊粪便还田用于青贮饲料种植，减少化肥用量30%以上，减少了生态环境污染。三是对提高了土地资源利用效率、提升粮食安全保障能力、减轻粮食收储压力等方面具有重要作用。</w:t>
      </w:r>
    </w:p>
    <w:p w14:paraId="0E6837F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3.社会公众或服务对象满意度。通过该项目的实施，大大提升了养殖户的信心，社会公众对项目实施的满意度很高。</w:t>
      </w:r>
    </w:p>
    <w:p w14:paraId="237D683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五、评价结论及建议</w:t>
      </w:r>
    </w:p>
    <w:p w14:paraId="49AB404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（一）评价结论。</w:t>
      </w:r>
    </w:p>
    <w:p w14:paraId="5BF55A9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2024年粮改饲项目应拨付资金77.8万元，结余资金根据省厅安排将用于继续实施2025年粮改饲项目。资金拨付合规。自评得分97分。</w:t>
      </w:r>
    </w:p>
    <w:p w14:paraId="5A43663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（二）存在的问题。</w:t>
      </w:r>
    </w:p>
    <w:p w14:paraId="24AB894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一是初次实施此类项目，下达时间晚，时间紧迫，项目实施户准备不足；二是24年牛羊价格持续低迷，部分业主资金短缺缺乏信心，导致收贮量不足；三是由于近年来环保要求，我区养殖场户搬迁到远离河谷平地、交通要道，导致收储运输成本增高，部分业主积极性不高；四是今年收贮期玉米生长期遇到旱情，部分受灾严重，收储期出现阴雨连绵天气，未能很好把握收贮时机，延迟收贮，导致收贮量不足。</w:t>
      </w:r>
    </w:p>
    <w:p w14:paraId="5EA87BD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（三）相关建议。</w:t>
      </w:r>
    </w:p>
    <w:p w14:paraId="5C34CF8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无</w:t>
      </w:r>
    </w:p>
    <w:p w14:paraId="347BBFD8">
      <w:pPr>
        <w:pStyle w:val="24"/>
        <w:keepNext w:val="0"/>
        <w:keepLines w:val="0"/>
        <w:widowControl w:val="0"/>
        <w:suppressLineNumbers w:val="0"/>
        <w:kinsoku/>
        <w:autoSpaceDE w:val="0"/>
        <w:autoSpaceDN/>
        <w:adjustRightInd/>
        <w:snapToGrid w:val="0"/>
        <w:spacing w:before="0" w:beforeAutospacing="0" w:after="0" w:afterAutospacing="0"/>
        <w:ind w:left="0" w:right="0"/>
        <w:jc w:val="left"/>
        <w:textAlignment w:val="auto"/>
        <w:rPr>
          <w:rFonts w:hint="eastAsia" w:ascii="Calibri" w:hAnsi="Calibri" w:eastAsia="宋体" w:cs="Arial"/>
          <w:kern w:val="2"/>
          <w:sz w:val="18"/>
          <w:szCs w:val="18"/>
        </w:rPr>
      </w:pPr>
      <w:r>
        <w:rPr>
          <w:rFonts w:hint="eastAsia" w:ascii="Calibri" w:hAnsi="Calibri" w:eastAsia="宋体" w:cs="Arial"/>
          <w:snapToGrid/>
          <w:color w:val="auto"/>
          <w:kern w:val="2"/>
          <w:sz w:val="18"/>
          <w:szCs w:val="18"/>
          <w:lang w:val="en-US" w:eastAsia="zh-CN" w:bidi="ar"/>
        </w:rPr>
        <w:t xml:space="preserve"> </w:t>
      </w:r>
    </w:p>
    <w:p w14:paraId="5116FF13">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br w:type="page"/>
      </w:r>
    </w:p>
    <w:p w14:paraId="6ADED649">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snapToGrid/>
          <w:color w:val="000000"/>
          <w:kern w:val="0"/>
          <w:sz w:val="44"/>
          <w:szCs w:val="44"/>
          <w:lang w:val="en-US" w:eastAsia="zh-CN" w:bidi="ar"/>
        </w:rPr>
        <w:t>2024年养殖环节病死动物无害化处理</w:t>
      </w:r>
    </w:p>
    <w:p w14:paraId="2B44A1BD">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snapToGrid/>
          <w:color w:val="000000"/>
          <w:kern w:val="0"/>
          <w:sz w:val="44"/>
          <w:szCs w:val="44"/>
          <w:lang w:val="en-US" w:eastAsia="zh-CN" w:bidi="ar"/>
        </w:rPr>
        <w:t>专项预算绩效自评报告</w:t>
      </w:r>
    </w:p>
    <w:p w14:paraId="20A3025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 xml:space="preserve"> </w:t>
      </w:r>
    </w:p>
    <w:p w14:paraId="7F3CEFE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kern w:val="0"/>
          <w:sz w:val="32"/>
          <w:szCs w:val="32"/>
        </w:rPr>
      </w:pPr>
      <w:r>
        <w:rPr>
          <w:rFonts w:hint="default" w:ascii="黑体" w:hAnsi="宋体" w:eastAsia="黑体" w:cs="黑体"/>
          <w:snapToGrid/>
          <w:color w:val="000000"/>
          <w:kern w:val="0"/>
          <w:sz w:val="32"/>
          <w:szCs w:val="32"/>
          <w:lang w:val="en-US" w:eastAsia="zh-CN" w:bidi="ar"/>
        </w:rPr>
        <w:t>一、项目概况</w:t>
      </w:r>
    </w:p>
    <w:p w14:paraId="129E2D3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kern w:val="0"/>
          <w:sz w:val="32"/>
          <w:szCs w:val="32"/>
        </w:rPr>
      </w:pPr>
      <w:r>
        <w:rPr>
          <w:rFonts w:hint="default" w:ascii="楷体" w:hAnsi="楷体" w:eastAsia="楷体" w:cs="楷体"/>
          <w:snapToGrid/>
          <w:color w:val="000000"/>
          <w:kern w:val="0"/>
          <w:sz w:val="32"/>
          <w:szCs w:val="32"/>
          <w:lang w:val="en-US" w:eastAsia="zh-CN" w:bidi="ar"/>
        </w:rPr>
        <w:t>（一）设立背景及基本情况</w:t>
      </w:r>
    </w:p>
    <w:p w14:paraId="5E62771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根据《中华人民共和国动物防疫法》，加强病死畜禽及病害畜禽产品无害化处理管理，促进畜牧业高质量发展，保障公共卫生安全，适用于畜禽饲养、屠宰、经营、隔离、运输等过程中病死畜禽及病害畜禽产品。</w:t>
      </w:r>
    </w:p>
    <w:p w14:paraId="6202498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无害化处理，指消灭病死畜禽和病害畜禽产品携带的病原体，消除动物疫病传播风险的过程。应当进行无害化处理的畜禽及畜禽产品包括：1.染疫死亡、因病死亡或者死因不明的；2.经检疫不合格需要进行无害化处理的；3.因自然灾害、应激反应、物理挤压等因素死亡的；4.屠宰过程中经检疫或肉品品质检验确认为不可食用的；5.死胎、木乃伊胎、胎衣等；6.农业农村部规定的其他情形。病死畜禽及病害畜禽产品无害化处理以集中处理为主，自行处理为补充。鼓励结合地区实际开展跨区域收集处理。</w:t>
      </w:r>
    </w:p>
    <w:p w14:paraId="744EB1C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kern w:val="0"/>
          <w:sz w:val="32"/>
          <w:szCs w:val="32"/>
        </w:rPr>
      </w:pPr>
      <w:r>
        <w:rPr>
          <w:rFonts w:hint="default" w:ascii="楷体" w:hAnsi="楷体" w:eastAsia="楷体" w:cs="楷体"/>
          <w:snapToGrid/>
          <w:color w:val="000000"/>
          <w:kern w:val="0"/>
          <w:sz w:val="32"/>
          <w:szCs w:val="32"/>
          <w:lang w:val="en-US" w:eastAsia="zh-CN" w:bidi="ar"/>
        </w:rPr>
        <w:t>（二）实施目的及支持方向</w:t>
      </w:r>
    </w:p>
    <w:p w14:paraId="1DD1729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生猪产业稳定是农业安全的重要组成部分，直接关系到居民的生活水平，关系到农民收入与国计民生，关系到人民群众“舌尖上的安全”。近年来非洲猪瘟疫情频繁发生，生猪生产受到疫情影响，风险明显增加，养殖户更应该积极参保，降低养殖风险。在公共环境卫生和食品安全受到严重威胁情况下，加强病死动物无害化处理监督管理意义重大。</w:t>
      </w:r>
    </w:p>
    <w:p w14:paraId="4445E29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kern w:val="0"/>
          <w:sz w:val="32"/>
          <w:szCs w:val="32"/>
        </w:rPr>
      </w:pPr>
      <w:r>
        <w:rPr>
          <w:rFonts w:hint="default" w:ascii="楷体" w:hAnsi="楷体" w:eastAsia="楷体" w:cs="楷体"/>
          <w:snapToGrid/>
          <w:color w:val="000000"/>
          <w:kern w:val="0"/>
          <w:sz w:val="32"/>
          <w:szCs w:val="32"/>
          <w:lang w:val="en-US" w:eastAsia="zh-CN" w:bidi="ar"/>
        </w:rPr>
        <w:t>（三）预算安排及分配管理</w:t>
      </w:r>
    </w:p>
    <w:p w14:paraId="79A10E3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由区农业农村部门主管本行政区域内病死畜禽及病害畜禽产品无害化处理工作的部门负责对上一年的数据统计汇总，开展事先绩效评价、资金申请等工作后，按政策比例（中央财政承担60元/头，省、市、县区财政承担20元/头）列支，做到应补尽补。</w:t>
      </w:r>
    </w:p>
    <w:p w14:paraId="1527A74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kern w:val="0"/>
          <w:sz w:val="32"/>
          <w:szCs w:val="32"/>
        </w:rPr>
      </w:pPr>
      <w:r>
        <w:rPr>
          <w:rFonts w:hint="default" w:ascii="楷体" w:hAnsi="楷体" w:eastAsia="楷体" w:cs="楷体"/>
          <w:snapToGrid/>
          <w:color w:val="000000"/>
          <w:kern w:val="0"/>
          <w:sz w:val="32"/>
          <w:szCs w:val="32"/>
          <w:lang w:val="en-US" w:eastAsia="zh-CN" w:bidi="ar"/>
        </w:rPr>
        <w:t>（四）项目绩效目标设置</w:t>
      </w:r>
    </w:p>
    <w:p w14:paraId="3695609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为深入贯彻落实市政府办公室《关于印发建立病死畜禽集中无害化处理机制工作方案的通知》（广府办发〔2017〕60号）精神，明确病死畜禽集中无害化处理（以下简称“无害化处理”）政策，建立健全无害化处理机制，保障动物产品质量、公共卫生和生态环境安全，利州区农业农村部门主管本行政区域内病死畜禽及病害畜禽产品无害化处理工作。</w:t>
      </w:r>
    </w:p>
    <w:p w14:paraId="6F04BD9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kern w:val="0"/>
          <w:sz w:val="32"/>
          <w:szCs w:val="32"/>
        </w:rPr>
      </w:pPr>
      <w:r>
        <w:rPr>
          <w:rFonts w:hint="default" w:ascii="黑体" w:hAnsi="宋体" w:eastAsia="黑体" w:cs="黑体"/>
          <w:snapToGrid/>
          <w:color w:val="000000"/>
          <w:kern w:val="0"/>
          <w:sz w:val="32"/>
          <w:szCs w:val="32"/>
          <w:lang w:val="en-US" w:eastAsia="zh-CN" w:bidi="ar"/>
        </w:rPr>
        <w:t>二、评价实施</w:t>
      </w:r>
    </w:p>
    <w:p w14:paraId="1C6AB9C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kern w:val="0"/>
          <w:sz w:val="32"/>
          <w:szCs w:val="32"/>
        </w:rPr>
      </w:pPr>
      <w:r>
        <w:rPr>
          <w:rFonts w:hint="default" w:ascii="楷体" w:hAnsi="楷体" w:eastAsia="楷体" w:cs="楷体"/>
          <w:snapToGrid/>
          <w:color w:val="000000"/>
          <w:kern w:val="0"/>
          <w:sz w:val="32"/>
          <w:szCs w:val="32"/>
          <w:lang w:val="en-US" w:eastAsia="zh-CN" w:bidi="ar"/>
        </w:rPr>
        <w:t>（一）评价目的</w:t>
      </w:r>
    </w:p>
    <w:p w14:paraId="7BB2C50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通过绩效自评，能够更清楚的了解到该项目的实施情况，能够对我区的无害化处理工作以及养殖环节更深层次的认识，能直接联系到人民群众“舌尖上的安全”，对公共环境卫生和食品安全以及后续工作的开展有重要意义。</w:t>
      </w:r>
    </w:p>
    <w:p w14:paraId="795B511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kern w:val="0"/>
          <w:sz w:val="32"/>
          <w:szCs w:val="32"/>
        </w:rPr>
      </w:pPr>
      <w:r>
        <w:rPr>
          <w:rFonts w:hint="default" w:ascii="楷体" w:hAnsi="楷体" w:eastAsia="楷体" w:cs="楷体"/>
          <w:snapToGrid/>
          <w:color w:val="000000"/>
          <w:kern w:val="0"/>
          <w:sz w:val="32"/>
          <w:szCs w:val="32"/>
          <w:lang w:val="en-US" w:eastAsia="zh-CN" w:bidi="ar"/>
        </w:rPr>
        <w:t>（二）预设问题及评价重点</w:t>
      </w:r>
    </w:p>
    <w:p w14:paraId="5674226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1.资金保障方面</w:t>
      </w:r>
    </w:p>
    <w:p w14:paraId="0DEF37B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该项目实施没有单独的立项，是与“动物防疫经费”相关资金共同使用，而且按照政策比例，部分资金不能及时到位。</w:t>
      </w:r>
    </w:p>
    <w:p w14:paraId="7BA9342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2.预算使用效率提高措施及方案</w:t>
      </w:r>
    </w:p>
    <w:p w14:paraId="6E58A28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该项目实施过程较为流程化，并没有能够提高预算使用效率的措施及方案。</w:t>
      </w:r>
    </w:p>
    <w:p w14:paraId="734524E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3.平台操作方面</w:t>
      </w:r>
    </w:p>
    <w:p w14:paraId="4764A93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该项目资金发放是通过“一卡通”平台，但各乡镇、街道人事变动、交接不顺、业务不熟等多方面原因，会导致工作滞后。</w:t>
      </w:r>
    </w:p>
    <w:p w14:paraId="20E02D1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kern w:val="0"/>
          <w:sz w:val="32"/>
          <w:szCs w:val="32"/>
        </w:rPr>
      </w:pPr>
      <w:r>
        <w:rPr>
          <w:rFonts w:hint="default" w:ascii="楷体" w:hAnsi="楷体" w:eastAsia="楷体" w:cs="楷体"/>
          <w:snapToGrid/>
          <w:color w:val="000000"/>
          <w:kern w:val="0"/>
          <w:sz w:val="32"/>
          <w:szCs w:val="32"/>
          <w:lang w:val="en-US" w:eastAsia="zh-CN" w:bidi="ar"/>
        </w:rPr>
        <w:t>（三）评价选点</w:t>
      </w:r>
    </w:p>
    <w:p w14:paraId="48820CA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项目补助业主多为生猪养殖场户，2023年度共计补助养殖环节业主69户，按照评价选点要求，可推荐相关点位进行实地踏勘，见附表。</w:t>
      </w:r>
    </w:p>
    <w:p w14:paraId="35B4835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kern w:val="0"/>
          <w:sz w:val="32"/>
          <w:szCs w:val="32"/>
        </w:rPr>
      </w:pPr>
      <w:r>
        <w:rPr>
          <w:rFonts w:hint="default" w:ascii="楷体" w:hAnsi="楷体" w:eastAsia="楷体" w:cs="楷体"/>
          <w:snapToGrid/>
          <w:color w:val="000000"/>
          <w:kern w:val="0"/>
          <w:sz w:val="32"/>
          <w:szCs w:val="32"/>
          <w:lang w:val="en-US" w:eastAsia="zh-CN" w:bidi="ar"/>
        </w:rPr>
        <w:t>（四）评价方法</w:t>
      </w:r>
    </w:p>
    <w:p w14:paraId="1DE3F10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该项目实施主要是以单位自评和各乡镇、街道上报的月度表册为主。单位自评是我单位能对该项目的实施按照自评表进行准确评价；各养殖业主无害化处理资料完备。</w:t>
      </w:r>
    </w:p>
    <w:p w14:paraId="5AAE895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kern w:val="0"/>
          <w:sz w:val="32"/>
          <w:szCs w:val="32"/>
        </w:rPr>
      </w:pPr>
      <w:r>
        <w:rPr>
          <w:rFonts w:hint="default" w:ascii="楷体" w:hAnsi="楷体" w:eastAsia="楷体" w:cs="楷体"/>
          <w:snapToGrid/>
          <w:color w:val="000000"/>
          <w:kern w:val="0"/>
          <w:sz w:val="32"/>
          <w:szCs w:val="32"/>
          <w:lang w:val="en-US" w:eastAsia="zh-CN" w:bidi="ar"/>
        </w:rPr>
        <w:t>（五）评价组织</w:t>
      </w:r>
    </w:p>
    <w:p w14:paraId="49D90B6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评价主要由区农业农村局畜牧兽医执法中队负责。</w:t>
      </w:r>
    </w:p>
    <w:p w14:paraId="7339EED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kern w:val="0"/>
          <w:sz w:val="32"/>
          <w:szCs w:val="32"/>
        </w:rPr>
      </w:pPr>
      <w:r>
        <w:rPr>
          <w:rFonts w:hint="default" w:ascii="黑体" w:hAnsi="宋体" w:eastAsia="黑体" w:cs="黑体"/>
          <w:snapToGrid/>
          <w:color w:val="000000"/>
          <w:kern w:val="0"/>
          <w:sz w:val="32"/>
          <w:szCs w:val="32"/>
          <w:lang w:val="en-US" w:eastAsia="zh-CN" w:bidi="ar"/>
        </w:rPr>
        <w:t>三、绩效分析</w:t>
      </w:r>
    </w:p>
    <w:p w14:paraId="4903F4D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kern w:val="0"/>
          <w:sz w:val="32"/>
          <w:szCs w:val="32"/>
        </w:rPr>
      </w:pPr>
      <w:r>
        <w:rPr>
          <w:rFonts w:hint="default" w:ascii="楷体" w:hAnsi="楷体" w:eastAsia="楷体" w:cs="楷体"/>
          <w:snapToGrid/>
          <w:color w:val="000000"/>
          <w:kern w:val="0"/>
          <w:sz w:val="32"/>
          <w:szCs w:val="32"/>
          <w:lang w:val="en-US" w:eastAsia="zh-CN" w:bidi="ar"/>
        </w:rPr>
        <w:t>（一）通用指标绩效分析</w:t>
      </w:r>
    </w:p>
    <w:p w14:paraId="1E79C41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1．项目决策</w:t>
      </w:r>
    </w:p>
    <w:p w14:paraId="799664D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该项目主要以《关于印发建立病死畜禽集中无害化处理机制工作方案的通知》（广府办发〔2017〕60号）及《关于进一步加强病死畜禽无害化处理工作的通知》（农牧发〔2020〕6号）文件做支撑，以全区所有的养殖业主作为补助对象，资金按照政策比例合理列支，经申报、统计、审核后，通过“一卡通”平台发放。</w:t>
      </w:r>
    </w:p>
    <w:p w14:paraId="4B04571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2．项目管理及实施</w:t>
      </w:r>
    </w:p>
    <w:p w14:paraId="4709B5A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该项目实施过程严格按照各项文件要求执行。</w:t>
      </w:r>
    </w:p>
    <w:p w14:paraId="2D9A927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3.项目结果</w:t>
      </w:r>
    </w:p>
    <w:p w14:paraId="1ACE839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2023年度我区养殖环节共计补助1625头，且补助资金已全额发放到位。</w:t>
      </w:r>
    </w:p>
    <w:p w14:paraId="24CFBE2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kern w:val="0"/>
          <w:sz w:val="32"/>
          <w:szCs w:val="32"/>
        </w:rPr>
      </w:pPr>
      <w:r>
        <w:rPr>
          <w:rFonts w:hint="default" w:ascii="楷体" w:hAnsi="楷体" w:eastAsia="楷体" w:cs="楷体"/>
          <w:snapToGrid/>
          <w:color w:val="000000"/>
          <w:kern w:val="0"/>
          <w:sz w:val="32"/>
          <w:szCs w:val="32"/>
          <w:lang w:val="en-US" w:eastAsia="zh-CN" w:bidi="ar"/>
        </w:rPr>
        <w:t>（二）专用指标绩效分析</w:t>
      </w:r>
    </w:p>
    <w:p w14:paraId="1D93C5F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1.保障食品安全</w:t>
      </w:r>
    </w:p>
    <w:p w14:paraId="6A02BD4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rPr>
      </w:pPr>
      <w:r>
        <w:rPr>
          <w:rFonts w:hint="default" w:ascii="仿宋" w:hAnsi="仿宋" w:eastAsia="仿宋" w:cs="仿宋"/>
          <w:snapToGrid/>
          <w:color w:val="000000"/>
          <w:spacing w:val="0"/>
          <w:kern w:val="0"/>
          <w:sz w:val="32"/>
          <w:szCs w:val="32"/>
          <w:lang w:val="en-US" w:eastAsia="zh-CN" w:bidi="ar"/>
        </w:rPr>
        <w:t>生猪无害化处理的首要意义在于保障食品安全。病死猪如果未经处理直接进入市场，会对人体健康造成严重威胁。不仅损害了消费者的健康，也影响了社会的信任。因此，无害化处理能够有效防止病死猪进入食品供应链，保障消费者的饮食安全。‌</w:t>
      </w:r>
    </w:p>
    <w:p w14:paraId="6DAC16B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2.疫病防控</w:t>
      </w:r>
    </w:p>
    <w:p w14:paraId="217DA47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rPr>
      </w:pPr>
      <w:r>
        <w:rPr>
          <w:rFonts w:hint="default" w:ascii="仿宋" w:hAnsi="仿宋" w:eastAsia="仿宋" w:cs="仿宋"/>
          <w:snapToGrid/>
          <w:color w:val="000000"/>
          <w:spacing w:val="0"/>
          <w:kern w:val="0"/>
          <w:sz w:val="32"/>
          <w:szCs w:val="32"/>
          <w:lang w:val="en-US" w:eastAsia="zh-CN" w:bidi="ar"/>
        </w:rPr>
        <w:t>在疫病防控方面，生猪无害化处理至关重要。高密度的楼房养猪模式虽然提高了饲养效率和土地利用率，但也增加了疫病传播的风险。一旦发生疫情，及时、有效的无害化处理可以防止疫病扩散，保护其他健康猪只免受感染。特别是在非洲猪瘟等重大疫情面前，无害化处理成为控制疫情传播的有效手段。‌</w:t>
      </w:r>
    </w:p>
    <w:p w14:paraId="7C361F8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3.环境保护</w:t>
      </w:r>
    </w:p>
    <w:p w14:paraId="4BEF986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rPr>
      </w:pPr>
      <w:r>
        <w:rPr>
          <w:rFonts w:hint="default" w:ascii="仿宋" w:hAnsi="仿宋" w:eastAsia="仿宋" w:cs="仿宋"/>
          <w:snapToGrid/>
          <w:color w:val="000000"/>
          <w:spacing w:val="0"/>
          <w:kern w:val="0"/>
          <w:sz w:val="32"/>
          <w:szCs w:val="32"/>
          <w:lang w:val="en-US" w:eastAsia="zh-CN" w:bidi="ar"/>
        </w:rPr>
        <w:t>生猪无害化处理还有助于环境保护。病死猪如果不进行无害化处理，随意丢弃会导致环境污染，影响水源、空气和土壤。无害化处理可以消除病原体，减少对环境的污染，保护生态环境。‌</w:t>
      </w:r>
    </w:p>
    <w:p w14:paraId="58BA688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kern w:val="0"/>
          <w:sz w:val="32"/>
          <w:szCs w:val="32"/>
        </w:rPr>
      </w:pPr>
      <w:r>
        <w:rPr>
          <w:rFonts w:hint="default" w:ascii="黑体" w:hAnsi="宋体" w:eastAsia="黑体" w:cs="黑体"/>
          <w:snapToGrid/>
          <w:color w:val="000000"/>
          <w:kern w:val="0"/>
          <w:sz w:val="32"/>
          <w:szCs w:val="32"/>
          <w:lang w:val="en-US" w:eastAsia="zh-CN" w:bidi="ar"/>
        </w:rPr>
        <w:t>四、评价结论</w:t>
      </w:r>
    </w:p>
    <w:p w14:paraId="6F2E197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按照自评表相关要求，本次自评结果为98分（总分100分）。</w:t>
      </w:r>
    </w:p>
    <w:p w14:paraId="1F6A91C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kern w:val="0"/>
          <w:sz w:val="32"/>
          <w:szCs w:val="32"/>
        </w:rPr>
      </w:pPr>
      <w:r>
        <w:rPr>
          <w:rFonts w:hint="default" w:ascii="黑体" w:hAnsi="宋体" w:eastAsia="黑体" w:cs="黑体"/>
          <w:snapToGrid/>
          <w:color w:val="000000"/>
          <w:kern w:val="0"/>
          <w:sz w:val="32"/>
          <w:szCs w:val="32"/>
          <w:lang w:val="en-US" w:eastAsia="zh-CN" w:bidi="ar"/>
        </w:rPr>
        <w:t>五、存在主要问题</w:t>
      </w:r>
    </w:p>
    <w:p w14:paraId="5FEAD98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1.部分养殖散户在无害化处理过程中会存在操作不规范等问题。</w:t>
      </w:r>
    </w:p>
    <w:p w14:paraId="178FB9A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2.部分养殖场（厂），因场区内建有自主无害化处理设施，专业集中的无害化处理情况较少。</w:t>
      </w:r>
    </w:p>
    <w:p w14:paraId="10E4D50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kern w:val="0"/>
          <w:sz w:val="32"/>
          <w:szCs w:val="32"/>
        </w:rPr>
      </w:pPr>
      <w:r>
        <w:rPr>
          <w:rFonts w:hint="default" w:ascii="黑体" w:hAnsi="宋体" w:eastAsia="黑体" w:cs="黑体"/>
          <w:snapToGrid/>
          <w:color w:val="000000"/>
          <w:kern w:val="0"/>
          <w:sz w:val="32"/>
          <w:szCs w:val="32"/>
          <w:lang w:val="en-US" w:eastAsia="zh-CN" w:bidi="ar"/>
        </w:rPr>
        <w:t>六、改进建议</w:t>
      </w:r>
    </w:p>
    <w:p w14:paraId="5408C75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rPr>
      </w:pPr>
      <w:r>
        <w:rPr>
          <w:rFonts w:hint="default" w:ascii="仿宋" w:hAnsi="仿宋" w:eastAsia="仿宋" w:cs="仿宋"/>
          <w:snapToGrid/>
          <w:color w:val="000000"/>
          <w:spacing w:val="0"/>
          <w:kern w:val="0"/>
          <w:sz w:val="32"/>
          <w:szCs w:val="32"/>
          <w:lang w:val="en-US" w:eastAsia="zh-CN" w:bidi="ar"/>
        </w:rPr>
        <w:t>1.以广元市朗坤环保有限公司（无害化处理企业）为依托，进一步规范养殖散户的无害化处理技术流程，加强对养殖场（厂）的宣传指导，持续推动我区病死畜禽无害化处理工作。</w:t>
      </w:r>
    </w:p>
    <w:p w14:paraId="4DC286A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rPr>
      </w:pPr>
      <w:r>
        <w:rPr>
          <w:rFonts w:hint="default" w:ascii="仿宋" w:hAnsi="仿宋" w:eastAsia="仿宋" w:cs="仿宋"/>
          <w:snapToGrid/>
          <w:color w:val="000000"/>
          <w:spacing w:val="0"/>
          <w:kern w:val="0"/>
          <w:sz w:val="32"/>
          <w:szCs w:val="32"/>
          <w:lang w:val="en-US" w:eastAsia="zh-CN" w:bidi="ar"/>
        </w:rPr>
        <w:t>2.结合我区实际，因地制宜地推动区域性无害化集中处理收集站点建设，进一步提高全区专业性无害化处理占比。</w:t>
      </w:r>
    </w:p>
    <w:p w14:paraId="4510BB8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rPr>
      </w:pPr>
      <w:r>
        <w:rPr>
          <w:rFonts w:hint="default" w:ascii="仿宋" w:hAnsi="仿宋" w:eastAsia="仿宋" w:cs="仿宋"/>
          <w:snapToGrid/>
          <w:color w:val="000000"/>
          <w:spacing w:val="0"/>
          <w:kern w:val="0"/>
          <w:sz w:val="32"/>
          <w:szCs w:val="32"/>
          <w:lang w:val="en-US" w:eastAsia="zh-CN" w:bidi="ar"/>
        </w:rPr>
        <w:t xml:space="preserve"> </w:t>
      </w:r>
    </w:p>
    <w:p w14:paraId="40AA9EDB">
      <w:pPr>
        <w:pStyle w:val="24"/>
        <w:keepNext w:val="0"/>
        <w:keepLines w:val="0"/>
        <w:widowControl w:val="0"/>
        <w:suppressLineNumbers w:val="0"/>
        <w:kinsoku w:val="0"/>
        <w:wordWrap w:val="0"/>
        <w:autoSpaceDE w:val="0"/>
        <w:autoSpaceDN/>
        <w:adjustRightInd w:val="0"/>
        <w:snapToGrid w:val="0"/>
        <w:spacing w:before="0" w:beforeAutospacing="0" w:after="0" w:afterAutospacing="0" w:line="576" w:lineRule="exact"/>
        <w:ind w:left="0" w:right="0" w:firstLine="420" w:firstLineChars="200"/>
        <w:jc w:val="right"/>
        <w:textAlignment w:val="baseline"/>
        <w:rPr>
          <w:rFonts w:hint="default" w:ascii="等线" w:hAnsi="等线" w:eastAsia="等线" w:cs="Arial"/>
          <w:strike/>
          <w:dstrike w:val="0"/>
          <w:color w:val="000000"/>
          <w:kern w:val="0"/>
          <w:sz w:val="21"/>
          <w:szCs w:val="21"/>
        </w:rPr>
      </w:pPr>
      <w:r>
        <w:rPr>
          <w:rFonts w:hint="default" w:ascii="等线" w:hAnsi="等线" w:eastAsia="等线" w:cs="Arial"/>
          <w:strike/>
          <w:dstrike w:val="0"/>
          <w:snapToGrid/>
          <w:color w:val="000000"/>
          <w:kern w:val="0"/>
          <w:sz w:val="21"/>
          <w:szCs w:val="21"/>
          <w:lang w:val="en-US" w:eastAsia="zh-CN" w:bidi="ar"/>
        </w:rPr>
        <w:t xml:space="preserve"> </w:t>
      </w:r>
    </w:p>
    <w:p w14:paraId="02AD72B0">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br w:type="page"/>
      </w:r>
    </w:p>
    <w:p w14:paraId="2FB1688F">
      <w:pPr>
        <w:pStyle w:val="24"/>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color w:val="000000"/>
          <w:spacing w:val="0"/>
          <w:kern w:val="0"/>
          <w:sz w:val="44"/>
          <w:szCs w:val="44"/>
          <w:vertAlign w:val="baseline"/>
        </w:rPr>
      </w:pPr>
      <w:r>
        <w:rPr>
          <w:rFonts w:hint="eastAsia" w:ascii="方正小标宋简体" w:hAnsi="方正小标宋简体" w:eastAsia="方正小标宋简体" w:cs="方正小标宋简体"/>
          <w:snapToGrid/>
          <w:color w:val="000000"/>
          <w:spacing w:val="0"/>
          <w:kern w:val="0"/>
          <w:sz w:val="44"/>
          <w:szCs w:val="44"/>
          <w:vertAlign w:val="baseline"/>
          <w:lang w:val="en-US" w:eastAsia="zh-CN" w:bidi="ar"/>
        </w:rPr>
        <w:t>关于广元市利州区2024年农村厕所革命</w:t>
      </w:r>
    </w:p>
    <w:p w14:paraId="2DFEB290">
      <w:pPr>
        <w:pStyle w:val="24"/>
        <w:keepNext w:val="0"/>
        <w:keepLines w:val="0"/>
        <w:widowControl w:val="0"/>
        <w:suppressLineNumbers w:val="0"/>
        <w:kinsoku w:val="0"/>
        <w:autoSpaceDE w:val="0"/>
        <w:autoSpaceDN w:val="0"/>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color w:val="000000"/>
          <w:spacing w:val="0"/>
          <w:kern w:val="0"/>
          <w:sz w:val="44"/>
          <w:szCs w:val="44"/>
          <w:vertAlign w:val="baseline"/>
        </w:rPr>
      </w:pPr>
      <w:r>
        <w:rPr>
          <w:rFonts w:hint="eastAsia" w:ascii="方正小标宋简体" w:hAnsi="方正小标宋简体" w:eastAsia="方正小标宋简体" w:cs="方正小标宋简体"/>
          <w:snapToGrid/>
          <w:color w:val="000000"/>
          <w:spacing w:val="0"/>
          <w:kern w:val="0"/>
          <w:sz w:val="44"/>
          <w:szCs w:val="44"/>
          <w:vertAlign w:val="baseline"/>
          <w:lang w:val="en-US" w:eastAsia="zh-CN" w:bidi="ar"/>
        </w:rPr>
        <w:t>整村推进项目绩效自评报告</w:t>
      </w:r>
    </w:p>
    <w:p w14:paraId="25310355">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 xml:space="preserve"> </w:t>
      </w:r>
    </w:p>
    <w:p w14:paraId="3EF2B94A">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一、项目概况</w:t>
      </w:r>
    </w:p>
    <w:p w14:paraId="38A9A0BD">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left"/>
        <w:textAlignment w:val="baseline"/>
        <w:rPr>
          <w:rFonts w:hint="default" w:ascii="楷体" w:hAnsi="楷体" w:eastAsia="楷体" w:cs="楷体"/>
          <w:spacing w:val="0"/>
          <w:kern w:val="0"/>
          <w:sz w:val="32"/>
          <w:szCs w:val="32"/>
        </w:rPr>
      </w:pPr>
      <w:r>
        <w:rPr>
          <w:rFonts w:hint="default" w:ascii="楷体" w:hAnsi="楷体" w:eastAsia="楷体" w:cs="楷体"/>
          <w:snapToGrid/>
          <w:color w:val="000000"/>
          <w:spacing w:val="0"/>
          <w:kern w:val="0"/>
          <w:sz w:val="32"/>
          <w:szCs w:val="32"/>
          <w:lang w:val="en-US" w:eastAsia="zh-CN" w:bidi="ar"/>
        </w:rPr>
        <w:t>（一）设立背景及基本情况</w:t>
      </w:r>
    </w:p>
    <w:p w14:paraId="4D15AD40">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spacing w:val="0"/>
          <w:kern w:val="0"/>
          <w:sz w:val="32"/>
          <w:szCs w:val="32"/>
        </w:rPr>
      </w:pPr>
      <w:r>
        <w:rPr>
          <w:rFonts w:hint="default" w:ascii="仿宋" w:hAnsi="仿宋" w:eastAsia="仿宋" w:cs="仿宋"/>
          <w:snapToGrid/>
          <w:color w:val="000000"/>
          <w:spacing w:val="0"/>
          <w:kern w:val="0"/>
          <w:sz w:val="32"/>
          <w:szCs w:val="32"/>
          <w:lang w:val="en-US" w:eastAsia="zh-CN" w:bidi="ar"/>
        </w:rPr>
        <w:t>为深入贯彻落实习近平总书记关于“厕所革命”的重要指示精神，根据农业农村厅、省财政厅《关于做好2024年农村厕所革命整村推进项目建设的通知》（川农函〔2024〕355号）和市财政局、市农业农村局《关于下达2024年中央财政土地指标跨省域调剂收入安排的支出预算的通知》（广财农〔2024〕48号）的要求，推进乡村规划，改善乡村基础建设，建设生态宜居美丽乡村。</w:t>
      </w:r>
    </w:p>
    <w:p w14:paraId="70CF5600">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left"/>
        <w:textAlignment w:val="baseline"/>
        <w:rPr>
          <w:rFonts w:hint="default" w:ascii="楷体" w:hAnsi="楷体" w:eastAsia="楷体" w:cs="楷体"/>
          <w:spacing w:val="0"/>
          <w:kern w:val="0"/>
          <w:sz w:val="32"/>
          <w:szCs w:val="32"/>
        </w:rPr>
      </w:pPr>
      <w:r>
        <w:rPr>
          <w:rFonts w:hint="default" w:ascii="楷体" w:hAnsi="楷体" w:eastAsia="楷体" w:cs="楷体"/>
          <w:snapToGrid/>
          <w:color w:val="000000"/>
          <w:spacing w:val="0"/>
          <w:kern w:val="0"/>
          <w:sz w:val="32"/>
          <w:szCs w:val="32"/>
          <w:lang w:val="en-US" w:eastAsia="zh-CN" w:bidi="ar"/>
        </w:rPr>
        <w:t>（二）实施目的及支持方向</w:t>
      </w:r>
    </w:p>
    <w:p w14:paraId="3195AFF2">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完成整村推进示范村1个（三堆镇羊盘村），整村推进示范村卫生厕所普及率达到90%以上，厕所粪污无害化处理率达到90%以上，全区完成改厕500户，改厕设施合格率达到95%以上。</w:t>
      </w:r>
    </w:p>
    <w:p w14:paraId="0E5A9BCA">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spacing w:val="0"/>
          <w:kern w:val="0"/>
          <w:sz w:val="32"/>
          <w:szCs w:val="32"/>
        </w:rPr>
      </w:pPr>
      <w:r>
        <w:rPr>
          <w:rFonts w:hint="default" w:ascii="楷体" w:hAnsi="楷体" w:eastAsia="楷体" w:cs="楷体"/>
          <w:snapToGrid/>
          <w:color w:val="000000"/>
          <w:spacing w:val="0"/>
          <w:kern w:val="0"/>
          <w:sz w:val="32"/>
          <w:szCs w:val="32"/>
          <w:lang w:val="en-US" w:eastAsia="zh-CN" w:bidi="ar"/>
        </w:rPr>
        <w:t>（三）预算安排及分配管理</w:t>
      </w:r>
    </w:p>
    <w:p w14:paraId="6A2DCF0C">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spacing w:val="0"/>
          <w:kern w:val="0"/>
          <w:sz w:val="32"/>
          <w:szCs w:val="32"/>
        </w:rPr>
      </w:pPr>
      <w:r>
        <w:rPr>
          <w:rFonts w:hint="default" w:ascii="仿宋" w:hAnsi="仿宋" w:eastAsia="仿宋" w:cs="仿宋"/>
          <w:snapToGrid/>
          <w:color w:val="000000"/>
          <w:spacing w:val="0"/>
          <w:kern w:val="0"/>
          <w:sz w:val="32"/>
          <w:szCs w:val="32"/>
          <w:lang w:val="en-US" w:eastAsia="zh-CN" w:bidi="ar"/>
        </w:rPr>
        <w:t>市财政局、市乡村振兴局《关于下达2024年中央财政土地指标跨省域调剂收入安排的支出预算的通知》（广财农〔2024〕48号），明确我区支持农村“厕所革命”整村推进财政奖补资金78万元。</w:t>
      </w:r>
    </w:p>
    <w:p w14:paraId="7843573E">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left"/>
        <w:textAlignment w:val="baseline"/>
        <w:rPr>
          <w:rFonts w:hint="default" w:ascii="楷体" w:hAnsi="楷体" w:eastAsia="楷体" w:cs="楷体"/>
          <w:spacing w:val="0"/>
          <w:kern w:val="0"/>
          <w:sz w:val="32"/>
          <w:szCs w:val="32"/>
        </w:rPr>
      </w:pPr>
      <w:r>
        <w:rPr>
          <w:rFonts w:hint="default" w:ascii="楷体" w:hAnsi="楷体" w:eastAsia="楷体" w:cs="楷体"/>
          <w:snapToGrid/>
          <w:color w:val="000000"/>
          <w:spacing w:val="0"/>
          <w:kern w:val="0"/>
          <w:sz w:val="32"/>
          <w:szCs w:val="32"/>
          <w:lang w:val="en-US" w:eastAsia="zh-CN" w:bidi="ar"/>
        </w:rPr>
        <w:t>（四）项目绩效目标设置</w:t>
      </w:r>
    </w:p>
    <w:p w14:paraId="04F61B12">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2024年完成整村推进示范村1个，整村推进示范村卫生厕所普及率达到90%以上，厕所粪污无害化处理率达到90%以上，全区完成改厕500户，改厕设施合格率达到95%以上。</w:t>
      </w:r>
    </w:p>
    <w:p w14:paraId="348BB793">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二、评价实施</w:t>
      </w:r>
    </w:p>
    <w:p w14:paraId="68C7E258">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（一）评价目的。</w:t>
      </w:r>
      <w:r>
        <w:rPr>
          <w:rFonts w:hint="default" w:ascii="仿宋" w:hAnsi="仿宋" w:eastAsia="仿宋" w:cs="仿宋"/>
          <w:snapToGrid/>
          <w:color w:val="000000"/>
          <w:spacing w:val="0"/>
          <w:kern w:val="0"/>
          <w:sz w:val="32"/>
          <w:szCs w:val="32"/>
          <w:vertAlign w:val="baseline"/>
          <w:lang w:val="en-US" w:eastAsia="zh-CN" w:bidi="ar"/>
        </w:rPr>
        <w:t>确保项目资金规范使用、建设任务全面完成，实现乡村振兴“产业兴旺、生态宜居、乡风文明、治理有效、生活富裕”总要求</w:t>
      </w:r>
      <w:r>
        <w:rPr>
          <w:rFonts w:hint="default" w:ascii="仿宋" w:hAnsi="仿宋" w:eastAsia="仿宋" w:cs="仿宋"/>
          <w:snapToGrid/>
          <w:color w:val="000000"/>
          <w:spacing w:val="0"/>
          <w:kern w:val="0"/>
          <w:sz w:val="32"/>
          <w:szCs w:val="32"/>
          <w:shd w:val="clear" w:fill="FFFFFF"/>
          <w:vertAlign w:val="baseline"/>
          <w:lang w:val="en-US" w:eastAsia="zh-CN" w:bidi="ar"/>
        </w:rPr>
        <w:t>。</w:t>
      </w:r>
    </w:p>
    <w:p w14:paraId="31381D3D">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（二）预设问题及评价重点。</w:t>
      </w:r>
      <w:r>
        <w:rPr>
          <w:rFonts w:hint="default" w:ascii="仿宋" w:hAnsi="仿宋" w:eastAsia="仿宋" w:cs="仿宋"/>
          <w:snapToGrid/>
          <w:color w:val="000000"/>
          <w:spacing w:val="0"/>
          <w:kern w:val="0"/>
          <w:sz w:val="32"/>
          <w:szCs w:val="32"/>
          <w:vertAlign w:val="baseline"/>
          <w:lang w:val="en-US" w:eastAsia="zh-CN" w:bidi="ar"/>
        </w:rPr>
        <w:t>重点核查资金拨付进度、工程实施质量、绩效目标达成情况，</w:t>
      </w:r>
      <w:r>
        <w:rPr>
          <w:rFonts w:hint="default" w:ascii="仿宋" w:hAnsi="仿宋" w:eastAsia="仿宋" w:cs="仿宋"/>
          <w:snapToGrid/>
          <w:color w:val="000000"/>
          <w:spacing w:val="0"/>
          <w:kern w:val="0"/>
          <w:sz w:val="32"/>
          <w:szCs w:val="32"/>
          <w:shd w:val="clear" w:fill="FFFFFF"/>
          <w:vertAlign w:val="baseline"/>
          <w:lang w:val="en-US" w:eastAsia="zh-CN" w:bidi="ar"/>
        </w:rPr>
        <w:t>改善乡村人居环境的卫生条件，提升乡村人居生活质量，助力乡村振兴战略实施。</w:t>
      </w:r>
    </w:p>
    <w:p w14:paraId="7BEF4DB4">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（三）评价选点。</w:t>
      </w:r>
      <w:r>
        <w:rPr>
          <w:rFonts w:hint="default" w:ascii="仿宋" w:hAnsi="仿宋" w:eastAsia="仿宋" w:cs="仿宋"/>
          <w:snapToGrid/>
          <w:color w:val="000000"/>
          <w:spacing w:val="0"/>
          <w:kern w:val="0"/>
          <w:sz w:val="32"/>
          <w:szCs w:val="32"/>
          <w:vertAlign w:val="baseline"/>
          <w:lang w:val="en-US" w:eastAsia="zh-CN" w:bidi="ar"/>
        </w:rPr>
        <w:t>本项目投资总额78万元，全部用于广元市利州区农村无害化卫生厕所新（改）建项目，重点选取荣山镇、龙潭乡、三堆镇3个点位进行实地踏勘，且把点位清单应作为自评附表。</w:t>
      </w:r>
    </w:p>
    <w:p w14:paraId="4A8640B7">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（四）评价方法。</w:t>
      </w:r>
      <w:r>
        <w:rPr>
          <w:rFonts w:hint="default" w:ascii="仿宋" w:hAnsi="仿宋" w:eastAsia="仿宋" w:cs="仿宋"/>
          <w:b w:val="0"/>
          <w:bCs/>
          <w:snapToGrid/>
          <w:color w:val="000000"/>
          <w:spacing w:val="0"/>
          <w:kern w:val="0"/>
          <w:sz w:val="32"/>
          <w:szCs w:val="32"/>
          <w:vertAlign w:val="baseline"/>
          <w:lang w:val="en-US" w:eastAsia="zh-CN" w:bidi="ar"/>
        </w:rPr>
        <w:t>采用实地勘察法和问卷调查法。</w:t>
      </w:r>
    </w:p>
    <w:p w14:paraId="73CF6570">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（五）评价组织。</w:t>
      </w:r>
      <w:r>
        <w:rPr>
          <w:rFonts w:hint="default" w:ascii="仿宋" w:hAnsi="仿宋" w:eastAsia="仿宋" w:cs="仿宋"/>
          <w:snapToGrid/>
          <w:color w:val="000000"/>
          <w:spacing w:val="0"/>
          <w:kern w:val="0"/>
          <w:sz w:val="32"/>
          <w:szCs w:val="32"/>
          <w:vertAlign w:val="baseline"/>
          <w:lang w:val="en-US" w:eastAsia="zh-CN" w:bidi="ar"/>
        </w:rPr>
        <w:t>由项目所涉乡镇（街道）农业综合服务中心工作人员、乡村建设和农村社会治理工作人员等组成评价组人员。乡镇（街道）农业综合服务中心工作人员对辖区内实施项目的农户按照3%开展问卷调查的方式对项目进行评价；乡村建设和农村社会治理工作人员结所实施农户按照2%的比例进行抽查开展问卷调查评价。</w:t>
      </w:r>
    </w:p>
    <w:p w14:paraId="756E7160">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三、绩效分析</w:t>
      </w:r>
    </w:p>
    <w:p w14:paraId="4D7FE2E3">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left"/>
        <w:textAlignment w:val="baseline"/>
        <w:rPr>
          <w:rFonts w:hint="default" w:ascii="楷体" w:hAnsi="楷体" w:eastAsia="楷体" w:cs="楷体"/>
          <w:spacing w:val="0"/>
          <w:kern w:val="0"/>
          <w:sz w:val="32"/>
          <w:szCs w:val="32"/>
        </w:rPr>
      </w:pPr>
      <w:r>
        <w:rPr>
          <w:rFonts w:hint="default" w:ascii="楷体" w:hAnsi="楷体" w:eastAsia="楷体" w:cs="楷体"/>
          <w:snapToGrid/>
          <w:color w:val="000000"/>
          <w:spacing w:val="0"/>
          <w:kern w:val="0"/>
          <w:sz w:val="32"/>
          <w:szCs w:val="32"/>
          <w:lang w:val="en-US" w:eastAsia="zh-CN" w:bidi="ar"/>
        </w:rPr>
        <w:t>（一）通用指标绩效分析</w:t>
      </w:r>
    </w:p>
    <w:p w14:paraId="6A62A0B4">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1.项目决策。项目设立、调整延续等方面符合资金管理基本规范和决策程序要求，绩效目标设置科学合理。属于政府支持范围，且符合财政事权支出责任划分规定，资金投向与项目总体规划、相关行业事业发展相匹配，聚焦重大任务、重点领域、重点环节和重点项目，体现“集中财力办大事”原则，未与其他同类项目或部门内部相关项目交叉重复。</w:t>
      </w:r>
    </w:p>
    <w:p w14:paraId="4253524B">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2.项目管理。区农业农村部门承担全区农村“厕所革命”牵头揽总责任，主要负责督促检查、推动落实、考核验收等日常工作。各乡镇（街道）承担农村“厕所革命”建设工作主体责任，乡镇（街道）党（工）委书记作为第一责任人，要切实加强农村“厕所革命”工作组织领导，认真研究农村“厕所革命”推进举措，并抓好工作落实。</w:t>
      </w:r>
    </w:p>
    <w:p w14:paraId="6EA341DF">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3.项目实施。项目资金使用、拨付符合国家财经法规、财务管理制度及有关专项资金管理制度办法规定和审批程序，不存在超范围、超标准、超进度使用专项资金，不存在资金损失浪费、长期沉淀、截留、挤占、挪用、虚列支出等情况，项目实施遵守相关法律法规。</w:t>
      </w:r>
    </w:p>
    <w:p w14:paraId="0A739108">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4.项目结果。全面完成1个整村推进示范村建设和新（改）建500户无害化卫生厕所，项目完工率100%；改厕设施合格率达到95%以上，示范村无害化卫生厕所普及率达到96.62%，示范村厕所粪污无害化处理率达到95.7%。</w:t>
      </w:r>
    </w:p>
    <w:p w14:paraId="42D916C4">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left"/>
        <w:textAlignment w:val="baseline"/>
        <w:rPr>
          <w:rFonts w:hint="default" w:ascii="楷体" w:hAnsi="楷体" w:eastAsia="楷体" w:cs="楷体"/>
          <w:spacing w:val="0"/>
          <w:kern w:val="0"/>
          <w:sz w:val="32"/>
          <w:szCs w:val="32"/>
        </w:rPr>
      </w:pPr>
      <w:r>
        <w:rPr>
          <w:rFonts w:hint="default" w:ascii="楷体" w:hAnsi="楷体" w:eastAsia="楷体" w:cs="楷体"/>
          <w:snapToGrid/>
          <w:color w:val="000000"/>
          <w:spacing w:val="0"/>
          <w:kern w:val="0"/>
          <w:sz w:val="32"/>
          <w:szCs w:val="32"/>
          <w:lang w:val="en-US" w:eastAsia="zh-CN" w:bidi="ar"/>
        </w:rPr>
        <w:t>（二）专用指标绩效分析</w:t>
      </w:r>
    </w:p>
    <w:p w14:paraId="48820852">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1.基础设施类。</w:t>
      </w:r>
      <w:r>
        <w:rPr>
          <w:rFonts w:hint="default" w:ascii="仿宋" w:hAnsi="仿宋" w:eastAsia="仿宋" w:cs="仿宋"/>
          <w:b w:val="0"/>
          <w:bCs w:val="0"/>
          <w:snapToGrid/>
          <w:color w:val="000000"/>
          <w:spacing w:val="0"/>
          <w:kern w:val="0"/>
          <w:sz w:val="32"/>
          <w:szCs w:val="32"/>
          <w:vertAlign w:val="baseline"/>
          <w:lang w:val="en-US" w:eastAsia="zh-CN" w:bidi="ar"/>
        </w:rPr>
        <w:t>村民生活环境、生活质量、物质文明和精神文明得到协调发展，村级组织建设和社会事业的发展得到进一步巩固，村容村貌整体形象得到进一步提升，农民群众的幸福感、获得感不断增强，促使群众更加由衷地听党话、跟党走、感党恩。</w:t>
      </w:r>
    </w:p>
    <w:p w14:paraId="5A205A99">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left"/>
        <w:textAlignment w:val="baseline"/>
        <w:rPr>
          <w:rFonts w:hint="default" w:ascii="楷体" w:hAnsi="楷体" w:eastAsia="楷体" w:cs="楷体"/>
          <w:spacing w:val="0"/>
          <w:kern w:val="0"/>
          <w:sz w:val="32"/>
          <w:szCs w:val="32"/>
        </w:rPr>
      </w:pPr>
      <w:r>
        <w:rPr>
          <w:rFonts w:hint="default" w:ascii="楷体" w:hAnsi="楷体" w:eastAsia="楷体" w:cs="楷体"/>
          <w:snapToGrid/>
          <w:color w:val="000000"/>
          <w:spacing w:val="0"/>
          <w:kern w:val="0"/>
          <w:sz w:val="32"/>
          <w:szCs w:val="32"/>
          <w:lang w:val="en-US" w:eastAsia="zh-CN" w:bidi="ar"/>
        </w:rPr>
        <w:t>（三）个性指标绩效分析</w:t>
      </w:r>
    </w:p>
    <w:p w14:paraId="576089CA">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1.人居环境满意度：抽样调查显示，受益农户满意度达98%，超预期目标。</w:t>
      </w:r>
    </w:p>
    <w:p w14:paraId="74896419">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四、评价结论</w:t>
      </w:r>
    </w:p>
    <w:p w14:paraId="3D1E9157">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项目总评分为100分（满分100分），绩效目标全面达成。资金使用规范高效，建设任务按期完成，有效提升了宜居宜业能力，为乡村振兴提供了示范样板。</w:t>
      </w:r>
    </w:p>
    <w:p w14:paraId="75A9512E">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五、存在主要问题</w:t>
      </w:r>
    </w:p>
    <w:p w14:paraId="6EAFF9E8">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无</w:t>
      </w:r>
    </w:p>
    <w:p w14:paraId="5F7BFF2F">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六、改进建议</w:t>
      </w:r>
    </w:p>
    <w:p w14:paraId="7B757B89">
      <w:pPr>
        <w:pStyle w:val="24"/>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无</w:t>
      </w:r>
    </w:p>
    <w:p w14:paraId="110BEA06">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 xml:space="preserve"> </w:t>
      </w:r>
    </w:p>
    <w:p w14:paraId="70E11698">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t xml:space="preserve"> </w:t>
      </w:r>
    </w:p>
    <w:p w14:paraId="032BA9A0">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t xml:space="preserve"> </w:t>
      </w:r>
    </w:p>
    <w:p w14:paraId="158FB27B">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br w:type="page"/>
      </w:r>
    </w:p>
    <w:p w14:paraId="751C2C2D">
      <w:pPr>
        <w:keepNext w:val="0"/>
        <w:keepLines w:val="0"/>
        <w:widowControl w:val="0"/>
        <w:suppressLineNumbers w:val="0"/>
        <w:kinsoku w:val="0"/>
        <w:overflowPunct w:val="0"/>
        <w:autoSpaceDE w:val="0"/>
        <w:autoSpaceDN/>
        <w:adjustRightInd w:val="0"/>
        <w:snapToGrid w:val="0"/>
        <w:spacing w:before="0" w:beforeAutospacing="0" w:after="0" w:afterAutospacing="0" w:line="576" w:lineRule="exact"/>
        <w:ind w:left="0" w:right="0"/>
        <w:jc w:val="center"/>
        <w:textAlignment w:val="baseline"/>
        <w:outlineLvl w:val="2"/>
        <w:rPr>
          <w:rFonts w:hint="eastAsia" w:ascii="方正小标宋简体" w:hAnsi="方正小标宋简体" w:eastAsia="方正小标宋简体" w:cs="方正小标宋简体"/>
          <w:b w:val="0"/>
          <w:bCs w:val="0"/>
          <w:color w:val="000000"/>
          <w:spacing w:val="0"/>
          <w:kern w:val="2"/>
          <w:sz w:val="44"/>
          <w:szCs w:val="44"/>
        </w:rPr>
      </w:pPr>
      <w:r>
        <w:rPr>
          <w:rFonts w:hint="eastAsia" w:ascii="方正小标宋简体" w:hAnsi="方正小标宋简体" w:eastAsia="方正小标宋简体" w:cs="方正小标宋简体"/>
          <w:b w:val="0"/>
          <w:bCs w:val="0"/>
          <w:snapToGrid/>
          <w:color w:val="000000"/>
          <w:spacing w:val="0"/>
          <w:kern w:val="2"/>
          <w:sz w:val="44"/>
          <w:szCs w:val="44"/>
          <w:lang w:val="en-US" w:eastAsia="zh-CN" w:bidi="ar"/>
        </w:rPr>
        <w:t>2024年省级财政乡村振兴转移支付</w:t>
      </w:r>
    </w:p>
    <w:p w14:paraId="42B60533">
      <w:pPr>
        <w:keepNext w:val="0"/>
        <w:keepLines w:val="0"/>
        <w:widowControl w:val="0"/>
        <w:suppressLineNumbers w:val="0"/>
        <w:kinsoku w:val="0"/>
        <w:overflowPunct w:val="0"/>
        <w:autoSpaceDE w:val="0"/>
        <w:autoSpaceDN/>
        <w:adjustRightInd w:val="0"/>
        <w:snapToGrid w:val="0"/>
        <w:spacing w:before="0" w:beforeAutospacing="0" w:after="0" w:afterAutospacing="0" w:line="576" w:lineRule="exact"/>
        <w:ind w:left="0" w:right="0"/>
        <w:jc w:val="center"/>
        <w:textAlignment w:val="baseline"/>
        <w:rPr>
          <w:rFonts w:hint="eastAsia" w:ascii="方正小标宋简体" w:hAnsi="方正小标宋简体" w:eastAsia="方正小标宋简体" w:cs="方正小标宋简体"/>
          <w:b w:val="0"/>
          <w:bCs w:val="0"/>
          <w:color w:val="000000"/>
          <w:spacing w:val="0"/>
          <w:kern w:val="2"/>
          <w:sz w:val="44"/>
          <w:szCs w:val="44"/>
        </w:rPr>
      </w:pPr>
      <w:r>
        <w:rPr>
          <w:rFonts w:hint="eastAsia" w:ascii="方正小标宋简体" w:hAnsi="方正小标宋简体" w:eastAsia="方正小标宋简体" w:cs="方正小标宋简体"/>
          <w:b w:val="0"/>
          <w:bCs w:val="0"/>
          <w:snapToGrid/>
          <w:color w:val="000000"/>
          <w:spacing w:val="0"/>
          <w:kern w:val="2"/>
          <w:sz w:val="44"/>
          <w:szCs w:val="44"/>
          <w:lang w:val="en-US" w:eastAsia="zh-CN" w:bidi="ar"/>
        </w:rPr>
        <w:t>先进市奖补资金利州区宜居宜业和美乡村建设</w:t>
      </w:r>
    </w:p>
    <w:p w14:paraId="753332DB">
      <w:pPr>
        <w:keepNext w:val="0"/>
        <w:keepLines w:val="0"/>
        <w:widowControl w:val="0"/>
        <w:suppressLineNumbers w:val="0"/>
        <w:kinsoku w:val="0"/>
        <w:overflowPunct w:val="0"/>
        <w:autoSpaceDE w:val="0"/>
        <w:autoSpaceDN/>
        <w:adjustRightInd w:val="0"/>
        <w:snapToGrid w:val="0"/>
        <w:spacing w:before="0" w:beforeAutospacing="0" w:after="0" w:afterAutospacing="0" w:line="576" w:lineRule="exact"/>
        <w:ind w:left="0" w:right="0"/>
        <w:jc w:val="center"/>
        <w:textAlignment w:val="baseline"/>
        <w:rPr>
          <w:rFonts w:hint="eastAsia" w:ascii="方正小标宋简体" w:hAnsi="方正小标宋简体" w:eastAsia="方正小标宋简体" w:cs="方正小标宋简体"/>
          <w:color w:val="000000"/>
          <w:spacing w:val="0"/>
          <w:kern w:val="0"/>
          <w:sz w:val="44"/>
          <w:szCs w:val="44"/>
        </w:rPr>
      </w:pPr>
      <w:r>
        <w:rPr>
          <w:rFonts w:hint="eastAsia" w:ascii="方正小标宋简体" w:hAnsi="方正小标宋简体" w:eastAsia="方正小标宋简体" w:cs="方正小标宋简体"/>
          <w:b w:val="0"/>
          <w:bCs w:val="0"/>
          <w:snapToGrid/>
          <w:color w:val="000000"/>
          <w:spacing w:val="0"/>
          <w:kern w:val="2"/>
          <w:sz w:val="44"/>
          <w:szCs w:val="44"/>
          <w:lang w:val="en-US" w:eastAsia="zh-CN" w:bidi="ar"/>
        </w:rPr>
        <w:t>项目</w:t>
      </w:r>
      <w:r>
        <w:rPr>
          <w:rFonts w:hint="eastAsia" w:ascii="方正小标宋简体" w:hAnsi="方正小标宋简体" w:eastAsia="方正小标宋简体" w:cs="方正小标宋简体"/>
          <w:snapToGrid/>
          <w:color w:val="000000"/>
          <w:spacing w:val="0"/>
          <w:kern w:val="0"/>
          <w:sz w:val="44"/>
          <w:szCs w:val="44"/>
          <w:lang w:val="en-US" w:eastAsia="zh-CN" w:bidi="ar"/>
        </w:rPr>
        <w:t>专项预算绩效的自评报告</w:t>
      </w:r>
    </w:p>
    <w:p w14:paraId="4D6DDE4E">
      <w:pPr>
        <w:pStyle w:val="24"/>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 xml:space="preserve"> </w:t>
      </w:r>
    </w:p>
    <w:p w14:paraId="7461B609">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一、项目概况</w:t>
      </w:r>
    </w:p>
    <w:p w14:paraId="577615D8">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（一）设立背景及基本情况</w:t>
      </w:r>
    </w:p>
    <w:p w14:paraId="13C0D677">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根据《四川省财政厅 四川省农业农村厅关于下达2024年省级财政乡村振兴共同财政事权转移支付资金的通知》（川财农〔2024〕13号）、《四川省农业农村厅关于做好2024年省级财政乡村振兴转移支付项目实施工作的通知》（川农函〔2024〕227号）和《广元市农业农村局关于做好2024年四川省乡村振兴先进市奖补资金项目实施工作的通知》要求，加快推动项目区现代乡村产业体系更加完善，城乡基础设施一体化和基本公共服务均等化水平明显提高，乡村治理效能大幅提升，生态美丽乡村成片成带，乡村全面振兴取得实质性进展和阶段性成效。</w:t>
      </w:r>
    </w:p>
    <w:p w14:paraId="6385831D">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（二）实施目的及支持方向</w:t>
      </w:r>
    </w:p>
    <w:p w14:paraId="2207A43D">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rPr>
      </w:pPr>
      <w:r>
        <w:rPr>
          <w:rFonts w:hint="default" w:ascii="仿宋" w:hAnsi="仿宋" w:eastAsia="仿宋" w:cs="仿宋"/>
          <w:snapToGrid/>
          <w:color w:val="000000"/>
          <w:kern w:val="0"/>
          <w:sz w:val="32"/>
          <w:szCs w:val="32"/>
          <w:lang w:val="en-US" w:eastAsia="zh-CN" w:bidi="ar"/>
        </w:rPr>
        <w:t>学习运用“千万工程”经验，按照乡村振兴“产业兴旺、生态宜居、乡风文明、治理有效、生活富裕”总要求，聚焦基础设施补短、人居环境整治、公共服务设施建设等重点工作，突出规划引领，统筹资源要素，补齐短板弱项，全面推动龙潭乡曙光村、凤凰村、桃园村宜居宜业和美乡村建设取得实质性成效。重点支持方向和建设内容：</w:t>
      </w:r>
      <w:r>
        <w:rPr>
          <w:rFonts w:hint="default" w:ascii="仿宋" w:hAnsi="仿宋" w:eastAsia="仿宋" w:cs="仿宋"/>
          <w:b w:val="0"/>
          <w:bCs w:val="0"/>
          <w:snapToGrid/>
          <w:color w:val="000000"/>
          <w:kern w:val="2"/>
          <w:sz w:val="32"/>
          <w:szCs w:val="32"/>
          <w:lang w:val="en-US" w:eastAsia="zh-CN" w:bidi="ar"/>
        </w:rPr>
        <w:t>1.曙光村基础设施建设：</w:t>
      </w:r>
      <w:r>
        <w:rPr>
          <w:rFonts w:hint="default" w:ascii="仿宋" w:hAnsi="仿宋" w:eastAsia="仿宋" w:cs="仿宋"/>
          <w:b w:val="0"/>
          <w:bCs w:val="0"/>
          <w:snapToGrid/>
          <w:color w:val="000000"/>
          <w:kern w:val="0"/>
          <w:sz w:val="32"/>
          <w:szCs w:val="32"/>
          <w:lang w:val="en-US" w:eastAsia="zh-CN" w:bidi="ar"/>
        </w:rPr>
        <w:t>①产教融合基地</w:t>
      </w:r>
      <w:r>
        <w:rPr>
          <w:rFonts w:hint="default" w:ascii="仿宋" w:hAnsi="仿宋" w:eastAsia="仿宋" w:cs="仿宋"/>
          <w:b w:val="0"/>
          <w:bCs w:val="0"/>
          <w:snapToGrid/>
          <w:color w:val="000000"/>
          <w:kern w:val="2"/>
          <w:sz w:val="32"/>
          <w:szCs w:val="32"/>
          <w:lang w:val="en-US" w:eastAsia="zh-CN" w:bidi="ar"/>
        </w:rPr>
        <w:t>基础设施配套建设1处（新建排水沟、堡坎砌筑、安装夜间指示灯等）；②新建供水站废水引流管道1500米；③新建200m³蓄水池3个；④安装安全围网800米；</w:t>
      </w:r>
      <w:r>
        <w:rPr>
          <w:rFonts w:hint="default" w:ascii="仿宋" w:hAnsi="仿宋" w:eastAsia="仿宋" w:cs="仿宋"/>
          <w:b w:val="0"/>
          <w:bCs w:val="0"/>
          <w:snapToGrid/>
          <w:color w:val="000000"/>
          <w:kern w:val="0"/>
          <w:sz w:val="32"/>
          <w:szCs w:val="32"/>
          <w:lang w:val="en-US" w:eastAsia="zh-CN" w:bidi="ar"/>
        </w:rPr>
        <w:t>⑤</w:t>
      </w:r>
      <w:r>
        <w:rPr>
          <w:rFonts w:hint="default" w:ascii="仿宋" w:hAnsi="仿宋" w:eastAsia="仿宋" w:cs="仿宋"/>
          <w:b w:val="0"/>
          <w:bCs w:val="0"/>
          <w:snapToGrid/>
          <w:color w:val="000000"/>
          <w:kern w:val="2"/>
          <w:sz w:val="32"/>
          <w:szCs w:val="32"/>
          <w:lang w:val="en-US" w:eastAsia="zh-CN" w:bidi="ar"/>
        </w:rPr>
        <w:t>新建排水渠系800米。</w:t>
      </w:r>
      <w:r>
        <w:rPr>
          <w:rFonts w:hint="default" w:ascii="仿宋" w:hAnsi="仿宋" w:eastAsia="仿宋" w:cs="仿宋"/>
          <w:b w:val="0"/>
          <w:bCs w:val="0"/>
          <w:snapToGrid/>
          <w:color w:val="000000"/>
          <w:kern w:val="0"/>
          <w:sz w:val="32"/>
          <w:szCs w:val="32"/>
          <w:lang w:val="en-US" w:eastAsia="zh-CN" w:bidi="ar"/>
        </w:rPr>
        <w:t>公共服务设施建设：</w:t>
      </w:r>
      <w:r>
        <w:rPr>
          <w:rFonts w:hint="default" w:ascii="仿宋" w:hAnsi="仿宋" w:eastAsia="仿宋" w:cs="仿宋"/>
          <w:b w:val="0"/>
          <w:bCs w:val="0"/>
          <w:snapToGrid/>
          <w:color w:val="000000"/>
          <w:kern w:val="2"/>
          <w:sz w:val="32"/>
          <w:szCs w:val="32"/>
          <w:lang w:val="en-US" w:eastAsia="zh-CN" w:bidi="ar"/>
        </w:rPr>
        <w:t>①村委</w:t>
      </w:r>
      <w:r>
        <w:rPr>
          <w:rFonts w:hint="default" w:ascii="仿宋" w:hAnsi="仿宋" w:eastAsia="仿宋" w:cs="仿宋"/>
          <w:b w:val="0"/>
          <w:bCs w:val="0"/>
          <w:snapToGrid/>
          <w:color w:val="000000"/>
          <w:spacing w:val="0"/>
          <w:kern w:val="2"/>
          <w:sz w:val="32"/>
          <w:szCs w:val="32"/>
          <w:lang w:val="en-US" w:eastAsia="zh-CN" w:bidi="ar"/>
        </w:rPr>
        <w:t>会公共</w:t>
      </w:r>
      <w:r>
        <w:rPr>
          <w:rFonts w:hint="default" w:ascii="仿宋" w:hAnsi="仿宋" w:eastAsia="仿宋" w:cs="仿宋"/>
          <w:b w:val="0"/>
          <w:bCs w:val="0"/>
          <w:snapToGrid/>
          <w:color w:val="000000"/>
          <w:kern w:val="2"/>
          <w:sz w:val="32"/>
          <w:szCs w:val="32"/>
          <w:lang w:val="en-US" w:eastAsia="zh-CN" w:bidi="ar"/>
        </w:rPr>
        <w:t>文化服务设施维修2处；②制作全村整体导视系统1套；③新建2400㎡生态停车场1处、公共厕所1座（一类）；④公共便民</w:t>
      </w:r>
      <w:r>
        <w:rPr>
          <w:rFonts w:hint="default" w:ascii="仿宋" w:hAnsi="仿宋" w:eastAsia="仿宋" w:cs="仿宋"/>
          <w:b w:val="0"/>
          <w:bCs w:val="0"/>
          <w:snapToGrid/>
          <w:color w:val="000000"/>
          <w:spacing w:val="0"/>
          <w:kern w:val="0"/>
          <w:sz w:val="32"/>
          <w:szCs w:val="32"/>
          <w:lang w:val="en-US" w:eastAsia="zh-CN" w:bidi="ar"/>
        </w:rPr>
        <w:t>活动场所改造</w:t>
      </w:r>
      <w:r>
        <w:rPr>
          <w:rFonts w:hint="default" w:ascii="仿宋" w:hAnsi="仿宋" w:eastAsia="仿宋" w:cs="仿宋"/>
          <w:b w:val="0"/>
          <w:bCs w:val="0"/>
          <w:snapToGrid/>
          <w:color w:val="000000"/>
          <w:kern w:val="2"/>
          <w:sz w:val="32"/>
          <w:szCs w:val="32"/>
          <w:lang w:val="en-US" w:eastAsia="zh-CN" w:bidi="ar"/>
        </w:rPr>
        <w:t>1处（增设座椅及遮阳棚、安全护栏安装等）。</w:t>
      </w:r>
      <w:r>
        <w:rPr>
          <w:rFonts w:hint="default" w:ascii="仿宋" w:hAnsi="仿宋" w:eastAsia="仿宋" w:cs="仿宋"/>
          <w:b w:val="0"/>
          <w:bCs w:val="0"/>
          <w:snapToGrid/>
          <w:color w:val="000000"/>
          <w:kern w:val="0"/>
          <w:sz w:val="32"/>
          <w:szCs w:val="32"/>
          <w:lang w:val="en-US" w:eastAsia="zh-CN" w:bidi="ar"/>
        </w:rPr>
        <w:t>人居环境整治：</w:t>
      </w:r>
      <w:r>
        <w:rPr>
          <w:rFonts w:hint="default" w:ascii="仿宋" w:hAnsi="仿宋" w:eastAsia="仿宋" w:cs="仿宋"/>
          <w:b w:val="0"/>
          <w:bCs w:val="0"/>
          <w:snapToGrid/>
          <w:color w:val="000000"/>
          <w:kern w:val="2"/>
          <w:sz w:val="32"/>
          <w:szCs w:val="32"/>
          <w:lang w:val="en-US" w:eastAsia="zh-CN" w:bidi="ar"/>
        </w:rPr>
        <w:t>①实施集中安置点农房改造提升及庭院建设6户（破损屋顶治漏、新建生产便道及排水沟、堡坎砌筑、二楼安全护栏安装等）；②新建化粪池2座及其配套污水管网建设；2.高家岩基础设施建设：①入（联）户路建设1000米，新建排水沟1000米，挡土墙200米；②整治山坪塘4口（泄洪道修复、</w:t>
      </w:r>
      <w:r>
        <w:rPr>
          <w:rFonts w:hint="default" w:ascii="仿宋" w:hAnsi="仿宋" w:eastAsia="仿宋" w:cs="仿宋"/>
          <w:b w:val="0"/>
          <w:bCs w:val="0"/>
          <w:snapToGrid/>
          <w:color w:val="000000"/>
          <w:kern w:val="0"/>
          <w:sz w:val="32"/>
          <w:szCs w:val="32"/>
          <w:lang w:val="en-US" w:eastAsia="zh-CN" w:bidi="ar"/>
        </w:rPr>
        <w:t>加固等</w:t>
      </w:r>
      <w:r>
        <w:rPr>
          <w:rFonts w:hint="default" w:ascii="仿宋" w:hAnsi="仿宋" w:eastAsia="仿宋" w:cs="仿宋"/>
          <w:b w:val="0"/>
          <w:bCs w:val="0"/>
          <w:snapToGrid/>
          <w:color w:val="000000"/>
          <w:kern w:val="2"/>
          <w:sz w:val="32"/>
          <w:szCs w:val="32"/>
          <w:lang w:val="en-US" w:eastAsia="zh-CN" w:bidi="ar"/>
        </w:rPr>
        <w:t>）；③整治高家岩农田20亩（砌筑堡坎、新建排水沟及生产便道等），配套灌溉渠系建设500米，新建森林防灭火瞭望台1处，安全围网建设200米；④新型农业经营主体基础设施配套建设2 处（生产路及排水渠建设，砌筑堡坎、围网安装等）；⑤新建80㎡停车场2处；</w:t>
      </w:r>
      <w:r>
        <w:rPr>
          <w:rFonts w:hint="default" w:ascii="仿宋" w:hAnsi="仿宋" w:eastAsia="仿宋" w:cs="仿宋"/>
          <w:b w:val="0"/>
          <w:bCs w:val="0"/>
          <w:snapToGrid/>
          <w:color w:val="000000"/>
          <w:kern w:val="0"/>
          <w:sz w:val="32"/>
          <w:szCs w:val="32"/>
          <w:lang w:val="en-US" w:eastAsia="zh-CN" w:bidi="ar"/>
        </w:rPr>
        <w:t>⑥</w:t>
      </w:r>
      <w:r>
        <w:rPr>
          <w:rFonts w:hint="default" w:ascii="仿宋" w:hAnsi="仿宋" w:eastAsia="仿宋" w:cs="仿宋"/>
          <w:b w:val="0"/>
          <w:bCs w:val="0"/>
          <w:snapToGrid/>
          <w:color w:val="000000"/>
          <w:kern w:val="2"/>
          <w:sz w:val="32"/>
          <w:szCs w:val="32"/>
          <w:lang w:val="en-US" w:eastAsia="zh-CN" w:bidi="ar"/>
        </w:rPr>
        <w:t>安装太阳能路灯20盏。人居环境整治：①全村增设垃圾桶128个，新建生活垃圾收集点3处；②实施农房改造提升及庭院建设35户（阴沟整治、修复院坝堡坎等）；</w:t>
      </w:r>
      <w:r>
        <w:rPr>
          <w:rFonts w:hint="default" w:ascii="仿宋" w:hAnsi="仿宋" w:eastAsia="仿宋" w:cs="仿宋"/>
          <w:b w:val="0"/>
          <w:bCs w:val="0"/>
          <w:snapToGrid/>
          <w:color w:val="000000"/>
          <w:kern w:val="0"/>
          <w:sz w:val="32"/>
          <w:szCs w:val="32"/>
          <w:lang w:val="en-US" w:eastAsia="zh-CN" w:bidi="ar"/>
        </w:rPr>
        <w:t>3.凤凰村</w:t>
      </w:r>
      <w:r>
        <w:rPr>
          <w:rFonts w:hint="default" w:ascii="仿宋" w:hAnsi="仿宋" w:eastAsia="仿宋" w:cs="仿宋"/>
          <w:b w:val="0"/>
          <w:bCs w:val="0"/>
          <w:snapToGrid/>
          <w:color w:val="000000"/>
          <w:kern w:val="2"/>
          <w:sz w:val="32"/>
          <w:szCs w:val="32"/>
          <w:lang w:val="en-US" w:eastAsia="zh-CN" w:bidi="ar"/>
        </w:rPr>
        <w:t>基础设施建设：</w:t>
      </w:r>
      <w:r>
        <w:rPr>
          <w:rFonts w:hint="default" w:ascii="仿宋" w:hAnsi="仿宋" w:eastAsia="仿宋" w:cs="仿宋"/>
          <w:b w:val="0"/>
          <w:bCs w:val="0"/>
          <w:snapToGrid/>
          <w:color w:val="000000"/>
          <w:kern w:val="0"/>
          <w:sz w:val="32"/>
          <w:szCs w:val="32"/>
          <w:lang w:val="en-US" w:eastAsia="zh-CN" w:bidi="ar"/>
        </w:rPr>
        <w:t>①硬化入户路1500米；②新建农特产品公共售卖场所1处；</w:t>
      </w:r>
      <w:r>
        <w:rPr>
          <w:rFonts w:hint="default" w:ascii="仿宋" w:hAnsi="仿宋" w:eastAsia="仿宋" w:cs="仿宋"/>
          <w:b w:val="0"/>
          <w:bCs w:val="0"/>
          <w:snapToGrid/>
          <w:color w:val="000000"/>
          <w:kern w:val="2"/>
          <w:sz w:val="32"/>
          <w:szCs w:val="32"/>
          <w:lang w:val="en-US" w:eastAsia="zh-CN" w:bidi="ar"/>
        </w:rPr>
        <w:t>③</w:t>
      </w:r>
      <w:r>
        <w:rPr>
          <w:rFonts w:hint="default" w:ascii="仿宋" w:hAnsi="仿宋" w:eastAsia="仿宋" w:cs="仿宋"/>
          <w:b w:val="0"/>
          <w:bCs w:val="0"/>
          <w:snapToGrid/>
          <w:color w:val="000000"/>
          <w:kern w:val="0"/>
          <w:sz w:val="32"/>
          <w:szCs w:val="32"/>
          <w:lang w:val="en-US" w:eastAsia="zh-CN" w:bidi="ar"/>
        </w:rPr>
        <w:t>山坪塘维修整治1口（治漏、砌堡坎、安装放水管及阀门等）；</w:t>
      </w:r>
      <w:r>
        <w:rPr>
          <w:rFonts w:hint="default" w:ascii="仿宋" w:hAnsi="仿宋" w:eastAsia="仿宋" w:cs="仿宋"/>
          <w:b w:val="0"/>
          <w:bCs w:val="0"/>
          <w:snapToGrid/>
          <w:color w:val="000000"/>
          <w:kern w:val="2"/>
          <w:sz w:val="32"/>
          <w:szCs w:val="32"/>
          <w:lang w:val="en-US" w:eastAsia="zh-CN" w:bidi="ar"/>
        </w:rPr>
        <w:t>④</w:t>
      </w:r>
      <w:r>
        <w:rPr>
          <w:rFonts w:hint="default" w:ascii="仿宋" w:hAnsi="仿宋" w:eastAsia="仿宋" w:cs="仿宋"/>
          <w:b w:val="0"/>
          <w:bCs w:val="0"/>
          <w:snapToGrid/>
          <w:color w:val="000000"/>
          <w:kern w:val="0"/>
          <w:sz w:val="32"/>
          <w:szCs w:val="32"/>
          <w:lang w:val="en-US" w:eastAsia="zh-CN" w:bidi="ar"/>
        </w:rPr>
        <w:t>更换老旧破损饮水管网5000米；</w:t>
      </w:r>
      <w:r>
        <w:rPr>
          <w:rFonts w:hint="default" w:ascii="仿宋" w:hAnsi="仿宋" w:eastAsia="仿宋" w:cs="仿宋"/>
          <w:b w:val="0"/>
          <w:bCs w:val="0"/>
          <w:snapToGrid/>
          <w:color w:val="000000"/>
          <w:kern w:val="2"/>
          <w:sz w:val="32"/>
          <w:szCs w:val="32"/>
          <w:lang w:val="en-US" w:eastAsia="zh-CN" w:bidi="ar"/>
        </w:rPr>
        <w:t>⑤</w:t>
      </w:r>
      <w:r>
        <w:rPr>
          <w:rFonts w:hint="default" w:ascii="仿宋" w:hAnsi="仿宋" w:eastAsia="仿宋" w:cs="仿宋"/>
          <w:b w:val="0"/>
          <w:bCs w:val="0"/>
          <w:snapToGrid/>
          <w:color w:val="000000"/>
          <w:kern w:val="0"/>
          <w:sz w:val="32"/>
          <w:szCs w:val="32"/>
          <w:lang w:val="en-US" w:eastAsia="zh-CN" w:bidi="ar"/>
        </w:rPr>
        <w:t>新建灌溉渠系2处400米；⑥新型经营主体基础设施配套建设2处（安装滴灌、喷灌管网建设、新建排水沟120米等）；⑦村道沿线新建及维修太阳能路灯43盏，新建三格化粪池1座50㎥及污水管网配套800米。</w:t>
      </w:r>
      <w:r>
        <w:rPr>
          <w:rFonts w:hint="default" w:ascii="仿宋" w:hAnsi="仿宋" w:eastAsia="仿宋" w:cs="仿宋"/>
          <w:b w:val="0"/>
          <w:bCs w:val="0"/>
          <w:snapToGrid/>
          <w:color w:val="000000"/>
          <w:kern w:val="2"/>
          <w:sz w:val="32"/>
          <w:szCs w:val="32"/>
          <w:lang w:val="en-US" w:eastAsia="zh-CN" w:bidi="ar"/>
        </w:rPr>
        <w:t>人居环境整治</w:t>
      </w:r>
      <w:r>
        <w:rPr>
          <w:rFonts w:hint="default" w:ascii="仿宋" w:hAnsi="仿宋" w:eastAsia="仿宋" w:cs="仿宋"/>
          <w:b w:val="0"/>
          <w:bCs w:val="0"/>
          <w:snapToGrid/>
          <w:color w:val="000000"/>
          <w:kern w:val="0"/>
          <w:sz w:val="32"/>
          <w:szCs w:val="32"/>
          <w:lang w:val="en-US" w:eastAsia="zh-CN" w:bidi="ar"/>
        </w:rPr>
        <w:t>：①新建生活垃圾收集点10处及其配套设施建设；②公路沿线人居环境综合治理（砌筑堡坎3处、沟渠整治、破损标识标牌更换等）；③农户庭院建设及环境整治18户；4.桃园村</w:t>
      </w:r>
      <w:r>
        <w:rPr>
          <w:rFonts w:hint="default" w:ascii="仿宋" w:hAnsi="仿宋" w:eastAsia="仿宋" w:cs="仿宋"/>
          <w:b w:val="0"/>
          <w:bCs w:val="0"/>
          <w:snapToGrid/>
          <w:color w:val="000000"/>
          <w:kern w:val="2"/>
          <w:sz w:val="32"/>
          <w:szCs w:val="32"/>
          <w:lang w:val="en-US" w:eastAsia="zh-CN" w:bidi="ar"/>
        </w:rPr>
        <w:t>基础设施建设</w:t>
      </w:r>
      <w:r>
        <w:rPr>
          <w:rFonts w:hint="default" w:ascii="仿宋" w:hAnsi="仿宋" w:eastAsia="仿宋" w:cs="仿宋"/>
          <w:b w:val="0"/>
          <w:bCs w:val="0"/>
          <w:snapToGrid/>
          <w:color w:val="000000"/>
          <w:kern w:val="0"/>
          <w:sz w:val="32"/>
          <w:szCs w:val="32"/>
          <w:lang w:val="en-US" w:eastAsia="zh-CN" w:bidi="ar"/>
        </w:rPr>
        <w:t>：①入户路硬化1500米；②整治山坪塘4口（加固修复、堰塘梗填埋碾圧等）；③新建灌溉渠系1500米;④安装太阳能照明路灯60盏。</w:t>
      </w:r>
      <w:r>
        <w:rPr>
          <w:rFonts w:hint="default" w:ascii="仿宋" w:hAnsi="仿宋" w:eastAsia="仿宋" w:cs="仿宋"/>
          <w:b w:val="0"/>
          <w:bCs w:val="0"/>
          <w:snapToGrid/>
          <w:color w:val="000000"/>
          <w:kern w:val="2"/>
          <w:sz w:val="32"/>
          <w:szCs w:val="32"/>
          <w:lang w:val="en-US" w:eastAsia="zh-CN" w:bidi="ar"/>
        </w:rPr>
        <w:t>人居环境整治：</w:t>
      </w:r>
      <w:r>
        <w:rPr>
          <w:rFonts w:hint="default" w:ascii="仿宋" w:hAnsi="仿宋" w:eastAsia="仿宋" w:cs="仿宋"/>
          <w:b w:val="0"/>
          <w:bCs w:val="0"/>
          <w:snapToGrid/>
          <w:color w:val="000000"/>
          <w:kern w:val="0"/>
          <w:sz w:val="32"/>
          <w:szCs w:val="32"/>
          <w:lang w:val="en-US" w:eastAsia="zh-CN" w:bidi="ar"/>
        </w:rPr>
        <w:t>①农房改造提升及庭院建设40户;②全村配备垃圾桶40个、新建生活垃圾收集点6处。</w:t>
      </w:r>
    </w:p>
    <w:p w14:paraId="753CF3B9">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（三）预算安排及分配管理</w:t>
      </w:r>
    </w:p>
    <w:p w14:paraId="1D344FFE">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b w:val="0"/>
          <w:bCs w:val="0"/>
          <w:snapToGrid/>
          <w:color w:val="000000"/>
          <w:kern w:val="0"/>
          <w:sz w:val="32"/>
          <w:szCs w:val="32"/>
          <w:vertAlign w:val="baseline"/>
          <w:lang w:val="en-US" w:eastAsia="zh-CN" w:bidi="ar"/>
        </w:rPr>
        <w:t>省级财政乡村振兴转移支付先进市奖补资金1000万元，其中龙潭乡曙光村500万，龙潭乡凤凰村250万，龙潭乡桃园村250万。项目资金严格按照《四川省乡村振兴共同财政事权转移支付资金管理办法》（川财农〔2022〕16号）和《四川省农业农村厅关于做好2024年省级财政乡村振兴转移支付项目实施工作的通知》(川农函〔2024〕227号)要求执行，实行专账管理、县级报账制。</w:t>
      </w:r>
    </w:p>
    <w:p w14:paraId="05A463F0">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（四）项目绩效目标设置</w:t>
      </w:r>
    </w:p>
    <w:p w14:paraId="45E55D08">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Cs/>
          <w:color w:val="000000"/>
          <w:kern w:val="0"/>
          <w:sz w:val="32"/>
          <w:szCs w:val="32"/>
        </w:rPr>
      </w:pPr>
      <w:r>
        <w:rPr>
          <w:rFonts w:hint="default" w:ascii="仿宋" w:hAnsi="仿宋" w:eastAsia="仿宋" w:cs="仿宋"/>
          <w:b w:val="0"/>
          <w:bCs w:val="0"/>
          <w:snapToGrid/>
          <w:color w:val="000000"/>
          <w:kern w:val="0"/>
          <w:sz w:val="32"/>
          <w:szCs w:val="32"/>
          <w:lang w:val="en-US" w:eastAsia="zh-CN" w:bidi="ar"/>
        </w:rPr>
        <w:t>项目实施期间，可解决本地剩余劳动力就近务工，实现就业人数约500余人次，增加务工收入200余万元，同时带动周边80余户农户在区域内发展种养殖及其它增收产业，户均可增收2万元以上。项目建成后，每年可解决辖区内剩余劳动力务工100余人，务工创收20余万元，人均增收5000元；村民生活环境、生活质量、物质文明和精神文明得到协调发展，村级组织建设和社会事业的发展得到进一步巩固，基层干部和村民“依法治村、民主管村、科技兴村”的意识得到一步加强，村容村貌整体形象得到进一步提升，农民群众的幸福感、获得感不断增强，促使群众更加由衷地听党话、跟党走、感党恩。</w:t>
      </w:r>
    </w:p>
    <w:p w14:paraId="178388AA">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二、评价实施</w:t>
      </w:r>
    </w:p>
    <w:p w14:paraId="058E4916">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（一）评价目的</w:t>
      </w:r>
    </w:p>
    <w:p w14:paraId="09CED34E">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确保项目资金规范使用、建设任务全面完成，实现乡村振兴“产业兴旺、生态宜居、乡风文明、治理有效、生活富裕”总要求</w:t>
      </w:r>
      <w:r>
        <w:rPr>
          <w:rFonts w:hint="default" w:ascii="仿宋" w:hAnsi="仿宋" w:eastAsia="仿宋" w:cs="仿宋"/>
          <w:snapToGrid/>
          <w:color w:val="000000"/>
          <w:kern w:val="0"/>
          <w:sz w:val="32"/>
          <w:szCs w:val="32"/>
          <w:shd w:val="clear" w:fill="FFFFFF"/>
          <w:vertAlign w:val="baseline"/>
          <w:lang w:val="en-US" w:eastAsia="zh-CN" w:bidi="ar"/>
        </w:rPr>
        <w:t>。</w:t>
      </w:r>
    </w:p>
    <w:p w14:paraId="635805A4">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（二）预设问题及评价重点</w:t>
      </w:r>
    </w:p>
    <w:p w14:paraId="2879BAA3">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重点核查资金拨付进度、工程实施质量、绩效目标达成情况，以及项目对农户增收、产业升级的实际贡献。</w:t>
      </w:r>
    </w:p>
    <w:p w14:paraId="0F09CB7C">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（三）评价选点</w:t>
      </w:r>
    </w:p>
    <w:p w14:paraId="66131CCD">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本项目资金1000万元全部用于广元市利州区龙潭乡基础设施建设、公共服务建设、人居环境整治等项目，选取龙潭乡3个点位进行实地踏勘，且把点位清单应作为自评附表。</w:t>
      </w:r>
    </w:p>
    <w:p w14:paraId="6AD7B1A7">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（四）评价方法</w:t>
      </w:r>
    </w:p>
    <w:p w14:paraId="214C7B4E">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b w:val="0"/>
          <w:bCs/>
          <w:snapToGrid/>
          <w:color w:val="000000"/>
          <w:kern w:val="0"/>
          <w:sz w:val="32"/>
          <w:szCs w:val="32"/>
          <w:vertAlign w:val="baseline"/>
          <w:lang w:val="en-US" w:eastAsia="zh-CN" w:bidi="ar"/>
        </w:rPr>
        <w:t>采用实地勘察法（抽查基础建设、公共服务等工程）、成本效益分析法（资金使用效率评估）、问卷调查法（收集农户满意度）进行综合评价。</w:t>
      </w:r>
    </w:p>
    <w:p w14:paraId="2F3B9696">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（五）评价组织</w:t>
      </w:r>
    </w:p>
    <w:p w14:paraId="65F491EE">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评价组设立在广元市利州区农业农村局乡村建设股，共计5人为评价组人员，设组长1名，成员4名，按照评价内容开展项目绩效评价工作，</w:t>
      </w:r>
      <w:r>
        <w:rPr>
          <w:rFonts w:hint="default" w:ascii="仿宋" w:hAnsi="仿宋" w:eastAsia="仿宋" w:cs="仿宋"/>
          <w:b w:val="0"/>
          <w:bCs w:val="0"/>
          <w:snapToGrid/>
          <w:color w:val="000000"/>
          <w:kern w:val="0"/>
          <w:sz w:val="32"/>
          <w:szCs w:val="32"/>
          <w:shd w:val="clear" w:fill="FFFFFF"/>
          <w:vertAlign w:val="baseline"/>
          <w:lang w:val="en-US" w:eastAsia="zh-CN" w:bidi="ar"/>
        </w:rPr>
        <w:t>利州区农业农村局机关纪检委员的全程监督</w:t>
      </w:r>
      <w:r>
        <w:rPr>
          <w:rFonts w:hint="default" w:ascii="仿宋" w:hAnsi="仿宋" w:eastAsia="仿宋" w:cs="仿宋"/>
          <w:snapToGrid/>
          <w:color w:val="000000"/>
          <w:spacing w:val="0"/>
          <w:kern w:val="0"/>
          <w:sz w:val="32"/>
          <w:szCs w:val="32"/>
          <w:vertAlign w:val="baseline"/>
          <w:lang w:val="en-US" w:eastAsia="zh-CN" w:bidi="ar"/>
        </w:rPr>
        <w:t>。</w:t>
      </w:r>
    </w:p>
    <w:p w14:paraId="2AC7EA9E">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三、绩效分析</w:t>
      </w:r>
    </w:p>
    <w:p w14:paraId="5739A551">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（一）通用指标绩效分析</w:t>
      </w:r>
    </w:p>
    <w:p w14:paraId="726F4B74">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1．项目决策。</w:t>
      </w:r>
      <w:r>
        <w:rPr>
          <w:rFonts w:hint="default" w:ascii="仿宋" w:hAnsi="仿宋" w:eastAsia="仿宋" w:cs="仿宋"/>
          <w:b w:val="0"/>
          <w:bCs w:val="0"/>
          <w:snapToGrid/>
          <w:color w:val="000000"/>
          <w:kern w:val="0"/>
          <w:sz w:val="32"/>
          <w:szCs w:val="32"/>
          <w:vertAlign w:val="baseline"/>
          <w:lang w:val="en-US" w:eastAsia="zh-CN" w:bidi="ar"/>
        </w:rPr>
        <w:t>成立由龙潭乡党委书记任组长，乡各班子成员任副组长，乡农业综合服务中心、乡村振兴办及</w:t>
      </w:r>
      <w:r>
        <w:rPr>
          <w:rFonts w:hint="default" w:ascii="仿宋" w:hAnsi="仿宋" w:eastAsia="仿宋" w:cs="仿宋"/>
          <w:b w:val="0"/>
          <w:bCs w:val="0"/>
          <w:snapToGrid/>
          <w:color w:val="000000"/>
          <w:kern w:val="2"/>
          <w:sz w:val="32"/>
          <w:szCs w:val="32"/>
          <w:vertAlign w:val="baseline"/>
          <w:lang w:val="en-US" w:eastAsia="zh-CN" w:bidi="ar"/>
        </w:rPr>
        <w:t>项目区所在村党支部书记</w:t>
      </w:r>
      <w:r>
        <w:rPr>
          <w:rFonts w:hint="default" w:ascii="仿宋" w:hAnsi="仿宋" w:eastAsia="仿宋" w:cs="仿宋"/>
          <w:b w:val="0"/>
          <w:bCs w:val="0"/>
          <w:snapToGrid/>
          <w:color w:val="000000"/>
          <w:kern w:val="0"/>
          <w:sz w:val="32"/>
          <w:szCs w:val="32"/>
          <w:vertAlign w:val="baseline"/>
          <w:lang w:val="en-US" w:eastAsia="zh-CN" w:bidi="ar"/>
        </w:rPr>
        <w:t>为成员的龙潭乡宜居宜业和美乡村建设项目实施领导小组，切实加强项目建设组织实施及监管工作。龙潭乡、区级行业主管部门及项目村帮扶单位要建立健全组织领导机制，落实专班专人驻点，加强日常督促指导，全力统筹抓好龙潭乡宜居宜业和美乡村建设工作。项目实施主体要建立健全工作推进机制，切实担负实施主体责任，广泛深入发动群众，做深做细群众工作，严格按批复方案推进项目建设，不得随意调整变更，并负责抓好项目建设进度、质量监督等日常工作，确保项目建设安全、廉洁、有序推进</w:t>
      </w:r>
      <w:r>
        <w:rPr>
          <w:rFonts w:hint="default" w:ascii="仿宋" w:hAnsi="仿宋" w:eastAsia="仿宋" w:cs="仿宋"/>
          <w:snapToGrid/>
          <w:color w:val="000000"/>
          <w:spacing w:val="0"/>
          <w:kern w:val="0"/>
          <w:sz w:val="32"/>
          <w:szCs w:val="32"/>
          <w:vertAlign w:val="baseline"/>
          <w:lang w:val="en-US" w:eastAsia="zh-CN" w:bidi="ar"/>
        </w:rPr>
        <w:t>。</w:t>
      </w:r>
    </w:p>
    <w:p w14:paraId="561F6E94">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2．项目管理。项目实施主体建立公示制度，广泛接受群众和社会监督，提高项目建设公正性和资金使用透明度。项目实施责任主体配备专人具体负责协调施工过程中遇到的矛盾和问题，严格按照项目管理相关程序做好项目建设、施工安全、资金管理等工作，确保项目保质保量按时完成。</w:t>
      </w:r>
    </w:p>
    <w:p w14:paraId="2FA03CA6">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3．项目实施。严格按照项目实施方案进行建设，截至2024年12月，项目全部完工，完成率100%。。</w:t>
      </w:r>
    </w:p>
    <w:p w14:paraId="6BD9622E">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4．项目结果。解决辖区内剩余劳动力务工100余人，务工创收20余万元，人均增收5000元。</w:t>
      </w:r>
    </w:p>
    <w:p w14:paraId="51D38F54">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（二）专用指标绩效分析</w:t>
      </w:r>
    </w:p>
    <w:p w14:paraId="74E33771">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通过项目实施，可以带动当地农户务工就业，增加收入，</w:t>
      </w:r>
      <w:r>
        <w:rPr>
          <w:rFonts w:hint="default" w:ascii="仿宋" w:hAnsi="仿宋" w:eastAsia="仿宋" w:cs="仿宋"/>
          <w:b w:val="0"/>
          <w:bCs w:val="0"/>
          <w:snapToGrid/>
          <w:color w:val="000000"/>
          <w:kern w:val="0"/>
          <w:sz w:val="32"/>
          <w:szCs w:val="32"/>
          <w:vertAlign w:val="baseline"/>
          <w:lang w:val="en-US" w:eastAsia="zh-CN" w:bidi="ar"/>
        </w:rPr>
        <w:t>村民生活环境、生活质量、物质文明和精神文明得到协调发展，村级组织建设和社会事业的发展得到进一步巩固，基层干部和村民“依法治村、民主管村、科技兴村”的意识得到一步加强，村容村貌整体形象得到进一步提升，农民群众的幸福感、获得感不断增强，促使群众更加由衷地听党话、跟党走、感党恩。</w:t>
      </w:r>
    </w:p>
    <w:p w14:paraId="09C848F5">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color w:val="000000"/>
          <w:spacing w:val="0"/>
          <w:kern w:val="0"/>
          <w:sz w:val="32"/>
          <w:szCs w:val="32"/>
          <w:vertAlign w:val="baseline"/>
        </w:rPr>
      </w:pPr>
      <w:r>
        <w:rPr>
          <w:rFonts w:hint="default" w:ascii="楷体" w:hAnsi="楷体" w:eastAsia="楷体" w:cs="楷体"/>
          <w:snapToGrid/>
          <w:color w:val="000000"/>
          <w:spacing w:val="0"/>
          <w:kern w:val="0"/>
          <w:sz w:val="32"/>
          <w:szCs w:val="32"/>
          <w:vertAlign w:val="baseline"/>
          <w:lang w:val="en-US" w:eastAsia="zh-CN" w:bidi="ar"/>
        </w:rPr>
        <w:t>（三）个性指标绩效分析</w:t>
      </w:r>
    </w:p>
    <w:p w14:paraId="3A771634">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人居环境满意度：抽样调查显示，受益农户满意度达98%，超预期目标。</w:t>
      </w:r>
    </w:p>
    <w:p w14:paraId="2071A8B4">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四、评价结论</w:t>
      </w:r>
    </w:p>
    <w:p w14:paraId="694DBF36">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项目总评分为100分（满分100分），绩效目标全面达成。资金使用规范高效，建设任务按期完成，有效提升了宜居宜业能力，为乡村振兴提供了示范样板。</w:t>
      </w:r>
    </w:p>
    <w:p w14:paraId="1734FDB4">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五、存在主要问题</w:t>
      </w:r>
    </w:p>
    <w:p w14:paraId="7323D42F">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无。</w:t>
      </w:r>
    </w:p>
    <w:p w14:paraId="62DBBCCF">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color w:val="000000"/>
          <w:spacing w:val="0"/>
          <w:kern w:val="0"/>
          <w:sz w:val="32"/>
          <w:szCs w:val="32"/>
          <w:vertAlign w:val="baseline"/>
        </w:rPr>
      </w:pPr>
      <w:r>
        <w:rPr>
          <w:rFonts w:hint="default" w:ascii="黑体" w:hAnsi="宋体" w:eastAsia="黑体" w:cs="黑体"/>
          <w:snapToGrid/>
          <w:color w:val="000000"/>
          <w:spacing w:val="0"/>
          <w:kern w:val="0"/>
          <w:sz w:val="32"/>
          <w:szCs w:val="32"/>
          <w:vertAlign w:val="baseline"/>
          <w:lang w:val="en-US" w:eastAsia="zh-CN" w:bidi="ar"/>
        </w:rPr>
        <w:t>六、改进建议</w:t>
      </w:r>
    </w:p>
    <w:p w14:paraId="13B42765">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无。</w:t>
      </w:r>
    </w:p>
    <w:p w14:paraId="272156C3">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t xml:space="preserve"> </w:t>
      </w:r>
    </w:p>
    <w:p w14:paraId="7E101759">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t xml:space="preserve"> </w:t>
      </w:r>
    </w:p>
    <w:p w14:paraId="6DA9EDE2">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t xml:space="preserve"> </w:t>
      </w:r>
    </w:p>
    <w:p w14:paraId="4CEA5DAA">
      <w:pPr>
        <w:pStyle w:val="24"/>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b w:val="0"/>
          <w:bCs w:val="0"/>
          <w:spacing w:val="0"/>
          <w:kern w:val="2"/>
          <w:sz w:val="44"/>
          <w:szCs w:val="44"/>
        </w:rPr>
      </w:pPr>
      <w:r>
        <w:rPr>
          <w:rFonts w:hint="eastAsia" w:ascii="方正小标宋简体" w:hAnsi="方正小标宋简体" w:eastAsia="方正小标宋简体" w:cs="方正小标宋简体"/>
          <w:b w:val="0"/>
          <w:bCs w:val="0"/>
          <w:snapToGrid/>
          <w:color w:val="000000"/>
          <w:spacing w:val="0"/>
          <w:kern w:val="2"/>
          <w:sz w:val="44"/>
          <w:szCs w:val="44"/>
          <w:lang w:val="en-US" w:eastAsia="zh-CN" w:bidi="ar"/>
        </w:rPr>
        <w:t>2024年中央和省级财政农业相关转移支付</w:t>
      </w:r>
    </w:p>
    <w:p w14:paraId="4AC509EF">
      <w:pPr>
        <w:pStyle w:val="24"/>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b w:val="0"/>
          <w:bCs w:val="0"/>
          <w:spacing w:val="0"/>
          <w:kern w:val="2"/>
          <w:sz w:val="44"/>
          <w:szCs w:val="44"/>
        </w:rPr>
      </w:pPr>
      <w:r>
        <w:rPr>
          <w:rFonts w:hint="eastAsia" w:ascii="方正小标宋简体" w:hAnsi="方正小标宋简体" w:eastAsia="方正小标宋简体" w:cs="方正小标宋简体"/>
          <w:b w:val="0"/>
          <w:bCs w:val="0"/>
          <w:snapToGrid/>
          <w:color w:val="000000"/>
          <w:spacing w:val="0"/>
          <w:kern w:val="2"/>
          <w:sz w:val="44"/>
          <w:szCs w:val="44"/>
          <w:lang w:val="en-US" w:eastAsia="zh-CN" w:bidi="ar"/>
        </w:rPr>
        <w:t>资金（动物防疫）专项资金预算项目</w:t>
      </w:r>
    </w:p>
    <w:p w14:paraId="0418D72E">
      <w:pPr>
        <w:pStyle w:val="24"/>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b w:val="0"/>
          <w:bCs w:val="0"/>
          <w:spacing w:val="0"/>
          <w:kern w:val="2"/>
          <w:sz w:val="44"/>
          <w:szCs w:val="44"/>
        </w:rPr>
      </w:pPr>
      <w:r>
        <w:rPr>
          <w:rFonts w:hint="eastAsia" w:ascii="方正小标宋简体" w:hAnsi="方正小标宋简体" w:eastAsia="方正小标宋简体" w:cs="方正小标宋简体"/>
          <w:b w:val="0"/>
          <w:bCs w:val="0"/>
          <w:snapToGrid/>
          <w:color w:val="000000"/>
          <w:spacing w:val="0"/>
          <w:kern w:val="2"/>
          <w:sz w:val="44"/>
          <w:szCs w:val="44"/>
          <w:lang w:val="en-US" w:eastAsia="zh-CN" w:bidi="ar"/>
        </w:rPr>
        <w:t>绩效自评报告</w:t>
      </w:r>
    </w:p>
    <w:p w14:paraId="385BA233">
      <w:pPr>
        <w:pStyle w:val="24"/>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jc w:val="both"/>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 xml:space="preserve"> </w:t>
      </w:r>
    </w:p>
    <w:p w14:paraId="6291696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2"/>
          <w:sz w:val="32"/>
          <w:szCs w:val="32"/>
        </w:rPr>
      </w:pPr>
      <w:r>
        <w:rPr>
          <w:rFonts w:hint="default" w:ascii="黑体" w:hAnsi="宋体" w:eastAsia="黑体" w:cs="黑体"/>
          <w:b w:val="0"/>
          <w:bCs w:val="0"/>
          <w:snapToGrid/>
          <w:color w:val="000000"/>
          <w:kern w:val="2"/>
          <w:sz w:val="32"/>
          <w:szCs w:val="32"/>
          <w:lang w:val="en-US" w:eastAsia="zh-CN" w:bidi="ar"/>
        </w:rPr>
        <w:t>一、项目概况</w:t>
      </w:r>
    </w:p>
    <w:p w14:paraId="3C16B55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2"/>
          <w:sz w:val="32"/>
          <w:szCs w:val="32"/>
        </w:rPr>
      </w:pPr>
      <w:r>
        <w:rPr>
          <w:rFonts w:hint="default" w:ascii="楷体" w:hAnsi="楷体" w:eastAsia="楷体" w:cs="楷体"/>
          <w:b w:val="0"/>
          <w:bCs w:val="0"/>
          <w:snapToGrid/>
          <w:color w:val="000000"/>
          <w:kern w:val="2"/>
          <w:sz w:val="32"/>
          <w:szCs w:val="32"/>
          <w:lang w:val="en-US" w:eastAsia="zh-CN" w:bidi="ar"/>
        </w:rPr>
        <w:t>（一）设立背景及基本情况</w:t>
      </w:r>
    </w:p>
    <w:p w14:paraId="757757B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2"/>
          <w:sz w:val="32"/>
          <w:szCs w:val="32"/>
        </w:rPr>
      </w:pPr>
      <w:r>
        <w:rPr>
          <w:rFonts w:hint="default" w:ascii="仿宋" w:hAnsi="仿宋" w:eastAsia="仿宋" w:cs="仿宋"/>
          <w:snapToGrid/>
          <w:color w:val="000000"/>
          <w:kern w:val="2"/>
          <w:sz w:val="32"/>
          <w:szCs w:val="32"/>
          <w:lang w:val="en-US" w:eastAsia="zh-CN" w:bidi="ar"/>
        </w:rPr>
        <w:t>根据财政部  农业部《关于印发〈动物防疫等补助经费管理办法〉的通知》（财农〔2017〕43号）、《农业防灾减灾和水利救灾资金管理办法》（财农〔2023〕13号）、《四川省省级财政农业高质量发展共同财政事权转移支付资金管理办法》（川财农〔2023〕3号）等文件精神，要求动物防疫补助经费用于“强制免疫补助，强制扑杀补助，养殖环节无害化处理补助，且在完成各项动物防疫工作任务的前提下，可在本专项支出范围内统筹使用动物防疫等补助经费。区农业农村局为该项目主管部门。</w:t>
      </w:r>
    </w:p>
    <w:p w14:paraId="51FAA72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2"/>
          <w:sz w:val="32"/>
          <w:szCs w:val="32"/>
        </w:rPr>
      </w:pPr>
      <w:r>
        <w:rPr>
          <w:rFonts w:hint="default" w:ascii="楷体" w:hAnsi="楷体" w:eastAsia="楷体" w:cs="楷体"/>
          <w:b w:val="0"/>
          <w:bCs w:val="0"/>
          <w:snapToGrid/>
          <w:color w:val="000000"/>
          <w:kern w:val="2"/>
          <w:sz w:val="32"/>
          <w:szCs w:val="32"/>
          <w:lang w:val="en-US" w:eastAsia="zh-CN" w:bidi="ar"/>
        </w:rPr>
        <w:t>（二）实施目的及支持方向</w:t>
      </w:r>
    </w:p>
    <w:p w14:paraId="6A53481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2"/>
          <w:sz w:val="32"/>
          <w:szCs w:val="32"/>
        </w:rPr>
      </w:pPr>
      <w:r>
        <w:rPr>
          <w:rFonts w:hint="default" w:ascii="仿宋" w:hAnsi="仿宋" w:eastAsia="仿宋" w:cs="仿宋"/>
          <w:snapToGrid/>
          <w:color w:val="000000"/>
          <w:kern w:val="2"/>
          <w:sz w:val="32"/>
          <w:szCs w:val="32"/>
          <w:lang w:val="en-US" w:eastAsia="zh-CN" w:bidi="ar"/>
        </w:rPr>
        <w:t>资金全部制定使用方案，报区人民政府，同意后再具体实施，主要用于全区动物防疫综合补助。</w:t>
      </w:r>
    </w:p>
    <w:p w14:paraId="254F8A9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2"/>
          <w:sz w:val="32"/>
          <w:szCs w:val="32"/>
        </w:rPr>
      </w:pPr>
      <w:r>
        <w:rPr>
          <w:rFonts w:hint="default" w:ascii="楷体" w:hAnsi="楷体" w:eastAsia="楷体" w:cs="楷体"/>
          <w:b w:val="0"/>
          <w:bCs w:val="0"/>
          <w:snapToGrid/>
          <w:color w:val="000000"/>
          <w:kern w:val="2"/>
          <w:sz w:val="32"/>
          <w:szCs w:val="32"/>
          <w:lang w:val="en-US" w:eastAsia="zh-CN" w:bidi="ar"/>
        </w:rPr>
        <w:t>（三）预算安排及分配管理</w:t>
      </w:r>
    </w:p>
    <w:p w14:paraId="58F7768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2"/>
          <w:sz w:val="32"/>
          <w:szCs w:val="32"/>
        </w:rPr>
      </w:pPr>
      <w:r>
        <w:rPr>
          <w:rFonts w:hint="default" w:ascii="仿宋" w:hAnsi="仿宋" w:eastAsia="仿宋" w:cs="仿宋"/>
          <w:snapToGrid/>
          <w:color w:val="000000"/>
          <w:kern w:val="2"/>
          <w:sz w:val="32"/>
          <w:szCs w:val="32"/>
          <w:lang w:val="en-US" w:eastAsia="zh-CN" w:bidi="ar"/>
        </w:rPr>
        <w:t>根据资金使用方案制定，主要用于全区村防疫员动物防疫服务劳务补发放、防疫物资采购、强制扑杀补助、养殖环节无害化处理补助等方面。</w:t>
      </w:r>
    </w:p>
    <w:p w14:paraId="42784A3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2"/>
          <w:sz w:val="32"/>
          <w:szCs w:val="32"/>
        </w:rPr>
      </w:pPr>
      <w:r>
        <w:rPr>
          <w:rFonts w:hint="default" w:ascii="黑体" w:hAnsi="宋体" w:eastAsia="黑体" w:cs="黑体"/>
          <w:b w:val="0"/>
          <w:bCs w:val="0"/>
          <w:snapToGrid/>
          <w:color w:val="000000"/>
          <w:kern w:val="2"/>
          <w:sz w:val="32"/>
          <w:szCs w:val="32"/>
          <w:lang w:val="en-US" w:eastAsia="zh-CN" w:bidi="ar"/>
        </w:rPr>
        <w:t>二、评价实施</w:t>
      </w:r>
    </w:p>
    <w:p w14:paraId="5103FBB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2"/>
          <w:sz w:val="32"/>
          <w:szCs w:val="32"/>
        </w:rPr>
      </w:pPr>
      <w:r>
        <w:rPr>
          <w:rFonts w:hint="default" w:ascii="楷体" w:hAnsi="楷体" w:eastAsia="楷体" w:cs="楷体"/>
          <w:b w:val="0"/>
          <w:bCs w:val="0"/>
          <w:snapToGrid/>
          <w:color w:val="000000"/>
          <w:kern w:val="2"/>
          <w:sz w:val="32"/>
          <w:szCs w:val="32"/>
          <w:lang w:val="en-US" w:eastAsia="zh-CN" w:bidi="ar"/>
        </w:rPr>
        <w:t>（一）项目主要内容</w:t>
      </w:r>
    </w:p>
    <w:p w14:paraId="1E198F1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2"/>
          <w:sz w:val="32"/>
          <w:szCs w:val="32"/>
        </w:rPr>
      </w:pPr>
      <w:r>
        <w:rPr>
          <w:rFonts w:hint="default" w:ascii="仿宋" w:hAnsi="仿宋" w:eastAsia="仿宋" w:cs="仿宋"/>
          <w:snapToGrid/>
          <w:color w:val="000000"/>
          <w:kern w:val="2"/>
          <w:sz w:val="32"/>
          <w:szCs w:val="32"/>
          <w:lang w:val="en-US" w:eastAsia="zh-CN" w:bidi="ar"/>
        </w:rPr>
        <w:t>拟通过项目实施确保我区高致病性禽流感、口蹄疫、小反刍兽疫等优先防治病种防控保持平稳，资金使用无重大违规违纪问题，中央财政补助经费使用率100%，依法对重大动物疫情处置率100%，高致病性禽流感、口蹄疫、小反刍兽疫等应免畜禽免疫密度达到90%以上，抗体合格率达到70%以上。</w:t>
      </w:r>
    </w:p>
    <w:p w14:paraId="3E49995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2"/>
          <w:sz w:val="32"/>
          <w:szCs w:val="32"/>
        </w:rPr>
      </w:pPr>
      <w:r>
        <w:rPr>
          <w:rFonts w:hint="default" w:ascii="楷体" w:hAnsi="楷体" w:eastAsia="楷体" w:cs="楷体"/>
          <w:b w:val="0"/>
          <w:bCs w:val="0"/>
          <w:snapToGrid/>
          <w:color w:val="000000"/>
          <w:kern w:val="2"/>
          <w:sz w:val="32"/>
          <w:szCs w:val="32"/>
          <w:lang w:val="en-US" w:eastAsia="zh-CN" w:bidi="ar"/>
        </w:rPr>
        <w:t>（二）项目应实现的具体绩效目标</w:t>
      </w:r>
    </w:p>
    <w:p w14:paraId="1ACCB18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2"/>
          <w:sz w:val="32"/>
          <w:szCs w:val="32"/>
        </w:rPr>
      </w:pPr>
      <w:r>
        <w:rPr>
          <w:rFonts w:hint="default" w:ascii="仿宋" w:hAnsi="仿宋" w:eastAsia="仿宋" w:cs="仿宋"/>
          <w:snapToGrid/>
          <w:color w:val="000000"/>
          <w:spacing w:val="0"/>
          <w:kern w:val="0"/>
          <w:sz w:val="32"/>
          <w:szCs w:val="32"/>
          <w:lang w:val="en-US" w:eastAsia="zh-CN" w:bidi="ar"/>
        </w:rPr>
        <w:t>1.</w:t>
      </w:r>
      <w:r>
        <w:rPr>
          <w:rFonts w:hint="default" w:ascii="仿宋" w:hAnsi="仿宋" w:eastAsia="仿宋" w:cs="仿宋"/>
          <w:snapToGrid/>
          <w:color w:val="000000"/>
          <w:kern w:val="2"/>
          <w:sz w:val="32"/>
          <w:szCs w:val="32"/>
          <w:lang w:val="en-US" w:eastAsia="zh-CN" w:bidi="ar"/>
        </w:rPr>
        <w:t>用于全区村防疫员动物防疫服务劳务补助27.55万；</w:t>
      </w:r>
    </w:p>
    <w:p w14:paraId="2744698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2"/>
          <w:sz w:val="32"/>
          <w:szCs w:val="32"/>
        </w:rPr>
      </w:pPr>
      <w:r>
        <w:rPr>
          <w:rFonts w:hint="default" w:ascii="仿宋" w:hAnsi="仿宋" w:eastAsia="仿宋" w:cs="仿宋"/>
          <w:snapToGrid/>
          <w:color w:val="000000"/>
          <w:kern w:val="2"/>
          <w:sz w:val="32"/>
          <w:szCs w:val="32"/>
          <w:lang w:val="en-US" w:eastAsia="zh-CN" w:bidi="ar"/>
        </w:rPr>
        <w:t>2.用于高致病性禽流感、口蹄疫、小反刍兽疫等重大动物疫病和非洲猪瘟、猪瘟、布病、新城疫等其它动物疫病监测所需的检测试剂、耗材及冷链设备，添置、更换实验室仪器、设备、防护用品，实验室医疗废弃物处置、实验室运行水电，实验动物购买（租赁）、培训（实验）场地租赁，支出39.7802万元；</w:t>
      </w:r>
    </w:p>
    <w:p w14:paraId="70057F3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2"/>
          <w:sz w:val="32"/>
          <w:szCs w:val="32"/>
        </w:rPr>
      </w:pPr>
      <w:r>
        <w:rPr>
          <w:rFonts w:hint="default" w:ascii="仿宋" w:hAnsi="仿宋" w:eastAsia="仿宋" w:cs="仿宋"/>
          <w:snapToGrid/>
          <w:color w:val="000000"/>
          <w:kern w:val="2"/>
          <w:sz w:val="32"/>
          <w:szCs w:val="32"/>
          <w:lang w:val="en-US" w:eastAsia="zh-CN" w:bidi="ar"/>
        </w:rPr>
        <w:t>3.用于采购消毒药品等应急物资，支出13.2万元；</w:t>
      </w:r>
    </w:p>
    <w:p w14:paraId="25BE303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2"/>
          <w:sz w:val="32"/>
          <w:szCs w:val="32"/>
        </w:rPr>
      </w:pPr>
      <w:r>
        <w:rPr>
          <w:rFonts w:hint="default" w:ascii="仿宋" w:hAnsi="仿宋" w:eastAsia="仿宋" w:cs="仿宋"/>
          <w:snapToGrid/>
          <w:color w:val="000000"/>
          <w:kern w:val="2"/>
          <w:sz w:val="32"/>
          <w:szCs w:val="32"/>
          <w:lang w:val="en-US" w:eastAsia="zh-CN" w:bidi="ar"/>
        </w:rPr>
        <w:t>4.用于采购兽用狂犬疫苗，支出9.77万元；</w:t>
      </w:r>
    </w:p>
    <w:p w14:paraId="058F722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2"/>
          <w:sz w:val="32"/>
          <w:szCs w:val="32"/>
        </w:rPr>
      </w:pPr>
      <w:r>
        <w:rPr>
          <w:rFonts w:hint="default" w:ascii="仿宋" w:hAnsi="仿宋" w:eastAsia="仿宋" w:cs="仿宋"/>
          <w:snapToGrid/>
          <w:color w:val="000000"/>
          <w:kern w:val="2"/>
          <w:sz w:val="32"/>
          <w:szCs w:val="32"/>
          <w:lang w:val="en-US" w:eastAsia="zh-CN" w:bidi="ar"/>
        </w:rPr>
        <w:t>5.</w:t>
      </w:r>
      <w:r>
        <w:rPr>
          <w:rFonts w:hint="default" w:ascii="仿宋" w:hAnsi="仿宋" w:eastAsia="仿宋" w:cs="仿宋"/>
          <w:snapToGrid/>
          <w:color w:val="000000"/>
          <w:spacing w:val="0"/>
          <w:kern w:val="2"/>
          <w:sz w:val="32"/>
          <w:szCs w:val="32"/>
          <w:lang w:val="en-US" w:eastAsia="zh-CN" w:bidi="ar"/>
        </w:rPr>
        <w:t>山里来家庭农场布鲁氏阳性牛扑杀补助经费，支出18万元；</w:t>
      </w:r>
    </w:p>
    <w:p w14:paraId="32B54C4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2"/>
          <w:sz w:val="32"/>
          <w:szCs w:val="32"/>
        </w:rPr>
      </w:pPr>
      <w:r>
        <w:rPr>
          <w:rFonts w:hint="default" w:ascii="仿宋" w:hAnsi="仿宋" w:eastAsia="仿宋" w:cs="仿宋"/>
          <w:snapToGrid/>
          <w:color w:val="000000"/>
          <w:kern w:val="2"/>
          <w:sz w:val="32"/>
          <w:szCs w:val="32"/>
          <w:lang w:val="en-US" w:eastAsia="zh-CN" w:bidi="ar"/>
        </w:rPr>
        <w:t>6.全区死亡畜禽无害化处理，支出16.62万元；</w:t>
      </w:r>
    </w:p>
    <w:p w14:paraId="6557807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Arial" w:hAnsi="Arial" w:cs="Arial"/>
          <w:color w:val="000000"/>
          <w:kern w:val="0"/>
          <w:sz w:val="21"/>
          <w:szCs w:val="21"/>
        </w:rPr>
      </w:pPr>
      <w:r>
        <w:rPr>
          <w:rFonts w:hint="default" w:ascii="仿宋" w:hAnsi="仿宋" w:eastAsia="仿宋" w:cs="仿宋"/>
          <w:snapToGrid/>
          <w:color w:val="000000"/>
          <w:kern w:val="2"/>
          <w:sz w:val="32"/>
          <w:szCs w:val="32"/>
          <w:lang w:val="en-US" w:eastAsia="zh-CN" w:bidi="ar"/>
        </w:rPr>
        <w:t>7.抗体合格率70%以上；</w:t>
      </w:r>
    </w:p>
    <w:p w14:paraId="4F135A5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2"/>
          <w:sz w:val="32"/>
          <w:szCs w:val="32"/>
        </w:rPr>
      </w:pPr>
      <w:r>
        <w:rPr>
          <w:rFonts w:hint="default" w:ascii="仿宋" w:hAnsi="仿宋" w:eastAsia="仿宋" w:cs="仿宋"/>
          <w:snapToGrid/>
          <w:color w:val="000000"/>
          <w:kern w:val="2"/>
          <w:sz w:val="32"/>
          <w:szCs w:val="32"/>
          <w:lang w:val="en-US" w:eastAsia="zh-CN" w:bidi="ar"/>
        </w:rPr>
        <w:t>8.群众满意度达到96%以上。</w:t>
      </w:r>
    </w:p>
    <w:p w14:paraId="4226A74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2"/>
          <w:sz w:val="32"/>
          <w:szCs w:val="32"/>
        </w:rPr>
      </w:pPr>
      <w:r>
        <w:rPr>
          <w:rFonts w:hint="default" w:ascii="楷体" w:hAnsi="楷体" w:eastAsia="楷体" w:cs="楷体"/>
          <w:b w:val="0"/>
          <w:bCs w:val="0"/>
          <w:snapToGrid/>
          <w:color w:val="000000"/>
          <w:kern w:val="2"/>
          <w:sz w:val="32"/>
          <w:szCs w:val="32"/>
          <w:lang w:val="en-US" w:eastAsia="zh-CN" w:bidi="ar"/>
        </w:rPr>
        <w:t>（三）评价选点</w:t>
      </w:r>
    </w:p>
    <w:p w14:paraId="0318141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2"/>
          <w:sz w:val="32"/>
          <w:szCs w:val="32"/>
        </w:rPr>
      </w:pPr>
      <w:r>
        <w:rPr>
          <w:rFonts w:hint="default" w:ascii="仿宋" w:hAnsi="仿宋" w:eastAsia="仿宋" w:cs="仿宋"/>
          <w:snapToGrid/>
          <w:color w:val="000000"/>
          <w:kern w:val="2"/>
          <w:sz w:val="32"/>
          <w:szCs w:val="32"/>
          <w:lang w:val="en-US" w:eastAsia="zh-CN" w:bidi="ar"/>
        </w:rPr>
        <w:t>评价申报内容与实际相符，申报目标合理可行。专项预算绩效自评实地踏勘点位清单表见附表2。</w:t>
      </w:r>
    </w:p>
    <w:p w14:paraId="4403D7B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2"/>
          <w:sz w:val="32"/>
          <w:szCs w:val="32"/>
        </w:rPr>
      </w:pPr>
      <w:r>
        <w:rPr>
          <w:rFonts w:hint="default" w:ascii="楷体" w:hAnsi="楷体" w:eastAsia="楷体" w:cs="楷体"/>
          <w:b w:val="0"/>
          <w:bCs w:val="0"/>
          <w:snapToGrid/>
          <w:color w:val="000000"/>
          <w:kern w:val="2"/>
          <w:sz w:val="32"/>
          <w:szCs w:val="32"/>
          <w:lang w:val="en-US" w:eastAsia="zh-CN" w:bidi="ar"/>
        </w:rPr>
        <w:t>（四）项目自评步骤及方法</w:t>
      </w:r>
    </w:p>
    <w:p w14:paraId="0059F47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2"/>
          <w:sz w:val="32"/>
          <w:szCs w:val="32"/>
        </w:rPr>
      </w:pPr>
      <w:r>
        <w:rPr>
          <w:rFonts w:hint="default" w:ascii="仿宋" w:hAnsi="仿宋" w:eastAsia="仿宋" w:cs="仿宋"/>
          <w:snapToGrid/>
          <w:color w:val="000000"/>
          <w:kern w:val="2"/>
          <w:sz w:val="32"/>
          <w:szCs w:val="32"/>
          <w:lang w:val="en-US" w:eastAsia="zh-CN" w:bidi="ar"/>
        </w:rPr>
        <w:t>动物防疫经资金，属于专项资金，资金可滚动结余使用，不涉及项目自评。</w:t>
      </w:r>
    </w:p>
    <w:p w14:paraId="22681C4B">
      <w:pPr>
        <w:keepNext w:val="0"/>
        <w:keepLines w:val="0"/>
        <w:widowControl w:val="0"/>
        <w:numPr>
          <w:ilvl w:val="0"/>
          <w:numId w:val="4"/>
        </w:numPr>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kern w:val="0"/>
          <w:sz w:val="32"/>
          <w:szCs w:val="32"/>
          <w:vertAlign w:val="baseline"/>
        </w:rPr>
      </w:pPr>
      <w:r>
        <w:rPr>
          <w:rFonts w:hint="default" w:ascii="楷体" w:hAnsi="楷体" w:eastAsia="楷体" w:cs="楷体"/>
          <w:b w:val="0"/>
          <w:bCs w:val="0"/>
          <w:snapToGrid/>
          <w:color w:val="000000"/>
          <w:kern w:val="0"/>
          <w:sz w:val="32"/>
          <w:szCs w:val="32"/>
          <w:vertAlign w:val="baseline"/>
          <w:lang w:val="en-US" w:eastAsia="zh-CN" w:bidi="ar"/>
        </w:rPr>
        <w:t>评价组织</w:t>
      </w:r>
    </w:p>
    <w:p w14:paraId="3CEA2E0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2"/>
          <w:sz w:val="32"/>
          <w:szCs w:val="32"/>
        </w:rPr>
      </w:pPr>
      <w:r>
        <w:rPr>
          <w:rFonts w:hint="default" w:ascii="仿宋" w:hAnsi="仿宋" w:eastAsia="仿宋" w:cs="仿宋"/>
          <w:snapToGrid/>
          <w:color w:val="000000"/>
          <w:kern w:val="2"/>
          <w:sz w:val="32"/>
          <w:szCs w:val="32"/>
          <w:lang w:val="en-US" w:eastAsia="zh-CN" w:bidi="ar"/>
        </w:rPr>
        <w:t>评价组设立在广元市利州区动物疫病预防控制中心，中心全体工作人员共计4人为评价组人员，设组长1名，成员3名，按照评价内容开展项目绩效评价工作，利州区农业农村局机关纪检委员的全程监督。</w:t>
      </w:r>
    </w:p>
    <w:p w14:paraId="3FEEDF4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2"/>
          <w:sz w:val="32"/>
          <w:szCs w:val="32"/>
        </w:rPr>
      </w:pPr>
      <w:r>
        <w:rPr>
          <w:rFonts w:hint="default" w:ascii="黑体" w:hAnsi="宋体" w:eastAsia="黑体" w:cs="黑体"/>
          <w:b w:val="0"/>
          <w:bCs w:val="0"/>
          <w:snapToGrid/>
          <w:color w:val="000000"/>
          <w:kern w:val="2"/>
          <w:sz w:val="32"/>
          <w:szCs w:val="32"/>
          <w:lang w:val="en-US" w:eastAsia="zh-CN" w:bidi="ar"/>
        </w:rPr>
        <w:t>三、绩效分析</w:t>
      </w:r>
    </w:p>
    <w:p w14:paraId="3958182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2"/>
          <w:sz w:val="32"/>
          <w:szCs w:val="32"/>
        </w:rPr>
      </w:pPr>
      <w:r>
        <w:rPr>
          <w:rFonts w:hint="default" w:ascii="楷体" w:hAnsi="楷体" w:eastAsia="楷体" w:cs="楷体"/>
          <w:b w:val="0"/>
          <w:bCs w:val="0"/>
          <w:snapToGrid/>
          <w:color w:val="000000"/>
          <w:kern w:val="2"/>
          <w:sz w:val="32"/>
          <w:szCs w:val="32"/>
          <w:lang w:val="en-US" w:eastAsia="zh-CN" w:bidi="ar"/>
        </w:rPr>
        <w:t>（一）通用指标绩效分析。</w:t>
      </w:r>
    </w:p>
    <w:p w14:paraId="081162C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2"/>
          <w:sz w:val="32"/>
          <w:szCs w:val="32"/>
        </w:rPr>
      </w:pPr>
      <w:r>
        <w:rPr>
          <w:rFonts w:hint="default" w:ascii="仿宋" w:hAnsi="仿宋" w:eastAsia="仿宋" w:cs="仿宋"/>
          <w:snapToGrid/>
          <w:color w:val="000000"/>
          <w:kern w:val="2"/>
          <w:sz w:val="32"/>
          <w:szCs w:val="32"/>
          <w:lang w:val="en-US" w:eastAsia="zh-CN" w:bidi="ar"/>
        </w:rPr>
        <w:t>1．项目决策。项目决策程序严密，规划论证符合中省市区要求，绩效目标设置科学合理。项目资金与项目总体规划、相关行业事业发展相匹配，聚焦强制免疫补助，强制扑杀补助，养殖环节无害化处理补助等多个方面，确保全区全年无重大疫病发生.</w:t>
      </w:r>
    </w:p>
    <w:p w14:paraId="2F4F1E6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2"/>
          <w:sz w:val="32"/>
          <w:szCs w:val="32"/>
        </w:rPr>
      </w:pPr>
      <w:r>
        <w:rPr>
          <w:rFonts w:hint="default" w:ascii="仿宋" w:hAnsi="仿宋" w:eastAsia="仿宋" w:cs="仿宋"/>
          <w:snapToGrid/>
          <w:color w:val="000000"/>
          <w:kern w:val="2"/>
          <w:sz w:val="32"/>
          <w:szCs w:val="32"/>
          <w:lang w:val="en-US" w:eastAsia="zh-CN" w:bidi="ar"/>
        </w:rPr>
        <w:t>2．项目管理。项目实施单位执行相关法律法规、项目管理制度合理，严格履行项目招投标程序、项目公示制等相关规定。</w:t>
      </w:r>
    </w:p>
    <w:p w14:paraId="47C366A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2"/>
          <w:sz w:val="32"/>
          <w:szCs w:val="32"/>
        </w:rPr>
      </w:pPr>
      <w:r>
        <w:rPr>
          <w:rFonts w:hint="default" w:ascii="仿宋" w:hAnsi="仿宋" w:eastAsia="仿宋" w:cs="仿宋"/>
          <w:snapToGrid/>
          <w:color w:val="000000"/>
          <w:kern w:val="2"/>
          <w:sz w:val="32"/>
          <w:szCs w:val="32"/>
          <w:lang w:val="en-US" w:eastAsia="zh-CN" w:bidi="ar"/>
        </w:rPr>
        <w:t>3．项目实施。2024年中央和省级财政农业相关转移支付资金（动物防疫）专项资金共计到位127.52万元。分别用于全区村防疫员动物防疫服务劳务补发放、防疫物资采购、强制扑杀补助、养殖环节无害化处理补助等方面。项目资金使用、拨付符合国家财经法规、财务管理制度及有关专项资金管理制度办法规定和审批程序，无超范围、超标准、超进度使用专项资金等情况，无资金损失浪费、长期沉淀、截留、挤占、挪用、虚列支出等情况，项目实施遵守相关法律法规。</w:t>
      </w:r>
    </w:p>
    <w:p w14:paraId="7C641A0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2"/>
          <w:sz w:val="32"/>
          <w:szCs w:val="32"/>
        </w:rPr>
      </w:pPr>
      <w:r>
        <w:rPr>
          <w:rFonts w:hint="default" w:ascii="仿宋" w:hAnsi="仿宋" w:eastAsia="仿宋" w:cs="仿宋"/>
          <w:snapToGrid/>
          <w:color w:val="000000"/>
          <w:kern w:val="2"/>
          <w:sz w:val="32"/>
          <w:szCs w:val="32"/>
          <w:lang w:val="en-US" w:eastAsia="zh-CN" w:bidi="ar"/>
        </w:rPr>
        <w:t>4．项目结果。通过项目实施确保我区高致病性禽流感、口蹄疫、小反刍兽疫等优先防治病种防控保持平稳，资金使用无重大违规违纪问题，财政补助经费使用率100%，依法对重大动物疫情处置率100%，高致病性禽流感、口蹄疫、小反刍兽疫等应免畜禽免疫密度达到90%以上，抗体合格率达到70%以上。</w:t>
      </w:r>
    </w:p>
    <w:p w14:paraId="6F10F31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color w:val="000000"/>
          <w:spacing w:val="0"/>
          <w:kern w:val="0"/>
          <w:sz w:val="32"/>
          <w:szCs w:val="32"/>
        </w:rPr>
      </w:pPr>
      <w:r>
        <w:rPr>
          <w:rFonts w:hint="default" w:ascii="楷体" w:hAnsi="楷体" w:eastAsia="楷体" w:cs="楷体"/>
          <w:b w:val="0"/>
          <w:bCs w:val="0"/>
          <w:snapToGrid/>
          <w:color w:val="000000"/>
          <w:kern w:val="2"/>
          <w:sz w:val="32"/>
          <w:szCs w:val="32"/>
          <w:lang w:val="en-US" w:eastAsia="zh-CN" w:bidi="ar"/>
        </w:rPr>
        <w:t>（二）专用指标绩效分析。</w:t>
      </w:r>
    </w:p>
    <w:p w14:paraId="3A9C620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2"/>
          <w:sz w:val="32"/>
          <w:szCs w:val="32"/>
        </w:rPr>
      </w:pPr>
      <w:r>
        <w:rPr>
          <w:rFonts w:hint="default" w:ascii="仿宋" w:hAnsi="仿宋" w:eastAsia="仿宋" w:cs="仿宋"/>
          <w:snapToGrid/>
          <w:color w:val="000000"/>
          <w:kern w:val="2"/>
          <w:sz w:val="32"/>
          <w:szCs w:val="32"/>
          <w:lang w:val="en-US" w:eastAsia="zh-CN" w:bidi="ar"/>
        </w:rPr>
        <w:t>从经济效益看，保障了养殖业安全，增加养殖户收入。从社会效益看，保障了我区养殖业安全，增强了业主养殖信心。从生态效益指标看，降低了动物疫病传播风险，减少老百姓损失。从可持续发展指标看，降低了动物疫病传播风险，增强了后续开展养殖活动的信心。从可持续影响看，对全区养殖业安全有帮助。从服务对象满意度看，受益群众满意度高。</w:t>
      </w:r>
    </w:p>
    <w:p w14:paraId="3AA954B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2"/>
          <w:sz w:val="32"/>
          <w:szCs w:val="32"/>
        </w:rPr>
      </w:pPr>
      <w:r>
        <w:rPr>
          <w:rFonts w:hint="default" w:ascii="楷体" w:hAnsi="楷体" w:eastAsia="楷体" w:cs="楷体"/>
          <w:b w:val="0"/>
          <w:bCs w:val="0"/>
          <w:snapToGrid/>
          <w:color w:val="000000"/>
          <w:kern w:val="2"/>
          <w:sz w:val="32"/>
          <w:szCs w:val="32"/>
          <w:lang w:val="en-US" w:eastAsia="zh-CN" w:bidi="ar"/>
        </w:rPr>
        <w:t>（三）个性指标绩效分析。</w:t>
      </w:r>
    </w:p>
    <w:p w14:paraId="101BF5F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2"/>
          <w:sz w:val="32"/>
          <w:szCs w:val="32"/>
        </w:rPr>
      </w:pPr>
      <w:r>
        <w:rPr>
          <w:rFonts w:hint="default" w:ascii="仿宋" w:hAnsi="仿宋" w:eastAsia="仿宋" w:cs="仿宋"/>
          <w:snapToGrid/>
          <w:color w:val="000000"/>
          <w:kern w:val="2"/>
          <w:sz w:val="32"/>
          <w:szCs w:val="32"/>
          <w:lang w:val="en-US" w:eastAsia="zh-CN" w:bidi="ar"/>
        </w:rPr>
        <w:t>全区全年无重大疫病发生，高致病性禽流感、口蹄疫、小反刍兽疫等应免畜禽免疫密度达到90%以上，抗体合格率达到70%以上。</w:t>
      </w:r>
    </w:p>
    <w:p w14:paraId="3C5C912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2"/>
          <w:sz w:val="32"/>
          <w:szCs w:val="32"/>
        </w:rPr>
      </w:pPr>
      <w:r>
        <w:rPr>
          <w:rFonts w:hint="default" w:ascii="黑体" w:hAnsi="宋体" w:eastAsia="黑体" w:cs="黑体"/>
          <w:b w:val="0"/>
          <w:bCs w:val="0"/>
          <w:snapToGrid/>
          <w:color w:val="000000"/>
          <w:kern w:val="2"/>
          <w:sz w:val="32"/>
          <w:szCs w:val="32"/>
          <w:lang w:val="en-US" w:eastAsia="zh-CN" w:bidi="ar"/>
        </w:rPr>
        <w:t>四、评价结论</w:t>
      </w:r>
    </w:p>
    <w:p w14:paraId="4AA6818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2"/>
          <w:sz w:val="32"/>
          <w:szCs w:val="32"/>
        </w:rPr>
      </w:pPr>
      <w:r>
        <w:rPr>
          <w:rFonts w:hint="default" w:ascii="仿宋" w:hAnsi="仿宋" w:eastAsia="仿宋" w:cs="仿宋"/>
          <w:snapToGrid/>
          <w:color w:val="000000"/>
          <w:kern w:val="2"/>
          <w:sz w:val="32"/>
          <w:szCs w:val="32"/>
          <w:lang w:val="en-US" w:eastAsia="zh-CN" w:bidi="ar"/>
        </w:rPr>
        <w:t>通过项目实施确保我区高致病性禽流感、口蹄疫、小反刍兽疫等优先防治病种防控保持平稳，资金使用无重大违规违纪问题，财政补助经费使用率100%，依法对重大动物疫情处置率100%，高致病性禽流感、口蹄疫、小反刍兽疫等应免畜禽免疫密度达到90%以上，抗体合格率达到70%以上。</w:t>
      </w:r>
    </w:p>
    <w:p w14:paraId="76030C8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2"/>
          <w:sz w:val="32"/>
          <w:szCs w:val="32"/>
        </w:rPr>
      </w:pPr>
      <w:r>
        <w:rPr>
          <w:rFonts w:hint="default" w:ascii="黑体" w:hAnsi="宋体" w:eastAsia="黑体" w:cs="黑体"/>
          <w:b w:val="0"/>
          <w:bCs w:val="0"/>
          <w:snapToGrid/>
          <w:color w:val="000000"/>
          <w:kern w:val="2"/>
          <w:sz w:val="32"/>
          <w:szCs w:val="32"/>
          <w:lang w:val="en-US" w:eastAsia="zh-CN" w:bidi="ar"/>
        </w:rPr>
        <w:t>五、存在主要问题</w:t>
      </w:r>
    </w:p>
    <w:p w14:paraId="3BAB5B8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2"/>
          <w:sz w:val="32"/>
          <w:szCs w:val="32"/>
        </w:rPr>
      </w:pPr>
      <w:r>
        <w:rPr>
          <w:rFonts w:hint="default" w:ascii="仿宋" w:hAnsi="仿宋" w:eastAsia="仿宋" w:cs="仿宋"/>
          <w:snapToGrid/>
          <w:color w:val="000000"/>
          <w:kern w:val="2"/>
          <w:sz w:val="32"/>
          <w:szCs w:val="32"/>
          <w:lang w:val="en-US" w:eastAsia="zh-CN" w:bidi="ar"/>
        </w:rPr>
        <w:t>无</w:t>
      </w:r>
    </w:p>
    <w:p w14:paraId="1318B47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2"/>
          <w:sz w:val="32"/>
          <w:szCs w:val="32"/>
        </w:rPr>
      </w:pPr>
      <w:r>
        <w:rPr>
          <w:rFonts w:hint="default" w:ascii="黑体" w:hAnsi="宋体" w:eastAsia="黑体" w:cs="黑体"/>
          <w:b w:val="0"/>
          <w:bCs w:val="0"/>
          <w:snapToGrid/>
          <w:color w:val="000000"/>
          <w:kern w:val="2"/>
          <w:sz w:val="32"/>
          <w:szCs w:val="32"/>
          <w:lang w:val="en-US" w:eastAsia="zh-CN" w:bidi="ar"/>
        </w:rPr>
        <w:t>六、改进建议</w:t>
      </w:r>
    </w:p>
    <w:p w14:paraId="46A31F5D">
      <w:pPr>
        <w:pStyle w:val="24"/>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spacing w:val="0"/>
          <w:kern w:val="0"/>
          <w:sz w:val="32"/>
          <w:szCs w:val="32"/>
          <w:vertAlign w:val="baseline"/>
        </w:rPr>
      </w:pPr>
      <w:r>
        <w:rPr>
          <w:rFonts w:hint="default" w:ascii="仿宋" w:hAnsi="仿宋" w:eastAsia="仿宋" w:cs="仿宋"/>
          <w:snapToGrid/>
          <w:color w:val="000000"/>
          <w:spacing w:val="0"/>
          <w:kern w:val="0"/>
          <w:sz w:val="32"/>
          <w:szCs w:val="32"/>
          <w:vertAlign w:val="baseline"/>
          <w:lang w:val="en-US" w:eastAsia="zh-CN" w:bidi="ar"/>
        </w:rPr>
        <w:t>无</w:t>
      </w:r>
    </w:p>
    <w:p w14:paraId="36B7F3F4">
      <w:pPr>
        <w:pStyle w:val="24"/>
        <w:keepNext w:val="0"/>
        <w:keepLines w:val="0"/>
        <w:widowControl/>
        <w:suppressLineNumbers w:val="0"/>
        <w:kinsoku w:val="0"/>
        <w:autoSpaceDE w:val="0"/>
        <w:autoSpaceDN w:val="0"/>
        <w:adjustRightInd w:val="0"/>
        <w:snapToGrid w:val="0"/>
        <w:spacing w:before="50" w:beforeLines="50" w:beforeAutospacing="0" w:after="50" w:afterLines="50" w:afterAutospacing="0"/>
        <w:ind w:left="0" w:right="0"/>
        <w:jc w:val="center"/>
        <w:textAlignment w:val="baseline"/>
        <w:rPr>
          <w:rFonts w:hint="default" w:ascii="Times New Roman" w:hAnsi="Times New Roman" w:eastAsia="黑体" w:cs="Arial"/>
          <w:color w:val="000000"/>
          <w:kern w:val="0"/>
          <w:sz w:val="21"/>
          <w:szCs w:val="21"/>
        </w:rPr>
      </w:pPr>
      <w:r>
        <w:rPr>
          <w:rFonts w:hint="default" w:ascii="Times New Roman" w:hAnsi="Times New Roman" w:eastAsia="黑体" w:cs="Arial"/>
          <w:snapToGrid/>
          <w:color w:val="000000"/>
          <w:kern w:val="0"/>
          <w:sz w:val="21"/>
          <w:szCs w:val="21"/>
          <w:lang w:val="en-US" w:eastAsia="zh-CN" w:bidi="ar"/>
        </w:rPr>
        <w:t xml:space="preserve"> </w:t>
      </w:r>
    </w:p>
    <w:p w14:paraId="7D1E78B4">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snapToGrid/>
          <w:color w:val="000000"/>
          <w:kern w:val="0"/>
          <w:sz w:val="44"/>
          <w:szCs w:val="44"/>
          <w:lang w:val="en-US" w:eastAsia="zh-CN" w:bidi="ar"/>
        </w:rPr>
        <w:br w:type="page"/>
      </w:r>
    </w:p>
    <w:p w14:paraId="52BBB620">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snapToGrid/>
          <w:color w:val="000000"/>
          <w:kern w:val="0"/>
          <w:sz w:val="44"/>
          <w:szCs w:val="44"/>
          <w:lang w:val="en-US" w:eastAsia="zh-CN" w:bidi="ar"/>
        </w:rPr>
        <w:t>2024年农村综合改革转移支付项目专项预算绩效自评报告</w:t>
      </w:r>
    </w:p>
    <w:p w14:paraId="39950CDE">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 xml:space="preserve"> </w:t>
      </w:r>
    </w:p>
    <w:p w14:paraId="31BB8F91">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一、项目概况</w:t>
      </w:r>
    </w:p>
    <w:p w14:paraId="106C0F62">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（一）设立背景及基本情况</w:t>
      </w:r>
    </w:p>
    <w:p w14:paraId="5562B2DE">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1.设立背景</w:t>
      </w:r>
    </w:p>
    <w:p w14:paraId="60348052">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①落实中央决策部署</w:t>
      </w:r>
    </w:p>
    <w:p w14:paraId="4F132C76">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农村综合改革是党中央推进全面深化改革的重要组成部分，旨在通过财政资金引导，解决农村公益事业建设滞后、村级集体经济薄弱等问题，保障国家粮食安全，激发基层重农抓粮积极性。</w:t>
      </w:r>
    </w:p>
    <w:p w14:paraId="246F10CD">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②应对财政收支矛盾</w:t>
      </w:r>
    </w:p>
    <w:p w14:paraId="465657A0">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中西部及东北地区财政自给率较低，依赖中央转移支付支持农村发展。2023年中央对地方转移支付规模首次突破10万亿元，成为地方政府尤其是基层政府的重要财源，转移支付改革被纳入《中共中央关于进一步全面深化改革推进中国式现代化的决定》的核心内容。</w:t>
      </w:r>
    </w:p>
    <w:p w14:paraId="2C2997A0">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③完善财政管理体系</w:t>
      </w:r>
    </w:p>
    <w:p w14:paraId="4F0414B0">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根据《预算法》及全面预算绩效管理要求，需规范资金分配、使用和监督流程，提升资金使用效益。财政部于2023年修订《农村综合改革转移支付资金管理办法》（财农〔2023〕81号），明确资金管理框架。</w:t>
      </w:r>
    </w:p>
    <w:p w14:paraId="3AF4E721">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2.基本情况</w:t>
      </w:r>
    </w:p>
    <w:p w14:paraId="1925D809">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①资金使用范围</w:t>
      </w:r>
    </w:p>
    <w:p w14:paraId="2707C289">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农村公益事业建设财政奖补：支持“村内户外”公益项目，如道路硬化、亮化、绿化、文化广场、村容村貌改造等，需通过村民民主程序议定。</w:t>
      </w:r>
    </w:p>
    <w:p w14:paraId="031F3767">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示范试点项目：包括国家级和省级农村综合改革试点，如田园综合体建设、集体经济发展等，需承担特定改革任务。</w:t>
      </w:r>
    </w:p>
    <w:p w14:paraId="3D378B1F">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其他支出：部分地区扩展至美丽乡村建设、厕所革命后续管护、村级集体经济发展等。</w:t>
      </w:r>
    </w:p>
    <w:p w14:paraId="0E35B24A">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②资金分配方式</w:t>
      </w:r>
    </w:p>
    <w:p w14:paraId="26323DD0">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因素法分配：以乡村人口数、村委会个数、上年财政投入、预算执行情况等为权重。</w:t>
      </w:r>
    </w:p>
    <w:p w14:paraId="45509F71">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定额补助：对承担示范试点任务或绩效评价优秀的地区实行定额支持。</w:t>
      </w:r>
    </w:p>
    <w:p w14:paraId="0FAF9E39">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调节机制：根据绩效评价结果、财政困难系数、审计问题等动态调整分配。</w:t>
      </w:r>
    </w:p>
    <w:p w14:paraId="103EE87E">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③绩效管理与监督</w:t>
      </w:r>
    </w:p>
    <w:p w14:paraId="6E99CDDA">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全过程绩效管理：要求市县财政部门开展绩效自评，省级审核汇总并重点评价，结果作为预算调整依据。</w:t>
      </w:r>
    </w:p>
    <w:p w14:paraId="246AAA8E">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资金监管：实行国库集中支付，禁止用于楼堂馆所、债务偿还等无关支出，严查挤占挪用行为。</w:t>
      </w:r>
    </w:p>
    <w:p w14:paraId="76446716">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责任追究：对违规分配、挪用资金等行为依法追责。</w:t>
      </w:r>
    </w:p>
    <w:p w14:paraId="4326EB35">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（二）实施目的及支持方向</w:t>
      </w:r>
    </w:p>
    <w:p w14:paraId="77A6EB9F">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1.实施目的</w:t>
      </w:r>
    </w:p>
    <w:p w14:paraId="7E00E51E">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①落实中央及地方农村改革部署</w:t>
      </w:r>
    </w:p>
    <w:p w14:paraId="4A12CAD5">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支持农村综合改革重大政策落地，推动农村体制机制创新，包括农村公益事业、集体经济发展、农垦改革等重点领域，确保党中央、国务院及省委省政府决策部署的贯彻执行。</w:t>
      </w:r>
    </w:p>
    <w:p w14:paraId="017872A5">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②优化农村公共服务与基础设施</w:t>
      </w:r>
    </w:p>
    <w:p w14:paraId="78DCAC21">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通过财政奖补，改善村内道路、水利设施、环境整治等基础设施，提升村民生活质量和公共服务水平。</w:t>
      </w:r>
    </w:p>
    <w:p w14:paraId="39C974F7">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③激发农村内生动力</w:t>
      </w:r>
    </w:p>
    <w:p w14:paraId="4AC0015D">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采用以奖代补、民办公助等方式，引导社会资金参与农村建设，放大财政资金效能，增强农村可持续发展能力。</w:t>
      </w:r>
    </w:p>
    <w:p w14:paraId="5F64CF79">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④强化资金绩效与规范管理</w:t>
      </w:r>
    </w:p>
    <w:p w14:paraId="1B6E5599">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通过全过程预算绩效管理，确保资金使用合规、高效，避免浪费和挪用，同时防范地方政府隐性债务风险。</w:t>
      </w:r>
    </w:p>
    <w:p w14:paraId="681A97D2">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2.支持方向：</w:t>
      </w:r>
    </w:p>
    <w:p w14:paraId="748F1B85">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①农村公益事业建设财政奖补</w:t>
      </w:r>
    </w:p>
    <w:p w14:paraId="16A358B7">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范围：支持农民通过民主程序议定的“村内户外”公益项目，如村内道路硬化、坑塘沟渠整治、村容村貌改造、小型水利设施等。</w:t>
      </w:r>
    </w:p>
    <w:p w14:paraId="48A2D04C">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限制：不得用于村民庭院内项目、集体经济发展、非建设类公益事业或与村内无关的项目。</w:t>
      </w:r>
    </w:p>
    <w:p w14:paraId="4B0927AE">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②农村综合改革发展示范试点</w:t>
      </w:r>
    </w:p>
    <w:p w14:paraId="08674507">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类型：包括国家级和省级试点，如农村综合性改革试点试验、田园综合体建设试点等，重点支持承担中央或省级改革任务的地区。</w:t>
      </w:r>
    </w:p>
    <w:p w14:paraId="4DA20411">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资金分配：采用定额补助，优先支持工作成效显著、绩效评价结果优秀的地区。</w:t>
      </w:r>
    </w:p>
    <w:p w14:paraId="28F78156">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（三）预算安排及分配管理</w:t>
      </w:r>
    </w:p>
    <w:p w14:paraId="28F7E41C">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预算资金106万元，用于付补短强弱项目款等、代付2024年厕所革命项目等、付2024年农综改革第二卷（路灯）、付2024年农综改革项目款（路灯）、付兽医社会化服务试点经费第二笔、代付2024年农综改革资金等。</w:t>
      </w:r>
    </w:p>
    <w:p w14:paraId="0D8D594C">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（四）项目绩效目标设置</w:t>
      </w:r>
    </w:p>
    <w:p w14:paraId="41D2EDCB">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为贯彻落实《中共四川省委办公厅四川省人民政府办公厅关于深入实施预算绩效管理的通知》（川委厅〔2022〕5号），根据《中央对地方专项转移支付绩效目标管理暂行办法》（财预〔2015〕163号）和《四川省农村综合改革转移支付绩效管理办法》（川财农〔2019〕61号）等要求，此次下达的农村公益设施建设数量为 2024年全年的绩效目标。我部门按照有关要求加强全过程绩效管理，确保年度绩效目标如期实现。</w:t>
      </w:r>
    </w:p>
    <w:p w14:paraId="458E3092">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二、评价实施</w:t>
      </w:r>
    </w:p>
    <w:p w14:paraId="4B97D6E3">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（一）评价目的</w:t>
      </w:r>
    </w:p>
    <w:p w14:paraId="0CA4AA50">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通过绩效自评，能够更清楚的了解到该项目的实施情况，能够对我区的农综改革有更深层次的认识，能直接联系到人民群众，对农村改革及发展和后续工作的开展有重要意义。</w:t>
      </w:r>
    </w:p>
    <w:p w14:paraId="4C507DC4">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（二）预设问题及评价重点</w:t>
      </w:r>
    </w:p>
    <w:p w14:paraId="2057A7F5">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1.资金保障方面</w:t>
      </w:r>
    </w:p>
    <w:p w14:paraId="72DDC717">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2.预算使用效率提高措施及方案</w:t>
      </w:r>
    </w:p>
    <w:p w14:paraId="18A58DD9">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该项目实施过程较为流程化，并没有能够提高预算使用效率的措施及方案。</w:t>
      </w:r>
    </w:p>
    <w:p w14:paraId="27319D9F">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3.平台操作方面</w:t>
      </w:r>
    </w:p>
    <w:p w14:paraId="54BA2624">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该项目资金发放是通过“一卡通”平台，但各乡镇、街道人事变动、交接不顺、业务不熟等多方面原因，会导致工作滞后。</w:t>
      </w:r>
    </w:p>
    <w:p w14:paraId="709CE6D1">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（三）评价选点</w:t>
      </w:r>
    </w:p>
    <w:p w14:paraId="6F0A5B86">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项目补助主多为社区，例嘉陵千佛社区、龙潭驿地和社区、大石矛盾调节等。按照评价选点要求，可推荐相关点位进行实地踏勘，见附表。</w:t>
      </w:r>
    </w:p>
    <w:p w14:paraId="20391811">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（四）评价方法</w:t>
      </w:r>
    </w:p>
    <w:p w14:paraId="121A484A">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该项目实施主要是以单位自评和各乡镇、街道上报的月度表册为主。单位自评是我单位能对该项目的实施按照自评表进行准确评价。</w:t>
      </w:r>
    </w:p>
    <w:p w14:paraId="25B0BBC1">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（五）评价组织</w:t>
      </w:r>
    </w:p>
    <w:p w14:paraId="5663707E">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评价主要由区农业农村局负责。</w:t>
      </w:r>
    </w:p>
    <w:p w14:paraId="28F8BE2A">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三、绩效分析</w:t>
      </w:r>
    </w:p>
    <w:p w14:paraId="3E83840F">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（一）通用指标绩效分析</w:t>
      </w:r>
    </w:p>
    <w:p w14:paraId="6E474FF4">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spacing w:val="0"/>
          <w:kern w:val="0"/>
          <w:sz w:val="32"/>
          <w:szCs w:val="32"/>
          <w:vertAlign w:val="baseline"/>
        </w:rPr>
      </w:pPr>
      <w:r>
        <w:rPr>
          <w:rFonts w:hint="default" w:ascii="仿宋" w:hAnsi="仿宋" w:eastAsia="仿宋" w:cs="仿宋"/>
          <w:b w:val="0"/>
          <w:bCs w:val="0"/>
          <w:snapToGrid/>
          <w:color w:val="000000"/>
          <w:spacing w:val="0"/>
          <w:kern w:val="0"/>
          <w:sz w:val="32"/>
          <w:szCs w:val="32"/>
          <w:vertAlign w:val="baseline"/>
          <w:lang w:val="en-US" w:eastAsia="zh-CN" w:bidi="ar"/>
        </w:rPr>
        <w:t>1.项目决策</w:t>
      </w:r>
    </w:p>
    <w:p w14:paraId="58C0582D">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spacing w:val="0"/>
          <w:kern w:val="0"/>
          <w:sz w:val="32"/>
          <w:szCs w:val="32"/>
          <w:vertAlign w:val="baseline"/>
        </w:rPr>
      </w:pPr>
      <w:r>
        <w:rPr>
          <w:rFonts w:hint="default" w:ascii="仿宋" w:hAnsi="仿宋" w:eastAsia="仿宋" w:cs="仿宋"/>
          <w:b w:val="0"/>
          <w:bCs w:val="0"/>
          <w:snapToGrid/>
          <w:color w:val="000000"/>
          <w:spacing w:val="0"/>
          <w:kern w:val="0"/>
          <w:sz w:val="32"/>
          <w:szCs w:val="32"/>
          <w:vertAlign w:val="baseline"/>
          <w:lang w:val="en-US" w:eastAsia="zh-CN" w:bidi="ar"/>
        </w:rPr>
        <w:t>该项目主要以《中共四川省委办公厅四川省人民政府办公厅关于深入实施预算绩效管理的通知》（川委厅〔2022〕5号），根据《中央对地方专项转移支付绩效目标管理暂行办法》（财预〔2015〕163号）和《四川省农村综合改革转移支付绩效管理办法》（川财农〔2019〕61号）文件做支撑，资金按照政策比例合理列支，经申报、统计、审核后，通过“一卡通”平台发放。</w:t>
      </w:r>
    </w:p>
    <w:p w14:paraId="39B4E759">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spacing w:val="0"/>
          <w:kern w:val="0"/>
          <w:sz w:val="32"/>
          <w:szCs w:val="32"/>
          <w:vertAlign w:val="baseline"/>
        </w:rPr>
      </w:pPr>
      <w:r>
        <w:rPr>
          <w:rFonts w:hint="default" w:ascii="仿宋" w:hAnsi="仿宋" w:eastAsia="仿宋" w:cs="仿宋"/>
          <w:b w:val="0"/>
          <w:bCs w:val="0"/>
          <w:snapToGrid/>
          <w:color w:val="000000"/>
          <w:spacing w:val="0"/>
          <w:kern w:val="0"/>
          <w:sz w:val="32"/>
          <w:szCs w:val="32"/>
          <w:vertAlign w:val="baseline"/>
          <w:lang w:val="en-US" w:eastAsia="zh-CN" w:bidi="ar"/>
        </w:rPr>
        <w:t>2.项目管理及实施</w:t>
      </w:r>
    </w:p>
    <w:p w14:paraId="00E486FB">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spacing w:val="0"/>
          <w:kern w:val="0"/>
          <w:sz w:val="32"/>
          <w:szCs w:val="32"/>
          <w:vertAlign w:val="baseline"/>
        </w:rPr>
      </w:pPr>
      <w:r>
        <w:rPr>
          <w:rFonts w:hint="default" w:ascii="仿宋" w:hAnsi="仿宋" w:eastAsia="仿宋" w:cs="仿宋"/>
          <w:b w:val="0"/>
          <w:bCs w:val="0"/>
          <w:snapToGrid/>
          <w:color w:val="000000"/>
          <w:spacing w:val="0"/>
          <w:kern w:val="0"/>
          <w:sz w:val="32"/>
          <w:szCs w:val="32"/>
          <w:vertAlign w:val="baseline"/>
          <w:lang w:val="en-US" w:eastAsia="zh-CN" w:bidi="ar"/>
        </w:rPr>
        <w:t>该项目实施过程严格按照各项文件要求执行。</w:t>
      </w:r>
    </w:p>
    <w:p w14:paraId="03EA63B7">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spacing w:val="0"/>
          <w:kern w:val="0"/>
          <w:sz w:val="32"/>
          <w:szCs w:val="32"/>
          <w:vertAlign w:val="baseline"/>
        </w:rPr>
      </w:pPr>
      <w:r>
        <w:rPr>
          <w:rFonts w:hint="default" w:ascii="仿宋" w:hAnsi="仿宋" w:eastAsia="仿宋" w:cs="仿宋"/>
          <w:b w:val="0"/>
          <w:bCs w:val="0"/>
          <w:snapToGrid/>
          <w:color w:val="000000"/>
          <w:spacing w:val="0"/>
          <w:kern w:val="0"/>
          <w:sz w:val="32"/>
          <w:szCs w:val="32"/>
          <w:vertAlign w:val="baseline"/>
          <w:lang w:val="en-US" w:eastAsia="zh-CN" w:bidi="ar"/>
        </w:rPr>
        <w:t>3.项目结果</w:t>
      </w:r>
    </w:p>
    <w:p w14:paraId="38CE303D">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（二）专用指标绩效分析</w:t>
      </w:r>
    </w:p>
    <w:p w14:paraId="729C58D6">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1.产出指标</w:t>
      </w:r>
    </w:p>
    <w:p w14:paraId="074D2B01">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（1）数量指标</w:t>
      </w:r>
    </w:p>
    <w:p w14:paraId="73A23205">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利州区2024年完工农村公益事业项目18个、美丽乡村项目3个，农村公益设施建设22个，均超额完成目标。</w:t>
      </w:r>
    </w:p>
    <w:p w14:paraId="13998F5F">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（2）质量指标</w:t>
      </w:r>
    </w:p>
    <w:p w14:paraId="2226009F">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利州区农村公益事业和美丽乡村建设项目验收合格率均为100%，且建立台账覆盖率100%。</w:t>
      </w:r>
    </w:p>
    <w:p w14:paraId="3ABABC67">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（3）时效指标</w:t>
      </w:r>
    </w:p>
    <w:p w14:paraId="4DE30346">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利州区2023年材料报送及时性达100%，资金拨付进度达85%以上。</w:t>
      </w:r>
    </w:p>
    <w:p w14:paraId="28118B5C">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2.效益指标</w:t>
      </w:r>
    </w:p>
    <w:p w14:paraId="029429E7">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（1）生态效益</w:t>
      </w:r>
    </w:p>
    <w:p w14:paraId="3D1F5A61">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利州区实施道路硬化、农田水利等项目，人居环境改善率达93.8%。</w:t>
      </w:r>
    </w:p>
    <w:p w14:paraId="4666DC1E">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（2）社会效益</w:t>
      </w:r>
    </w:p>
    <w:p w14:paraId="5154327B">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农村综合性改革试点试验地区乡村治理能力有所提升。</w:t>
      </w:r>
    </w:p>
    <w:p w14:paraId="32F7B8A3">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（3）可持续影响</w:t>
      </w:r>
    </w:p>
    <w:p w14:paraId="22375730">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建立农村公益事业建设财政奖补滚动项目，通过国家农村综合性改革试点试验探索的可复制、可推广机制创新模式3项。 </w:t>
      </w:r>
    </w:p>
    <w:p w14:paraId="5B19AA3C">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3.满意度指标</w:t>
      </w:r>
    </w:p>
    <w:p w14:paraId="0CDB0028">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农民满意度：利州区农民满意度达96.6%，广元市群众满意度≥90%。</w:t>
      </w:r>
    </w:p>
    <w:p w14:paraId="2A97725F">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基层干部满意度：利州区干部满意度100%，广元试点地区干部评价较高。</w:t>
      </w:r>
    </w:p>
    <w:p w14:paraId="54427CD4">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四、评价结论</w:t>
      </w:r>
    </w:p>
    <w:p w14:paraId="58DF34F1">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vertAlign w:val="baseline"/>
        </w:rPr>
      </w:pPr>
      <w:r>
        <w:rPr>
          <w:rFonts w:hint="default" w:ascii="仿宋" w:hAnsi="仿宋" w:eastAsia="仿宋" w:cs="仿宋"/>
          <w:b w:val="0"/>
          <w:bCs w:val="0"/>
          <w:snapToGrid/>
          <w:color w:val="000000"/>
          <w:kern w:val="0"/>
          <w:sz w:val="32"/>
          <w:szCs w:val="32"/>
          <w:vertAlign w:val="baseline"/>
          <w:lang w:val="en-US" w:eastAsia="zh-CN" w:bidi="ar"/>
        </w:rPr>
        <w:t>按照自评表相关要求，本次自评结果为98分（总分100分）。</w:t>
      </w:r>
    </w:p>
    <w:p w14:paraId="2DDC89D4">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五、存在主要问题</w:t>
      </w:r>
    </w:p>
    <w:p w14:paraId="2651BC00">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color w:val="000000"/>
          <w:spacing w:val="0"/>
          <w:kern w:val="0"/>
          <w:sz w:val="32"/>
          <w:szCs w:val="32"/>
          <w:vertAlign w:val="baseline"/>
        </w:rPr>
      </w:pPr>
      <w:r>
        <w:rPr>
          <w:rFonts w:hint="default" w:ascii="楷体" w:hAnsi="楷体" w:eastAsia="楷体" w:cs="楷体"/>
          <w:b w:val="0"/>
          <w:bCs w:val="0"/>
          <w:snapToGrid/>
          <w:color w:val="000000"/>
          <w:spacing w:val="0"/>
          <w:kern w:val="0"/>
          <w:sz w:val="32"/>
          <w:szCs w:val="32"/>
          <w:vertAlign w:val="baseline"/>
          <w:lang w:val="en-US" w:eastAsia="zh-CN" w:bidi="ar"/>
        </w:rPr>
        <w:t>（一）跨部门协作不足</w:t>
      </w:r>
    </w:p>
    <w:p w14:paraId="2C45885A">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spacing w:val="0"/>
          <w:kern w:val="0"/>
          <w:sz w:val="32"/>
          <w:szCs w:val="32"/>
          <w:vertAlign w:val="baseline"/>
        </w:rPr>
      </w:pPr>
      <w:r>
        <w:rPr>
          <w:rFonts w:hint="default" w:ascii="仿宋" w:hAnsi="仿宋" w:eastAsia="仿宋" w:cs="仿宋"/>
          <w:b w:val="0"/>
          <w:bCs w:val="0"/>
          <w:snapToGrid/>
          <w:color w:val="000000"/>
          <w:spacing w:val="0"/>
          <w:kern w:val="0"/>
          <w:sz w:val="32"/>
          <w:szCs w:val="32"/>
          <w:vertAlign w:val="baseline"/>
          <w:lang w:val="en-US" w:eastAsia="zh-CN" w:bidi="ar"/>
        </w:rPr>
        <w:t>农村产权制度改革涉及农业、林业、国土、住建等多个部门，但部分改革试点（如宅基地“三权分置”、集体经营性建设用地入市）存在权责划分模糊、信息共享不畅的问题。</w:t>
      </w:r>
    </w:p>
    <w:p w14:paraId="6AE12BA0">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楷体" w:hAnsi="楷体" w:eastAsia="楷体" w:cs="楷体"/>
          <w:b w:val="0"/>
          <w:bCs w:val="0"/>
          <w:color w:val="000000"/>
          <w:spacing w:val="0"/>
          <w:kern w:val="0"/>
          <w:sz w:val="32"/>
          <w:szCs w:val="32"/>
          <w:vertAlign w:val="baseline"/>
        </w:rPr>
      </w:pPr>
      <w:r>
        <w:rPr>
          <w:rFonts w:hint="default" w:ascii="楷体" w:hAnsi="楷体" w:eastAsia="楷体" w:cs="楷体"/>
          <w:b w:val="0"/>
          <w:bCs w:val="0"/>
          <w:snapToGrid/>
          <w:color w:val="000000"/>
          <w:spacing w:val="0"/>
          <w:kern w:val="0"/>
          <w:sz w:val="32"/>
          <w:szCs w:val="32"/>
          <w:vertAlign w:val="baseline"/>
          <w:lang w:val="en-US" w:eastAsia="zh-CN" w:bidi="ar"/>
        </w:rPr>
        <w:t>（二）政策落地与执行偏差</w:t>
      </w:r>
    </w:p>
    <w:p w14:paraId="4FDE7BC9">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spacing w:val="0"/>
          <w:kern w:val="0"/>
          <w:sz w:val="32"/>
          <w:szCs w:val="32"/>
          <w:vertAlign w:val="baseline"/>
        </w:rPr>
      </w:pPr>
      <w:r>
        <w:rPr>
          <w:rFonts w:hint="default" w:ascii="仿宋" w:hAnsi="仿宋" w:eastAsia="仿宋" w:cs="仿宋"/>
          <w:b w:val="0"/>
          <w:bCs w:val="0"/>
          <w:snapToGrid/>
          <w:color w:val="000000"/>
          <w:spacing w:val="0"/>
          <w:kern w:val="0"/>
          <w:sz w:val="32"/>
          <w:szCs w:val="32"/>
          <w:vertAlign w:val="baseline"/>
          <w:lang w:val="en-US" w:eastAsia="zh-CN" w:bidi="ar"/>
        </w:rPr>
        <w:t>部分改革政策（如农村集体资产股权量化）在基层执行中面临阻力。</w:t>
      </w:r>
    </w:p>
    <w:p w14:paraId="17E27CC1">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六、改进建议</w:t>
      </w:r>
    </w:p>
    <w:p w14:paraId="3A136A72">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spacing w:val="0"/>
          <w:kern w:val="0"/>
          <w:sz w:val="32"/>
          <w:szCs w:val="32"/>
          <w:vertAlign w:val="baseline"/>
        </w:rPr>
      </w:pPr>
      <w:r>
        <w:rPr>
          <w:rFonts w:hint="default" w:ascii="仿宋" w:hAnsi="仿宋" w:eastAsia="仿宋" w:cs="仿宋"/>
          <w:b w:val="0"/>
          <w:bCs w:val="0"/>
          <w:snapToGrid/>
          <w:color w:val="000000"/>
          <w:spacing w:val="0"/>
          <w:kern w:val="0"/>
          <w:sz w:val="32"/>
          <w:szCs w:val="32"/>
          <w:vertAlign w:val="baseline"/>
          <w:lang w:val="en-US" w:eastAsia="zh-CN" w:bidi="ar"/>
        </w:rPr>
        <w:t>强化跨部门协同机制，建立改革联席会议制度；</w:t>
      </w:r>
    </w:p>
    <w:p w14:paraId="1C722112">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spacing w:val="0"/>
          <w:kern w:val="0"/>
          <w:sz w:val="32"/>
          <w:szCs w:val="32"/>
          <w:vertAlign w:val="baseline"/>
        </w:rPr>
      </w:pPr>
      <w:r>
        <w:rPr>
          <w:rFonts w:hint="default" w:ascii="仿宋" w:hAnsi="仿宋" w:eastAsia="仿宋" w:cs="仿宋"/>
          <w:b w:val="0"/>
          <w:bCs w:val="0"/>
          <w:snapToGrid/>
          <w:color w:val="000000"/>
          <w:spacing w:val="0"/>
          <w:kern w:val="0"/>
          <w:sz w:val="32"/>
          <w:szCs w:val="32"/>
          <w:vertAlign w:val="baseline"/>
          <w:lang w:val="en-US" w:eastAsia="zh-CN" w:bidi="ar"/>
        </w:rPr>
        <w:t>完善产权交易风险防控体系，引入第三方评估机构；</w:t>
      </w:r>
    </w:p>
    <w:p w14:paraId="4552EF39">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spacing w:val="0"/>
          <w:kern w:val="0"/>
          <w:sz w:val="32"/>
          <w:szCs w:val="32"/>
          <w:vertAlign w:val="baseline"/>
        </w:rPr>
      </w:pPr>
      <w:r>
        <w:rPr>
          <w:rFonts w:hint="default" w:ascii="仿宋" w:hAnsi="仿宋" w:eastAsia="仿宋" w:cs="仿宋"/>
          <w:b w:val="0"/>
          <w:bCs w:val="0"/>
          <w:snapToGrid/>
          <w:color w:val="000000"/>
          <w:spacing w:val="0"/>
          <w:kern w:val="0"/>
          <w:sz w:val="32"/>
          <w:szCs w:val="32"/>
          <w:vertAlign w:val="baseline"/>
          <w:lang w:val="en-US" w:eastAsia="zh-CN" w:bidi="ar"/>
        </w:rPr>
        <w:t>探索多元化收益分配模式，建立动态调整机制；</w:t>
      </w:r>
    </w:p>
    <w:p w14:paraId="1B46679D">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spacing w:val="0"/>
          <w:kern w:val="0"/>
          <w:sz w:val="32"/>
          <w:szCs w:val="32"/>
          <w:vertAlign w:val="baseline"/>
        </w:rPr>
      </w:pPr>
      <w:r>
        <w:rPr>
          <w:rFonts w:hint="default" w:ascii="仿宋" w:hAnsi="仿宋" w:eastAsia="仿宋" w:cs="仿宋"/>
          <w:b w:val="0"/>
          <w:bCs w:val="0"/>
          <w:snapToGrid/>
          <w:color w:val="000000"/>
          <w:spacing w:val="0"/>
          <w:kern w:val="0"/>
          <w:sz w:val="32"/>
          <w:szCs w:val="32"/>
          <w:vertAlign w:val="baseline"/>
          <w:lang w:val="en-US" w:eastAsia="zh-CN" w:bidi="ar"/>
        </w:rPr>
        <w:t>加强土地流转纠纷仲裁能力建设，推广数字化监管平台。</w:t>
      </w:r>
    </w:p>
    <w:p w14:paraId="3C4543D5">
      <w:pPr>
        <w:keepNext w:val="0"/>
        <w:keepLines w:val="0"/>
        <w:widowControl w:val="0"/>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spacing w:val="0"/>
          <w:kern w:val="0"/>
          <w:sz w:val="32"/>
          <w:szCs w:val="32"/>
          <w:vertAlign w:val="baseline"/>
        </w:rPr>
      </w:pPr>
      <w:r>
        <w:rPr>
          <w:rFonts w:hint="default" w:ascii="仿宋" w:hAnsi="仿宋" w:eastAsia="仿宋" w:cs="仿宋"/>
          <w:b w:val="0"/>
          <w:bCs w:val="0"/>
          <w:snapToGrid/>
          <w:color w:val="000000"/>
          <w:spacing w:val="0"/>
          <w:kern w:val="0"/>
          <w:sz w:val="32"/>
          <w:szCs w:val="32"/>
          <w:vertAlign w:val="baseline"/>
          <w:lang w:val="en-US" w:eastAsia="zh-CN" w:bidi="ar"/>
        </w:rPr>
        <w:t xml:space="preserve"> </w:t>
      </w:r>
    </w:p>
    <w:p w14:paraId="7E3C4EC9">
      <w:pPr>
        <w:keepNext w:val="0"/>
        <w:keepLines w:val="0"/>
        <w:widowControl/>
        <w:suppressLineNumbers w:val="0"/>
        <w:kinsoku w:val="0"/>
        <w:autoSpaceDE w:val="0"/>
        <w:autoSpaceDN w:val="0"/>
        <w:adjustRightInd w:val="0"/>
        <w:snapToGrid w:val="0"/>
        <w:spacing w:before="0" w:beforeAutospacing="0" w:after="0" w:afterAutospacing="0" w:line="576" w:lineRule="exact"/>
        <w:ind w:left="0" w:right="0"/>
        <w:jc w:val="left"/>
        <w:textAlignment w:val="baseline"/>
        <w:rPr>
          <w:rFonts w:hint="default" w:ascii="仿宋" w:hAnsi="仿宋" w:eastAsia="仿宋" w:cs="仿宋"/>
          <w:color w:val="000000"/>
          <w:spacing w:val="0"/>
          <w:kern w:val="0"/>
          <w:sz w:val="32"/>
          <w:szCs w:val="32"/>
        </w:rPr>
      </w:pPr>
      <w:r>
        <w:rPr>
          <w:rFonts w:hint="default" w:ascii="仿宋" w:hAnsi="仿宋" w:eastAsia="仿宋" w:cs="仿宋"/>
          <w:snapToGrid/>
          <w:color w:val="000000"/>
          <w:spacing w:val="0"/>
          <w:kern w:val="0"/>
          <w:sz w:val="32"/>
          <w:szCs w:val="32"/>
          <w:lang w:val="en-US" w:eastAsia="zh-CN" w:bidi="ar"/>
        </w:rPr>
        <w:t xml:space="preserve"> </w:t>
      </w:r>
    </w:p>
    <w:p w14:paraId="13B3A137">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br w:type="page"/>
      </w:r>
    </w:p>
    <w:p w14:paraId="32C0C0AC">
      <w:pPr>
        <w:pStyle w:val="24"/>
        <w:keepNext w:val="0"/>
        <w:keepLines w:val="0"/>
        <w:widowControl/>
        <w:suppressLineNumbers w:val="0"/>
        <w:kinsoku w:val="0"/>
        <w:autoSpaceDE w:val="0"/>
        <w:autoSpaceDN w:val="0"/>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kern w:val="0"/>
          <w:sz w:val="44"/>
          <w:szCs w:val="44"/>
          <w:vertAlign w:val="baseline"/>
        </w:rPr>
      </w:pPr>
      <w:r>
        <w:rPr>
          <w:rFonts w:hint="eastAsia" w:ascii="方正小标宋简体" w:hAnsi="方正小标宋简体" w:eastAsia="方正小标宋简体" w:cs="方正小标宋简体"/>
          <w:snapToGrid/>
          <w:color w:val="000000"/>
          <w:kern w:val="0"/>
          <w:sz w:val="44"/>
          <w:szCs w:val="44"/>
          <w:vertAlign w:val="baseline"/>
          <w:lang w:val="en-US" w:eastAsia="zh-CN" w:bidi="ar"/>
        </w:rPr>
        <w:t>广元市利州区2024年大豆玉米带状复合种植</w:t>
      </w:r>
    </w:p>
    <w:p w14:paraId="004E82F6">
      <w:pPr>
        <w:pStyle w:val="24"/>
        <w:keepNext w:val="0"/>
        <w:keepLines w:val="0"/>
        <w:widowControl/>
        <w:suppressLineNumbers w:val="0"/>
        <w:kinsoku w:val="0"/>
        <w:autoSpaceDE w:val="0"/>
        <w:autoSpaceDN w:val="0"/>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kern w:val="0"/>
          <w:sz w:val="44"/>
          <w:szCs w:val="44"/>
          <w:vertAlign w:val="baseline"/>
        </w:rPr>
      </w:pPr>
      <w:r>
        <w:rPr>
          <w:rFonts w:hint="eastAsia" w:ascii="方正小标宋简体" w:hAnsi="方正小标宋简体" w:eastAsia="方正小标宋简体" w:cs="方正小标宋简体"/>
          <w:snapToGrid/>
          <w:color w:val="000000"/>
          <w:kern w:val="0"/>
          <w:sz w:val="44"/>
          <w:szCs w:val="44"/>
          <w:vertAlign w:val="baseline"/>
          <w:lang w:val="en-US" w:eastAsia="zh-CN" w:bidi="ar"/>
        </w:rPr>
        <w:t>项目绩效自评报告</w:t>
      </w:r>
    </w:p>
    <w:p w14:paraId="05788111">
      <w:pPr>
        <w:pStyle w:val="24"/>
        <w:keepNext w:val="0"/>
        <w:keepLines w:val="0"/>
        <w:widowControl/>
        <w:suppressLineNumbers w:val="0"/>
        <w:kinsoku w:val="0"/>
        <w:autoSpaceDE w:val="0"/>
        <w:autoSpaceDN w:val="0"/>
        <w:adjustRightInd w:val="0"/>
        <w:snapToGrid w:val="0"/>
        <w:spacing w:before="0" w:beforeAutospacing="0" w:after="0" w:afterAutospacing="0" w:line="576" w:lineRule="exact"/>
        <w:ind w:left="0" w:right="0" w:firstLine="640" w:firstLineChars="200"/>
        <w:jc w:val="center"/>
        <w:textAlignment w:val="baseline"/>
        <w:rPr>
          <w:rFonts w:hint="default" w:ascii="Times New Roman" w:hAnsi="Times New Roman" w:eastAsia="方正小标宋简体" w:cs="Times New Roman"/>
          <w:kern w:val="0"/>
          <w:sz w:val="32"/>
          <w:szCs w:val="32"/>
        </w:rPr>
      </w:pPr>
      <w:r>
        <w:rPr>
          <w:rFonts w:hint="default" w:ascii="Times New Roman" w:hAnsi="Times New Roman" w:eastAsia="方正小标宋简体" w:cs="Times New Roman"/>
          <w:snapToGrid/>
          <w:color w:val="000000"/>
          <w:kern w:val="0"/>
          <w:sz w:val="32"/>
          <w:szCs w:val="32"/>
          <w:lang w:val="en-US" w:eastAsia="zh-CN" w:bidi="ar"/>
        </w:rPr>
        <w:t xml:space="preserve"> </w:t>
      </w:r>
    </w:p>
    <w:p w14:paraId="4221482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黑体" w:hAnsi="宋体" w:eastAsia="黑体" w:cs="黑体"/>
          <w:b w:val="0"/>
          <w:bCs w:val="0"/>
          <w:spacing w:val="0"/>
          <w:kern w:val="0"/>
          <w:sz w:val="32"/>
          <w:szCs w:val="32"/>
        </w:rPr>
      </w:pPr>
      <w:r>
        <w:rPr>
          <w:rFonts w:hint="default" w:ascii="黑体" w:hAnsi="宋体" w:eastAsia="黑体" w:cs="黑体"/>
          <w:b w:val="0"/>
          <w:bCs w:val="0"/>
          <w:snapToGrid/>
          <w:color w:val="000000"/>
          <w:spacing w:val="0"/>
          <w:kern w:val="0"/>
          <w:sz w:val="32"/>
          <w:szCs w:val="32"/>
          <w:lang w:val="en-US" w:eastAsia="zh-CN" w:bidi="ar"/>
        </w:rPr>
        <w:t>一、项目概况</w:t>
      </w:r>
    </w:p>
    <w:p w14:paraId="6E597A0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outlineLvl w:val="9"/>
        <w:rPr>
          <w:rFonts w:hint="default" w:ascii="仿宋" w:hAnsi="仿宋" w:eastAsia="仿宋" w:cs="仿宋"/>
          <w:b w:val="0"/>
          <w:bCs w:val="0"/>
          <w:spacing w:val="0"/>
          <w:kern w:val="0"/>
          <w:sz w:val="32"/>
          <w:szCs w:val="32"/>
          <w:shd w:val="clear" w:fill="FFFFFF"/>
        </w:rPr>
      </w:pPr>
      <w:r>
        <w:rPr>
          <w:rFonts w:hint="default" w:ascii="楷体" w:hAnsi="楷体" w:eastAsia="楷体" w:cs="楷体"/>
          <w:b w:val="0"/>
          <w:bCs w:val="0"/>
          <w:snapToGrid/>
          <w:color w:val="000000"/>
          <w:spacing w:val="0"/>
          <w:kern w:val="0"/>
          <w:sz w:val="32"/>
          <w:szCs w:val="32"/>
          <w:lang w:val="en-US" w:eastAsia="zh-CN" w:bidi="ar"/>
        </w:rPr>
        <w:t>（一）设立背景及基本情况。</w:t>
      </w:r>
      <w:r>
        <w:rPr>
          <w:rFonts w:hint="default" w:ascii="仿宋" w:hAnsi="仿宋" w:eastAsia="仿宋" w:cs="仿宋"/>
          <w:b w:val="0"/>
          <w:bCs w:val="0"/>
          <w:snapToGrid/>
          <w:color w:val="000000"/>
          <w:spacing w:val="0"/>
          <w:kern w:val="0"/>
          <w:sz w:val="32"/>
          <w:szCs w:val="32"/>
          <w:shd w:val="clear" w:fill="FFFFFF"/>
          <w:lang w:val="en-US" w:eastAsia="zh-CN" w:bidi="ar"/>
        </w:rPr>
        <w:t>项目立项背景，资金申报的依据，项目主要内容。</w:t>
      </w:r>
      <w:r>
        <w:rPr>
          <w:rFonts w:hint="default" w:ascii="仿宋" w:hAnsi="仿宋" w:eastAsia="仿宋" w:cs="仿宋"/>
          <w:b w:val="0"/>
          <w:bCs w:val="0"/>
          <w:snapToGrid/>
          <w:color w:val="000000"/>
          <w:spacing w:val="0"/>
          <w:kern w:val="0"/>
          <w:sz w:val="32"/>
          <w:szCs w:val="32"/>
          <w:lang w:val="en-US" w:eastAsia="zh-CN" w:bidi="ar"/>
        </w:rPr>
        <w:t>以习近平新时代中国特色社会主义思想为指导，深入贯彻落实以扩大大豆生产的决策部署为主线，把大豆玉米带状复合种植示范推广工作放在突出位置，攻坚克难扩面积，千方百计提单产，推动大豆玉米兼容发展、协调发展，乃至相向发展，确保大豆玉米带状复合种植任务圆满完成。</w:t>
      </w:r>
    </w:p>
    <w:p w14:paraId="70FEEB0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outlineLvl w:val="9"/>
        <w:rPr>
          <w:rFonts w:hint="default" w:ascii="楷体" w:hAnsi="楷体" w:eastAsia="楷体" w:cs="楷体"/>
          <w:b w:val="0"/>
          <w:bCs w:val="0"/>
          <w:spacing w:val="0"/>
          <w:kern w:val="0"/>
          <w:sz w:val="32"/>
          <w:szCs w:val="32"/>
        </w:rPr>
      </w:pPr>
      <w:r>
        <w:rPr>
          <w:rFonts w:hint="default" w:ascii="楷体" w:hAnsi="楷体" w:eastAsia="楷体" w:cs="楷体"/>
          <w:b w:val="0"/>
          <w:bCs w:val="0"/>
          <w:snapToGrid/>
          <w:color w:val="000000"/>
          <w:spacing w:val="0"/>
          <w:kern w:val="0"/>
          <w:sz w:val="32"/>
          <w:szCs w:val="32"/>
          <w:lang w:val="en-US" w:eastAsia="zh-CN" w:bidi="ar"/>
        </w:rPr>
        <w:t>（二）实施目的及支持方向</w:t>
      </w:r>
    </w:p>
    <w:p w14:paraId="62771C5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spacing w:val="0"/>
          <w:kern w:val="0"/>
          <w:sz w:val="32"/>
          <w:szCs w:val="32"/>
        </w:rPr>
      </w:pPr>
      <w:r>
        <w:rPr>
          <w:rFonts w:hint="default" w:ascii="仿宋" w:hAnsi="仿宋" w:eastAsia="仿宋" w:cs="仿宋"/>
          <w:b w:val="0"/>
          <w:bCs w:val="0"/>
          <w:snapToGrid/>
          <w:color w:val="000000"/>
          <w:spacing w:val="0"/>
          <w:kern w:val="0"/>
          <w:sz w:val="32"/>
          <w:szCs w:val="32"/>
          <w:lang w:val="en-US" w:eastAsia="zh-CN" w:bidi="ar"/>
        </w:rPr>
        <w:t>1.保持稳定，优化结构。在保持农业补贴政策的稳定性和连续性的基础上，优化补贴结构,突出政策效能,调动农民保护耕地的积极性。</w:t>
      </w:r>
    </w:p>
    <w:p w14:paraId="7A7B88A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spacing w:val="0"/>
          <w:kern w:val="0"/>
          <w:sz w:val="32"/>
          <w:szCs w:val="32"/>
        </w:rPr>
      </w:pPr>
      <w:r>
        <w:rPr>
          <w:rFonts w:hint="default" w:ascii="仿宋" w:hAnsi="仿宋" w:eastAsia="仿宋" w:cs="仿宋"/>
          <w:b w:val="0"/>
          <w:bCs w:val="0"/>
          <w:snapToGrid/>
          <w:color w:val="000000"/>
          <w:spacing w:val="0"/>
          <w:kern w:val="0"/>
          <w:sz w:val="32"/>
          <w:szCs w:val="32"/>
          <w:lang w:val="en-US" w:eastAsia="zh-CN" w:bidi="ar"/>
        </w:rPr>
        <w:t>2.指导实施。成立技术指导组，全程提供指导服务并适时开展技术培训。按照有关规定采购种子以及落实关键技术的物化产品，并严格按照签订的采购合同按时向企业足额兑付购种资金。落实统一补贴标准和大豆玉米带状复合种植面积，及时将补贴物资足额发放到户。</w:t>
      </w:r>
    </w:p>
    <w:p w14:paraId="19A8FD2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spacing w:val="0"/>
          <w:kern w:val="0"/>
          <w:sz w:val="32"/>
          <w:szCs w:val="32"/>
        </w:rPr>
      </w:pPr>
      <w:r>
        <w:rPr>
          <w:rFonts w:hint="default" w:ascii="仿宋" w:hAnsi="仿宋" w:eastAsia="仿宋" w:cs="仿宋"/>
          <w:b w:val="0"/>
          <w:bCs w:val="0"/>
          <w:snapToGrid/>
          <w:color w:val="000000"/>
          <w:spacing w:val="0"/>
          <w:kern w:val="0"/>
          <w:sz w:val="32"/>
          <w:szCs w:val="32"/>
          <w:lang w:val="en-US" w:eastAsia="zh-CN" w:bidi="ar"/>
        </w:rPr>
        <w:t>3.严格监管提高绩效。依法依规开展改革工作,规范农业补贴政策实施,严格补贴资金监管确保改革工作顺利推进。农户满意度达85%以上。</w:t>
      </w:r>
    </w:p>
    <w:p w14:paraId="2F41A55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outlineLvl w:val="9"/>
        <w:rPr>
          <w:rFonts w:hint="default" w:ascii="楷体" w:hAnsi="楷体" w:eastAsia="楷体" w:cs="楷体"/>
          <w:b w:val="0"/>
          <w:bCs w:val="0"/>
          <w:spacing w:val="0"/>
          <w:kern w:val="0"/>
          <w:sz w:val="32"/>
          <w:szCs w:val="32"/>
        </w:rPr>
      </w:pPr>
      <w:r>
        <w:rPr>
          <w:rFonts w:hint="default" w:ascii="楷体" w:hAnsi="楷体" w:eastAsia="楷体" w:cs="楷体"/>
          <w:b w:val="0"/>
          <w:bCs w:val="0"/>
          <w:snapToGrid/>
          <w:color w:val="000000"/>
          <w:spacing w:val="0"/>
          <w:kern w:val="0"/>
          <w:sz w:val="32"/>
          <w:szCs w:val="32"/>
          <w:lang w:val="en-US" w:eastAsia="zh-CN" w:bidi="ar"/>
        </w:rPr>
        <w:t>（三）预算安排及分配管理</w:t>
      </w:r>
    </w:p>
    <w:p w14:paraId="46F2075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spacing w:val="0"/>
          <w:kern w:val="0"/>
          <w:sz w:val="32"/>
          <w:szCs w:val="32"/>
        </w:rPr>
      </w:pPr>
      <w:r>
        <w:rPr>
          <w:rFonts w:hint="default" w:ascii="仿宋" w:hAnsi="仿宋" w:eastAsia="仿宋" w:cs="仿宋"/>
          <w:b w:val="0"/>
          <w:bCs w:val="0"/>
          <w:snapToGrid/>
          <w:color w:val="000000"/>
          <w:spacing w:val="0"/>
          <w:kern w:val="0"/>
          <w:sz w:val="32"/>
          <w:szCs w:val="32"/>
          <w:lang w:val="en-US" w:eastAsia="zh-CN" w:bidi="ar"/>
        </w:rPr>
        <w:t>1.大豆种子。通过政府采购的方式进行种子采购，采购大豆种子180吨，预计安排资金450万元。</w:t>
      </w:r>
    </w:p>
    <w:p w14:paraId="2F9050B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spacing w:val="0"/>
          <w:kern w:val="0"/>
          <w:sz w:val="32"/>
          <w:szCs w:val="32"/>
        </w:rPr>
      </w:pPr>
      <w:r>
        <w:rPr>
          <w:rFonts w:hint="default" w:ascii="仿宋" w:hAnsi="仿宋" w:eastAsia="仿宋" w:cs="仿宋"/>
          <w:b w:val="0"/>
          <w:bCs w:val="0"/>
          <w:snapToGrid/>
          <w:color w:val="000000"/>
          <w:spacing w:val="0"/>
          <w:kern w:val="0"/>
          <w:sz w:val="32"/>
          <w:szCs w:val="32"/>
          <w:lang w:val="en-US" w:eastAsia="zh-CN" w:bidi="ar"/>
        </w:rPr>
        <w:t>2.玉米种子。通过政府采购的方式进行种子采购，采购玉米种子90吨，预计安排资金315万元。</w:t>
      </w:r>
    </w:p>
    <w:p w14:paraId="008097E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spacing w:val="0"/>
          <w:kern w:val="0"/>
          <w:sz w:val="32"/>
          <w:szCs w:val="32"/>
        </w:rPr>
      </w:pPr>
      <w:r>
        <w:rPr>
          <w:rFonts w:hint="default" w:ascii="仿宋" w:hAnsi="仿宋" w:eastAsia="仿宋" w:cs="仿宋"/>
          <w:b w:val="0"/>
          <w:bCs w:val="0"/>
          <w:snapToGrid/>
          <w:color w:val="000000"/>
          <w:spacing w:val="0"/>
          <w:kern w:val="0"/>
          <w:sz w:val="32"/>
          <w:szCs w:val="32"/>
          <w:lang w:val="en-US" w:eastAsia="zh-CN" w:bidi="ar"/>
        </w:rPr>
        <w:t>3.复混肥料。通过政府采购的方式进行复混肥料采购，采购复混肥料385吨，预计安排资金135万元。（主要用于示范片）</w:t>
      </w:r>
    </w:p>
    <w:p w14:paraId="6E6254B4">
      <w:pPr>
        <w:keepNext w:val="0"/>
        <w:keepLines w:val="0"/>
        <w:widowControl w:val="0"/>
        <w:suppressLineNumbers w:val="0"/>
        <w:shd w:val="clear" w:fill="FFFFFF"/>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spacing w:val="0"/>
          <w:kern w:val="0"/>
          <w:sz w:val="32"/>
          <w:szCs w:val="32"/>
          <w:shd w:val="clear" w:fill="FFFFFF"/>
        </w:rPr>
      </w:pPr>
      <w:r>
        <w:rPr>
          <w:rFonts w:hint="default" w:ascii="仿宋" w:hAnsi="仿宋" w:eastAsia="仿宋" w:cs="仿宋"/>
          <w:b w:val="0"/>
          <w:bCs w:val="0"/>
          <w:snapToGrid/>
          <w:color w:val="000000"/>
          <w:spacing w:val="0"/>
          <w:kern w:val="0"/>
          <w:sz w:val="32"/>
          <w:szCs w:val="32"/>
          <w:shd w:val="clear" w:fill="FFFFFF"/>
          <w:lang w:val="en-US" w:eastAsia="zh-CN" w:bidi="ar"/>
        </w:rPr>
        <w:t>（四）项目绩效目标设置。项目整体、区域和具体绩效目标设置情况，项目自评工作开展情况。补贴计发依据及标准补贴计发依据为：补贴资金/实际大豆玉米带状复合种植面积=补贴标准为200元/亩。让农户了解了国家对粮食安全的重视，坚决禁止土地撂荒和“非粮化”提高了惠农政策的知晓率。</w:t>
      </w:r>
    </w:p>
    <w:p w14:paraId="788B47F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黑体" w:hAnsi="宋体" w:eastAsia="黑体" w:cs="黑体"/>
          <w:b w:val="0"/>
          <w:bCs w:val="0"/>
          <w:color w:val="000000"/>
          <w:spacing w:val="0"/>
          <w:kern w:val="0"/>
          <w:sz w:val="32"/>
          <w:szCs w:val="32"/>
        </w:rPr>
      </w:pPr>
      <w:r>
        <w:rPr>
          <w:rFonts w:hint="default" w:ascii="黑体" w:hAnsi="宋体" w:eastAsia="黑体" w:cs="黑体"/>
          <w:b w:val="0"/>
          <w:bCs w:val="0"/>
          <w:snapToGrid/>
          <w:color w:val="000000"/>
          <w:spacing w:val="0"/>
          <w:kern w:val="0"/>
          <w:sz w:val="32"/>
          <w:szCs w:val="32"/>
          <w:lang w:val="en-US" w:eastAsia="zh-CN" w:bidi="ar"/>
        </w:rPr>
        <w:t>二、评价实施</w:t>
      </w:r>
    </w:p>
    <w:p w14:paraId="6A94BD5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spacing w:val="0"/>
          <w:kern w:val="0"/>
          <w:sz w:val="32"/>
          <w:szCs w:val="32"/>
        </w:rPr>
      </w:pPr>
      <w:r>
        <w:rPr>
          <w:rFonts w:hint="default" w:ascii="楷体" w:hAnsi="楷体" w:eastAsia="楷体" w:cs="楷体"/>
          <w:b w:val="0"/>
          <w:bCs w:val="0"/>
          <w:snapToGrid/>
          <w:color w:val="000000"/>
          <w:spacing w:val="0"/>
          <w:kern w:val="0"/>
          <w:sz w:val="32"/>
          <w:szCs w:val="32"/>
          <w:lang w:val="en-US" w:eastAsia="zh-CN" w:bidi="ar"/>
        </w:rPr>
        <w:t>（一）评价目的。</w:t>
      </w:r>
      <w:r>
        <w:rPr>
          <w:rFonts w:hint="default" w:ascii="仿宋" w:hAnsi="仿宋" w:eastAsia="仿宋" w:cs="仿宋"/>
          <w:b w:val="0"/>
          <w:bCs w:val="0"/>
          <w:snapToGrid/>
          <w:color w:val="000000"/>
          <w:spacing w:val="0"/>
          <w:kern w:val="0"/>
          <w:sz w:val="32"/>
          <w:szCs w:val="32"/>
          <w:lang w:val="en-US" w:eastAsia="zh-CN" w:bidi="ar"/>
        </w:rPr>
        <w:t>近年来种粮的比较效益偏低，农民种粮积极性不高，粮食面积逐年减少。发放这个补贴的目的是保护农民种粮利益，提高农民种粮和保护耕地积极性，保障国家粮食安全，促进乡村振兴战略的实施。</w:t>
      </w:r>
    </w:p>
    <w:p w14:paraId="0ED4EB8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outlineLvl w:val="9"/>
        <w:rPr>
          <w:rFonts w:hint="default" w:ascii="楷体" w:hAnsi="楷体" w:eastAsia="楷体" w:cs="楷体"/>
          <w:b w:val="0"/>
          <w:bCs w:val="0"/>
          <w:spacing w:val="0"/>
          <w:kern w:val="0"/>
          <w:sz w:val="32"/>
          <w:szCs w:val="32"/>
        </w:rPr>
      </w:pPr>
      <w:r>
        <w:rPr>
          <w:rFonts w:hint="default" w:ascii="楷体" w:hAnsi="楷体" w:eastAsia="楷体" w:cs="楷体"/>
          <w:b w:val="0"/>
          <w:bCs w:val="0"/>
          <w:snapToGrid/>
          <w:color w:val="000000"/>
          <w:spacing w:val="0"/>
          <w:kern w:val="0"/>
          <w:sz w:val="32"/>
          <w:szCs w:val="32"/>
          <w:lang w:val="en-US" w:eastAsia="zh-CN" w:bidi="ar"/>
        </w:rPr>
        <w:t>（二）预设问题及评价重点。</w:t>
      </w:r>
    </w:p>
    <w:p w14:paraId="7896185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spacing w:val="0"/>
          <w:kern w:val="0"/>
          <w:sz w:val="32"/>
          <w:szCs w:val="32"/>
        </w:rPr>
      </w:pPr>
      <w:r>
        <w:rPr>
          <w:rFonts w:hint="default" w:ascii="仿宋" w:hAnsi="仿宋" w:eastAsia="仿宋" w:cs="仿宋"/>
          <w:b w:val="0"/>
          <w:bCs w:val="0"/>
          <w:snapToGrid/>
          <w:color w:val="000000"/>
          <w:spacing w:val="0"/>
          <w:kern w:val="0"/>
          <w:sz w:val="32"/>
          <w:szCs w:val="32"/>
          <w:lang w:val="en-US" w:eastAsia="zh-CN" w:bidi="ar"/>
        </w:rPr>
        <w:t>该项目重点突出，补贴政策落实到农户，鼓励农民主动积极种粮，实现“藏粮于地”。同时确保了公开透明，公平公正。补贴发放全过程阳光操作，公开透明，确保补贴公平公正落实到位。</w:t>
      </w:r>
    </w:p>
    <w:p w14:paraId="3549812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spacing w:val="0"/>
          <w:kern w:val="0"/>
          <w:sz w:val="32"/>
          <w:szCs w:val="32"/>
        </w:rPr>
      </w:pPr>
      <w:r>
        <w:rPr>
          <w:rFonts w:hint="default" w:ascii="楷体" w:hAnsi="楷体" w:eastAsia="楷体" w:cs="楷体"/>
          <w:b w:val="0"/>
          <w:bCs w:val="0"/>
          <w:snapToGrid/>
          <w:color w:val="000000"/>
          <w:spacing w:val="0"/>
          <w:kern w:val="0"/>
          <w:sz w:val="32"/>
          <w:szCs w:val="32"/>
          <w:lang w:val="en-US" w:eastAsia="zh-CN" w:bidi="ar"/>
        </w:rPr>
        <w:t>（三）评价方法。</w:t>
      </w:r>
      <w:r>
        <w:rPr>
          <w:rFonts w:hint="default" w:ascii="仿宋" w:hAnsi="仿宋" w:eastAsia="仿宋" w:cs="仿宋"/>
          <w:b w:val="0"/>
          <w:bCs w:val="0"/>
          <w:snapToGrid/>
          <w:color w:val="000000"/>
          <w:spacing w:val="0"/>
          <w:kern w:val="0"/>
          <w:sz w:val="32"/>
          <w:szCs w:val="32"/>
          <w:lang w:val="en-US" w:eastAsia="zh-CN" w:bidi="ar"/>
        </w:rPr>
        <w:t>采用整体评价和样本评价。针对群众满意度，采取问卷调查法，调查种植农户161户，满意140户，满意度87%。</w:t>
      </w:r>
    </w:p>
    <w:p w14:paraId="1F0FF59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spacing w:val="0"/>
          <w:kern w:val="0"/>
          <w:sz w:val="32"/>
          <w:szCs w:val="32"/>
        </w:rPr>
      </w:pPr>
      <w:r>
        <w:rPr>
          <w:rFonts w:hint="default" w:ascii="楷体" w:hAnsi="楷体" w:eastAsia="楷体" w:cs="楷体"/>
          <w:b w:val="0"/>
          <w:bCs w:val="0"/>
          <w:snapToGrid/>
          <w:color w:val="000000"/>
          <w:spacing w:val="0"/>
          <w:kern w:val="0"/>
          <w:sz w:val="32"/>
          <w:szCs w:val="32"/>
          <w:lang w:val="en-US" w:eastAsia="zh-CN" w:bidi="ar"/>
        </w:rPr>
        <w:t>（四）评价组织。</w:t>
      </w:r>
      <w:r>
        <w:rPr>
          <w:rFonts w:hint="default" w:ascii="仿宋" w:hAnsi="仿宋" w:eastAsia="仿宋" w:cs="仿宋"/>
          <w:b w:val="0"/>
          <w:bCs w:val="0"/>
          <w:snapToGrid/>
          <w:color w:val="000000"/>
          <w:spacing w:val="0"/>
          <w:kern w:val="0"/>
          <w:sz w:val="32"/>
          <w:szCs w:val="32"/>
          <w:lang w:val="en-US" w:eastAsia="zh-CN" w:bidi="ar"/>
        </w:rPr>
        <w:t>由项目所涉乡镇（街道）农业综合服务中心工作人员和区农业技术推广站工作人员组成评价组人员。乡镇（街道）农业综合服务中心工作人员对辖区内实施项目的农户及种粮大户按照3%开展问卷调查的方式对项目进行评价；区农业技术推广站工作人员结合实施项目农户及种粮大户按照2%的比例进行抽查开展问卷调查评价。</w:t>
      </w:r>
    </w:p>
    <w:p w14:paraId="0D96C19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黑体" w:hAnsi="宋体" w:eastAsia="黑体" w:cs="黑体"/>
          <w:b w:val="0"/>
          <w:bCs w:val="0"/>
          <w:color w:val="000000"/>
          <w:spacing w:val="0"/>
          <w:kern w:val="0"/>
          <w:sz w:val="32"/>
          <w:szCs w:val="32"/>
        </w:rPr>
      </w:pPr>
      <w:r>
        <w:rPr>
          <w:rFonts w:hint="default" w:ascii="黑体" w:hAnsi="宋体" w:eastAsia="黑体" w:cs="黑体"/>
          <w:b w:val="0"/>
          <w:bCs w:val="0"/>
          <w:snapToGrid/>
          <w:color w:val="000000"/>
          <w:spacing w:val="0"/>
          <w:kern w:val="0"/>
          <w:sz w:val="32"/>
          <w:szCs w:val="32"/>
          <w:lang w:val="en-US" w:eastAsia="zh-CN" w:bidi="ar"/>
        </w:rPr>
        <w:t>三、绩效分析</w:t>
      </w:r>
      <w:r>
        <w:rPr>
          <w:rFonts w:hint="default" w:ascii="黑体" w:hAnsi="宋体" w:eastAsia="黑体" w:cs="黑体"/>
          <w:b w:val="0"/>
          <w:bCs w:val="0"/>
          <w:snapToGrid/>
          <w:color w:val="000000"/>
          <w:spacing w:val="0"/>
          <w:kern w:val="0"/>
          <w:sz w:val="32"/>
          <w:szCs w:val="32"/>
          <w:lang w:val="en-US" w:eastAsia="zh-CN" w:bidi="ar"/>
        </w:rPr>
        <w:tab/>
      </w:r>
    </w:p>
    <w:p w14:paraId="396700B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outlineLvl w:val="9"/>
        <w:rPr>
          <w:rFonts w:hint="default" w:ascii="楷体" w:hAnsi="楷体" w:eastAsia="楷体" w:cs="楷体"/>
          <w:b w:val="0"/>
          <w:bCs w:val="0"/>
          <w:spacing w:val="0"/>
          <w:kern w:val="0"/>
          <w:sz w:val="32"/>
          <w:szCs w:val="32"/>
        </w:rPr>
      </w:pPr>
      <w:r>
        <w:rPr>
          <w:rFonts w:hint="default" w:ascii="楷体" w:hAnsi="楷体" w:eastAsia="楷体" w:cs="楷体"/>
          <w:b w:val="0"/>
          <w:bCs w:val="0"/>
          <w:snapToGrid/>
          <w:color w:val="000000"/>
          <w:spacing w:val="0"/>
          <w:kern w:val="0"/>
          <w:sz w:val="32"/>
          <w:szCs w:val="32"/>
          <w:lang w:val="en-US" w:eastAsia="zh-CN" w:bidi="ar"/>
        </w:rPr>
        <w:t>（一）通用指标绩效分析。</w:t>
      </w:r>
    </w:p>
    <w:p w14:paraId="5D6C4A7E">
      <w:pPr>
        <w:pStyle w:val="24"/>
        <w:keepNext w:val="0"/>
        <w:keepLines w:val="0"/>
        <w:widowControl w:val="0"/>
        <w:suppressLineNumbers w:val="0"/>
        <w:kinsoku/>
        <w:autoSpaceDE w:val="0"/>
        <w:autoSpaceDN/>
        <w:adjustRightInd/>
        <w:snapToGrid/>
        <w:spacing w:before="0" w:beforeAutospacing="0" w:after="0" w:afterAutospacing="0" w:line="576" w:lineRule="exact"/>
        <w:ind w:left="0" w:right="0" w:firstLine="640" w:firstLineChars="200"/>
        <w:jc w:val="both"/>
        <w:textAlignment w:val="auto"/>
        <w:outlineLvl w:val="9"/>
        <w:rPr>
          <w:rFonts w:hint="default" w:ascii="仿宋" w:hAnsi="仿宋" w:eastAsia="仿宋" w:cs="仿宋"/>
          <w:b w:val="0"/>
          <w:bCs w:val="0"/>
          <w:color w:val="FF0000"/>
          <w:spacing w:val="0"/>
          <w:kern w:val="0"/>
          <w:sz w:val="32"/>
          <w:szCs w:val="32"/>
          <w:shd w:val="clear" w:fill="FFFFFF"/>
        </w:rPr>
      </w:pPr>
      <w:r>
        <w:rPr>
          <w:rFonts w:hint="default" w:ascii="仿宋" w:hAnsi="仿宋" w:eastAsia="仿宋" w:cs="仿宋"/>
          <w:b w:val="0"/>
          <w:bCs w:val="0"/>
          <w:snapToGrid/>
          <w:color w:val="auto"/>
          <w:spacing w:val="0"/>
          <w:kern w:val="0"/>
          <w:sz w:val="32"/>
          <w:szCs w:val="32"/>
          <w:shd w:val="clear" w:fill="FFFFFF"/>
          <w:lang w:val="en-US" w:eastAsia="zh-CN" w:bidi="ar"/>
        </w:rPr>
        <w:t>预算执行：</w:t>
      </w:r>
      <w:r>
        <w:rPr>
          <w:rFonts w:hint="default" w:ascii="仿宋" w:hAnsi="仿宋" w:eastAsia="仿宋" w:cs="仿宋"/>
          <w:b w:val="0"/>
          <w:bCs w:val="0"/>
          <w:snapToGrid/>
          <w:color w:val="auto"/>
          <w:spacing w:val="0"/>
          <w:kern w:val="0"/>
          <w:sz w:val="32"/>
          <w:szCs w:val="32"/>
          <w:lang w:val="en-US" w:eastAsia="zh-CN" w:bidi="ar"/>
        </w:rPr>
        <w:t>财政资金拨付率100%，单位资金使用率100%，地方资金到位率100%。本项得分6分。</w:t>
      </w:r>
    </w:p>
    <w:p w14:paraId="2D7F28D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spacing w:val="0"/>
          <w:kern w:val="0"/>
          <w:sz w:val="32"/>
          <w:szCs w:val="32"/>
          <w:shd w:val="clear" w:fill="FFFFFF"/>
        </w:rPr>
      </w:pPr>
      <w:r>
        <w:rPr>
          <w:rFonts w:hint="default" w:ascii="仿宋" w:hAnsi="仿宋" w:eastAsia="仿宋" w:cs="仿宋"/>
          <w:b w:val="0"/>
          <w:bCs w:val="0"/>
          <w:snapToGrid/>
          <w:color w:val="000000"/>
          <w:spacing w:val="0"/>
          <w:kern w:val="0"/>
          <w:sz w:val="32"/>
          <w:szCs w:val="32"/>
          <w:shd w:val="clear" w:fill="FFFFFF"/>
          <w:lang w:val="en-US" w:eastAsia="zh-CN" w:bidi="ar"/>
        </w:rPr>
        <w:t>资金使用：项目资金使用、拨付符合国家财经法规、财务管理制度及有关专项资金管理制度办法的规定和审批程序，不存在超范围、超标准、超进度使用专项资金，不存在资金损失浪费、长期沉淀、截留、挤占、挪用、虚列支出等情况，项目实施遵守相关法律法规。本项3分不扣分。</w:t>
      </w:r>
    </w:p>
    <w:p w14:paraId="7CF35DE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spacing w:val="0"/>
          <w:kern w:val="0"/>
          <w:sz w:val="32"/>
          <w:szCs w:val="32"/>
          <w:shd w:val="clear" w:fill="FFFFFF"/>
        </w:rPr>
      </w:pPr>
      <w:r>
        <w:rPr>
          <w:rFonts w:hint="default" w:ascii="仿宋" w:hAnsi="仿宋" w:eastAsia="仿宋" w:cs="仿宋"/>
          <w:b w:val="0"/>
          <w:bCs w:val="0"/>
          <w:snapToGrid/>
          <w:color w:val="000000"/>
          <w:spacing w:val="0"/>
          <w:kern w:val="0"/>
          <w:sz w:val="32"/>
          <w:szCs w:val="32"/>
          <w:shd w:val="clear" w:fill="FFFFFF"/>
          <w:lang w:val="en-US" w:eastAsia="zh-CN" w:bidi="ar"/>
        </w:rPr>
        <w:t>目标完成：实际完成目标任务量4.6万亩，设定任务绩效目标任务总量4.5万亩。本项得6分。</w:t>
      </w:r>
    </w:p>
    <w:p w14:paraId="0F7999F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spacing w:val="0"/>
          <w:kern w:val="0"/>
          <w:sz w:val="32"/>
          <w:szCs w:val="32"/>
          <w:shd w:val="clear" w:fill="FFFFFF"/>
        </w:rPr>
      </w:pPr>
      <w:r>
        <w:rPr>
          <w:rFonts w:hint="default" w:ascii="仿宋" w:hAnsi="仿宋" w:eastAsia="仿宋" w:cs="仿宋"/>
          <w:b w:val="0"/>
          <w:bCs w:val="0"/>
          <w:snapToGrid/>
          <w:color w:val="000000"/>
          <w:spacing w:val="0"/>
          <w:kern w:val="0"/>
          <w:sz w:val="32"/>
          <w:szCs w:val="32"/>
          <w:shd w:val="clear" w:fill="FFFFFF"/>
          <w:lang w:val="en-US" w:eastAsia="zh-CN" w:bidi="ar"/>
        </w:rPr>
        <w:t>完成时效：实际完成时间为2024年9月，计划完成时间为2024年9月。本项得分3分。</w:t>
      </w:r>
    </w:p>
    <w:p w14:paraId="348C0FD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outlineLvl w:val="9"/>
        <w:rPr>
          <w:rFonts w:hint="default" w:ascii="楷体" w:hAnsi="楷体" w:eastAsia="楷体" w:cs="楷体"/>
          <w:b w:val="0"/>
          <w:bCs w:val="0"/>
          <w:spacing w:val="0"/>
          <w:kern w:val="0"/>
          <w:sz w:val="32"/>
          <w:szCs w:val="32"/>
        </w:rPr>
      </w:pPr>
      <w:r>
        <w:rPr>
          <w:rFonts w:hint="default" w:ascii="楷体" w:hAnsi="楷体" w:eastAsia="楷体" w:cs="楷体"/>
          <w:b w:val="0"/>
          <w:bCs w:val="0"/>
          <w:snapToGrid/>
          <w:color w:val="000000"/>
          <w:spacing w:val="0"/>
          <w:kern w:val="0"/>
          <w:sz w:val="32"/>
          <w:szCs w:val="32"/>
          <w:lang w:val="en-US" w:eastAsia="zh-CN" w:bidi="ar"/>
        </w:rPr>
        <w:t>（二）专用指标绩效分析。</w:t>
      </w:r>
    </w:p>
    <w:p w14:paraId="4FDC1A51">
      <w:pPr>
        <w:pStyle w:val="24"/>
        <w:keepNext w:val="0"/>
        <w:keepLines w:val="0"/>
        <w:widowControl w:val="0"/>
        <w:suppressLineNumbers w:val="0"/>
        <w:kinsoku/>
        <w:autoSpaceDE w:val="0"/>
        <w:autoSpaceDN/>
        <w:adjustRightInd/>
        <w:snapToGrid/>
        <w:spacing w:before="0" w:beforeAutospacing="0" w:after="0" w:afterAutospacing="0" w:line="576" w:lineRule="exact"/>
        <w:ind w:left="0" w:right="0" w:firstLine="640" w:firstLineChars="200"/>
        <w:jc w:val="both"/>
        <w:textAlignment w:val="auto"/>
        <w:outlineLvl w:val="9"/>
        <w:rPr>
          <w:rFonts w:hint="default" w:ascii="仿宋" w:hAnsi="仿宋" w:eastAsia="仿宋" w:cs="仿宋"/>
          <w:b w:val="0"/>
          <w:bCs w:val="0"/>
          <w:spacing w:val="0"/>
          <w:kern w:val="0"/>
          <w:sz w:val="32"/>
          <w:szCs w:val="32"/>
          <w:shd w:val="clear" w:fill="FFFFFF"/>
        </w:rPr>
      </w:pPr>
      <w:r>
        <w:rPr>
          <w:rFonts w:hint="default" w:ascii="仿宋" w:hAnsi="仿宋" w:eastAsia="仿宋" w:cs="仿宋"/>
          <w:b w:val="0"/>
          <w:bCs w:val="0"/>
          <w:snapToGrid/>
          <w:color w:val="auto"/>
          <w:spacing w:val="0"/>
          <w:kern w:val="0"/>
          <w:sz w:val="32"/>
          <w:szCs w:val="32"/>
          <w:shd w:val="clear" w:fill="FFFFFF"/>
          <w:lang w:val="en-US" w:eastAsia="zh-CN" w:bidi="ar"/>
        </w:rPr>
        <w:t>符合性：项目与省委、省政府支持重点、产业支持政策符合。本项得分10分。</w:t>
      </w:r>
    </w:p>
    <w:p w14:paraId="41F5164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spacing w:val="0"/>
          <w:kern w:val="0"/>
          <w:sz w:val="32"/>
          <w:szCs w:val="32"/>
          <w:shd w:val="clear" w:fill="FFFFFF"/>
        </w:rPr>
      </w:pPr>
      <w:r>
        <w:rPr>
          <w:rFonts w:hint="default" w:ascii="仿宋" w:hAnsi="仿宋" w:eastAsia="仿宋" w:cs="仿宋"/>
          <w:b w:val="0"/>
          <w:bCs w:val="0"/>
          <w:snapToGrid/>
          <w:color w:val="000000"/>
          <w:spacing w:val="0"/>
          <w:kern w:val="0"/>
          <w:sz w:val="32"/>
          <w:szCs w:val="32"/>
          <w:shd w:val="clear" w:fill="FFFFFF"/>
          <w:lang w:val="en-US" w:eastAsia="zh-CN" w:bidi="ar"/>
        </w:rPr>
        <w:t>功能实现：项目经济社会功能实现，农户增收200元/亩。本项得分10分。</w:t>
      </w:r>
    </w:p>
    <w:p w14:paraId="64F98139">
      <w:pPr>
        <w:pStyle w:val="24"/>
        <w:keepNext w:val="0"/>
        <w:keepLines w:val="0"/>
        <w:widowControl w:val="0"/>
        <w:suppressLineNumbers w:val="0"/>
        <w:kinsoku/>
        <w:autoSpaceDE w:val="0"/>
        <w:autoSpaceDN/>
        <w:adjustRightInd/>
        <w:snapToGrid/>
        <w:spacing w:before="0" w:beforeAutospacing="0" w:after="0" w:afterAutospacing="0" w:line="576" w:lineRule="exact"/>
        <w:ind w:left="0" w:right="0" w:firstLine="640" w:firstLineChars="200"/>
        <w:jc w:val="both"/>
        <w:textAlignment w:val="auto"/>
        <w:outlineLvl w:val="9"/>
        <w:rPr>
          <w:rFonts w:hint="default" w:ascii="仿宋" w:hAnsi="仿宋" w:eastAsia="仿宋" w:cs="仿宋"/>
          <w:b w:val="0"/>
          <w:bCs w:val="0"/>
          <w:spacing w:val="0"/>
          <w:kern w:val="2"/>
          <w:sz w:val="32"/>
          <w:szCs w:val="32"/>
        </w:rPr>
      </w:pPr>
      <w:r>
        <w:rPr>
          <w:rFonts w:hint="default" w:ascii="仿宋" w:hAnsi="仿宋" w:eastAsia="仿宋" w:cs="仿宋"/>
          <w:b w:val="0"/>
          <w:bCs w:val="0"/>
          <w:snapToGrid/>
          <w:color w:val="auto"/>
          <w:spacing w:val="0"/>
          <w:kern w:val="0"/>
          <w:sz w:val="32"/>
          <w:szCs w:val="32"/>
          <w:shd w:val="clear" w:fill="FFFFFF"/>
          <w:lang w:val="en-US" w:eastAsia="zh-CN" w:bidi="ar"/>
        </w:rPr>
        <w:t>对象精准性：资金实际支持对象均符合管理要求，符合支持对象范围。本项得分10分。</w:t>
      </w:r>
    </w:p>
    <w:p w14:paraId="64F9CE9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outlineLvl w:val="9"/>
        <w:rPr>
          <w:rFonts w:hint="default" w:ascii="楷体" w:hAnsi="楷体" w:eastAsia="楷体" w:cs="楷体"/>
          <w:b w:val="0"/>
          <w:bCs w:val="0"/>
          <w:spacing w:val="0"/>
          <w:kern w:val="0"/>
          <w:sz w:val="32"/>
          <w:szCs w:val="32"/>
        </w:rPr>
      </w:pPr>
      <w:r>
        <w:rPr>
          <w:rFonts w:hint="default" w:ascii="楷体" w:hAnsi="楷体" w:eastAsia="楷体" w:cs="楷体"/>
          <w:b w:val="0"/>
          <w:bCs w:val="0"/>
          <w:snapToGrid/>
          <w:color w:val="000000"/>
          <w:spacing w:val="0"/>
          <w:kern w:val="0"/>
          <w:sz w:val="32"/>
          <w:szCs w:val="32"/>
          <w:lang w:val="en-US" w:eastAsia="zh-CN" w:bidi="ar"/>
        </w:rPr>
        <w:t>（三）个性指标绩效分析。</w:t>
      </w:r>
    </w:p>
    <w:p w14:paraId="26A2EA26">
      <w:pPr>
        <w:pStyle w:val="24"/>
        <w:keepNext w:val="0"/>
        <w:keepLines w:val="0"/>
        <w:widowControl w:val="0"/>
        <w:suppressLineNumbers w:val="0"/>
        <w:kinsoku/>
        <w:autoSpaceDE w:val="0"/>
        <w:autoSpaceDN/>
        <w:adjustRightInd/>
        <w:snapToGrid/>
        <w:spacing w:before="0" w:beforeAutospacing="0" w:after="0" w:afterAutospacing="0" w:line="576" w:lineRule="exact"/>
        <w:ind w:left="0" w:right="0" w:firstLine="640" w:firstLineChars="200"/>
        <w:jc w:val="both"/>
        <w:textAlignment w:val="auto"/>
        <w:outlineLvl w:val="9"/>
        <w:rPr>
          <w:rFonts w:hint="default" w:ascii="仿宋" w:hAnsi="仿宋" w:eastAsia="仿宋" w:cs="仿宋"/>
          <w:b w:val="0"/>
          <w:bCs w:val="0"/>
          <w:spacing w:val="0"/>
          <w:kern w:val="0"/>
          <w:sz w:val="32"/>
          <w:szCs w:val="32"/>
          <w:shd w:val="clear" w:fill="FFFFFF"/>
        </w:rPr>
      </w:pPr>
      <w:r>
        <w:rPr>
          <w:rFonts w:hint="default" w:ascii="仿宋" w:hAnsi="仿宋" w:eastAsia="仿宋" w:cs="仿宋"/>
          <w:b w:val="0"/>
          <w:bCs w:val="0"/>
          <w:snapToGrid/>
          <w:color w:val="auto"/>
          <w:spacing w:val="0"/>
          <w:kern w:val="0"/>
          <w:sz w:val="32"/>
          <w:szCs w:val="32"/>
          <w:shd w:val="clear" w:fill="FFFFFF"/>
          <w:lang w:val="en-US" w:eastAsia="zh-CN" w:bidi="ar"/>
        </w:rPr>
        <w:t>大豆玉米带状复合种植示范推广面积：完成大豆玉米带状复合种植示范推广面积4.5万亩。本项得分16分。</w:t>
      </w:r>
    </w:p>
    <w:p w14:paraId="0D97356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spacing w:val="0"/>
          <w:kern w:val="0"/>
          <w:sz w:val="32"/>
          <w:szCs w:val="32"/>
        </w:rPr>
      </w:pPr>
      <w:r>
        <w:rPr>
          <w:rFonts w:hint="default" w:ascii="仿宋" w:hAnsi="仿宋" w:eastAsia="仿宋" w:cs="仿宋"/>
          <w:b w:val="0"/>
          <w:bCs w:val="0"/>
          <w:snapToGrid/>
          <w:color w:val="000000"/>
          <w:spacing w:val="0"/>
          <w:kern w:val="0"/>
          <w:sz w:val="32"/>
          <w:szCs w:val="32"/>
          <w:shd w:val="clear" w:fill="FFFFFF"/>
          <w:lang w:val="en-US" w:eastAsia="zh-CN" w:bidi="ar"/>
        </w:rPr>
        <w:t>无扣分项。</w:t>
      </w:r>
    </w:p>
    <w:p w14:paraId="65AD2E3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黑体" w:hAnsi="宋体" w:eastAsia="黑体" w:cs="黑体"/>
          <w:b w:val="0"/>
          <w:bCs w:val="0"/>
          <w:color w:val="000000"/>
          <w:spacing w:val="0"/>
          <w:kern w:val="0"/>
          <w:sz w:val="32"/>
          <w:szCs w:val="32"/>
        </w:rPr>
      </w:pPr>
      <w:r>
        <w:rPr>
          <w:rFonts w:hint="default" w:ascii="黑体" w:hAnsi="宋体" w:eastAsia="黑体" w:cs="黑体"/>
          <w:b w:val="0"/>
          <w:bCs w:val="0"/>
          <w:snapToGrid/>
          <w:color w:val="000000"/>
          <w:spacing w:val="0"/>
          <w:kern w:val="0"/>
          <w:sz w:val="32"/>
          <w:szCs w:val="32"/>
          <w:lang w:val="en-US" w:eastAsia="zh-CN" w:bidi="ar"/>
        </w:rPr>
        <w:t>四、评价结论</w:t>
      </w:r>
    </w:p>
    <w:p w14:paraId="5D44D730">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spacing w:val="0"/>
          <w:kern w:val="0"/>
          <w:sz w:val="32"/>
          <w:szCs w:val="32"/>
          <w:shd w:val="clear" w:fill="FFFFFF"/>
        </w:rPr>
      </w:pPr>
      <w:r>
        <w:rPr>
          <w:rFonts w:hint="default" w:ascii="仿宋" w:hAnsi="仿宋" w:eastAsia="仿宋" w:cs="仿宋"/>
          <w:b w:val="0"/>
          <w:bCs w:val="0"/>
          <w:snapToGrid/>
          <w:color w:val="000000"/>
          <w:spacing w:val="0"/>
          <w:kern w:val="0"/>
          <w:sz w:val="32"/>
          <w:szCs w:val="32"/>
          <w:shd w:val="clear" w:fill="FFFFFF"/>
          <w:lang w:val="en-US" w:eastAsia="zh-CN" w:bidi="ar"/>
        </w:rPr>
        <w:t>自评得分100分。</w:t>
      </w:r>
    </w:p>
    <w:p w14:paraId="023A2B1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黑体" w:hAnsi="宋体" w:eastAsia="黑体" w:cs="黑体"/>
          <w:b w:val="0"/>
          <w:bCs w:val="0"/>
          <w:color w:val="000000"/>
          <w:spacing w:val="0"/>
          <w:kern w:val="0"/>
          <w:sz w:val="32"/>
          <w:szCs w:val="32"/>
        </w:rPr>
      </w:pPr>
      <w:r>
        <w:rPr>
          <w:rFonts w:hint="default" w:ascii="黑体" w:hAnsi="宋体" w:eastAsia="黑体" w:cs="黑体"/>
          <w:b w:val="0"/>
          <w:bCs w:val="0"/>
          <w:snapToGrid/>
          <w:color w:val="000000"/>
          <w:spacing w:val="0"/>
          <w:kern w:val="0"/>
          <w:sz w:val="32"/>
          <w:szCs w:val="32"/>
          <w:lang w:val="en-US" w:eastAsia="zh-CN" w:bidi="ar"/>
        </w:rPr>
        <w:t>五、存在主要问题及改进建议</w:t>
      </w:r>
    </w:p>
    <w:p w14:paraId="026946E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spacing w:val="0"/>
          <w:kern w:val="0"/>
          <w:sz w:val="32"/>
          <w:szCs w:val="32"/>
        </w:rPr>
      </w:pPr>
      <w:r>
        <w:rPr>
          <w:rFonts w:hint="default" w:ascii="仿宋" w:hAnsi="仿宋" w:eastAsia="仿宋" w:cs="仿宋"/>
          <w:b w:val="0"/>
          <w:bCs w:val="0"/>
          <w:snapToGrid/>
          <w:color w:val="000000"/>
          <w:spacing w:val="0"/>
          <w:kern w:val="0"/>
          <w:sz w:val="32"/>
          <w:szCs w:val="32"/>
          <w:lang w:val="en-US" w:eastAsia="zh-CN" w:bidi="ar"/>
        </w:rPr>
        <w:t>无</w:t>
      </w:r>
    </w:p>
    <w:p w14:paraId="1E1DB7C8">
      <w:pPr>
        <w:pStyle w:val="24"/>
        <w:keepNext w:val="0"/>
        <w:keepLines w:val="0"/>
        <w:widowControl w:val="0"/>
        <w:suppressLineNumbers w:val="0"/>
        <w:kinsoku/>
        <w:autoSpaceDE w:val="0"/>
        <w:autoSpaceDN/>
        <w:adjustRightInd/>
        <w:snapToGrid/>
        <w:spacing w:before="0" w:beforeAutospacing="0" w:after="0" w:afterAutospacing="0" w:line="576" w:lineRule="exact"/>
        <w:ind w:left="0" w:right="0" w:firstLine="640" w:firstLineChars="200"/>
        <w:jc w:val="both"/>
        <w:textAlignment w:val="auto"/>
        <w:outlineLvl w:val="9"/>
        <w:rPr>
          <w:rFonts w:hint="default" w:ascii="仿宋" w:hAnsi="仿宋" w:eastAsia="仿宋" w:cs="仿宋"/>
          <w:b w:val="0"/>
          <w:bCs w:val="0"/>
          <w:spacing w:val="0"/>
          <w:kern w:val="2"/>
          <w:sz w:val="32"/>
          <w:szCs w:val="32"/>
        </w:rPr>
      </w:pPr>
      <w:r>
        <w:rPr>
          <w:rFonts w:hint="default" w:ascii="仿宋" w:hAnsi="仿宋" w:eastAsia="仿宋" w:cs="仿宋"/>
          <w:b w:val="0"/>
          <w:bCs w:val="0"/>
          <w:snapToGrid/>
          <w:color w:val="auto"/>
          <w:spacing w:val="0"/>
          <w:kern w:val="2"/>
          <w:sz w:val="32"/>
          <w:szCs w:val="32"/>
          <w:lang w:val="en-US" w:eastAsia="zh-CN" w:bidi="ar"/>
        </w:rPr>
        <w:t xml:space="preserve"> </w:t>
      </w:r>
    </w:p>
    <w:p w14:paraId="2B849B9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spacing w:val="0"/>
          <w:kern w:val="0"/>
          <w:sz w:val="32"/>
          <w:szCs w:val="32"/>
        </w:rPr>
      </w:pPr>
      <w:r>
        <w:rPr>
          <w:rFonts w:hint="default" w:ascii="仿宋" w:hAnsi="仿宋" w:eastAsia="仿宋" w:cs="仿宋"/>
          <w:b w:val="0"/>
          <w:bCs w:val="0"/>
          <w:snapToGrid/>
          <w:color w:val="000000"/>
          <w:spacing w:val="0"/>
          <w:kern w:val="0"/>
          <w:sz w:val="32"/>
          <w:szCs w:val="32"/>
          <w:lang w:val="en-US" w:eastAsia="zh-CN" w:bidi="ar"/>
        </w:rPr>
        <w:t xml:space="preserve"> </w:t>
      </w:r>
    </w:p>
    <w:p w14:paraId="395E4B3E">
      <w:pPr>
        <w:pStyle w:val="24"/>
        <w:keepNext w:val="0"/>
        <w:keepLines w:val="0"/>
        <w:widowControl/>
        <w:suppressLineNumbers w:val="0"/>
        <w:kinsoku w:val="0"/>
        <w:autoSpaceDE w:val="0"/>
        <w:autoSpaceDN w:val="0"/>
        <w:adjustRightInd w:val="0"/>
        <w:snapToGrid w:val="0"/>
        <w:spacing w:before="0" w:beforeAutospacing="1" w:after="120" w:afterAutospacing="0"/>
        <w:ind w:left="420" w:leftChars="200" w:right="0" w:firstLine="420" w:firstLineChars="200"/>
        <w:jc w:val="left"/>
        <w:textAlignment w:val="baseline"/>
        <w:rPr>
          <w:rFonts w:hint="default" w:ascii="Arial" w:hAnsi="Arial" w:cs="Times New Roman"/>
          <w:color w:val="000000"/>
          <w:kern w:val="0"/>
          <w:sz w:val="21"/>
          <w:szCs w:val="21"/>
        </w:rPr>
      </w:pPr>
      <w:r>
        <w:rPr>
          <w:rFonts w:hint="default" w:ascii="Arial" w:hAnsi="Arial" w:cs="Times New Roman"/>
          <w:snapToGrid/>
          <w:color w:val="000000"/>
          <w:kern w:val="0"/>
          <w:sz w:val="21"/>
          <w:szCs w:val="21"/>
          <w:lang w:val="en-US" w:eastAsia="zh-CN" w:bidi="ar"/>
        </w:rPr>
        <w:t xml:space="preserve"> </w:t>
      </w:r>
    </w:p>
    <w:p w14:paraId="27B1DE73">
      <w:pPr>
        <w:rPr>
          <w:rFonts w:hint="default" w:ascii="仿宋" w:hAnsi="仿宋" w:eastAsia="仿宋" w:cs="仿宋"/>
          <w:b w:val="0"/>
          <w:bCs w:val="0"/>
          <w:color w:val="000000"/>
          <w:spacing w:val="0"/>
          <w:kern w:val="0"/>
          <w:sz w:val="32"/>
          <w:szCs w:val="32"/>
        </w:rPr>
        <w:sectPr>
          <w:pgSz w:w="11906" w:h="16838"/>
          <w:pgMar w:top="2098" w:right="1474" w:bottom="1984" w:left="1587" w:header="850" w:footer="1474" w:gutter="0"/>
          <w:pgNumType w:fmt="numberInDash"/>
          <w:cols w:space="720" w:num="1"/>
          <w:rtlGutter w:val="1"/>
          <w:docGrid w:type="lines" w:linePitch="312" w:charSpace="0"/>
        </w:sectPr>
      </w:pPr>
    </w:p>
    <w:p w14:paraId="7857A187">
      <w:pPr>
        <w:pStyle w:val="24"/>
        <w:keepNext w:val="0"/>
        <w:keepLines w:val="0"/>
        <w:widowControl/>
        <w:suppressLineNumbers w:val="0"/>
        <w:kinsoku w:val="0"/>
        <w:autoSpaceDE w:val="0"/>
        <w:autoSpaceDN w:val="0"/>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color w:val="000000"/>
          <w:spacing w:val="0"/>
          <w:kern w:val="0"/>
          <w:sz w:val="44"/>
          <w:szCs w:val="44"/>
          <w:vertAlign w:val="baseline"/>
        </w:rPr>
      </w:pPr>
      <w:r>
        <w:rPr>
          <w:rFonts w:hint="eastAsia" w:ascii="方正小标宋简体" w:hAnsi="方正小标宋简体" w:eastAsia="方正小标宋简体" w:cs="方正小标宋简体"/>
          <w:snapToGrid/>
          <w:color w:val="000000"/>
          <w:spacing w:val="0"/>
          <w:kern w:val="0"/>
          <w:sz w:val="44"/>
          <w:szCs w:val="44"/>
          <w:vertAlign w:val="baseline"/>
          <w:lang w:val="en-US" w:eastAsia="zh-CN" w:bidi="ar"/>
        </w:rPr>
        <w:t>2024年度省级专项预算宝轮镇赤化村粮油</w:t>
      </w:r>
    </w:p>
    <w:p w14:paraId="487C7195">
      <w:pPr>
        <w:pStyle w:val="24"/>
        <w:keepNext w:val="0"/>
        <w:keepLines w:val="0"/>
        <w:widowControl/>
        <w:suppressLineNumbers w:val="0"/>
        <w:kinsoku w:val="0"/>
        <w:autoSpaceDE w:val="0"/>
        <w:autoSpaceDN w:val="0"/>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color w:val="000000"/>
          <w:spacing w:val="0"/>
          <w:kern w:val="0"/>
          <w:sz w:val="44"/>
          <w:szCs w:val="44"/>
          <w:vertAlign w:val="baseline"/>
        </w:rPr>
      </w:pPr>
      <w:r>
        <w:rPr>
          <w:rFonts w:hint="eastAsia" w:ascii="方正小标宋简体" w:hAnsi="方正小标宋简体" w:eastAsia="方正小标宋简体" w:cs="方正小标宋简体"/>
          <w:snapToGrid/>
          <w:color w:val="000000"/>
          <w:spacing w:val="0"/>
          <w:kern w:val="0"/>
          <w:sz w:val="44"/>
          <w:szCs w:val="44"/>
          <w:vertAlign w:val="baseline"/>
          <w:lang w:val="en-US" w:eastAsia="zh-CN" w:bidi="ar"/>
        </w:rPr>
        <w:t>示范基地建设项目绩效自评报告</w:t>
      </w:r>
    </w:p>
    <w:p w14:paraId="3968458E">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 xml:space="preserve"> </w:t>
      </w:r>
    </w:p>
    <w:p w14:paraId="7C3C68C6">
      <w:pPr>
        <w:keepNext w:val="0"/>
        <w:keepLines w:val="0"/>
        <w:widowControl w:val="0"/>
        <w:suppressLineNumbers w:val="0"/>
        <w:suppressAutoHyphens/>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按照《四川省财政厅关于开展省级部门预算绩效自评工作的通知》（川财绩〔2025〕4号）要求，现将利州区2024年度省级财政农业专项预算绩效评价（利州区宝轮镇赤化村粮油现代化示范基地建设项目）工作自评情况报告如下。</w:t>
      </w:r>
    </w:p>
    <w:p w14:paraId="2EF870EE">
      <w:pPr>
        <w:keepNext w:val="0"/>
        <w:keepLines w:val="0"/>
        <w:widowControl w:val="0"/>
        <w:suppressLineNumbers w:val="0"/>
        <w:suppressAutoHyphens/>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黑体" w:hAnsi="宋体" w:eastAsia="黑体" w:cs="黑体"/>
          <w:color w:val="000000"/>
          <w:kern w:val="0"/>
          <w:sz w:val="32"/>
          <w:szCs w:val="32"/>
          <w:vertAlign w:val="baseline"/>
        </w:rPr>
      </w:pPr>
      <w:r>
        <w:rPr>
          <w:rFonts w:hint="default" w:ascii="黑体" w:hAnsi="宋体" w:eastAsia="黑体" w:cs="黑体"/>
          <w:snapToGrid/>
          <w:color w:val="000000"/>
          <w:kern w:val="0"/>
          <w:sz w:val="32"/>
          <w:szCs w:val="32"/>
          <w:vertAlign w:val="baseline"/>
          <w:lang w:val="en-US" w:eastAsia="zh-CN" w:bidi="ar"/>
        </w:rPr>
        <w:t>一、项目概况</w:t>
      </w:r>
    </w:p>
    <w:p w14:paraId="2033DA7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楷体" w:hAnsi="楷体" w:eastAsia="楷体" w:cs="楷体"/>
          <w:snapToGrid/>
          <w:color w:val="000000"/>
          <w:kern w:val="0"/>
          <w:sz w:val="32"/>
          <w:szCs w:val="32"/>
          <w:vertAlign w:val="baseline"/>
          <w:lang w:val="en-US" w:eastAsia="zh-CN" w:bidi="ar"/>
        </w:rPr>
        <w:t>（一）设立背景及基本情况。</w:t>
      </w:r>
      <w:r>
        <w:rPr>
          <w:rFonts w:hint="default" w:ascii="仿宋" w:hAnsi="仿宋" w:eastAsia="仿宋" w:cs="仿宋"/>
          <w:snapToGrid/>
          <w:color w:val="000000"/>
          <w:kern w:val="0"/>
          <w:sz w:val="32"/>
          <w:szCs w:val="32"/>
          <w:vertAlign w:val="baseline"/>
          <w:lang w:val="en-US" w:eastAsia="zh-CN" w:bidi="ar"/>
        </w:rPr>
        <w:t>按照《四川省财政厅 四川省农业农村厅 四川省乡村振兴局关于修订〈四川省乡村振兴共同财政事权转移支付资金管理办法〉的通知》（川财农〔2022〕16号）和《四川省农业农村厅关于做好2024年省级财政乡村振兴转移支付项目实施工作的通知》（川农函〔2024〕227号）要求，结合本地实际，坚持查漏补缺原则，确定建设地点和项目内容，制定科学合理的实施方案。通过建设一批抓得住、见效快、看得见的项目，起到锻长补短、示范引领的作用。</w:t>
      </w:r>
    </w:p>
    <w:p w14:paraId="520300B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楷体" w:hAnsi="楷体" w:eastAsia="楷体" w:cs="楷体"/>
          <w:color w:val="000000"/>
          <w:kern w:val="0"/>
          <w:sz w:val="32"/>
          <w:szCs w:val="32"/>
          <w:vertAlign w:val="baseline"/>
        </w:rPr>
      </w:pPr>
      <w:r>
        <w:rPr>
          <w:rFonts w:hint="default" w:ascii="楷体" w:hAnsi="楷体" w:eastAsia="楷体" w:cs="楷体"/>
          <w:snapToGrid/>
          <w:color w:val="000000"/>
          <w:kern w:val="0"/>
          <w:sz w:val="32"/>
          <w:szCs w:val="32"/>
          <w:vertAlign w:val="baseline"/>
          <w:lang w:val="en-US" w:eastAsia="zh-CN" w:bidi="ar"/>
        </w:rPr>
        <w:t>（二）实施目的及支持方向。</w:t>
      </w:r>
    </w:p>
    <w:p w14:paraId="4520BE92">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1.育秧基地片区。新建生产道路810米、砖砌水沟480米、沟底硬化、清淤210米、沟盖盖板135米、病虫害防治监测系统1套。</w:t>
      </w:r>
    </w:p>
    <w:p w14:paraId="1F17387A">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2.村委会至井槽沟片区。新建混凝土挡墙735米、新建生产道路620米、新建人头石堡坎14米、新建错车道1处、病虫害防治监测系统1套。</w:t>
      </w:r>
    </w:p>
    <w:p w14:paraId="5F3ED893">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3.王家梁片区。山坪塘整治2口、新建生产道路421米、新建40渠245米、排水沟盖板375米、病虫害防治监测系统1套。</w:t>
      </w:r>
    </w:p>
    <w:p w14:paraId="6BAD222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楷体" w:hAnsi="楷体" w:eastAsia="楷体" w:cs="楷体"/>
          <w:snapToGrid/>
          <w:color w:val="000000"/>
          <w:kern w:val="0"/>
          <w:sz w:val="32"/>
          <w:szCs w:val="32"/>
          <w:vertAlign w:val="baseline"/>
          <w:lang w:val="en-US" w:eastAsia="zh-CN" w:bidi="ar"/>
        </w:rPr>
        <w:t>（三）预算安排及分配管理。</w:t>
      </w:r>
      <w:r>
        <w:rPr>
          <w:rFonts w:hint="default" w:ascii="仿宋" w:hAnsi="仿宋" w:eastAsia="仿宋" w:cs="仿宋"/>
          <w:snapToGrid/>
          <w:color w:val="000000"/>
          <w:kern w:val="0"/>
          <w:sz w:val="32"/>
          <w:szCs w:val="32"/>
          <w:vertAlign w:val="baseline"/>
          <w:lang w:val="en-US" w:eastAsia="zh-CN" w:bidi="ar"/>
        </w:rPr>
        <w:t>项目总投资200.54万元，其中，省级财政乡村振兴转移支付先进市奖补资金200万元，自筹0.54万元。</w:t>
      </w:r>
    </w:p>
    <w:p w14:paraId="16D67DD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楷体" w:hAnsi="楷体" w:eastAsia="楷体" w:cs="楷体"/>
          <w:snapToGrid/>
          <w:color w:val="000000"/>
          <w:kern w:val="0"/>
          <w:sz w:val="32"/>
          <w:szCs w:val="32"/>
          <w:vertAlign w:val="baseline"/>
          <w:lang w:val="en-US" w:eastAsia="zh-CN" w:bidi="ar"/>
        </w:rPr>
        <w:t>（四）项目绩效目标设置。</w:t>
      </w:r>
      <w:r>
        <w:rPr>
          <w:rFonts w:hint="default" w:ascii="Arial" w:hAnsi="Arial" w:eastAsia="宋体" w:cs="Arial"/>
          <w:snapToGrid/>
          <w:color w:val="000000"/>
          <w:kern w:val="0"/>
          <w:sz w:val="21"/>
          <w:szCs w:val="21"/>
          <w:vertAlign w:val="baseline"/>
          <w:lang w:val="en-US" w:eastAsia="zh-CN" w:bidi="ar"/>
        </w:rPr>
        <w:fldChar w:fldCharType="begin"/>
      </w:r>
      <w:r>
        <w:rPr>
          <w:rFonts w:hint="default" w:ascii="Arial" w:hAnsi="Arial" w:eastAsia="宋体" w:cs="Arial"/>
          <w:snapToGrid/>
          <w:color w:val="000000"/>
          <w:kern w:val="0"/>
          <w:sz w:val="21"/>
          <w:szCs w:val="21"/>
          <w:vertAlign w:val="baseline"/>
          <w:lang w:val="en-US" w:eastAsia="zh-CN" w:bidi="ar"/>
        </w:rPr>
        <w:instrText xml:space="preserve"> HYPERLINK "http://www.110.com/ask/browse-c72.html" </w:instrText>
      </w:r>
      <w:r>
        <w:rPr>
          <w:rFonts w:hint="default" w:ascii="Arial" w:hAnsi="Arial" w:eastAsia="宋体" w:cs="Arial"/>
          <w:snapToGrid/>
          <w:color w:val="000000"/>
          <w:kern w:val="0"/>
          <w:sz w:val="21"/>
          <w:szCs w:val="21"/>
          <w:vertAlign w:val="baseline"/>
          <w:lang w:val="en-US" w:eastAsia="zh-CN" w:bidi="ar"/>
        </w:rPr>
        <w:fldChar w:fldCharType="separate"/>
      </w:r>
      <w:r>
        <w:rPr>
          <w:rStyle w:val="31"/>
          <w:rFonts w:hint="default" w:ascii="仿宋" w:hAnsi="仿宋" w:eastAsia="仿宋" w:cs="仿宋"/>
          <w:color w:val="000000"/>
          <w:kern w:val="0"/>
          <w:sz w:val="32"/>
          <w:szCs w:val="32"/>
          <w:vertAlign w:val="baseline"/>
        </w:rPr>
        <w:t>经济</w:t>
      </w:r>
      <w:r>
        <w:rPr>
          <w:rFonts w:hint="default" w:ascii="Arial" w:hAnsi="Arial" w:eastAsia="宋体" w:cs="Arial"/>
          <w:snapToGrid/>
          <w:color w:val="000000"/>
          <w:kern w:val="0"/>
          <w:sz w:val="21"/>
          <w:szCs w:val="21"/>
          <w:vertAlign w:val="baseline"/>
          <w:lang w:val="en-US" w:eastAsia="zh-CN" w:bidi="ar"/>
        </w:rPr>
        <w:fldChar w:fldCharType="end"/>
      </w:r>
      <w:r>
        <w:rPr>
          <w:rFonts w:hint="default" w:ascii="仿宋" w:hAnsi="仿宋" w:eastAsia="仿宋" w:cs="仿宋"/>
          <w:snapToGrid/>
          <w:color w:val="000000"/>
          <w:kern w:val="0"/>
          <w:sz w:val="32"/>
          <w:szCs w:val="32"/>
          <w:vertAlign w:val="baseline"/>
          <w:lang w:val="en-US" w:eastAsia="zh-CN" w:bidi="ar"/>
        </w:rPr>
        <w:t>效益好，有利于增加农民收入。社会效益好，产业建设有效推动集约化生产水平提高，加快产业结构优化和产业升级，提高资源利用率；有利于当地农业发展条件和生态环境改善；有利于农业功能拓展和现代农业发展。带动作用强，能指导和带动周边地区农民的农产品生产、加工和流通，提高农业产业化经营水平。</w:t>
      </w:r>
    </w:p>
    <w:p w14:paraId="17B7D2B4">
      <w:pPr>
        <w:keepNext w:val="0"/>
        <w:keepLines w:val="0"/>
        <w:widowControl w:val="0"/>
        <w:suppressLineNumbers w:val="0"/>
        <w:suppressAutoHyphens/>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黑体" w:hAnsi="宋体" w:eastAsia="黑体" w:cs="黑体"/>
          <w:color w:val="000000"/>
          <w:kern w:val="0"/>
          <w:sz w:val="32"/>
          <w:szCs w:val="32"/>
          <w:vertAlign w:val="baseline"/>
        </w:rPr>
      </w:pPr>
      <w:r>
        <w:rPr>
          <w:rFonts w:hint="default" w:ascii="黑体" w:hAnsi="宋体" w:eastAsia="黑体" w:cs="黑体"/>
          <w:snapToGrid/>
          <w:color w:val="000000"/>
          <w:kern w:val="0"/>
          <w:sz w:val="32"/>
          <w:szCs w:val="32"/>
          <w:vertAlign w:val="baseline"/>
          <w:lang w:val="en-US" w:eastAsia="zh-CN" w:bidi="ar"/>
        </w:rPr>
        <w:t>二、评价实施</w:t>
      </w:r>
    </w:p>
    <w:p w14:paraId="27DA3E7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楷体" w:hAnsi="楷体" w:eastAsia="楷体" w:cs="楷体"/>
          <w:snapToGrid/>
          <w:color w:val="000000"/>
          <w:kern w:val="0"/>
          <w:sz w:val="32"/>
          <w:szCs w:val="32"/>
          <w:vertAlign w:val="baseline"/>
          <w:lang w:val="en-US" w:eastAsia="zh-CN" w:bidi="ar"/>
        </w:rPr>
        <w:t>（一）评价目的。</w:t>
      </w:r>
      <w:r>
        <w:rPr>
          <w:rFonts w:hint="default" w:ascii="仿宋" w:hAnsi="仿宋" w:eastAsia="仿宋" w:cs="仿宋"/>
          <w:snapToGrid/>
          <w:color w:val="000000"/>
          <w:kern w:val="0"/>
          <w:sz w:val="32"/>
          <w:szCs w:val="32"/>
          <w:vertAlign w:val="baseline"/>
          <w:lang w:val="en-US" w:eastAsia="zh-CN" w:bidi="ar"/>
        </w:rPr>
        <w:t>通过项目绩效自评，将项目开展的每个步骤都进行了完善，工作效率与资源分配进一步提高，改进工作机制。</w:t>
      </w:r>
    </w:p>
    <w:p w14:paraId="4543015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楷体" w:hAnsi="楷体" w:eastAsia="楷体" w:cs="楷体"/>
          <w:snapToGrid/>
          <w:color w:val="000000"/>
          <w:kern w:val="0"/>
          <w:sz w:val="32"/>
          <w:szCs w:val="32"/>
          <w:vertAlign w:val="baseline"/>
          <w:lang w:val="en-US" w:eastAsia="zh-CN" w:bidi="ar"/>
        </w:rPr>
        <w:t>（二）预设问题及评价重点。</w:t>
      </w:r>
      <w:r>
        <w:rPr>
          <w:rFonts w:hint="default" w:ascii="仿宋" w:hAnsi="仿宋" w:eastAsia="仿宋" w:cs="仿宋"/>
          <w:snapToGrid/>
          <w:color w:val="000000"/>
          <w:kern w:val="0"/>
          <w:sz w:val="32"/>
          <w:szCs w:val="32"/>
          <w:vertAlign w:val="baseline"/>
          <w:lang w:val="en-US" w:eastAsia="zh-CN" w:bidi="ar"/>
        </w:rPr>
        <w:t>该项目资金来自财政，资金支出使用全过程都严格按照政策规定与方案实施，编制项目实施方案，确定项目实施重点内容及明确主要任务，加强项目管理，其中重点强调组织领导、绩效管理和资金监管，建设粮油现代化示范基地，改善农民生产条件，保护农民种粮利益，提高农民种粮和保护耕地积极性，保障国家粮食安全，促进乡村振兴战略。</w:t>
      </w:r>
    </w:p>
    <w:p w14:paraId="2D77DAE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楷体" w:hAnsi="楷体" w:eastAsia="楷体" w:cs="楷体"/>
          <w:snapToGrid/>
          <w:color w:val="000000"/>
          <w:kern w:val="0"/>
          <w:sz w:val="32"/>
          <w:szCs w:val="32"/>
          <w:vertAlign w:val="baseline"/>
          <w:lang w:val="en-US" w:eastAsia="zh-CN" w:bidi="ar"/>
        </w:rPr>
        <w:t>（三）评价方法。</w:t>
      </w:r>
      <w:r>
        <w:rPr>
          <w:rFonts w:hint="default" w:ascii="仿宋" w:hAnsi="仿宋" w:eastAsia="仿宋" w:cs="仿宋"/>
          <w:snapToGrid/>
          <w:color w:val="000000"/>
          <w:kern w:val="0"/>
          <w:sz w:val="32"/>
          <w:szCs w:val="32"/>
          <w:vertAlign w:val="baseline"/>
          <w:lang w:val="en-US" w:eastAsia="zh-CN" w:bidi="ar"/>
        </w:rPr>
        <w:t>通过单位自评法、实地勘察法、座谈调研法等多种方法，区农业农村局业务人员与宝轮镇相关人员、赤化村相关人员一同开展项目评价工作。</w:t>
      </w:r>
    </w:p>
    <w:p w14:paraId="456B468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楷体" w:hAnsi="楷体" w:eastAsia="楷体" w:cs="楷体"/>
          <w:color w:val="000000"/>
          <w:kern w:val="0"/>
          <w:sz w:val="32"/>
          <w:szCs w:val="32"/>
          <w:vertAlign w:val="baseline"/>
        </w:rPr>
      </w:pPr>
      <w:r>
        <w:rPr>
          <w:rFonts w:hint="default" w:ascii="楷体" w:hAnsi="楷体" w:eastAsia="楷体" w:cs="楷体"/>
          <w:snapToGrid/>
          <w:color w:val="000000"/>
          <w:kern w:val="0"/>
          <w:sz w:val="32"/>
          <w:szCs w:val="32"/>
          <w:vertAlign w:val="baseline"/>
          <w:lang w:val="en-US" w:eastAsia="zh-CN" w:bidi="ar"/>
        </w:rPr>
        <w:t>（四）评价组织。</w:t>
      </w:r>
    </w:p>
    <w:p w14:paraId="63BE452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shd w:val="clear" w:fill="FFFFFF"/>
          <w:vertAlign w:val="baseline"/>
        </w:rPr>
      </w:pPr>
      <w:r>
        <w:rPr>
          <w:rFonts w:hint="default" w:ascii="仿宋" w:hAnsi="仿宋" w:eastAsia="仿宋" w:cs="仿宋"/>
          <w:snapToGrid/>
          <w:color w:val="000000"/>
          <w:kern w:val="0"/>
          <w:sz w:val="32"/>
          <w:szCs w:val="32"/>
          <w:shd w:val="clear" w:fill="FFFFFF"/>
          <w:vertAlign w:val="baseline"/>
          <w:lang w:val="en-US" w:eastAsia="zh-CN" w:bidi="ar"/>
        </w:rPr>
        <w:t>组  长：李树勋  区农业农村局党组书记、局长</w:t>
      </w:r>
    </w:p>
    <w:p w14:paraId="20100AF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shd w:val="clear" w:fill="FFFFFF"/>
          <w:vertAlign w:val="baseline"/>
        </w:rPr>
      </w:pPr>
      <w:r>
        <w:rPr>
          <w:rFonts w:hint="default" w:ascii="仿宋" w:hAnsi="仿宋" w:eastAsia="仿宋" w:cs="仿宋"/>
          <w:snapToGrid/>
          <w:color w:val="000000"/>
          <w:kern w:val="0"/>
          <w:sz w:val="32"/>
          <w:szCs w:val="32"/>
          <w:shd w:val="clear" w:fill="FFFFFF"/>
          <w:vertAlign w:val="baseline"/>
          <w:lang w:val="en-US" w:eastAsia="zh-CN" w:bidi="ar"/>
        </w:rPr>
        <w:t>副组长：尚  伟  区农业农村局党组成员、副局长</w:t>
      </w:r>
    </w:p>
    <w:p w14:paraId="31874701">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1920" w:firstLineChars="600"/>
        <w:jc w:val="left"/>
        <w:textAlignment w:val="baseline"/>
        <w:rPr>
          <w:rFonts w:hint="default" w:ascii="仿宋" w:hAnsi="仿宋" w:eastAsia="仿宋" w:cs="仿宋"/>
          <w:color w:val="000000"/>
          <w:kern w:val="0"/>
          <w:sz w:val="32"/>
          <w:szCs w:val="32"/>
          <w:shd w:val="clear" w:fill="FFFFFF"/>
          <w:vertAlign w:val="baseline"/>
        </w:rPr>
      </w:pPr>
      <w:r>
        <w:rPr>
          <w:rFonts w:hint="default" w:ascii="仿宋" w:hAnsi="仿宋" w:eastAsia="仿宋" w:cs="仿宋"/>
          <w:snapToGrid/>
          <w:color w:val="000000"/>
          <w:kern w:val="0"/>
          <w:sz w:val="32"/>
          <w:szCs w:val="32"/>
          <w:shd w:val="clear" w:fill="FFFFFF"/>
          <w:vertAlign w:val="baseline"/>
          <w:lang w:val="en-US" w:eastAsia="zh-CN" w:bidi="ar"/>
        </w:rPr>
        <w:t>肖宏伟  宝轮镇人民政府副镇长</w:t>
      </w:r>
    </w:p>
    <w:p w14:paraId="67556C5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shd w:val="clear" w:fill="FFFFFF"/>
          <w:vertAlign w:val="baseline"/>
        </w:rPr>
      </w:pPr>
      <w:r>
        <w:rPr>
          <w:rFonts w:hint="default" w:ascii="仿宋" w:hAnsi="仿宋" w:eastAsia="仿宋" w:cs="仿宋"/>
          <w:snapToGrid/>
          <w:color w:val="000000"/>
          <w:kern w:val="0"/>
          <w:sz w:val="32"/>
          <w:szCs w:val="32"/>
          <w:shd w:val="clear" w:fill="FFFFFF"/>
          <w:vertAlign w:val="baseline"/>
          <w:lang w:val="en-US" w:eastAsia="zh-CN" w:bidi="ar"/>
        </w:rPr>
        <w:t>成  员：王  玲  区农业技术推广与植保植检站主任</w:t>
      </w:r>
    </w:p>
    <w:p w14:paraId="7381FA3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1920" w:firstLineChars="600"/>
        <w:jc w:val="left"/>
        <w:textAlignment w:val="baseline"/>
        <w:rPr>
          <w:rFonts w:hint="default" w:ascii="仿宋" w:hAnsi="仿宋" w:eastAsia="仿宋" w:cs="仿宋"/>
          <w:color w:val="000000"/>
          <w:kern w:val="0"/>
          <w:sz w:val="32"/>
          <w:szCs w:val="32"/>
          <w:shd w:val="clear" w:fill="FFFFFF"/>
          <w:vertAlign w:val="baseline"/>
        </w:rPr>
      </w:pPr>
      <w:r>
        <w:rPr>
          <w:rFonts w:hint="default" w:ascii="仿宋" w:hAnsi="仿宋" w:eastAsia="仿宋" w:cs="仿宋"/>
          <w:snapToGrid/>
          <w:color w:val="000000"/>
          <w:kern w:val="0"/>
          <w:sz w:val="32"/>
          <w:szCs w:val="32"/>
          <w:shd w:val="clear" w:fill="FFFFFF"/>
          <w:vertAlign w:val="baseline"/>
          <w:lang w:val="en-US" w:eastAsia="zh-CN" w:bidi="ar"/>
        </w:rPr>
        <w:t>陆崇高  区农业技术推广与植保植检站干部</w:t>
      </w:r>
    </w:p>
    <w:p w14:paraId="396F57F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1920" w:firstLineChars="600"/>
        <w:jc w:val="left"/>
        <w:textAlignment w:val="baseline"/>
        <w:rPr>
          <w:rFonts w:hint="default" w:ascii="仿宋" w:hAnsi="仿宋" w:eastAsia="仿宋" w:cs="仿宋"/>
          <w:color w:val="000000"/>
          <w:kern w:val="0"/>
          <w:sz w:val="32"/>
          <w:szCs w:val="32"/>
          <w:shd w:val="clear" w:fill="FFFFFF"/>
          <w:vertAlign w:val="baseline"/>
        </w:rPr>
      </w:pPr>
      <w:r>
        <w:rPr>
          <w:rFonts w:hint="default" w:ascii="仿宋" w:hAnsi="仿宋" w:eastAsia="仿宋" w:cs="仿宋"/>
          <w:snapToGrid/>
          <w:color w:val="000000"/>
          <w:kern w:val="0"/>
          <w:sz w:val="32"/>
          <w:szCs w:val="32"/>
          <w:shd w:val="clear" w:fill="FFFFFF"/>
          <w:vertAlign w:val="baseline"/>
          <w:lang w:val="en-US" w:eastAsia="zh-CN" w:bidi="ar"/>
        </w:rPr>
        <w:t>刘  墁  区农业农村局计划财务股负责人</w:t>
      </w:r>
    </w:p>
    <w:p w14:paraId="303BD4D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1920" w:firstLineChars="600"/>
        <w:jc w:val="left"/>
        <w:textAlignment w:val="baseline"/>
        <w:rPr>
          <w:rFonts w:hint="default" w:ascii="仿宋" w:hAnsi="仿宋" w:eastAsia="仿宋" w:cs="仿宋"/>
          <w:color w:val="000000"/>
          <w:kern w:val="0"/>
          <w:sz w:val="32"/>
          <w:szCs w:val="32"/>
          <w:shd w:val="clear" w:fill="FFFFFF"/>
          <w:vertAlign w:val="baseline"/>
        </w:rPr>
      </w:pPr>
      <w:r>
        <w:rPr>
          <w:rFonts w:hint="default" w:ascii="仿宋" w:hAnsi="仿宋" w:eastAsia="仿宋" w:cs="仿宋"/>
          <w:snapToGrid/>
          <w:color w:val="000000"/>
          <w:kern w:val="0"/>
          <w:sz w:val="32"/>
          <w:szCs w:val="32"/>
          <w:shd w:val="clear" w:fill="FFFFFF"/>
          <w:vertAlign w:val="baseline"/>
          <w:lang w:val="en-US" w:eastAsia="zh-CN" w:bidi="ar"/>
        </w:rPr>
        <w:t>褚  贵   宝轮镇农业综合服务中心主任</w:t>
      </w:r>
    </w:p>
    <w:p w14:paraId="1C46370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由李树勋负责整体评价工作，尚伟副局长负责牵头实施，成员负责具体评价工作。</w:t>
      </w:r>
    </w:p>
    <w:p w14:paraId="11C9809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黑体" w:hAnsi="宋体" w:eastAsia="黑体" w:cs="黑体"/>
          <w:color w:val="000000"/>
          <w:kern w:val="0"/>
          <w:sz w:val="32"/>
          <w:szCs w:val="32"/>
          <w:vertAlign w:val="baseline"/>
        </w:rPr>
      </w:pPr>
      <w:r>
        <w:rPr>
          <w:rFonts w:hint="default" w:ascii="黑体" w:hAnsi="宋体" w:eastAsia="黑体" w:cs="黑体"/>
          <w:snapToGrid/>
          <w:color w:val="000000"/>
          <w:kern w:val="0"/>
          <w:sz w:val="32"/>
          <w:szCs w:val="32"/>
          <w:vertAlign w:val="baseline"/>
          <w:lang w:val="en-US" w:eastAsia="zh-CN" w:bidi="ar"/>
        </w:rPr>
        <w:t>三、绩效分析</w:t>
      </w:r>
      <w:r>
        <w:rPr>
          <w:rFonts w:hint="default" w:ascii="黑体" w:hAnsi="宋体" w:eastAsia="黑体" w:cs="黑体"/>
          <w:snapToGrid/>
          <w:color w:val="000000"/>
          <w:kern w:val="0"/>
          <w:sz w:val="32"/>
          <w:szCs w:val="32"/>
          <w:vertAlign w:val="baseline"/>
          <w:lang w:val="en-US" w:eastAsia="zh-CN" w:bidi="ar"/>
        </w:rPr>
        <w:tab/>
      </w:r>
    </w:p>
    <w:p w14:paraId="745866A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楷体" w:hAnsi="楷体" w:eastAsia="楷体" w:cs="楷体"/>
          <w:color w:val="000000"/>
          <w:kern w:val="0"/>
          <w:sz w:val="32"/>
          <w:szCs w:val="32"/>
          <w:vertAlign w:val="baseline"/>
        </w:rPr>
      </w:pPr>
      <w:r>
        <w:rPr>
          <w:rFonts w:hint="default" w:ascii="楷体" w:hAnsi="楷体" w:eastAsia="楷体" w:cs="楷体"/>
          <w:snapToGrid/>
          <w:color w:val="000000"/>
          <w:kern w:val="0"/>
          <w:sz w:val="32"/>
          <w:szCs w:val="32"/>
          <w:vertAlign w:val="baseline"/>
          <w:lang w:val="en-US" w:eastAsia="zh-CN" w:bidi="ar"/>
        </w:rPr>
        <w:t>（一）通用指标绩效分析。</w:t>
      </w:r>
    </w:p>
    <w:p w14:paraId="551C3F7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1.预算执行。2024年省财政下达广元市利州区宝轮镇赤化村粮油现代化示范基地建设项目资金200万元，资金财政拨付率100%，得6分。</w:t>
      </w:r>
    </w:p>
    <w:p w14:paraId="6B58EF4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2.资金使用。项目资金使用、拨付符合国家财经法规、财务管理制度及有关专项资金管理制度办法的规定和审批程序，不存在超范围、超标准、超进度使用专项资金，不存在资金损失浪费、长期沉淀、截留、挤占、挪用、虚列支出等情况，项目实施遵守相关法律法规。本项3分不扣分。</w:t>
      </w:r>
    </w:p>
    <w:p w14:paraId="0677374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3.目标完成。按方案均已完成预期绩效。本项得6分。</w:t>
      </w:r>
    </w:p>
    <w:p w14:paraId="0322190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4.完成时效。实际完成时间为2025年4月，计划完成时间为2024年12月30日。本项不得分。</w:t>
      </w:r>
    </w:p>
    <w:p w14:paraId="21ED8B5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楷体" w:hAnsi="楷体" w:eastAsia="楷体" w:cs="楷体"/>
          <w:kern w:val="0"/>
          <w:sz w:val="32"/>
          <w:szCs w:val="32"/>
          <w:vertAlign w:val="baseline"/>
        </w:rPr>
      </w:pPr>
      <w:r>
        <w:rPr>
          <w:rFonts w:hint="default" w:ascii="楷体" w:hAnsi="楷体" w:eastAsia="楷体" w:cs="楷体"/>
          <w:snapToGrid/>
          <w:color w:val="000000"/>
          <w:kern w:val="0"/>
          <w:sz w:val="32"/>
          <w:szCs w:val="32"/>
          <w:vertAlign w:val="baseline"/>
          <w:lang w:val="en-US" w:eastAsia="zh-CN" w:bidi="ar"/>
        </w:rPr>
        <w:t>（二）专用指标绩效分析</w:t>
      </w:r>
    </w:p>
    <w:p w14:paraId="1D82313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1.符合性。项目与省委、省政府支持重点、产业支持政策符合。本项得分10分。</w:t>
      </w:r>
    </w:p>
    <w:p w14:paraId="6DB76D7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2.功能实现。项目经济社会功能实现，建设粮油现代化示范基地，改善农民生产条件，保障国家粮食安全，促进乡村振兴战略的实施。本项得分10分。</w:t>
      </w:r>
    </w:p>
    <w:p w14:paraId="52382AD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3.对象精准性。资金实际支持对象均符合管理要求，符合支持对象范围。本项得分10分。</w:t>
      </w:r>
    </w:p>
    <w:p w14:paraId="3CDF7DA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楷体" w:hAnsi="楷体" w:eastAsia="楷体" w:cs="楷体"/>
          <w:color w:val="000000"/>
          <w:kern w:val="0"/>
          <w:sz w:val="32"/>
          <w:szCs w:val="32"/>
          <w:vertAlign w:val="baseline"/>
        </w:rPr>
      </w:pPr>
      <w:r>
        <w:rPr>
          <w:rFonts w:hint="default" w:ascii="楷体" w:hAnsi="楷体" w:eastAsia="楷体" w:cs="楷体"/>
          <w:snapToGrid/>
          <w:color w:val="000000"/>
          <w:kern w:val="0"/>
          <w:sz w:val="32"/>
          <w:szCs w:val="32"/>
          <w:vertAlign w:val="baseline"/>
          <w:lang w:val="en-US" w:eastAsia="zh-CN" w:bidi="ar"/>
        </w:rPr>
        <w:t>（三）个性指标绩效分析。</w:t>
      </w:r>
    </w:p>
    <w:p w14:paraId="5F0A965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建设赤化村粮油现代化示范基地数量。建设赤化村粮油现代化示范基地1个。本项得分16分。</w:t>
      </w:r>
    </w:p>
    <w:p w14:paraId="7594BFA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黑体" w:hAnsi="宋体" w:eastAsia="黑体" w:cs="黑体"/>
          <w:color w:val="000000"/>
          <w:kern w:val="0"/>
          <w:sz w:val="32"/>
          <w:szCs w:val="32"/>
          <w:vertAlign w:val="baseline"/>
        </w:rPr>
      </w:pPr>
      <w:r>
        <w:rPr>
          <w:rFonts w:hint="default" w:ascii="黑体" w:hAnsi="宋体" w:eastAsia="黑体" w:cs="黑体"/>
          <w:snapToGrid/>
          <w:color w:val="000000"/>
          <w:kern w:val="0"/>
          <w:sz w:val="32"/>
          <w:szCs w:val="32"/>
          <w:vertAlign w:val="baseline"/>
          <w:lang w:val="en-US" w:eastAsia="zh-CN" w:bidi="ar"/>
        </w:rPr>
        <w:t>四、评价结论</w:t>
      </w:r>
    </w:p>
    <w:p w14:paraId="1839B62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区农业农村局印发《2024年省级财政乡村振兴转移支付先进市奖补资金利州区宝轮镇赤化村粮油现代化示范基地建设项目实施方案》（广利农〔2024〕78号），开展项目申报工作，经区人民政府审批后实施。该项目组织措施得力，资金拨付到位，建设粮油现代化示范基地，改善农民生产条件，促进当地农业集约化生产水平的提高，加快产业结构优化和产业升级，拓展农业功能，推动现代农业的发展，提高农民种粮和保护耕地积极性，保障国家粮食安全，促进乡村振兴战略的实施。评价总分61分。无扣分项。</w:t>
      </w:r>
    </w:p>
    <w:p w14:paraId="4A39EF5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黑体" w:hAnsi="宋体" w:eastAsia="黑体" w:cs="黑体"/>
          <w:color w:val="000000"/>
          <w:kern w:val="0"/>
          <w:sz w:val="32"/>
          <w:szCs w:val="32"/>
          <w:vertAlign w:val="baseline"/>
        </w:rPr>
      </w:pPr>
      <w:r>
        <w:rPr>
          <w:rFonts w:hint="default" w:ascii="黑体" w:hAnsi="宋体" w:eastAsia="黑体" w:cs="黑体"/>
          <w:snapToGrid/>
          <w:color w:val="000000"/>
          <w:kern w:val="0"/>
          <w:sz w:val="32"/>
          <w:szCs w:val="32"/>
          <w:vertAlign w:val="baseline"/>
          <w:lang w:val="en-US" w:eastAsia="zh-CN" w:bidi="ar"/>
        </w:rPr>
        <w:t>五、存在主要问题及改进建议</w:t>
      </w:r>
    </w:p>
    <w:p w14:paraId="701C6F2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无。</w:t>
      </w:r>
    </w:p>
    <w:p w14:paraId="5CD8208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color w:val="000000"/>
          <w:kern w:val="0"/>
          <w:sz w:val="32"/>
          <w:szCs w:val="32"/>
          <w:vertAlign w:val="baseline"/>
        </w:rPr>
      </w:pPr>
      <w:r>
        <w:rPr>
          <w:rFonts w:hint="default" w:ascii="仿宋" w:hAnsi="仿宋" w:eastAsia="仿宋" w:cs="仿宋"/>
          <w:snapToGrid/>
          <w:color w:val="000000"/>
          <w:kern w:val="0"/>
          <w:sz w:val="32"/>
          <w:szCs w:val="32"/>
          <w:vertAlign w:val="baseline"/>
          <w:lang w:val="en-US" w:eastAsia="zh-CN" w:bidi="ar"/>
        </w:rPr>
        <w:t xml:space="preserve"> </w:t>
      </w:r>
    </w:p>
    <w:p w14:paraId="66AA71CA">
      <w:pPr>
        <w:pStyle w:val="24"/>
        <w:keepNext w:val="0"/>
        <w:keepLines w:val="0"/>
        <w:widowControl/>
        <w:suppressLineNumbers w:val="0"/>
        <w:kinsoku w:val="0"/>
        <w:autoSpaceDE w:val="0"/>
        <w:autoSpaceDN w:val="0"/>
        <w:adjustRightInd w:val="0"/>
        <w:snapToGrid w:val="0"/>
        <w:spacing w:before="0" w:beforeAutospacing="1" w:after="120" w:afterAutospacing="0"/>
        <w:ind w:left="420" w:leftChars="200" w:right="0" w:firstLine="640" w:firstLineChars="200"/>
        <w:jc w:val="left"/>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 xml:space="preserve"> </w:t>
      </w:r>
    </w:p>
    <w:p w14:paraId="372AB9B4">
      <w:pPr>
        <w:pStyle w:val="24"/>
        <w:keepNext w:val="0"/>
        <w:keepLines w:val="0"/>
        <w:widowControl/>
        <w:suppressLineNumbers w:val="0"/>
        <w:kinsoku w:val="0"/>
        <w:autoSpaceDE w:val="0"/>
        <w:autoSpaceDN w:val="0"/>
        <w:adjustRightInd w:val="0"/>
        <w:snapToGrid w:val="0"/>
        <w:spacing w:before="0" w:beforeAutospacing="1" w:after="120" w:afterAutospacing="0"/>
        <w:ind w:left="420" w:leftChars="200" w:right="0" w:firstLine="640" w:firstLineChars="200"/>
        <w:jc w:val="left"/>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 xml:space="preserve"> </w:t>
      </w:r>
    </w:p>
    <w:p w14:paraId="522E4A99">
      <w:pPr>
        <w:pStyle w:val="24"/>
        <w:keepNext w:val="0"/>
        <w:keepLines w:val="0"/>
        <w:widowControl/>
        <w:suppressLineNumbers w:val="0"/>
        <w:kinsoku w:val="0"/>
        <w:autoSpaceDE w:val="0"/>
        <w:autoSpaceDN w:val="0"/>
        <w:adjustRightInd w:val="0"/>
        <w:snapToGrid w:val="0"/>
        <w:spacing w:before="0" w:beforeAutospacing="1" w:after="120" w:afterAutospacing="0"/>
        <w:ind w:left="420" w:leftChars="200" w:right="0" w:firstLine="640" w:firstLineChars="200"/>
        <w:jc w:val="left"/>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 xml:space="preserve"> </w:t>
      </w:r>
    </w:p>
    <w:p w14:paraId="3324E310">
      <w:pPr>
        <w:pStyle w:val="24"/>
        <w:keepNext w:val="0"/>
        <w:keepLines w:val="0"/>
        <w:widowControl/>
        <w:suppressLineNumbers w:val="0"/>
        <w:kinsoku w:val="0"/>
        <w:autoSpaceDE w:val="0"/>
        <w:autoSpaceDN w:val="0"/>
        <w:adjustRightInd w:val="0"/>
        <w:snapToGrid w:val="0"/>
        <w:spacing w:before="0" w:beforeAutospacing="1" w:after="120" w:afterAutospacing="0"/>
        <w:ind w:left="420" w:leftChars="200" w:right="0" w:firstLine="640" w:firstLineChars="200"/>
        <w:jc w:val="left"/>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 xml:space="preserve"> </w:t>
      </w:r>
    </w:p>
    <w:p w14:paraId="3CB1A892">
      <w:pPr>
        <w:pStyle w:val="24"/>
        <w:keepNext w:val="0"/>
        <w:keepLines w:val="0"/>
        <w:widowControl/>
        <w:suppressLineNumbers w:val="0"/>
        <w:kinsoku w:val="0"/>
        <w:autoSpaceDE w:val="0"/>
        <w:autoSpaceDN w:val="0"/>
        <w:adjustRightInd w:val="0"/>
        <w:snapToGrid w:val="0"/>
        <w:spacing w:before="0" w:beforeAutospacing="1" w:after="120" w:afterAutospacing="0"/>
        <w:ind w:left="420" w:leftChars="200" w:right="0" w:firstLine="640" w:firstLineChars="200"/>
        <w:jc w:val="left"/>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 xml:space="preserve"> </w:t>
      </w:r>
    </w:p>
    <w:p w14:paraId="5E994795">
      <w:pPr>
        <w:pStyle w:val="24"/>
        <w:keepNext w:val="0"/>
        <w:keepLines w:val="0"/>
        <w:widowControl/>
        <w:suppressLineNumbers w:val="0"/>
        <w:kinsoku w:val="0"/>
        <w:autoSpaceDE w:val="0"/>
        <w:autoSpaceDN w:val="0"/>
        <w:adjustRightInd w:val="0"/>
        <w:snapToGrid w:val="0"/>
        <w:spacing w:before="0" w:beforeAutospacing="1" w:after="120" w:afterAutospacing="0"/>
        <w:ind w:left="420" w:leftChars="200" w:right="0" w:firstLine="640" w:firstLineChars="200"/>
        <w:jc w:val="left"/>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 xml:space="preserve"> </w:t>
      </w:r>
    </w:p>
    <w:p w14:paraId="160D02FD">
      <w:pPr>
        <w:pStyle w:val="24"/>
        <w:keepNext w:val="0"/>
        <w:keepLines w:val="0"/>
        <w:widowControl/>
        <w:suppressLineNumbers w:val="0"/>
        <w:kinsoku w:val="0"/>
        <w:autoSpaceDE w:val="0"/>
        <w:autoSpaceDN w:val="0"/>
        <w:adjustRightInd w:val="0"/>
        <w:snapToGrid w:val="0"/>
        <w:spacing w:before="0" w:beforeAutospacing="1" w:after="120" w:afterAutospacing="0"/>
        <w:ind w:left="420" w:leftChars="200" w:right="0" w:firstLine="640" w:firstLineChars="200"/>
        <w:jc w:val="left"/>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 xml:space="preserve"> </w:t>
      </w:r>
    </w:p>
    <w:p w14:paraId="47D1C1B2">
      <w:pPr>
        <w:pStyle w:val="24"/>
        <w:keepNext w:val="0"/>
        <w:keepLines w:val="0"/>
        <w:widowControl/>
        <w:suppressLineNumbers w:val="0"/>
        <w:kinsoku w:val="0"/>
        <w:autoSpaceDE w:val="0"/>
        <w:autoSpaceDN w:val="0"/>
        <w:adjustRightInd w:val="0"/>
        <w:snapToGrid w:val="0"/>
        <w:spacing w:before="0" w:beforeAutospacing="1" w:after="120" w:afterAutospacing="0"/>
        <w:ind w:left="420" w:leftChars="200" w:right="0" w:firstLine="640" w:firstLineChars="200"/>
        <w:jc w:val="left"/>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 xml:space="preserve"> </w:t>
      </w:r>
    </w:p>
    <w:p w14:paraId="22D47886">
      <w:pPr>
        <w:pStyle w:val="24"/>
        <w:keepNext w:val="0"/>
        <w:keepLines w:val="0"/>
        <w:widowControl/>
        <w:suppressLineNumbers w:val="0"/>
        <w:kinsoku w:val="0"/>
        <w:autoSpaceDE w:val="0"/>
        <w:autoSpaceDN w:val="0"/>
        <w:adjustRightInd w:val="0"/>
        <w:snapToGrid w:val="0"/>
        <w:spacing w:before="0" w:beforeAutospacing="1" w:after="120" w:afterAutospacing="0"/>
        <w:ind w:left="420" w:leftChars="200" w:right="0" w:firstLine="640" w:firstLineChars="200"/>
        <w:jc w:val="left"/>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 xml:space="preserve"> </w:t>
      </w:r>
    </w:p>
    <w:p w14:paraId="0B1D7007">
      <w:pPr>
        <w:pStyle w:val="24"/>
        <w:keepNext w:val="0"/>
        <w:keepLines w:val="0"/>
        <w:widowControl/>
        <w:suppressLineNumbers w:val="0"/>
        <w:kinsoku w:val="0"/>
        <w:autoSpaceDE w:val="0"/>
        <w:autoSpaceDN w:val="0"/>
        <w:adjustRightInd w:val="0"/>
        <w:snapToGrid w:val="0"/>
        <w:spacing w:before="0" w:beforeAutospacing="1" w:after="120" w:afterAutospacing="0"/>
        <w:ind w:left="420" w:leftChars="200" w:right="0" w:firstLine="640" w:firstLineChars="200"/>
        <w:jc w:val="left"/>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 xml:space="preserve"> </w:t>
      </w:r>
    </w:p>
    <w:p w14:paraId="3368C29A">
      <w:pPr>
        <w:pStyle w:val="24"/>
        <w:keepNext w:val="0"/>
        <w:keepLines w:val="0"/>
        <w:widowControl/>
        <w:suppressLineNumbers w:val="0"/>
        <w:kinsoku w:val="0"/>
        <w:autoSpaceDE w:val="0"/>
        <w:autoSpaceDN w:val="0"/>
        <w:adjustRightInd w:val="0"/>
        <w:snapToGrid w:val="0"/>
        <w:spacing w:before="0" w:beforeAutospacing="1" w:after="120" w:afterAutospacing="0"/>
        <w:ind w:left="420" w:leftChars="200" w:right="0" w:firstLine="640" w:firstLineChars="200"/>
        <w:jc w:val="left"/>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 xml:space="preserve"> </w:t>
      </w:r>
    </w:p>
    <w:p w14:paraId="5F994714">
      <w:pPr>
        <w:pStyle w:val="24"/>
        <w:keepNext w:val="0"/>
        <w:keepLines w:val="0"/>
        <w:widowControl/>
        <w:suppressLineNumbers w:val="0"/>
        <w:kinsoku w:val="0"/>
        <w:autoSpaceDE w:val="0"/>
        <w:autoSpaceDN w:val="0"/>
        <w:adjustRightInd w:val="0"/>
        <w:snapToGrid w:val="0"/>
        <w:spacing w:before="0" w:beforeAutospacing="1" w:after="120" w:afterAutospacing="0"/>
        <w:ind w:left="420" w:leftChars="200" w:right="0" w:firstLine="640" w:firstLineChars="200"/>
        <w:jc w:val="left"/>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 xml:space="preserve"> </w:t>
      </w:r>
    </w:p>
    <w:p w14:paraId="0D540FA6">
      <w:pPr>
        <w:pStyle w:val="24"/>
        <w:keepNext w:val="0"/>
        <w:keepLines w:val="0"/>
        <w:widowControl/>
        <w:suppressLineNumbers w:val="0"/>
        <w:kinsoku w:val="0"/>
        <w:autoSpaceDE w:val="0"/>
        <w:autoSpaceDN w:val="0"/>
        <w:adjustRightInd w:val="0"/>
        <w:snapToGrid w:val="0"/>
        <w:spacing w:before="0" w:beforeAutospacing="1" w:after="120" w:afterAutospacing="0"/>
        <w:ind w:left="420" w:leftChars="200" w:right="0" w:firstLine="640" w:firstLineChars="200"/>
        <w:jc w:val="left"/>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 xml:space="preserve"> </w:t>
      </w:r>
    </w:p>
    <w:p w14:paraId="55811401">
      <w:pPr>
        <w:pStyle w:val="24"/>
        <w:keepNext w:val="0"/>
        <w:keepLines w:val="0"/>
        <w:widowControl/>
        <w:suppressLineNumbers w:val="0"/>
        <w:kinsoku w:val="0"/>
        <w:autoSpaceDE w:val="0"/>
        <w:autoSpaceDN w:val="0"/>
        <w:adjustRightInd w:val="0"/>
        <w:snapToGrid w:val="0"/>
        <w:spacing w:before="0" w:beforeAutospacing="1" w:after="120" w:afterAutospacing="0"/>
        <w:ind w:left="420" w:leftChars="200" w:right="0" w:firstLine="640" w:firstLineChars="200"/>
        <w:jc w:val="left"/>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 xml:space="preserve"> </w:t>
      </w:r>
    </w:p>
    <w:p w14:paraId="0CC8C325">
      <w:pPr>
        <w:pStyle w:val="24"/>
        <w:keepNext w:val="0"/>
        <w:keepLines w:val="0"/>
        <w:widowControl/>
        <w:suppressLineNumbers w:val="0"/>
        <w:kinsoku w:val="0"/>
        <w:autoSpaceDE w:val="0"/>
        <w:autoSpaceDN w:val="0"/>
        <w:adjustRightInd w:val="0"/>
        <w:snapToGrid w:val="0"/>
        <w:spacing w:before="0" w:beforeAutospacing="1" w:after="120" w:afterAutospacing="0"/>
        <w:ind w:left="420" w:leftChars="200" w:right="0" w:firstLine="640" w:firstLineChars="200"/>
        <w:jc w:val="left"/>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 xml:space="preserve"> </w:t>
      </w:r>
    </w:p>
    <w:p w14:paraId="2DCC0633">
      <w:pPr>
        <w:pStyle w:val="24"/>
        <w:keepNext w:val="0"/>
        <w:keepLines w:val="0"/>
        <w:widowControl/>
        <w:suppressLineNumbers w:val="0"/>
        <w:kinsoku w:val="0"/>
        <w:autoSpaceDE w:val="0"/>
        <w:autoSpaceDN w:val="0"/>
        <w:adjustRightInd w:val="0"/>
        <w:snapToGrid w:val="0"/>
        <w:spacing w:before="0" w:beforeAutospacing="1" w:after="120" w:afterAutospacing="0"/>
        <w:ind w:left="420" w:leftChars="200" w:right="0" w:firstLine="640" w:firstLineChars="200"/>
        <w:jc w:val="left"/>
        <w:textAlignment w:val="baseline"/>
        <w:rPr>
          <w:rFonts w:hint="default" w:ascii="仿宋" w:hAnsi="仿宋" w:eastAsia="仿宋" w:cs="仿宋"/>
          <w:color w:val="000000"/>
          <w:kern w:val="0"/>
          <w:sz w:val="32"/>
          <w:szCs w:val="32"/>
        </w:rPr>
      </w:pPr>
      <w:r>
        <w:rPr>
          <w:rFonts w:hint="default" w:ascii="仿宋" w:hAnsi="仿宋" w:eastAsia="仿宋" w:cs="仿宋"/>
          <w:snapToGrid/>
          <w:color w:val="000000"/>
          <w:kern w:val="0"/>
          <w:sz w:val="32"/>
          <w:szCs w:val="32"/>
          <w:lang w:val="en-US" w:eastAsia="zh-CN" w:bidi="ar"/>
        </w:rPr>
        <w:t xml:space="preserve"> </w:t>
      </w:r>
    </w:p>
    <w:p w14:paraId="40209B1C">
      <w:pPr>
        <w:pStyle w:val="24"/>
        <w:keepNext w:val="0"/>
        <w:keepLines w:val="0"/>
        <w:widowControl w:val="0"/>
        <w:suppressLineNumbers w:val="0"/>
        <w:kinsoku w:val="0"/>
        <w:autoSpaceDE w:val="0"/>
        <w:autoSpaceDN/>
        <w:adjustRightInd w:val="0"/>
        <w:snapToGrid w:val="0"/>
        <w:spacing w:before="0" w:beforeAutospacing="0" w:after="0" w:afterAutospacing="0" w:line="610" w:lineRule="exact"/>
        <w:ind w:left="0" w:right="0"/>
        <w:jc w:val="center"/>
        <w:textAlignment w:val="baseline"/>
        <w:outlineLvl w:val="2"/>
        <w:rPr>
          <w:rFonts w:hint="eastAsia" w:ascii="方正小标宋简体" w:hAnsi="方正小标宋简体" w:eastAsia="方正小标宋简体" w:cs="方正小标宋简体"/>
          <w:b w:val="0"/>
          <w:bCs w:val="0"/>
          <w:spacing w:val="0"/>
          <w:kern w:val="2"/>
          <w:sz w:val="44"/>
          <w:szCs w:val="44"/>
        </w:rPr>
      </w:pPr>
      <w:r>
        <w:rPr>
          <w:rFonts w:hint="eastAsia" w:ascii="方正小标宋简体" w:hAnsi="方正小标宋简体" w:eastAsia="方正小标宋简体" w:cs="方正小标宋简体"/>
          <w:b w:val="0"/>
          <w:bCs w:val="0"/>
          <w:snapToGrid/>
          <w:color w:val="000000"/>
          <w:spacing w:val="0"/>
          <w:kern w:val="2"/>
          <w:sz w:val="44"/>
          <w:szCs w:val="44"/>
          <w:lang w:val="en-US" w:eastAsia="zh-CN" w:bidi="ar"/>
        </w:rPr>
        <w:t>2024年省级财政农业高质量发展共同财政事权</w:t>
      </w:r>
    </w:p>
    <w:p w14:paraId="33F13012">
      <w:pPr>
        <w:pStyle w:val="24"/>
        <w:keepNext w:val="0"/>
        <w:keepLines w:val="0"/>
        <w:widowControl w:val="0"/>
        <w:suppressLineNumbers w:val="0"/>
        <w:kinsoku w:val="0"/>
        <w:autoSpaceDE w:val="0"/>
        <w:autoSpaceDN/>
        <w:adjustRightInd w:val="0"/>
        <w:snapToGrid w:val="0"/>
        <w:spacing w:before="0" w:beforeAutospacing="0" w:after="0" w:afterAutospacing="0" w:line="610" w:lineRule="exact"/>
        <w:ind w:left="0" w:right="0"/>
        <w:jc w:val="center"/>
        <w:textAlignment w:val="baseline"/>
        <w:rPr>
          <w:rFonts w:hint="eastAsia" w:ascii="方正小标宋简体" w:hAnsi="方正小标宋简体" w:eastAsia="方正小标宋简体" w:cs="方正小标宋简体"/>
          <w:b w:val="0"/>
          <w:bCs w:val="0"/>
          <w:spacing w:val="0"/>
          <w:kern w:val="2"/>
          <w:sz w:val="44"/>
          <w:szCs w:val="44"/>
        </w:rPr>
      </w:pPr>
      <w:r>
        <w:rPr>
          <w:rFonts w:hint="eastAsia" w:ascii="方正小标宋简体" w:hAnsi="方正小标宋简体" w:eastAsia="方正小标宋简体" w:cs="方正小标宋简体"/>
          <w:b w:val="0"/>
          <w:bCs w:val="0"/>
          <w:snapToGrid/>
          <w:color w:val="000000"/>
          <w:spacing w:val="0"/>
          <w:kern w:val="2"/>
          <w:sz w:val="44"/>
          <w:szCs w:val="44"/>
          <w:lang w:val="en-US" w:eastAsia="zh-CN" w:bidi="ar"/>
        </w:rPr>
        <w:t>转移支付项目(农业公共安全监测预警—植物疫情监测调查和阻截防控)绩效自评报告</w:t>
      </w:r>
    </w:p>
    <w:p w14:paraId="6F9BD759">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2"/>
          <w:sz w:val="32"/>
          <w:szCs w:val="32"/>
        </w:rPr>
      </w:pPr>
      <w:r>
        <w:rPr>
          <w:rFonts w:hint="default" w:ascii="仿宋" w:hAnsi="仿宋" w:eastAsia="仿宋" w:cs="仿宋"/>
          <w:b w:val="0"/>
          <w:bCs w:val="0"/>
          <w:snapToGrid/>
          <w:color w:val="000000"/>
          <w:kern w:val="2"/>
          <w:sz w:val="32"/>
          <w:szCs w:val="32"/>
          <w:lang w:val="en-US" w:eastAsia="zh-CN" w:bidi="ar"/>
        </w:rPr>
        <w:t xml:space="preserve"> </w:t>
      </w:r>
    </w:p>
    <w:p w14:paraId="2817F2F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一、项目概况</w:t>
      </w:r>
    </w:p>
    <w:p w14:paraId="2C707209">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楷体" w:hAnsi="楷体" w:eastAsia="楷体" w:cs="楷体"/>
          <w:b w:val="0"/>
          <w:bCs w:val="0"/>
          <w:snapToGrid/>
          <w:color w:val="000000"/>
          <w:kern w:val="0"/>
          <w:sz w:val="32"/>
          <w:szCs w:val="32"/>
          <w:lang w:val="en-US" w:eastAsia="zh-CN" w:bidi="ar"/>
        </w:rPr>
        <w:t>（一）设立背景及基本情况。</w:t>
      </w:r>
      <w:r>
        <w:rPr>
          <w:rFonts w:hint="default" w:ascii="仿宋" w:hAnsi="仿宋" w:eastAsia="仿宋" w:cs="仿宋"/>
          <w:b w:val="0"/>
          <w:bCs w:val="0"/>
          <w:snapToGrid/>
          <w:color w:val="000000"/>
          <w:kern w:val="0"/>
          <w:sz w:val="32"/>
          <w:szCs w:val="32"/>
          <w:lang w:val="en-US" w:eastAsia="zh-CN" w:bidi="ar"/>
        </w:rPr>
        <w:t>根据《四川省财政厅 四川省农业农村厅关于下达2024年中央财政粮油生产保障等六项农业转移支付资金的通知》（川财农〔2024〕48号）、四川省农业农村厅植物检疫站《关于落实2024年省级财政农业高质量发展共同财政事权转移支付资金农业生产及生态环境重大指标监测防控项目中植物疫情监测和阻截防控任务通知》（川植检函〔2024〕32号）等相关文件要求，通过项目实施，开展重大植物疫情监测和专项调查，构建重大植物疫情监测预警网络，全面提升我区检疫性有害生物监测能力;开展重大植物疫情阻截防控及示范，带动全区检疫性有害生物阻截防控全面开展。</w:t>
      </w:r>
    </w:p>
    <w:p w14:paraId="0189247A">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（二）实施目的及支持方向。</w:t>
      </w:r>
    </w:p>
    <w:p w14:paraId="4E10123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1.开展红火蚁植物疫情监测。主要用于开展红火蚁植物疫情监测调查1.05万亩次、建立红火蚁疫情监测点70个（经开区建立40个，利州区与经开区红火蚁发生地相邻区域建立30个）。</w:t>
      </w:r>
    </w:p>
    <w:p w14:paraId="1D90D5E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rPr>
      </w:pPr>
      <w:r>
        <w:rPr>
          <w:rFonts w:hint="default" w:ascii="仿宋" w:hAnsi="仿宋" w:eastAsia="仿宋" w:cs="仿宋"/>
          <w:b w:val="0"/>
          <w:bCs w:val="0"/>
          <w:snapToGrid/>
          <w:color w:val="000000"/>
          <w:kern w:val="0"/>
          <w:sz w:val="32"/>
          <w:szCs w:val="32"/>
          <w:lang w:val="en-US" w:eastAsia="zh-CN" w:bidi="ar"/>
        </w:rPr>
        <w:t>2.植物疫情防控处置。主要用于建立1个疫情阻截防控示范区1个；开展0.17万亩次的检疫性病虫害统防统治，每亩次防控处置经费30元。</w:t>
      </w:r>
    </w:p>
    <w:p w14:paraId="1E0680BE">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kern w:val="0"/>
          <w:sz w:val="32"/>
          <w:szCs w:val="32"/>
          <w:shd w:val="clear" w:fill="FFFFFF"/>
        </w:rPr>
      </w:pPr>
      <w:r>
        <w:rPr>
          <w:rFonts w:hint="default" w:ascii="楷体" w:hAnsi="楷体" w:eastAsia="楷体" w:cs="楷体"/>
          <w:b w:val="0"/>
          <w:bCs w:val="0"/>
          <w:snapToGrid/>
          <w:color w:val="000000"/>
          <w:kern w:val="0"/>
          <w:sz w:val="32"/>
          <w:szCs w:val="32"/>
          <w:lang w:val="en-US" w:eastAsia="zh-CN" w:bidi="ar"/>
        </w:rPr>
        <w:t>（三）预算安排及分配管理。</w:t>
      </w:r>
      <w:r>
        <w:rPr>
          <w:rFonts w:hint="default" w:ascii="仿宋" w:hAnsi="仿宋" w:eastAsia="仿宋" w:cs="仿宋"/>
          <w:b w:val="0"/>
          <w:bCs w:val="0"/>
          <w:snapToGrid/>
          <w:color w:val="000000"/>
          <w:kern w:val="0"/>
          <w:sz w:val="32"/>
          <w:szCs w:val="32"/>
          <w:lang w:val="en-US" w:eastAsia="zh-CN" w:bidi="ar"/>
        </w:rPr>
        <w:t>本项目省级财政资金17.11万元，用于“植物疫情监测调查和阻截防控”。</w:t>
      </w:r>
    </w:p>
    <w:p w14:paraId="21DD749C">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（四）项目绩效目标设置。</w:t>
      </w:r>
    </w:p>
    <w:p w14:paraId="2FA64E5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highlight w:val="yellow"/>
        </w:rPr>
      </w:pPr>
      <w:r>
        <w:rPr>
          <w:rFonts w:hint="default" w:ascii="仿宋" w:hAnsi="仿宋" w:eastAsia="仿宋" w:cs="仿宋"/>
          <w:b w:val="0"/>
          <w:bCs w:val="0"/>
          <w:snapToGrid/>
          <w:color w:val="000000"/>
          <w:kern w:val="0"/>
          <w:sz w:val="32"/>
          <w:szCs w:val="32"/>
          <w:lang w:val="en-US" w:eastAsia="zh-CN" w:bidi="ar"/>
        </w:rPr>
        <w:t>1.经济效益。通过对红火蚁监测及防控，减少红火蚁对农作物的危害、保障农业生产和人畜生命安全，疫情处置率达到100%，保护我区农业生产和农产品贸易安全，提升农产品产值。</w:t>
      </w:r>
    </w:p>
    <w:p w14:paraId="32194A2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highlight w:val="yellow"/>
        </w:rPr>
      </w:pPr>
      <w:r>
        <w:rPr>
          <w:rFonts w:hint="default" w:ascii="仿宋" w:hAnsi="仿宋" w:eastAsia="仿宋" w:cs="仿宋"/>
          <w:b w:val="0"/>
          <w:bCs w:val="0"/>
          <w:snapToGrid/>
          <w:color w:val="000000"/>
          <w:kern w:val="0"/>
          <w:sz w:val="32"/>
          <w:szCs w:val="32"/>
          <w:lang w:val="en-US" w:eastAsia="zh-CN" w:bidi="ar"/>
        </w:rPr>
        <w:t>2.社会效益。该项目完成后将提高农户对植物检疫性有害生物的辨识和防治能力，有效防止植物检疫性有害生物传入和传播，提升我区农作物检疫性有害生物及重大疫情监测预警能力和科学防控水平。</w:t>
      </w:r>
    </w:p>
    <w:p w14:paraId="05947CA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lang w:val="en-US" w:eastAsia="zh-CN" w:bidi="ar"/>
        </w:rPr>
        <w:t>3.生态效益。减少化学农药使用次数，可有效改善农田生态环境，提高农产品品质，改善土壤团粒结构，降低水土流失，使土壤水、肥、气、热协调，得到有效利用。</w:t>
      </w:r>
    </w:p>
    <w:p w14:paraId="1EEBADB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二、评价实施</w:t>
      </w:r>
    </w:p>
    <w:p w14:paraId="5F36475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rPr>
      </w:pPr>
      <w:r>
        <w:rPr>
          <w:rFonts w:hint="default" w:ascii="楷体" w:hAnsi="楷体" w:eastAsia="楷体" w:cs="楷体"/>
          <w:b w:val="0"/>
          <w:bCs w:val="0"/>
          <w:snapToGrid/>
          <w:color w:val="000000"/>
          <w:kern w:val="0"/>
          <w:sz w:val="32"/>
          <w:szCs w:val="32"/>
          <w:lang w:val="en-US" w:eastAsia="zh-CN" w:bidi="ar"/>
        </w:rPr>
        <w:t>（一）评价目的。</w:t>
      </w:r>
      <w:r>
        <w:rPr>
          <w:rFonts w:hint="default" w:ascii="仿宋" w:hAnsi="仿宋" w:eastAsia="仿宋" w:cs="仿宋"/>
          <w:b w:val="0"/>
          <w:bCs w:val="0"/>
          <w:snapToGrid/>
          <w:color w:val="000000"/>
          <w:kern w:val="0"/>
          <w:sz w:val="32"/>
          <w:szCs w:val="32"/>
          <w:shd w:val="clear" w:fill="FFFFFF"/>
          <w:lang w:val="en-US" w:eastAsia="zh-CN" w:bidi="ar"/>
        </w:rPr>
        <w:t>通过项目绩效自评，将项目开展的每个步骤都进行了完善，工作效率与资源分配进一步提高，改进工作机制。</w:t>
      </w:r>
    </w:p>
    <w:p w14:paraId="644BCE8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（二）预设问题及评价重点。</w:t>
      </w:r>
      <w:r>
        <w:rPr>
          <w:rFonts w:hint="default" w:ascii="仿宋" w:hAnsi="仿宋" w:eastAsia="仿宋" w:cs="仿宋"/>
          <w:b w:val="0"/>
          <w:bCs w:val="0"/>
          <w:snapToGrid/>
          <w:color w:val="000000"/>
          <w:kern w:val="0"/>
          <w:sz w:val="32"/>
          <w:szCs w:val="32"/>
          <w:lang w:val="en-US" w:eastAsia="zh-CN" w:bidi="ar"/>
        </w:rPr>
        <w:t>该项目资金来自财政，</w:t>
      </w:r>
      <w:r>
        <w:rPr>
          <w:rFonts w:hint="default" w:ascii="仿宋" w:hAnsi="仿宋" w:eastAsia="仿宋" w:cs="仿宋"/>
          <w:b w:val="0"/>
          <w:bCs w:val="0"/>
          <w:snapToGrid/>
          <w:color w:val="000000"/>
          <w:kern w:val="0"/>
          <w:sz w:val="32"/>
          <w:szCs w:val="32"/>
          <w:shd w:val="clear" w:fill="FFFFFF"/>
          <w:lang w:val="en-US" w:eastAsia="zh-CN" w:bidi="ar"/>
        </w:rPr>
        <w:t>资金支出使用全过程都严格按照政策规定与方案实施，编制项目实施方案，确定项目实施重点内容及明确主要任务，加强项目管理，其中重点强调组织领导、绩效管理和资金监管，</w:t>
      </w:r>
      <w:r>
        <w:rPr>
          <w:rFonts w:hint="default" w:ascii="仿宋" w:hAnsi="仿宋" w:eastAsia="仿宋" w:cs="仿宋"/>
          <w:b w:val="0"/>
          <w:bCs w:val="0"/>
          <w:snapToGrid/>
          <w:color w:val="000000"/>
          <w:kern w:val="0"/>
          <w:sz w:val="32"/>
          <w:szCs w:val="32"/>
          <w:lang w:val="en-US" w:eastAsia="zh-CN" w:bidi="ar"/>
        </w:rPr>
        <w:t>减少红火蚁对农作物的危害、保障农业生产和人畜生命安全，提升我区农作物检疫性有害生物及重大疫情监测预警能力和科学防控水平。</w:t>
      </w:r>
    </w:p>
    <w:p w14:paraId="0B7218E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rPr>
      </w:pPr>
      <w:r>
        <w:rPr>
          <w:rFonts w:hint="default" w:ascii="楷体" w:hAnsi="楷体" w:eastAsia="楷体" w:cs="楷体"/>
          <w:b w:val="0"/>
          <w:bCs w:val="0"/>
          <w:snapToGrid/>
          <w:color w:val="000000"/>
          <w:kern w:val="0"/>
          <w:sz w:val="32"/>
          <w:szCs w:val="32"/>
          <w:lang w:val="en-US" w:eastAsia="zh-CN" w:bidi="ar"/>
        </w:rPr>
        <w:t>（三）评价方法。</w:t>
      </w:r>
      <w:r>
        <w:rPr>
          <w:rFonts w:hint="default" w:ascii="仿宋" w:hAnsi="仿宋" w:eastAsia="仿宋" w:cs="仿宋"/>
          <w:b w:val="0"/>
          <w:bCs w:val="0"/>
          <w:snapToGrid/>
          <w:color w:val="000000"/>
          <w:kern w:val="0"/>
          <w:sz w:val="32"/>
          <w:szCs w:val="32"/>
          <w:shd w:val="clear" w:fill="FFFFFF"/>
          <w:lang w:val="en-US" w:eastAsia="zh-CN" w:bidi="ar"/>
        </w:rPr>
        <w:t>通过单位自评法、实地勘察法、座谈调研法等多种方法，利州区农业农村局会同经开区农工局与农民、村社干部、乡镇业务员一同开展红火蚁疫情调查核实，及时沟通反馈解决本次项目实施的相关问题，评价结果真实有效。</w:t>
      </w:r>
    </w:p>
    <w:p w14:paraId="6103237F">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（四）评价组织。</w:t>
      </w:r>
    </w:p>
    <w:p w14:paraId="3812A56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组  长：李树勋  利州区农业农村局党组书记、局长</w:t>
      </w:r>
    </w:p>
    <w:p w14:paraId="557FF7E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 xml:space="preserve">        车云飞  经开区农业农村工作局局长</w:t>
      </w:r>
    </w:p>
    <w:p w14:paraId="16A923D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副组长：尚  伟  利州区农业农村局党组成员、副局长</w:t>
      </w:r>
    </w:p>
    <w:p w14:paraId="42E9AB8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1920" w:firstLineChars="600"/>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韩  波  经开区农业农村工作局副局长</w:t>
      </w:r>
    </w:p>
    <w:p w14:paraId="0620CB6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成  员：王  玲  利州区农业技术推广与植保植检站主任</w:t>
      </w:r>
    </w:p>
    <w:p w14:paraId="12F64C8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1920" w:firstLineChars="600"/>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刘  春  经开区农业农村工作局干部</w:t>
      </w:r>
    </w:p>
    <w:p w14:paraId="470B470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1920" w:firstLineChars="600"/>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刘  墁  利州区农业农村局计划财务股负责人</w:t>
      </w:r>
    </w:p>
    <w:p w14:paraId="68848C1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由李树勋负责整体评价工作，尚伟副局长负责牵头实施，成员负责具体评价工作。</w:t>
      </w:r>
    </w:p>
    <w:p w14:paraId="14C7311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三、绩效分析</w:t>
      </w:r>
      <w:r>
        <w:rPr>
          <w:rFonts w:hint="default" w:ascii="黑体" w:hAnsi="宋体" w:eastAsia="黑体" w:cs="黑体"/>
          <w:b w:val="0"/>
          <w:bCs w:val="0"/>
          <w:snapToGrid/>
          <w:color w:val="000000"/>
          <w:kern w:val="0"/>
          <w:sz w:val="32"/>
          <w:szCs w:val="32"/>
          <w:lang w:val="en-US" w:eastAsia="zh-CN" w:bidi="ar"/>
        </w:rPr>
        <w:tab/>
      </w:r>
    </w:p>
    <w:p w14:paraId="0155237A">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（一）通用指标绩效分析。</w:t>
      </w:r>
    </w:p>
    <w:p w14:paraId="4D31C86F">
      <w:pPr>
        <w:pStyle w:val="24"/>
        <w:keepNext/>
        <w:keepLines/>
        <w:widowControl w:val="0"/>
        <w:suppressLineNumbers w:val="0"/>
        <w:kinsoku/>
        <w:autoSpaceDE/>
        <w:autoSpaceDN/>
        <w:adjustRightInd/>
        <w:snapToGrid/>
        <w:spacing w:before="0" w:beforeAutospacing="0" w:after="0" w:afterAutospacing="0" w:line="576" w:lineRule="exact"/>
        <w:ind w:left="0" w:right="0" w:firstLine="640" w:firstLineChars="200"/>
        <w:jc w:val="both"/>
        <w:textAlignment w:val="auto"/>
        <w:outlineLvl w:val="9"/>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auto"/>
          <w:kern w:val="0"/>
          <w:sz w:val="32"/>
          <w:szCs w:val="32"/>
          <w:shd w:val="clear" w:fill="FFFFFF"/>
          <w:lang w:val="en-US" w:eastAsia="zh-CN" w:bidi="ar"/>
        </w:rPr>
        <w:t>1.预算执行。</w:t>
      </w:r>
    </w:p>
    <w:p w14:paraId="02228170">
      <w:pPr>
        <w:pStyle w:val="24"/>
        <w:keepNext/>
        <w:keepLines/>
        <w:widowControl w:val="0"/>
        <w:suppressLineNumbers w:val="0"/>
        <w:kinsoku/>
        <w:autoSpaceDE/>
        <w:autoSpaceDN/>
        <w:adjustRightInd/>
        <w:snapToGrid/>
        <w:spacing w:before="0" w:beforeAutospacing="0" w:after="0" w:afterAutospacing="0" w:line="576" w:lineRule="exact"/>
        <w:ind w:left="0" w:right="0" w:firstLine="640" w:firstLineChars="200"/>
        <w:jc w:val="both"/>
        <w:textAlignment w:val="auto"/>
        <w:outlineLvl w:val="9"/>
        <w:rPr>
          <w:rFonts w:hint="default" w:ascii="仿宋" w:hAnsi="仿宋" w:eastAsia="仿宋" w:cs="仿宋"/>
          <w:b w:val="0"/>
          <w:bCs w:val="0"/>
          <w:color w:val="FF0000"/>
          <w:kern w:val="0"/>
          <w:sz w:val="32"/>
          <w:szCs w:val="32"/>
          <w:shd w:val="clear" w:fill="FFFFFF"/>
        </w:rPr>
      </w:pPr>
      <w:r>
        <w:rPr>
          <w:rFonts w:hint="default" w:ascii="仿宋" w:hAnsi="仿宋" w:eastAsia="仿宋" w:cs="仿宋"/>
          <w:b w:val="0"/>
          <w:bCs w:val="0"/>
          <w:snapToGrid/>
          <w:color w:val="auto"/>
          <w:kern w:val="0"/>
          <w:sz w:val="32"/>
          <w:szCs w:val="32"/>
          <w:lang w:val="en-US" w:eastAsia="zh-CN" w:bidi="ar"/>
        </w:rPr>
        <w:t>项目资金经区领导审批，区财政局拨款至区农业农村局账户。财政资金拨付率100%。本项得分6分。</w:t>
      </w:r>
    </w:p>
    <w:p w14:paraId="13949776">
      <w:pPr>
        <w:keepNext w:val="0"/>
        <w:keepLines w:val="0"/>
        <w:widowControl/>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2.资金使用。</w:t>
      </w:r>
    </w:p>
    <w:p w14:paraId="1FAF9320">
      <w:pPr>
        <w:keepNext w:val="0"/>
        <w:keepLines w:val="0"/>
        <w:widowControl/>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项目资金使用、拨付符合国家财经法规、财务管理制度及有关专项资金管理制度办法的规定和审批程序，不存在超范围、超标准、超进度使用专项资金，不存在资金损失浪费、长期沉淀、截留、挤占、挪用、虚列支出等情况，项目实施遵守相关法律法规。本项3分不扣分。</w:t>
      </w:r>
    </w:p>
    <w:p w14:paraId="46CEEC29">
      <w:pPr>
        <w:keepNext w:val="0"/>
        <w:keepLines w:val="0"/>
        <w:widowControl/>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3.目标完成。</w:t>
      </w:r>
    </w:p>
    <w:p w14:paraId="1BC71463">
      <w:pPr>
        <w:keepNext w:val="0"/>
        <w:keepLines w:val="0"/>
        <w:widowControl/>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开展红火蚁物疫情监测调查1.05万亩次。建立红火蚁疫情量测点70个（经开区建立40个，利州区与经开区红火蚁发生地相邻区域建立30个）。建立1个疫情阻截防控示范区1个；开展0.17万亩次的检疫性病虫害统防统治，均已完成预期绩效。本项得6分。</w:t>
      </w:r>
    </w:p>
    <w:p w14:paraId="6E418225">
      <w:pPr>
        <w:keepNext w:val="0"/>
        <w:keepLines w:val="0"/>
        <w:widowControl/>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4.完成时效。</w:t>
      </w:r>
    </w:p>
    <w:p w14:paraId="13D60060">
      <w:pPr>
        <w:keepNext w:val="0"/>
        <w:keepLines w:val="0"/>
        <w:widowControl/>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实际完成时间为2024年12月，计划完成时间为2024年12月。本项得分3分。</w:t>
      </w:r>
    </w:p>
    <w:p w14:paraId="0E296A10">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（二）专用指标绩效分析。</w:t>
      </w:r>
    </w:p>
    <w:p w14:paraId="3E87D190">
      <w:pPr>
        <w:pStyle w:val="24"/>
        <w:keepNext/>
        <w:keepLines/>
        <w:widowControl w:val="0"/>
        <w:suppressLineNumbers w:val="0"/>
        <w:kinsoku/>
        <w:autoSpaceDE/>
        <w:autoSpaceDN/>
        <w:adjustRightInd/>
        <w:snapToGrid/>
        <w:spacing w:before="0" w:beforeAutospacing="0" w:after="0" w:afterAutospacing="0" w:line="576" w:lineRule="exact"/>
        <w:ind w:left="0" w:right="0" w:firstLine="640" w:firstLineChars="200"/>
        <w:jc w:val="both"/>
        <w:textAlignment w:val="auto"/>
        <w:outlineLvl w:val="9"/>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auto"/>
          <w:kern w:val="0"/>
          <w:sz w:val="32"/>
          <w:szCs w:val="32"/>
          <w:shd w:val="clear" w:fill="FFFFFF"/>
          <w:lang w:val="en-US" w:eastAsia="zh-CN" w:bidi="ar"/>
        </w:rPr>
        <w:t>1.符合性</w:t>
      </w:r>
    </w:p>
    <w:p w14:paraId="5988C5CE">
      <w:pPr>
        <w:pStyle w:val="24"/>
        <w:keepNext/>
        <w:keepLines/>
        <w:widowControl w:val="0"/>
        <w:suppressLineNumbers w:val="0"/>
        <w:kinsoku/>
        <w:autoSpaceDE/>
        <w:autoSpaceDN/>
        <w:adjustRightInd/>
        <w:snapToGrid/>
        <w:spacing w:before="0" w:beforeAutospacing="0" w:after="0" w:afterAutospacing="0" w:line="576" w:lineRule="exact"/>
        <w:ind w:left="0" w:right="0" w:firstLine="640" w:firstLineChars="200"/>
        <w:jc w:val="both"/>
        <w:textAlignment w:val="auto"/>
        <w:outlineLvl w:val="9"/>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auto"/>
          <w:kern w:val="0"/>
          <w:sz w:val="32"/>
          <w:szCs w:val="32"/>
          <w:shd w:val="clear" w:fill="FFFFFF"/>
          <w:lang w:val="en-US" w:eastAsia="zh-CN" w:bidi="ar"/>
        </w:rPr>
        <w:t>项目与省委、省政府支持重点、产业支持政策符合。本项得分10分。</w:t>
      </w:r>
    </w:p>
    <w:p w14:paraId="33858D83">
      <w:pPr>
        <w:keepNext w:val="0"/>
        <w:keepLines w:val="0"/>
        <w:widowControl/>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2.功能实现</w:t>
      </w:r>
    </w:p>
    <w:p w14:paraId="73C54721">
      <w:pPr>
        <w:keepNext w:val="0"/>
        <w:keepLines w:val="0"/>
        <w:widowControl/>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kern w:val="0"/>
          <w:sz w:val="32"/>
          <w:szCs w:val="32"/>
          <w:shd w:val="clear" w:fill="FFFFFF"/>
        </w:rPr>
      </w:pPr>
      <w:r>
        <w:rPr>
          <w:rFonts w:hint="default" w:ascii="仿宋" w:hAnsi="仿宋" w:eastAsia="仿宋" w:cs="仿宋"/>
          <w:b w:val="0"/>
          <w:bCs w:val="0"/>
          <w:snapToGrid/>
          <w:color w:val="000000"/>
          <w:kern w:val="0"/>
          <w:sz w:val="32"/>
          <w:szCs w:val="32"/>
          <w:shd w:val="clear" w:fill="FFFFFF"/>
          <w:lang w:val="en-US" w:eastAsia="zh-CN" w:bidi="ar"/>
        </w:rPr>
        <w:t>项目经济社会功能实现，红火蚁得到防控、疫情处置率100%，疫情不传播蔓延。本项得分10分。</w:t>
      </w:r>
    </w:p>
    <w:p w14:paraId="3BFEA48E">
      <w:pPr>
        <w:pStyle w:val="24"/>
        <w:keepNext/>
        <w:keepLines/>
        <w:widowControl w:val="0"/>
        <w:suppressLineNumbers w:val="0"/>
        <w:kinsoku/>
        <w:autoSpaceDE/>
        <w:autoSpaceDN/>
        <w:adjustRightInd/>
        <w:snapToGrid/>
        <w:spacing w:before="0" w:beforeAutospacing="0" w:after="0" w:afterAutospacing="0" w:line="576" w:lineRule="exact"/>
        <w:ind w:left="0" w:right="0" w:firstLine="640" w:firstLineChars="200"/>
        <w:jc w:val="both"/>
        <w:textAlignment w:val="auto"/>
        <w:outlineLvl w:val="9"/>
        <w:rPr>
          <w:rFonts w:hint="default" w:ascii="仿宋" w:hAnsi="仿宋" w:eastAsia="仿宋" w:cs="仿宋"/>
          <w:b w:val="0"/>
          <w:bCs w:val="0"/>
          <w:kern w:val="2"/>
          <w:sz w:val="32"/>
          <w:szCs w:val="32"/>
        </w:rPr>
      </w:pPr>
      <w:r>
        <w:rPr>
          <w:rFonts w:hint="default" w:ascii="仿宋" w:hAnsi="仿宋" w:eastAsia="仿宋" w:cs="仿宋"/>
          <w:b w:val="0"/>
          <w:bCs w:val="0"/>
          <w:snapToGrid/>
          <w:color w:val="auto"/>
          <w:kern w:val="0"/>
          <w:sz w:val="32"/>
          <w:szCs w:val="32"/>
          <w:shd w:val="clear" w:fill="FFFFFF"/>
          <w:lang w:val="en-US" w:eastAsia="zh-CN" w:bidi="ar"/>
        </w:rPr>
        <w:t>3.对象精准性</w:t>
      </w:r>
    </w:p>
    <w:p w14:paraId="55D29157">
      <w:pPr>
        <w:pStyle w:val="24"/>
        <w:keepNext/>
        <w:keepLines/>
        <w:widowControl w:val="0"/>
        <w:suppressLineNumbers w:val="0"/>
        <w:kinsoku/>
        <w:autoSpaceDE/>
        <w:autoSpaceDN/>
        <w:adjustRightInd/>
        <w:snapToGrid/>
        <w:spacing w:before="0" w:beforeAutospacing="0" w:after="0" w:afterAutospacing="0" w:line="576" w:lineRule="exact"/>
        <w:ind w:left="0" w:right="0" w:firstLine="640" w:firstLineChars="200"/>
        <w:jc w:val="both"/>
        <w:textAlignment w:val="auto"/>
        <w:outlineLvl w:val="9"/>
        <w:rPr>
          <w:rFonts w:hint="default" w:ascii="仿宋" w:hAnsi="仿宋" w:eastAsia="仿宋" w:cs="仿宋"/>
          <w:b w:val="0"/>
          <w:bCs w:val="0"/>
          <w:kern w:val="2"/>
          <w:sz w:val="32"/>
          <w:szCs w:val="32"/>
        </w:rPr>
      </w:pPr>
      <w:r>
        <w:rPr>
          <w:rFonts w:hint="default" w:ascii="仿宋" w:hAnsi="仿宋" w:eastAsia="仿宋" w:cs="仿宋"/>
          <w:b w:val="0"/>
          <w:bCs w:val="0"/>
          <w:snapToGrid/>
          <w:color w:val="auto"/>
          <w:kern w:val="0"/>
          <w:sz w:val="32"/>
          <w:szCs w:val="32"/>
          <w:shd w:val="clear" w:fill="FFFFFF"/>
          <w:lang w:val="en-US" w:eastAsia="zh-CN" w:bidi="ar"/>
        </w:rPr>
        <w:t>资金实际支持对象均符合管理要求，符合支持对象范围。本项得分10分。</w:t>
      </w:r>
    </w:p>
    <w:p w14:paraId="0E8F4DA8">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outlineLvl w:val="9"/>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（三）个性指标绩效分析。</w:t>
      </w:r>
    </w:p>
    <w:p w14:paraId="22E86071">
      <w:pPr>
        <w:pStyle w:val="24"/>
        <w:keepNext/>
        <w:keepLines/>
        <w:widowControl w:val="0"/>
        <w:suppressLineNumbers w:val="0"/>
        <w:kinsoku/>
        <w:autoSpaceDE/>
        <w:autoSpaceDN/>
        <w:adjustRightInd/>
        <w:snapToGrid/>
        <w:spacing w:before="0" w:beforeAutospacing="0" w:after="0" w:afterAutospacing="0" w:line="576" w:lineRule="exact"/>
        <w:ind w:left="0" w:right="0" w:firstLine="640" w:firstLineChars="200"/>
        <w:jc w:val="both"/>
        <w:textAlignment w:val="auto"/>
        <w:outlineLvl w:val="9"/>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auto"/>
          <w:kern w:val="0"/>
          <w:sz w:val="32"/>
          <w:szCs w:val="32"/>
          <w:shd w:val="clear" w:fill="FFFFFF"/>
          <w:lang w:val="en-US" w:eastAsia="zh-CN" w:bidi="ar"/>
        </w:rPr>
        <w:t>1.红火蚁物疫情监测调查面积</w:t>
      </w:r>
    </w:p>
    <w:p w14:paraId="2C0F46AF">
      <w:pPr>
        <w:pStyle w:val="24"/>
        <w:keepNext/>
        <w:keepLines/>
        <w:widowControl w:val="0"/>
        <w:suppressLineNumbers w:val="0"/>
        <w:kinsoku/>
        <w:autoSpaceDE/>
        <w:autoSpaceDN/>
        <w:adjustRightInd/>
        <w:snapToGrid/>
        <w:spacing w:before="0" w:beforeAutospacing="0" w:after="0" w:afterAutospacing="0" w:line="576" w:lineRule="exact"/>
        <w:ind w:left="0" w:right="0" w:firstLine="640" w:firstLineChars="200"/>
        <w:jc w:val="both"/>
        <w:textAlignment w:val="auto"/>
        <w:outlineLvl w:val="9"/>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auto"/>
          <w:kern w:val="0"/>
          <w:sz w:val="32"/>
          <w:szCs w:val="32"/>
          <w:shd w:val="clear" w:fill="FFFFFF"/>
          <w:lang w:val="en-US" w:eastAsia="zh-CN" w:bidi="ar"/>
        </w:rPr>
        <w:t>开展红火蚁物疫情监测调查1.05万亩次。</w:t>
      </w:r>
    </w:p>
    <w:p w14:paraId="397483BE">
      <w:pPr>
        <w:pStyle w:val="24"/>
        <w:keepNext/>
        <w:keepLines/>
        <w:widowControl w:val="0"/>
        <w:suppressLineNumbers w:val="0"/>
        <w:kinsoku/>
        <w:autoSpaceDE/>
        <w:autoSpaceDN/>
        <w:adjustRightInd/>
        <w:snapToGrid/>
        <w:spacing w:before="0" w:beforeAutospacing="0" w:after="0" w:afterAutospacing="0" w:line="576" w:lineRule="exact"/>
        <w:ind w:left="0" w:right="0" w:firstLine="640" w:firstLineChars="200"/>
        <w:jc w:val="both"/>
        <w:textAlignment w:val="auto"/>
        <w:outlineLvl w:val="9"/>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auto"/>
          <w:kern w:val="0"/>
          <w:sz w:val="32"/>
          <w:szCs w:val="32"/>
          <w:shd w:val="clear" w:fill="FFFFFF"/>
          <w:lang w:val="en-US" w:eastAsia="zh-CN" w:bidi="ar"/>
        </w:rPr>
        <w:t>2.检疫性病虫害统防统治面积</w:t>
      </w:r>
    </w:p>
    <w:p w14:paraId="7ACE196E">
      <w:pPr>
        <w:pStyle w:val="24"/>
        <w:keepNext/>
        <w:keepLines/>
        <w:widowControl w:val="0"/>
        <w:suppressLineNumbers w:val="0"/>
        <w:kinsoku/>
        <w:autoSpaceDE/>
        <w:autoSpaceDN/>
        <w:adjustRightInd/>
        <w:snapToGrid/>
        <w:spacing w:before="0" w:beforeAutospacing="0" w:after="0" w:afterAutospacing="0" w:line="576" w:lineRule="exact"/>
        <w:ind w:left="0" w:right="0" w:firstLine="640" w:firstLineChars="200"/>
        <w:jc w:val="both"/>
        <w:textAlignment w:val="auto"/>
        <w:outlineLvl w:val="9"/>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auto"/>
          <w:kern w:val="0"/>
          <w:sz w:val="32"/>
          <w:szCs w:val="32"/>
          <w:shd w:val="clear" w:fill="FFFFFF"/>
          <w:lang w:val="en-US" w:eastAsia="zh-CN" w:bidi="ar"/>
        </w:rPr>
        <w:t>开展0.17万亩次的检疫性病虫害统防统治。</w:t>
      </w:r>
    </w:p>
    <w:p w14:paraId="6B2BF6CE">
      <w:pPr>
        <w:keepNext w:val="0"/>
        <w:keepLines w:val="0"/>
        <w:widowControl/>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shd w:val="clear" w:fill="FFFFFF"/>
          <w:lang w:val="en-US" w:eastAsia="zh-CN" w:bidi="ar"/>
        </w:rPr>
        <w:t>本项得分16分。</w:t>
      </w:r>
    </w:p>
    <w:p w14:paraId="6BD4C385">
      <w:pPr>
        <w:keepNext w:val="0"/>
        <w:keepLines w:val="0"/>
        <w:widowControl/>
        <w:suppressLineNumbers w:val="0"/>
        <w:kinsoku w:val="0"/>
        <w:autoSpaceDE w:val="0"/>
        <w:autoSpaceDN w:val="0"/>
        <w:adjustRightInd w:val="0"/>
        <w:snapToGrid w:val="0"/>
        <w:spacing w:before="0" w:beforeAutospacing="0" w:after="0" w:afterAutospacing="0" w:line="576" w:lineRule="exact"/>
        <w:ind w:left="0" w:right="0" w:firstLine="640" w:firstLineChars="200"/>
        <w:jc w:val="both"/>
        <w:textAlignment w:val="baseline"/>
        <w:outlineLvl w:val="9"/>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shd w:val="clear" w:fill="FFFFFF"/>
          <w:lang w:val="en-US" w:eastAsia="zh-CN" w:bidi="ar"/>
        </w:rPr>
        <w:t>无扣分项。</w:t>
      </w:r>
    </w:p>
    <w:p w14:paraId="4769B5D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四、评价结论</w:t>
      </w:r>
    </w:p>
    <w:p w14:paraId="283548CB">
      <w:pPr>
        <w:pStyle w:val="24"/>
        <w:keepNext/>
        <w:keepLines/>
        <w:widowControl w:val="0"/>
        <w:suppressLineNumbers w:val="0"/>
        <w:kinsoku/>
        <w:autoSpaceDE/>
        <w:autoSpaceDN/>
        <w:adjustRightInd/>
        <w:snapToGrid/>
        <w:spacing w:before="0" w:beforeAutospacing="0" w:after="0" w:afterAutospacing="0" w:line="576" w:lineRule="exact"/>
        <w:ind w:left="0" w:right="0" w:firstLine="640" w:firstLineChars="200"/>
        <w:jc w:val="both"/>
        <w:textAlignment w:val="auto"/>
        <w:outlineLvl w:val="9"/>
        <w:rPr>
          <w:rFonts w:hint="default" w:ascii="仿宋" w:hAnsi="仿宋" w:eastAsia="仿宋" w:cs="仿宋"/>
          <w:b w:val="0"/>
          <w:bCs w:val="0"/>
          <w:kern w:val="0"/>
          <w:sz w:val="32"/>
          <w:szCs w:val="32"/>
          <w:shd w:val="clear" w:fill="FFFFFF"/>
        </w:rPr>
      </w:pPr>
      <w:r>
        <w:rPr>
          <w:rFonts w:hint="default" w:ascii="仿宋" w:hAnsi="仿宋" w:eastAsia="仿宋" w:cs="仿宋"/>
          <w:b w:val="0"/>
          <w:bCs w:val="0"/>
          <w:snapToGrid/>
          <w:color w:val="auto"/>
          <w:kern w:val="0"/>
          <w:sz w:val="32"/>
          <w:szCs w:val="32"/>
          <w:shd w:val="clear" w:fill="FFFFFF"/>
          <w:lang w:val="en-US" w:eastAsia="zh-CN" w:bidi="ar"/>
        </w:rPr>
        <w:t>区农业农村局印发《广元市利州区2024年省级财政农业高质量发展共同财政事权转移支付项目（植物疫情监测调查和阻截防控）实施方案》（广利农〔2024〕82号），开展项目申报工作，经区人民政府审批后实施。该项目组织措施得力，资金拨付到位，通过以点带面，进一步推动了全区病虫害防治的深入开展，科学及时防治，有效遏制灾害蔓延扩散，最大限度降低灾害损失，维护农作物生产安全。提高农户对植物检疫性有害生物的辨识和防治能力，有效防止植物检疫性有害生物传入和传播，有利于加快推进生态文明建设和农业绿色发展。评价总分64分。</w:t>
      </w:r>
    </w:p>
    <w:p w14:paraId="1902512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五、存在主要问题及改进建议</w:t>
      </w:r>
    </w:p>
    <w:p w14:paraId="6F0C87AC">
      <w:pPr>
        <w:pStyle w:val="24"/>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2"/>
          <w:sz w:val="32"/>
          <w:szCs w:val="32"/>
        </w:rPr>
      </w:pPr>
      <w:r>
        <w:rPr>
          <w:rFonts w:hint="default" w:ascii="仿宋" w:hAnsi="仿宋" w:eastAsia="仿宋" w:cs="仿宋"/>
          <w:b w:val="0"/>
          <w:bCs w:val="0"/>
          <w:snapToGrid/>
          <w:color w:val="000000"/>
          <w:kern w:val="0"/>
          <w:sz w:val="32"/>
          <w:szCs w:val="32"/>
          <w:lang w:val="en-US" w:eastAsia="zh-CN" w:bidi="ar"/>
        </w:rPr>
        <w:t>无。</w:t>
      </w:r>
    </w:p>
    <w:p w14:paraId="125830C2">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jc w:val="center"/>
        <w:textAlignment w:val="baseline"/>
        <w:rPr>
          <w:rFonts w:hint="eastAsia" w:ascii="方正小标宋简体" w:hAnsi="方正小标宋简体" w:eastAsia="方正小标宋简体" w:cs="方正小标宋简体"/>
          <w:kern w:val="2"/>
          <w:sz w:val="44"/>
          <w:szCs w:val="44"/>
        </w:rPr>
      </w:pPr>
      <w:r>
        <w:rPr>
          <w:rFonts w:hint="eastAsia" w:ascii="方正小标宋简体" w:hAnsi="方正小标宋简体" w:eastAsia="方正小标宋简体" w:cs="方正小标宋简体"/>
          <w:snapToGrid/>
          <w:color w:val="000000"/>
          <w:kern w:val="2"/>
          <w:sz w:val="44"/>
          <w:szCs w:val="44"/>
          <w:lang w:val="en-US" w:eastAsia="zh-CN" w:bidi="ar"/>
        </w:rPr>
        <w:t>2024年种粮大户补贴项目绩效自评报告</w:t>
      </w:r>
    </w:p>
    <w:p w14:paraId="3E1ACE12">
      <w:pPr>
        <w:pStyle w:val="24"/>
        <w:keepNext w:val="0"/>
        <w:keepLines w:val="0"/>
        <w:widowControl w:val="0"/>
        <w:suppressLineNumbers w:val="0"/>
        <w:kinsoku w:val="0"/>
        <w:autoSpaceDE w:val="0"/>
        <w:autoSpaceDN/>
        <w:adjustRightInd w:val="0"/>
        <w:snapToGrid w:val="0"/>
        <w:spacing w:before="0" w:beforeAutospacing="0" w:after="0" w:afterAutospacing="0" w:line="576" w:lineRule="exact"/>
        <w:ind w:left="0" w:right="0"/>
        <w:jc w:val="center"/>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 </w:t>
      </w:r>
    </w:p>
    <w:p w14:paraId="02A73A0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一、项目概况</w:t>
      </w:r>
    </w:p>
    <w:p w14:paraId="0913BDFB">
      <w:pPr>
        <w:keepNext w:val="0"/>
        <w:keepLines w:val="0"/>
        <w:widowControl/>
        <w:suppressLineNumbers w:val="0"/>
        <w:shd w:val="clear" w:fill="FFFFFF"/>
        <w:kinsoku w:val="0"/>
        <w:autoSpaceDE w:val="0"/>
        <w:autoSpaceDN/>
        <w:adjustRightInd w:val="0"/>
        <w:snapToGrid w:val="0"/>
        <w:spacing w:before="0" w:beforeAutospacing="0" w:after="0" w:afterAutospacing="0" w:line="576" w:lineRule="exact"/>
        <w:ind w:left="0" w:right="0" w:firstLine="640" w:firstLineChars="200"/>
        <w:jc w:val="left"/>
        <w:textAlignment w:val="center"/>
        <w:rPr>
          <w:rFonts w:hint="default" w:ascii="仿宋" w:hAnsi="仿宋" w:eastAsia="仿宋" w:cs="仿宋"/>
          <w:b w:val="0"/>
          <w:bCs w:val="0"/>
          <w:color w:val="000000"/>
          <w:kern w:val="0"/>
          <w:sz w:val="32"/>
          <w:szCs w:val="32"/>
          <w:shd w:val="clear" w:fill="FFFFFF"/>
        </w:rPr>
      </w:pPr>
      <w:r>
        <w:rPr>
          <w:rFonts w:hint="default" w:ascii="楷体" w:hAnsi="楷体" w:eastAsia="楷体" w:cs="楷体"/>
          <w:b w:val="0"/>
          <w:bCs w:val="0"/>
          <w:snapToGrid/>
          <w:color w:val="000000"/>
          <w:kern w:val="0"/>
          <w:sz w:val="32"/>
          <w:szCs w:val="32"/>
          <w:shd w:val="clear" w:fill="FFFFFF"/>
          <w:lang w:val="en-US" w:eastAsia="zh-CN" w:bidi="ar"/>
        </w:rPr>
        <w:t>（一）设立背景及基本情况。</w:t>
      </w:r>
      <w:r>
        <w:rPr>
          <w:rFonts w:hint="default" w:ascii="仿宋" w:hAnsi="仿宋" w:eastAsia="仿宋" w:cs="仿宋"/>
          <w:b w:val="0"/>
          <w:bCs w:val="0"/>
          <w:snapToGrid/>
          <w:color w:val="000000"/>
          <w:kern w:val="0"/>
          <w:sz w:val="32"/>
          <w:szCs w:val="32"/>
          <w:shd w:val="clear" w:fill="FFFFFF"/>
          <w:lang w:val="en-US" w:eastAsia="zh-CN" w:bidi="ar"/>
        </w:rPr>
        <w:t>坚持以习近平新时代中国特色社会主义思想为指导，按照稳粮增收的要求，充分发挥财政资金的导向作用，以粮食规模经营主体为载体，通过实施种粮大户补贴政策，有力支持种粮大户发展，提升粮食生产质量和效益，促进我区粮食生产持续稳定发展。</w:t>
      </w:r>
    </w:p>
    <w:p w14:paraId="75CE7107">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（二）实施目的及支持方向。</w:t>
      </w:r>
    </w:p>
    <w:p w14:paraId="14498875">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1.保持稳定，优化结构。在保持农业补贴政策的稳定性和连续性的基础上，优化补贴结构,突出政策效能,调动农民种粮的积极性。</w:t>
      </w:r>
    </w:p>
    <w:p w14:paraId="5C667A6A">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2.指导实施。政府负责补贴政策的落实统一补贴标准和大户种植面积，及时将补贴资金发放到户。</w:t>
      </w:r>
    </w:p>
    <w:p w14:paraId="0D15C925">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3.严格监管提高绩效。依法依规开展改革工作,规范农业补贴政策实施,严格补贴资金监管确保改革工作顺利推进。农户满意度达85%以上。</w:t>
      </w:r>
    </w:p>
    <w:p w14:paraId="31DE4C59">
      <w:pPr>
        <w:keepNext w:val="0"/>
        <w:keepLines w:val="0"/>
        <w:widowControl/>
        <w:suppressLineNumbers w:val="0"/>
        <w:shd w:val="clear" w:fill="FFFFFF"/>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b w:val="0"/>
          <w:bCs w:val="0"/>
          <w:color w:val="000000"/>
          <w:kern w:val="0"/>
          <w:sz w:val="32"/>
          <w:szCs w:val="32"/>
          <w:shd w:val="clear" w:fill="FFFFFF"/>
        </w:rPr>
      </w:pPr>
      <w:r>
        <w:rPr>
          <w:rFonts w:hint="default" w:ascii="楷体" w:hAnsi="楷体" w:eastAsia="楷体" w:cs="楷体"/>
          <w:b w:val="0"/>
          <w:bCs w:val="0"/>
          <w:snapToGrid/>
          <w:color w:val="000000"/>
          <w:kern w:val="0"/>
          <w:sz w:val="32"/>
          <w:szCs w:val="32"/>
          <w:shd w:val="clear" w:fill="FFFFFF"/>
          <w:lang w:val="en-US" w:eastAsia="zh-CN" w:bidi="ar"/>
        </w:rPr>
        <w:t>（三）预算安排及分配管理。</w:t>
      </w:r>
      <w:r>
        <w:rPr>
          <w:rFonts w:hint="default" w:ascii="仿宋" w:hAnsi="仿宋" w:eastAsia="仿宋" w:cs="仿宋"/>
          <w:b w:val="0"/>
          <w:bCs w:val="0"/>
          <w:snapToGrid/>
          <w:color w:val="000000"/>
          <w:kern w:val="0"/>
          <w:sz w:val="32"/>
          <w:szCs w:val="32"/>
          <w:shd w:val="clear" w:fill="FFFFFF"/>
          <w:lang w:val="en-US" w:eastAsia="zh-CN" w:bidi="ar"/>
        </w:rPr>
        <w:t>本项目88.0425万元资金投入主要用于农户的补贴。</w:t>
      </w:r>
    </w:p>
    <w:p w14:paraId="537E12F4">
      <w:pPr>
        <w:keepNext w:val="0"/>
        <w:keepLines w:val="0"/>
        <w:widowControl/>
        <w:suppressLineNumbers w:val="0"/>
        <w:shd w:val="clear" w:fill="FFFFFF"/>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b w:val="0"/>
          <w:bCs w:val="0"/>
          <w:color w:val="000000"/>
          <w:kern w:val="0"/>
          <w:sz w:val="32"/>
          <w:szCs w:val="32"/>
          <w:shd w:val="clear" w:fill="FFFFFF"/>
        </w:rPr>
      </w:pPr>
      <w:r>
        <w:rPr>
          <w:rFonts w:hint="default" w:ascii="楷体" w:hAnsi="楷体" w:eastAsia="楷体" w:cs="楷体"/>
          <w:b w:val="0"/>
          <w:bCs w:val="0"/>
          <w:snapToGrid/>
          <w:color w:val="000000"/>
          <w:kern w:val="0"/>
          <w:sz w:val="32"/>
          <w:szCs w:val="32"/>
          <w:shd w:val="clear" w:fill="FFFFFF"/>
          <w:lang w:val="en-US" w:eastAsia="zh-CN" w:bidi="ar"/>
        </w:rPr>
        <w:t>（四）项目绩效目标设置。</w:t>
      </w:r>
      <w:r>
        <w:rPr>
          <w:rFonts w:hint="default" w:ascii="仿宋" w:hAnsi="仿宋" w:eastAsia="仿宋" w:cs="仿宋"/>
          <w:b w:val="0"/>
          <w:bCs w:val="0"/>
          <w:snapToGrid/>
          <w:color w:val="000000"/>
          <w:kern w:val="0"/>
          <w:sz w:val="32"/>
          <w:szCs w:val="32"/>
          <w:shd w:val="clear" w:fill="FFFFFF"/>
          <w:lang w:val="en-US" w:eastAsia="zh-CN" w:bidi="ar"/>
        </w:rPr>
        <w:t>补贴计发依据为：2024 年省级财政补贴资金/实际大户实际种植面积=补贴标准为 150 元/亩。让农户了解了国家对粮食安全的重视，鼓励新型经营主体流转土地、代耕代种、稳定粮食及扩大粮食播种面积，提高了惠农政策的知晓率。</w:t>
      </w:r>
    </w:p>
    <w:p w14:paraId="425A7B7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二、评价实施</w:t>
      </w:r>
    </w:p>
    <w:p w14:paraId="1D28A67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jc w:val="left"/>
        <w:textAlignment w:val="baseline"/>
        <w:rPr>
          <w:rFonts w:hint="default" w:ascii="仿宋" w:hAnsi="仿宋" w:eastAsia="仿宋" w:cs="仿宋"/>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（一）评价目的。</w:t>
      </w:r>
      <w:r>
        <w:rPr>
          <w:rFonts w:hint="default" w:ascii="仿宋" w:hAnsi="仿宋" w:eastAsia="仿宋" w:cs="仿宋"/>
          <w:b w:val="0"/>
          <w:bCs w:val="0"/>
          <w:snapToGrid/>
          <w:color w:val="000000"/>
          <w:kern w:val="0"/>
          <w:sz w:val="32"/>
          <w:szCs w:val="32"/>
          <w:lang w:val="en-US" w:eastAsia="zh-CN" w:bidi="ar"/>
        </w:rPr>
        <w:t>今年以来受大宗商品价格上涨影响，化肥、柴油等农资价格明显上涨，加之种粮的比较效益偏低，以粮食规模经营主体为载体，通过实施种粮大户补贴政策，有力支持种粮大户发展，提升粮食生产质量和效益，促进我区粮食生产持续稳定发展。</w:t>
      </w:r>
    </w:p>
    <w:p w14:paraId="06ADA17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（二）预设问题及评价重点。</w:t>
      </w:r>
      <w:r>
        <w:rPr>
          <w:rFonts w:hint="default" w:ascii="仿宋" w:hAnsi="仿宋" w:eastAsia="仿宋" w:cs="仿宋"/>
          <w:b w:val="0"/>
          <w:bCs w:val="0"/>
          <w:snapToGrid/>
          <w:color w:val="000000"/>
          <w:kern w:val="0"/>
          <w:sz w:val="32"/>
          <w:szCs w:val="32"/>
          <w:lang w:val="en-US" w:eastAsia="zh-CN" w:bidi="ar"/>
        </w:rPr>
        <w:t>一次性种粮补贴政策落实到农户，鼓励农民主动积极种粮，为实现“藏粮于地”的目标。同时确保了公开透明，公平公正。补贴发放全过程阳光操作，公开透明，确保补贴公平公正落实到位。</w:t>
      </w:r>
    </w:p>
    <w:p w14:paraId="17C6CEF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jc w:val="left"/>
        <w:textAlignment w:val="baseline"/>
        <w:rPr>
          <w:rFonts w:hint="default" w:ascii="仿宋" w:hAnsi="仿宋" w:eastAsia="仿宋" w:cs="仿宋"/>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（三）评价方法。</w:t>
      </w:r>
      <w:r>
        <w:rPr>
          <w:rFonts w:hint="default" w:ascii="仿宋" w:hAnsi="仿宋" w:eastAsia="仿宋" w:cs="仿宋"/>
          <w:b w:val="0"/>
          <w:bCs w:val="0"/>
          <w:snapToGrid/>
          <w:color w:val="000000"/>
          <w:kern w:val="0"/>
          <w:sz w:val="32"/>
          <w:szCs w:val="32"/>
          <w:lang w:val="en-US" w:eastAsia="zh-CN" w:bidi="ar"/>
        </w:rPr>
        <w:t>采用整体评价和样本评价。</w:t>
      </w:r>
    </w:p>
    <w:p w14:paraId="57C4E1F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（四）评价组织。</w:t>
      </w:r>
      <w:r>
        <w:rPr>
          <w:rFonts w:hint="default" w:ascii="仿宋" w:hAnsi="仿宋" w:eastAsia="仿宋" w:cs="仿宋"/>
          <w:b w:val="0"/>
          <w:bCs w:val="0"/>
          <w:snapToGrid/>
          <w:color w:val="000000"/>
          <w:kern w:val="0"/>
          <w:sz w:val="32"/>
          <w:szCs w:val="32"/>
          <w:lang w:val="en-US" w:eastAsia="zh-CN" w:bidi="ar"/>
        </w:rPr>
        <w:t>区财政局负责种粮大户补贴资金的预算安排、资金拨付、补贴资金的监管；区农业农村局负责补贴面积核实、统计汇总、资金兑付；各乡镇负责补贴申报对象、补贴面积的核实、公示等工作，对补贴对象和补贴面积真实性负全责，保证补贴发放全过程的公开、公平、公正、透明。</w:t>
      </w:r>
    </w:p>
    <w:p w14:paraId="7A6A0E2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三、绩效分析</w:t>
      </w:r>
      <w:r>
        <w:rPr>
          <w:rFonts w:hint="default" w:ascii="黑体" w:hAnsi="宋体" w:eastAsia="黑体" w:cs="黑体"/>
          <w:b w:val="0"/>
          <w:bCs w:val="0"/>
          <w:snapToGrid/>
          <w:color w:val="000000"/>
          <w:kern w:val="0"/>
          <w:sz w:val="32"/>
          <w:szCs w:val="32"/>
          <w:lang w:val="en-US" w:eastAsia="zh-CN" w:bidi="ar"/>
        </w:rPr>
        <w:tab/>
      </w:r>
    </w:p>
    <w:p w14:paraId="5AF6C486">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（一）通用指标绩效分析。</w:t>
      </w:r>
    </w:p>
    <w:p w14:paraId="7DF75E4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jc w:val="left"/>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预算执行：财政资金拨付率100%，单位资金使用率100%，地方资金到位率100%。本项得分6分。</w:t>
      </w:r>
    </w:p>
    <w:p w14:paraId="5737AA3C">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资金使用：项目资金使用、拨付符合国家财经法规、财务管理制度及有关专项资金管理制度办法的规定和审批程序，不存在超范围、超标准、超进度使用专项资金，不存在资金损失浪费、长期沉淀、截留、挤占、挪用、虚列支出等情况，项目实施遵守相关法律法规。本项3分不扣分。</w:t>
      </w:r>
    </w:p>
    <w:p w14:paraId="6D194CFE">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目标完成：通过实施种粮大户补贴政策，有力支持种粮大户发展，提升粮食生产质量和效益，促进我区粮食生产持续稳定发展。核实补贴面积3434.1亩，补贴标准150元/亩，补贴资金515115元。本项得6分。</w:t>
      </w:r>
    </w:p>
    <w:p w14:paraId="7E7FBA67">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完成时效：实际完成时间为2024年12月2日，计划完成时间为2024年12月30日。本项得分3分。</w:t>
      </w:r>
    </w:p>
    <w:p w14:paraId="25225E0C">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（二）专用指标绩效分析。</w:t>
      </w:r>
    </w:p>
    <w:p w14:paraId="429DBA33">
      <w:pPr>
        <w:pStyle w:val="24"/>
        <w:keepNext/>
        <w:keepLines/>
        <w:widowControl w:val="0"/>
        <w:suppressLineNumbers w:val="0"/>
        <w:kinsoku/>
        <w:autoSpaceDE w:val="0"/>
        <w:autoSpaceDN/>
        <w:adjustRightInd/>
        <w:snapToGrid/>
        <w:spacing w:before="0" w:beforeAutospacing="0" w:after="0" w:afterAutospacing="0" w:line="576" w:lineRule="exact"/>
        <w:ind w:left="0" w:right="0" w:firstLine="640" w:firstLineChars="200"/>
        <w:jc w:val="left"/>
        <w:textAlignment w:val="auto"/>
        <w:outlineLvl w:val="9"/>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符合性：项目与省委、省政府支持重点、产业支持政策符合。本项得分10分。</w:t>
      </w:r>
    </w:p>
    <w:p w14:paraId="1DFE3767">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功能实现：项目经济社会功能实现，农户增收150元/亩。本项得分10分。</w:t>
      </w:r>
    </w:p>
    <w:p w14:paraId="747FF399">
      <w:pPr>
        <w:pStyle w:val="24"/>
        <w:keepNext/>
        <w:keepLines/>
        <w:widowControl w:val="0"/>
        <w:suppressLineNumbers w:val="0"/>
        <w:kinsoku/>
        <w:autoSpaceDE w:val="0"/>
        <w:autoSpaceDN/>
        <w:adjustRightInd/>
        <w:snapToGrid/>
        <w:spacing w:before="0" w:beforeAutospacing="0" w:after="0" w:afterAutospacing="0" w:line="576" w:lineRule="exact"/>
        <w:ind w:left="0" w:right="0" w:firstLine="640" w:firstLineChars="200"/>
        <w:jc w:val="left"/>
        <w:textAlignment w:val="auto"/>
        <w:outlineLvl w:val="9"/>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对象精准性：资金实际支持对象均符合管理要求，符合支持对象范围。本项得分10分。</w:t>
      </w:r>
    </w:p>
    <w:p w14:paraId="49FCD773">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（三）个性指标绩效分析。</w:t>
      </w:r>
    </w:p>
    <w:p w14:paraId="6B3720B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jc w:val="left"/>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补贴资金用于种粮大户相关支出：核实补贴面积3434.1亩，补贴标准150元/亩，补贴资金515115元。本项得分16分。</w:t>
      </w:r>
    </w:p>
    <w:p w14:paraId="2CE0D462">
      <w:pPr>
        <w:pStyle w:val="24"/>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无扣分项。</w:t>
      </w:r>
    </w:p>
    <w:p w14:paraId="28229C9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四、评价结论</w:t>
      </w:r>
    </w:p>
    <w:p w14:paraId="10A2044A">
      <w:pPr>
        <w:pStyle w:val="24"/>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自评得分100分。核实补贴面积3434.1亩和补贴标准据实清算后，区农业农村局、区财政局根据种粮大户种植面积，在规定时间内将补贴资金通过“一卡通”发放到种粮大户手中。</w:t>
      </w:r>
    </w:p>
    <w:p w14:paraId="30A197A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五、存在主要问题及改进建议</w:t>
      </w:r>
    </w:p>
    <w:p w14:paraId="395AB8A5">
      <w:pPr>
        <w:pStyle w:val="24"/>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jc w:val="left"/>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无。</w:t>
      </w:r>
    </w:p>
    <w:p w14:paraId="4F7EEBAD">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snapToGrid/>
          <w:color w:val="000000"/>
          <w:kern w:val="0"/>
          <w:sz w:val="44"/>
          <w:szCs w:val="44"/>
          <w:lang w:val="en-US" w:eastAsia="zh-CN" w:bidi="ar"/>
        </w:rPr>
        <w:br w:type="page"/>
      </w:r>
    </w:p>
    <w:p w14:paraId="72F596C5">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b w:val="0"/>
          <w:bCs/>
          <w:snapToGrid/>
          <w:color w:val="000000"/>
          <w:kern w:val="0"/>
          <w:sz w:val="44"/>
          <w:szCs w:val="44"/>
          <w:lang w:val="en-US" w:eastAsia="zh-CN" w:bidi="ar"/>
        </w:rPr>
        <w:t>2024年稻谷补贴项目预算绩效自评报告</w:t>
      </w:r>
    </w:p>
    <w:p w14:paraId="7DFDC458">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 </w:t>
      </w:r>
    </w:p>
    <w:p w14:paraId="2C64E16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一、项目概况</w:t>
      </w:r>
    </w:p>
    <w:p w14:paraId="46BAFD86">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（一）设立背景及基本情况。</w:t>
      </w:r>
      <w:r>
        <w:rPr>
          <w:rFonts w:hint="default" w:ascii="仿宋" w:hAnsi="仿宋" w:eastAsia="仿宋" w:cs="仿宋"/>
          <w:b w:val="0"/>
          <w:bCs w:val="0"/>
          <w:snapToGrid/>
          <w:color w:val="000000"/>
          <w:kern w:val="0"/>
          <w:sz w:val="32"/>
          <w:szCs w:val="32"/>
          <w:lang w:val="en-US" w:eastAsia="zh-CN" w:bidi="ar"/>
        </w:rPr>
        <w:t>全面贯彻党的二十大精神，以习近平新时代中国特色社会主义思想为指导，认真落实国家粮食安全战略，深化稻谷收储制度和价格形成机制改革，以保障农民种粮基本收益和稻谷生产稳定为重点，提高补贴政策的指向性、精准性和实效性，推动形成“优粮优价”市场流通机制，引导种植结构调整，优化我区粮食供需结构。</w:t>
      </w:r>
    </w:p>
    <w:p w14:paraId="2DDBC399">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（二）实施目的及支持方向</w:t>
      </w:r>
    </w:p>
    <w:p w14:paraId="7CB9F468">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此项补贴同特定作物稻谷挂钩，进一步明确“谁种粮谁受益”的政策目标，对行政区划境内稻谷种植者,具体包括利用自有承包地种植水稻的农民，以及流转土地种植水稻的大户、家庭农场、农民合作社、农业企业等新型农业经营主体全面进行补贴，种植户满意度达85%以上。</w:t>
      </w:r>
    </w:p>
    <w:p w14:paraId="530BBAD2">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（三）预算安排及分配管理</w:t>
      </w:r>
    </w:p>
    <w:p w14:paraId="2B9BCC9F">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本项目169.4314万元资金投入主要用于对种植户的补贴。</w:t>
      </w:r>
    </w:p>
    <w:p w14:paraId="5BEF8154">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（四）项目绩效目标设置</w:t>
      </w:r>
    </w:p>
    <w:p w14:paraId="31FF1371">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经济效益：保障优势产区稻谷种植收益基本稳定。一是通过补贴项目的实施提高全区种粮农户种植积极性。二是水稻种植的效益较低，补贴项目实施增加了享受补贴的生产者转移性收入，有效保障了农户稻谷种植收益的稳定。社会效益：让农户了解了国家对粮食生产的重视，提高了惠农政策的知晓率。</w:t>
      </w:r>
    </w:p>
    <w:p w14:paraId="0B70B5A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二、评价实施</w:t>
      </w:r>
    </w:p>
    <w:p w14:paraId="248E21B1">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（一）评价目的</w:t>
      </w:r>
    </w:p>
    <w:p w14:paraId="25107929">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近年来种粮的比较效益偏低，农民种粮积极性不高，粮食面积逐年减少。发放这个补贴的目的是保护农民种粮利益，提高农民种粮和保护耕地的积极性,保障国家粮食安全,促进乡村振兴战略。</w:t>
      </w:r>
    </w:p>
    <w:p w14:paraId="19734468">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（二）预设问题及评价重点</w:t>
      </w:r>
    </w:p>
    <w:p w14:paraId="076CAF19">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该项目重点突出，注重绩效。此项补贴同特定作物稻谷挂钩，进一步明确“谁种粮谁受益”的政策目标，突出工作绩效。同时确保了公开透明，公平公正。补贴发放全过程阳光操作，公开透明，确保补贴公平公正落实到位。</w:t>
      </w:r>
    </w:p>
    <w:p w14:paraId="017BDC51">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（三）评价方法</w:t>
      </w:r>
    </w:p>
    <w:p w14:paraId="682673C9">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采用整体评价和样本评价。针对群众满意度，采取问卷调查法，调查种植农户148户，满意136户，满意度92%。</w:t>
      </w:r>
    </w:p>
    <w:p w14:paraId="212CA98D">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（四）评价组织。</w:t>
      </w:r>
      <w:r>
        <w:rPr>
          <w:rFonts w:hint="default" w:ascii="仿宋" w:hAnsi="仿宋" w:eastAsia="仿宋" w:cs="仿宋"/>
          <w:b w:val="0"/>
          <w:bCs w:val="0"/>
          <w:snapToGrid/>
          <w:color w:val="000000"/>
          <w:kern w:val="0"/>
          <w:sz w:val="32"/>
          <w:szCs w:val="32"/>
          <w:lang w:val="en-US" w:eastAsia="zh-CN" w:bidi="ar"/>
        </w:rPr>
        <w:t>由项目所涉乡镇（街道）农业综合服务中心工作人员和区农业技术推广站工作人员组成评价组人员。乡镇（街道）农业综合服务中心工作人员对辖区内实施项目的农户及种粮大户按照3%开展问卷调查的方式对项目进行评价；区农业技术推广站工作人员结所实施农户及种粮大户按照2%的比例进行抽查开展问卷调查评价。</w:t>
      </w:r>
    </w:p>
    <w:p w14:paraId="095EE15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三、绩效分析</w:t>
      </w:r>
      <w:r>
        <w:rPr>
          <w:rFonts w:hint="default" w:ascii="黑体" w:hAnsi="宋体" w:eastAsia="黑体" w:cs="黑体"/>
          <w:b w:val="0"/>
          <w:bCs w:val="0"/>
          <w:snapToGrid/>
          <w:color w:val="000000"/>
          <w:kern w:val="0"/>
          <w:sz w:val="32"/>
          <w:szCs w:val="32"/>
          <w:lang w:val="en-US" w:eastAsia="zh-CN" w:bidi="ar"/>
        </w:rPr>
        <w:tab/>
      </w:r>
    </w:p>
    <w:p w14:paraId="0AE9B9C8">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（一）通用指标绩效分析</w:t>
      </w:r>
    </w:p>
    <w:p w14:paraId="659525B3">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预算执行：财政资金拨付率100%，单位资金使用率100%，地方资金到位率100%。本项得分6分。</w:t>
      </w:r>
    </w:p>
    <w:p w14:paraId="58A35E31">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资金使用：项目资金使用、拨付符合国家财经法规、财务管理制度及有关专项资金管理制度办法的规定和审批程序，不存在超范围、超标准、超进度使用专项资金，不存在资金损失浪费、长期沉淀、截留、挤占、挪用、虚列支出等情况，项目实施遵守相关法律法规。本项3分不扣分。</w:t>
      </w:r>
    </w:p>
    <w:p w14:paraId="010911B0">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目标完成：全区涉及稻谷补贴的乡镇（街道）15个、村（社区）97个、组448个、水稻种植户12074户，补贴种植面积19002.96亩，补贴标准90.72元/亩，实际补贴资金1723916.22元，实际补贴资金全部发放到位。本项得6分。</w:t>
      </w:r>
    </w:p>
    <w:p w14:paraId="6A36C0FB">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完成时效：计划完成时间为2024年11月。实际完成时间2024年11月。本项得分3分。</w:t>
      </w:r>
    </w:p>
    <w:p w14:paraId="2EFC50D9">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（二）专用指标绩效分析</w:t>
      </w:r>
    </w:p>
    <w:p w14:paraId="2DCCB7F5">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符合性：项目与省委、省政府支持重点、产业支持政策符合。本项得分10分。</w:t>
      </w:r>
    </w:p>
    <w:p w14:paraId="50C3C375">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功能实现：项目经济社会功能实现，农户增收200元/亩。本项得分10分。</w:t>
      </w:r>
    </w:p>
    <w:p w14:paraId="0A2BDBBE">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对象精准性：资金实际支持对象均符合管理要求，符合支持对象范围。本项得分10分。</w:t>
      </w:r>
    </w:p>
    <w:p w14:paraId="2738AF8B">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（三）个性指标绩效分析</w:t>
      </w:r>
    </w:p>
    <w:p w14:paraId="3EBE9E46">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无</w:t>
      </w:r>
    </w:p>
    <w:p w14:paraId="723ABE1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四、评价结论</w:t>
      </w:r>
    </w:p>
    <w:p w14:paraId="20DE0CAC">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自评得分100分。</w:t>
      </w:r>
    </w:p>
    <w:p w14:paraId="4F24B94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五、存在主要问题及改进建议</w:t>
      </w:r>
    </w:p>
    <w:p w14:paraId="4F85E3DC">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无</w:t>
      </w:r>
    </w:p>
    <w:p w14:paraId="38822B61">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 </w:t>
      </w:r>
    </w:p>
    <w:p w14:paraId="471F24DE">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snapToGrid/>
          <w:color w:val="000000"/>
          <w:kern w:val="0"/>
          <w:sz w:val="44"/>
          <w:szCs w:val="44"/>
          <w:lang w:val="en-US" w:eastAsia="zh-CN" w:bidi="ar"/>
        </w:rPr>
        <w:br w:type="page"/>
      </w:r>
    </w:p>
    <w:p w14:paraId="34501BF3">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b w:val="0"/>
          <w:bCs/>
          <w:snapToGrid/>
          <w:color w:val="000000"/>
          <w:kern w:val="0"/>
          <w:sz w:val="44"/>
          <w:szCs w:val="44"/>
          <w:lang w:val="en-US" w:eastAsia="zh-CN" w:bidi="ar"/>
        </w:rPr>
        <w:t>2024年地膜科学使用回收项目预算绩效</w:t>
      </w:r>
    </w:p>
    <w:p w14:paraId="460F9CB2">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b w:val="0"/>
          <w:bCs/>
          <w:snapToGrid/>
          <w:color w:val="000000"/>
          <w:kern w:val="0"/>
          <w:sz w:val="44"/>
          <w:szCs w:val="44"/>
          <w:lang w:val="en-US" w:eastAsia="zh-CN" w:bidi="ar"/>
        </w:rPr>
        <w:t>自评报告</w:t>
      </w:r>
    </w:p>
    <w:p w14:paraId="084FE7DE">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 </w:t>
      </w:r>
    </w:p>
    <w:p w14:paraId="79223E9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一、项目概况</w:t>
      </w:r>
    </w:p>
    <w:p w14:paraId="5059CF59">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（一）设立背景及基本情况。</w:t>
      </w:r>
      <w:r>
        <w:rPr>
          <w:rFonts w:hint="default" w:ascii="仿宋" w:hAnsi="仿宋" w:eastAsia="仿宋" w:cs="仿宋"/>
          <w:b w:val="0"/>
          <w:bCs w:val="0"/>
          <w:snapToGrid/>
          <w:color w:val="000000"/>
          <w:kern w:val="0"/>
          <w:sz w:val="32"/>
          <w:szCs w:val="32"/>
          <w:lang w:val="en-US" w:eastAsia="zh-CN" w:bidi="ar"/>
        </w:rPr>
        <w:t>坚持以习近平新时代中国特色社会主义思想为指导，以农业绿色发展为导向，以农田地膜规范使用、有效回收和资源化利用为主线，充分发挥财政资金的导向作用，积极探索地膜科学使用模式，健全地膜回收体系、地膜残留监测体系；改善全区农业生产生态环境，加快推进我区乡村生态振兴。</w:t>
      </w:r>
    </w:p>
    <w:p w14:paraId="36F51F91">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（二）实施目的及支持方向</w:t>
      </w:r>
    </w:p>
    <w:p w14:paraId="026ADEB5">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1.农膜科学使用。在全区11个乡镇（街道）推广应用加厚高强度地膜3万亩，全生物降解地膜1万亩。通过项目实施，促进地膜回收体系进一步完善，项目区地膜回收率达到90%以上。</w:t>
      </w:r>
    </w:p>
    <w:p w14:paraId="0AE38B4C">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2.加强技术推广。在项目区以主要农业生态区类型和主要作物为重点，开展加厚高强度地膜适应性评价，探索适宜于利州的地膜科学使用模式，积极开展地膜回收模式探索，健全废旧地膜回收网络体系。</w:t>
      </w:r>
    </w:p>
    <w:p w14:paraId="685D154C">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3.严格监管提高绩效。依法依规开展改革工作,规范农业补贴政策实施,严格补贴资金监管确保改革工作顺利推进。农户满意度达85%以上。</w:t>
      </w:r>
    </w:p>
    <w:p w14:paraId="1E71D1BC">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（三）预算安排及分配管理</w:t>
      </w:r>
    </w:p>
    <w:p w14:paraId="1AAE2D3F">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本项目150万元资金投入主要用于实施该项目的农户、种植大户、家庭农场主和农民专业合作社的补贴。</w:t>
      </w:r>
    </w:p>
    <w:p w14:paraId="41E6429E">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（四）项目绩效目标设置</w:t>
      </w:r>
    </w:p>
    <w:p w14:paraId="5B00D20E">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1.经济效益</w:t>
      </w:r>
    </w:p>
    <w:p w14:paraId="47B08B50">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地膜覆盖具有蓄水保墒和提高地温、减少杂草生长等作用。通过覆膜，预计可使农作物平均增产10%以上。</w:t>
      </w:r>
    </w:p>
    <w:p w14:paraId="7774E200">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2.社会效益</w:t>
      </w:r>
    </w:p>
    <w:p w14:paraId="73950C7B">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项目开展的宣传培训，可有效提升农业生产经营者对废旧地膜造成危害的认识，增强其自主捡拾回收地膜的意识，对改善农村生产生活环境，加快推进乡村生态振兴有重要意义。</w:t>
      </w:r>
    </w:p>
    <w:p w14:paraId="2A939C45">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3.生态效益</w:t>
      </w:r>
    </w:p>
    <w:p w14:paraId="2A3D9D04">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加强地膜回收利用是农业面源污染治理的重要内容。通过项目实施，可有效降低废旧地膜对土壤造成的污染，改善全区农业生产生态环境。</w:t>
      </w:r>
    </w:p>
    <w:p w14:paraId="55A3F5C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二、评价实施</w:t>
      </w:r>
    </w:p>
    <w:p w14:paraId="37973422">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（一）评价目的</w:t>
      </w:r>
    </w:p>
    <w:p w14:paraId="1700BA06">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通过实施补贴政策，提升农户生产积极性，有效提升生产质量和效益，促进我区粮食生产持续稳定发展。</w:t>
      </w:r>
    </w:p>
    <w:p w14:paraId="2FF8EAD8">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（二）预设问题及评价重点</w:t>
      </w:r>
    </w:p>
    <w:p w14:paraId="0ACEC2E3">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该项目重点突出，注重绩效。通过覆膜，预计可使农作物平均增产10%以上，4万亩覆膜面积预计增收600余万元。</w:t>
      </w:r>
    </w:p>
    <w:p w14:paraId="19EBDA6F">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（三）评价方法。</w:t>
      </w:r>
    </w:p>
    <w:p w14:paraId="5B436136">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采用整体评价和样本评价。针对群众满意度，采取问卷调查法，调查种植农户150户，满意131户，满意度87%。</w:t>
      </w:r>
    </w:p>
    <w:p w14:paraId="56523826">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四）评价组织。由项目所涉乡镇（街道）农业综合服务中心工作人员和区农业技术推广站工作人员组成评价组人员。乡镇（街道）农业综合服务中心工作人员对辖区内实施项目的农户及种粮大户按照3%开展问卷调查的方式对项目进行评价；区农业技术推广站工作人员结所实施农户及种粮大户按照2%的比例进行抽查开展问卷调查评价。</w:t>
      </w:r>
    </w:p>
    <w:p w14:paraId="58107FD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三、绩效分析</w:t>
      </w:r>
      <w:r>
        <w:rPr>
          <w:rFonts w:hint="default" w:ascii="黑体" w:hAnsi="宋体" w:eastAsia="黑体" w:cs="黑体"/>
          <w:b w:val="0"/>
          <w:bCs w:val="0"/>
          <w:snapToGrid/>
          <w:color w:val="000000"/>
          <w:kern w:val="0"/>
          <w:sz w:val="32"/>
          <w:szCs w:val="32"/>
          <w:lang w:val="en-US" w:eastAsia="zh-CN" w:bidi="ar"/>
        </w:rPr>
        <w:tab/>
      </w:r>
    </w:p>
    <w:p w14:paraId="275AFDAF">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（一）通用指标绩效分析。</w:t>
      </w:r>
    </w:p>
    <w:p w14:paraId="76EE8353">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预算执行：财政资金拨付率100%，单位资金使用率100%，地方资金到位率100%。本项得分6分。</w:t>
      </w:r>
    </w:p>
    <w:p w14:paraId="477C2B7A">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资金使用：项目资金使用、拨付符合国家财经法规、财务管理制度及有关专项资金管理制度办法的规定和审批程序，不存在超范围、超标准、超进度使用专项资金，不存在资金损失浪费、长期沉淀、截留、挤占、挪用、虚列支出等情况，项目实施遵守相关法律法规。本项3分不扣分。</w:t>
      </w:r>
    </w:p>
    <w:p w14:paraId="46688B06">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目标完成：地膜2025年3月3日送货，2025年6月完成回收。本项得6分。</w:t>
      </w:r>
    </w:p>
    <w:p w14:paraId="38B3F869">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完成时效：计划完成时间为2025年6月。实际完成时间2025年6月。本项得分3分。</w:t>
      </w:r>
    </w:p>
    <w:p w14:paraId="5E7AE62E">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（二）专用指标绩效分析</w:t>
      </w:r>
    </w:p>
    <w:p w14:paraId="49F4C48A">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符合性：项目与省委、省政府支持重点、产业支持政策符合。本项得分10分。</w:t>
      </w:r>
    </w:p>
    <w:p w14:paraId="4401F290">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功能实现：2025年6月完成。本项得分10分。</w:t>
      </w:r>
    </w:p>
    <w:p w14:paraId="733CAA01">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对象精准性：资金实际支持对象均符合管理要求，符合支持对象范围。本项得分10分。</w:t>
      </w:r>
    </w:p>
    <w:p w14:paraId="057517FA">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（三）个性指标绩效分析</w:t>
      </w:r>
    </w:p>
    <w:p w14:paraId="6C7A1C8C">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无</w:t>
      </w:r>
    </w:p>
    <w:p w14:paraId="464052C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四、评价结论</w:t>
      </w:r>
    </w:p>
    <w:p w14:paraId="20645030">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自评得分100分。</w:t>
      </w:r>
    </w:p>
    <w:p w14:paraId="39585CF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五、存在主要问题及改进建议</w:t>
      </w:r>
    </w:p>
    <w:p w14:paraId="5765A850">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无</w:t>
      </w:r>
    </w:p>
    <w:p w14:paraId="096A8030">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 </w:t>
      </w:r>
    </w:p>
    <w:p w14:paraId="3C8EC8A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jc w:val="both"/>
        <w:textAlignment w:val="baseline"/>
        <w:rPr>
          <w:rFonts w:hint="default" w:ascii="仿宋" w:hAnsi="仿宋" w:eastAsia="仿宋" w:cs="仿宋"/>
          <w:b w:val="0"/>
          <w:bCs/>
          <w:color w:val="000000"/>
          <w:kern w:val="0"/>
          <w:sz w:val="32"/>
          <w:szCs w:val="32"/>
        </w:rPr>
      </w:pPr>
      <w:r>
        <w:rPr>
          <w:rFonts w:hint="default" w:ascii="仿宋" w:hAnsi="仿宋" w:eastAsia="仿宋" w:cs="仿宋"/>
          <w:b w:val="0"/>
          <w:bCs/>
          <w:snapToGrid/>
          <w:color w:val="000000"/>
          <w:kern w:val="0"/>
          <w:sz w:val="32"/>
          <w:szCs w:val="32"/>
          <w:lang w:val="en-US" w:eastAsia="zh-CN" w:bidi="ar"/>
        </w:rPr>
        <w:t xml:space="preserve"> </w:t>
      </w:r>
    </w:p>
    <w:p w14:paraId="68FD76D2">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snapToGrid/>
          <w:color w:val="000000"/>
          <w:kern w:val="0"/>
          <w:sz w:val="44"/>
          <w:szCs w:val="44"/>
          <w:lang w:val="en-US" w:eastAsia="zh-CN" w:bidi="ar"/>
        </w:rPr>
        <w:br w:type="page"/>
      </w:r>
    </w:p>
    <w:p w14:paraId="5A65C627">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b w:val="0"/>
          <w:bCs/>
          <w:snapToGrid/>
          <w:color w:val="000000"/>
          <w:kern w:val="0"/>
          <w:sz w:val="44"/>
          <w:szCs w:val="44"/>
          <w:lang w:val="en-US" w:eastAsia="zh-CN" w:bidi="ar"/>
        </w:rPr>
        <w:t>2024年耕地地力保护补贴项目预算</w:t>
      </w:r>
    </w:p>
    <w:p w14:paraId="576D29CE">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b w:val="0"/>
          <w:bCs/>
          <w:snapToGrid/>
          <w:color w:val="000000"/>
          <w:kern w:val="0"/>
          <w:sz w:val="44"/>
          <w:szCs w:val="44"/>
          <w:lang w:val="en-US" w:eastAsia="zh-CN" w:bidi="ar"/>
        </w:rPr>
        <w:t>绩效自评报告</w:t>
      </w:r>
    </w:p>
    <w:p w14:paraId="485B90C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 </w:t>
      </w:r>
    </w:p>
    <w:p w14:paraId="5946AC4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一、项目概况</w:t>
      </w:r>
    </w:p>
    <w:p w14:paraId="536749F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（一）设立背景及基本情况。</w:t>
      </w:r>
      <w:r>
        <w:rPr>
          <w:rFonts w:hint="default" w:ascii="仿宋" w:hAnsi="仿宋" w:eastAsia="仿宋" w:cs="仿宋"/>
          <w:b w:val="0"/>
          <w:bCs w:val="0"/>
          <w:snapToGrid/>
          <w:color w:val="000000"/>
          <w:kern w:val="0"/>
          <w:sz w:val="32"/>
          <w:szCs w:val="32"/>
          <w:lang w:val="en-US" w:eastAsia="zh-CN" w:bidi="ar"/>
        </w:rPr>
        <w:t>按照四川省补贴改革实施方案等有关要求，以绿色生态为导向，进一步完善耕地地力保护补贴政策，引导将“耕地地力保护补贴”与耕地地力保护挂钩，切实加强农业生态资源保护，自觉提高耕地地力；进一步增强农业补贴政策的精准性、指向性和实效性，充分发挥政策惠农增收效益，确保国家粮食安全。</w:t>
      </w:r>
    </w:p>
    <w:p w14:paraId="291CE3D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（二）实施目的及支持方向</w:t>
      </w:r>
    </w:p>
    <w:p w14:paraId="455116C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1.保持稳定，优化结构。在保持农业补贴政策的稳定性和连</w:t>
      </w:r>
    </w:p>
    <w:p w14:paraId="5F4C96E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续性的基础上，优化补贴结构,突出政策效能,调动农民保护耕地的积极性。</w:t>
      </w:r>
    </w:p>
    <w:p w14:paraId="2CC0B79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2.指导实施。政府负责补贴政策的落实统一补贴标准和耕</w:t>
      </w:r>
    </w:p>
    <w:p w14:paraId="5FF3718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地地力补贴面积，及时将耕地地力保护补贴资金发放到户。</w:t>
      </w:r>
    </w:p>
    <w:p w14:paraId="46C3655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3.严格监管提高绩效。依法依规开展改革工作,规范农业补贴政策实施,严格补贴资金监管确保改革工作顺利推进。农户满意度达90%以上。</w:t>
      </w:r>
    </w:p>
    <w:p w14:paraId="0AA406B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（三）预算安排及分配管理</w:t>
      </w:r>
    </w:p>
    <w:p w14:paraId="51D10B4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本项目1514.11万元资金投入主要用于农户的补贴。所有耕地补贴标准均为补贴资金总额除以可以享受补贴的耕地总面积。</w:t>
      </w:r>
    </w:p>
    <w:p w14:paraId="05D506F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（四）项目绩效目标设置</w:t>
      </w:r>
    </w:p>
    <w:p w14:paraId="4FAAE7D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经济效益:补贴计发依据为:2024年中央财政补贴资金/实际耕地补贴面积=补贴标准为XX元/亩。社会效益:让农户了解了国家对耕地保护、地力提升的重视，坚决禁止土地撂荒和“非粮化”提高了惠农政策的知晓率。</w:t>
      </w:r>
    </w:p>
    <w:p w14:paraId="066F242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二、评价实施</w:t>
      </w:r>
    </w:p>
    <w:p w14:paraId="4A8FB12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（一）评价目的</w:t>
      </w:r>
    </w:p>
    <w:p w14:paraId="7ED0C7E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近年来种粮的比较效益偏低，农民种粮积极性不高，粮食面积逐年减少。发放这个补贴的目的是保护农民种粮利益，提高农民种粮和保护耕地积极性,保障国家粮食安全,促进乡村振兴战略。</w:t>
      </w:r>
    </w:p>
    <w:p w14:paraId="0426978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（二）预设问题及评价重点</w:t>
      </w:r>
    </w:p>
    <w:p w14:paraId="3A7AB45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该项目重点突出，注重绩效。耕地地力保护补贴政策落实到</w:t>
      </w:r>
    </w:p>
    <w:p w14:paraId="7757F34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农户，鼓励农民采取秸秆还田、科学施肥用药、推进病虫害绿色防控和统防统治等综合措施，主动保护耕地地力，增强农业生态资源保护意识，为实现“藏粮于地”。同时确保了公开透明，公平公正。补贴发放全过程阳光操作，公开透明，确保补贴公平公正落实到位。</w:t>
      </w:r>
    </w:p>
    <w:p w14:paraId="58E00375">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（三）评价方法。</w:t>
      </w:r>
    </w:p>
    <w:p w14:paraId="7B66A070">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采用整体评价和样本评价。针对群众满意度，采取问卷调查法，调查种植农户161户，满意145户，满意度90%。</w:t>
      </w:r>
    </w:p>
    <w:p w14:paraId="6728B706">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（四）评价组织。</w:t>
      </w:r>
      <w:r>
        <w:rPr>
          <w:rFonts w:hint="default" w:ascii="仿宋" w:hAnsi="仿宋" w:eastAsia="仿宋" w:cs="仿宋"/>
          <w:b w:val="0"/>
          <w:bCs w:val="0"/>
          <w:snapToGrid/>
          <w:color w:val="000000"/>
          <w:kern w:val="0"/>
          <w:sz w:val="32"/>
          <w:szCs w:val="32"/>
          <w:lang w:val="en-US" w:eastAsia="zh-CN" w:bidi="ar"/>
        </w:rPr>
        <w:t>由项目所涉乡镇（街道）农业综合服务中心工作人员和区农业技术推广站工作人员组成评价组人员。乡镇（街道）农业综合服务中心工作人员对辖区内实施项目的农户及种粮大户按照3%开展问卷调查的方式对项目进行评价；区农业技术推广站工作人员结合实施项目农户及种粮大户按照2%的比例进行抽查开展问卷调查评价。</w:t>
      </w:r>
    </w:p>
    <w:p w14:paraId="0EE7978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三、绩效分析</w:t>
      </w:r>
      <w:r>
        <w:rPr>
          <w:rFonts w:hint="default" w:ascii="黑体" w:hAnsi="宋体" w:eastAsia="黑体" w:cs="黑体"/>
          <w:b w:val="0"/>
          <w:bCs w:val="0"/>
          <w:snapToGrid/>
          <w:color w:val="000000"/>
          <w:kern w:val="0"/>
          <w:sz w:val="32"/>
          <w:szCs w:val="32"/>
          <w:lang w:val="en-US" w:eastAsia="zh-CN" w:bidi="ar"/>
        </w:rPr>
        <w:tab/>
      </w:r>
    </w:p>
    <w:p w14:paraId="23A5F0CF">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（一）通用指标绩效分析</w:t>
      </w:r>
    </w:p>
    <w:p w14:paraId="1599B923">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预算执行：财政资金拨付率100%，单位资金使用率100%，地方资金到位率100%。本项得分6分。</w:t>
      </w:r>
    </w:p>
    <w:p w14:paraId="43DBC162">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资金使用：项目资金使用、拨付符合国家财经法规、财务管理制度及有关专项资金管理制度办法的规定和审批程序，不存在超范围、超标准、超进度使用专项资金，不存在资金损失浪费、长期沉淀、截留、挤占、挪用、虚列支出等情况，项目实施遵守相关法律法规。本项3分不扣分。</w:t>
      </w:r>
    </w:p>
    <w:p w14:paraId="5B9E17BF">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目标完成：全区实际补贴面积163974.44亩，补贴标准92.33元/亩，补贴金额15139776.73元。本项得6分。</w:t>
      </w:r>
    </w:p>
    <w:p w14:paraId="2034CD84">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完成时效：计划完成时间为2024年6月。实际完成时间2024年6月。本项得分3分。</w:t>
      </w:r>
    </w:p>
    <w:p w14:paraId="7287C794">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（二）专用指标绩效分析</w:t>
      </w:r>
    </w:p>
    <w:p w14:paraId="07CDBE99">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符合性：项目与省委、省政府支持重点、产业支持政策符合。本项得分10分。</w:t>
      </w:r>
    </w:p>
    <w:p w14:paraId="7968E153">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功能实现：项目经济社会功能实现，农户增收90元/亩。本项得分10分。</w:t>
      </w:r>
    </w:p>
    <w:p w14:paraId="7C1F3A65">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对象精准性：资金实际支持对象均符合管理要求，符合支持对象范围。本项得分10分。</w:t>
      </w:r>
    </w:p>
    <w:p w14:paraId="78F47668">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（三）个性指标绩效分析</w:t>
      </w:r>
    </w:p>
    <w:p w14:paraId="601E8EFC">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无</w:t>
      </w:r>
    </w:p>
    <w:p w14:paraId="70B09B4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四、评价结论</w:t>
      </w:r>
    </w:p>
    <w:p w14:paraId="0D1EF682">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自评得分100分。</w:t>
      </w:r>
    </w:p>
    <w:p w14:paraId="7F9181B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五、存在主要问题及改进建议</w:t>
      </w:r>
    </w:p>
    <w:p w14:paraId="1818D849">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无</w:t>
      </w:r>
    </w:p>
    <w:p w14:paraId="1874275E">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 </w:t>
      </w:r>
    </w:p>
    <w:p w14:paraId="50FCFB6C">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snapToGrid/>
          <w:color w:val="000000"/>
          <w:kern w:val="0"/>
          <w:sz w:val="44"/>
          <w:szCs w:val="44"/>
          <w:lang w:val="en-US" w:eastAsia="zh-CN" w:bidi="ar"/>
        </w:rPr>
        <w:br w:type="page"/>
      </w:r>
    </w:p>
    <w:p w14:paraId="331E0C69">
      <w:pPr>
        <w:keepNext w:val="0"/>
        <w:keepLines w:val="0"/>
        <w:widowControl w:val="0"/>
        <w:suppressLineNumbers w:val="0"/>
        <w:kinsoku w:val="0"/>
        <w:autoSpaceDE w:val="0"/>
        <w:autoSpaceDN/>
        <w:adjustRightInd w:val="0"/>
        <w:snapToGrid w:val="0"/>
        <w:spacing w:before="0" w:beforeAutospacing="0" w:after="0" w:afterAutospacing="0" w:line="540" w:lineRule="exact"/>
        <w:ind w:left="0" w:right="0"/>
        <w:jc w:val="center"/>
        <w:textAlignment w:val="baseline"/>
        <w:outlineLvl w:val="2"/>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b w:val="0"/>
          <w:bCs/>
          <w:snapToGrid/>
          <w:color w:val="000000"/>
          <w:kern w:val="0"/>
          <w:sz w:val="44"/>
          <w:szCs w:val="44"/>
          <w:lang w:val="en-US" w:eastAsia="zh-CN" w:bidi="ar"/>
        </w:rPr>
        <w:t>2024年油菜扩种项目预算绩效自评报告</w:t>
      </w:r>
    </w:p>
    <w:p w14:paraId="1E947EB5">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 </w:t>
      </w:r>
    </w:p>
    <w:p w14:paraId="7245632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一、项目概况</w:t>
      </w:r>
    </w:p>
    <w:p w14:paraId="1126A88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（一）设立背景及基本情况。</w:t>
      </w:r>
      <w:r>
        <w:rPr>
          <w:rFonts w:hint="default" w:ascii="仿宋" w:hAnsi="仿宋" w:eastAsia="仿宋" w:cs="仿宋"/>
          <w:b w:val="0"/>
          <w:bCs w:val="0"/>
          <w:snapToGrid/>
          <w:color w:val="000000"/>
          <w:kern w:val="0"/>
          <w:sz w:val="32"/>
          <w:szCs w:val="32"/>
          <w:lang w:val="en-US" w:eastAsia="zh-CN" w:bidi="ar"/>
        </w:rPr>
        <w:t>以推进农业供给侧结构性改革为主线，促进农民增收、提升供给质量、实现产业兴旺为目标，打造一批优质油菜生产示范基地，推动油菜产业高质量发展，促进我区种植业稳产高产、节本增效和提质增效。</w:t>
      </w:r>
    </w:p>
    <w:p w14:paraId="64A8ACE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（二）实施目的及支持方向</w:t>
      </w:r>
    </w:p>
    <w:p w14:paraId="070318E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以扩种的冬油菜为基础,提高油菜产量和效益为中心,以农民增收为目的,以万亩油菜高产创建示范区为重点，大力推广高产高效栽培技术,着力提高单产，实现我区油菜生产再发展、再突破。在利州区6个乡镇（街道）试点区域内开展扩种油菜试点任务1.2万亩，大力推广“双低”油菜种植，大力开发幼林果园套作油菜、油稻两熟轮作和玉-油轮作。巩固提升扩种油菜油菜籽平均单产力争达到140公斤，全区油菜产量达1万吨。</w:t>
      </w:r>
    </w:p>
    <w:p w14:paraId="1A5A087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（三）预算安排及分配管理</w:t>
      </w:r>
    </w:p>
    <w:p w14:paraId="7A5045A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本项目180万元资金投入，通过一卡通或对公账户发放。</w:t>
      </w:r>
    </w:p>
    <w:p w14:paraId="4996738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kern w:val="0"/>
          <w:sz w:val="32"/>
          <w:szCs w:val="32"/>
        </w:rPr>
      </w:pPr>
      <w:r>
        <w:rPr>
          <w:rFonts w:hint="default" w:ascii="楷体" w:hAnsi="楷体" w:eastAsia="楷体" w:cs="楷体"/>
          <w:b w:val="0"/>
          <w:bCs w:val="0"/>
          <w:snapToGrid/>
          <w:color w:val="000000"/>
          <w:kern w:val="0"/>
          <w:sz w:val="32"/>
          <w:szCs w:val="32"/>
          <w:lang w:val="en-US" w:eastAsia="zh-CN" w:bidi="ar"/>
        </w:rPr>
        <w:t>（四）项目绩效目标设置。</w:t>
      </w:r>
    </w:p>
    <w:p w14:paraId="6F7709B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经济效益：2024年扩种油菜的农户，家庭农场、农民专合社、农业企业等新型经营主体，亩补助150元。</w:t>
      </w:r>
    </w:p>
    <w:p w14:paraId="7FD002B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社会效益：让农户了解了惠民惠农政策，引导农户及各类新型经营主体积极参与。</w:t>
      </w:r>
    </w:p>
    <w:p w14:paraId="2BACA76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生态效益：建立绿色防控和专业化统防统治融合示范区，以绿色防控替代化学防控、以统防统治替代分户防治，推动化肥、农药施用量负增长。</w:t>
      </w:r>
    </w:p>
    <w:p w14:paraId="3A79F03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二、评价实施</w:t>
      </w:r>
    </w:p>
    <w:p w14:paraId="5FCB853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（一）评价目的</w:t>
      </w:r>
    </w:p>
    <w:p w14:paraId="1EE00E1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积极引导农业产业结构调整。鼓励以乡（镇）或行政村（社区）整建制推进，以产业带（环线）集中连片实施。支持种植大户、家庭农场、农民专业合作社等新型经营主体积极参与，发挥示范带动作用。强化农业科技创新，大力推广“双低”油菜品种，创新技术推广模式，构建研发、示范、推广相协调，普通农户、各类新型经营主体等积极参与的高效科技推广机制。</w:t>
      </w:r>
    </w:p>
    <w:p w14:paraId="0540EBA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（二）预设问题及评价重点</w:t>
      </w:r>
    </w:p>
    <w:p w14:paraId="6D96C98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积极引导农业产业结构调整，大力推进冬闲田（土）扩种油菜，把质量优先、效益提升、绿色生态作为试点工作的重要内容。强化农业科技创新，大力推广“双低”油菜品种，加强绿色“双减”高效技术模式集成示范，打造油菜绿色高质量发展示范典型，将我区建设为“天府菜油”优质道地原料基地之一。同时确保公开透明，公平公正，补助发放全过程阳光操作，公开透明，确保补助公平公正落实到位。</w:t>
      </w:r>
    </w:p>
    <w:p w14:paraId="523ABE9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（三）评价方法</w:t>
      </w:r>
    </w:p>
    <w:p w14:paraId="1C20C6C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采用整体评价和样本评价。针对群众满意度，采取问卷调查法，调查种植农户153户，满意139户，满意度91%。</w:t>
      </w:r>
    </w:p>
    <w:p w14:paraId="2664C2A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（四）评价组织</w:t>
      </w:r>
    </w:p>
    <w:p w14:paraId="21E70A9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由项目所涉乡镇（街道）农业综合服务中心工作人员和区农业技术推广站工作人员组成评价组人员。乡镇（街道）农业综合服务中心工作人员对辖区内实施项目的农户及种粮大户按照3%开展问卷调查的方式对项目进行评价；区农业技术推广站工作人员结所实施农户及种粮大户按照2%的比例进行抽查开展问卷调查评价。</w:t>
      </w:r>
    </w:p>
    <w:p w14:paraId="20711F3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三、绩效分析</w:t>
      </w:r>
      <w:r>
        <w:rPr>
          <w:rFonts w:hint="default" w:ascii="黑体" w:hAnsi="宋体" w:eastAsia="黑体" w:cs="黑体"/>
          <w:b w:val="0"/>
          <w:bCs w:val="0"/>
          <w:snapToGrid/>
          <w:color w:val="000000"/>
          <w:kern w:val="0"/>
          <w:sz w:val="32"/>
          <w:szCs w:val="32"/>
          <w:lang w:val="en-US" w:eastAsia="zh-CN" w:bidi="ar"/>
        </w:rPr>
        <w:tab/>
      </w:r>
    </w:p>
    <w:p w14:paraId="4E68211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（一）通用指标绩效分析</w:t>
      </w:r>
    </w:p>
    <w:p w14:paraId="6E67387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预算执行：财政资金拨付率100%，单位资金使用率100%，地方资金到位率100%。本项得分6分。</w:t>
      </w:r>
    </w:p>
    <w:p w14:paraId="4A16077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资金使用：项目资金使用、拨付符合国家财经法规、财务管理制度及有关专项资金管理制度办法的规定和审批程序，不存在超范围、超标准、超进度使用专项资金，不存在资金损失浪费、长期沉淀、截留、挤占、挪用、虚列支出等情况，项目实施遵守相关法律法规。本项3分不扣分。</w:t>
      </w:r>
    </w:p>
    <w:p w14:paraId="75DC237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目标完成：开展油菜绿色高质高效生产示范，示范面积1.2万亩，其中核心示范区2个，面积2000亩。</w:t>
      </w:r>
    </w:p>
    <w:p w14:paraId="00C6999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完成时效：计划完成时间为2024年6月。实际完成时间2024年6月。本项得分3分。</w:t>
      </w:r>
    </w:p>
    <w:p w14:paraId="4D2669E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（二）专用指标绩效分析</w:t>
      </w:r>
    </w:p>
    <w:p w14:paraId="1D01DFC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符合性：项目与省委、省政府支持重点、产业支持政策符合。本项得分10分。</w:t>
      </w:r>
    </w:p>
    <w:p w14:paraId="7B32973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功能实现：项目经济社会功能实现，农户增收200元/亩。本项得分10分。</w:t>
      </w:r>
    </w:p>
    <w:p w14:paraId="4FF6518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对象精准性：资金实际支持对象均符合管理要求，符合支持对象范围。本项得分10分。</w:t>
      </w:r>
    </w:p>
    <w:p w14:paraId="5EAAFD03">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（三）个性指标绩效分析</w:t>
      </w:r>
    </w:p>
    <w:p w14:paraId="15BA980D">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无</w:t>
      </w:r>
    </w:p>
    <w:p w14:paraId="4CDEC19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四、评价结论</w:t>
      </w:r>
    </w:p>
    <w:p w14:paraId="351EC5C6">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自评得分100分。</w:t>
      </w:r>
    </w:p>
    <w:p w14:paraId="50DABF5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五、存在主要问题及改进建议</w:t>
      </w:r>
    </w:p>
    <w:p w14:paraId="69410850">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无</w:t>
      </w:r>
    </w:p>
    <w:p w14:paraId="79A51787">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 </w:t>
      </w:r>
    </w:p>
    <w:p w14:paraId="566A1362">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snapToGrid/>
          <w:color w:val="000000"/>
          <w:kern w:val="0"/>
          <w:sz w:val="44"/>
          <w:szCs w:val="44"/>
          <w:lang w:val="en-US" w:eastAsia="zh-CN" w:bidi="ar"/>
        </w:rPr>
        <w:br w:type="page"/>
      </w:r>
    </w:p>
    <w:p w14:paraId="05443B8E">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b w:val="0"/>
          <w:bCs/>
          <w:snapToGrid/>
          <w:color w:val="000000"/>
          <w:kern w:val="0"/>
          <w:sz w:val="44"/>
          <w:szCs w:val="44"/>
          <w:lang w:val="en-US" w:eastAsia="zh-CN" w:bidi="ar"/>
        </w:rPr>
        <w:t>2024年利州区中央转移支付科学施肥增效</w:t>
      </w:r>
    </w:p>
    <w:p w14:paraId="1B546FFE">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b w:val="0"/>
          <w:bCs/>
          <w:snapToGrid/>
          <w:color w:val="000000"/>
          <w:kern w:val="0"/>
          <w:sz w:val="44"/>
          <w:szCs w:val="44"/>
          <w:lang w:val="en-US" w:eastAsia="zh-CN" w:bidi="ar"/>
        </w:rPr>
        <w:t>项目绩效自评报告</w:t>
      </w:r>
    </w:p>
    <w:p w14:paraId="4B65C30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 </w:t>
      </w:r>
    </w:p>
    <w:p w14:paraId="53B3216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一、项目概况</w:t>
      </w:r>
    </w:p>
    <w:p w14:paraId="0438C66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（一）设立背景及基本情况。</w:t>
      </w:r>
      <w:r>
        <w:rPr>
          <w:rFonts w:hint="default" w:ascii="仿宋" w:hAnsi="仿宋" w:eastAsia="仿宋" w:cs="仿宋"/>
          <w:b w:val="0"/>
          <w:bCs w:val="0"/>
          <w:snapToGrid/>
          <w:color w:val="000000"/>
          <w:kern w:val="0"/>
          <w:sz w:val="32"/>
          <w:szCs w:val="32"/>
          <w:lang w:val="en-US" w:eastAsia="zh-CN" w:bidi="ar"/>
        </w:rPr>
        <w:t>按照整体推进、重点示范的要求，在抓好基础工作的基础上，结合现代农业粮油园区建设，建设化肥减量增效“三新”技术推进区，以点带面实现区域化肥减量，推动全区化肥减量增效工作落实落地。开展田间肥效、肥料利用率等田间试验1个，完成农户施肥调查48户。集成推广化肥减量增效新产品、新技术、新机具（以下简称“三新”）15万亩。科学施肥促进降本增效，农户对化肥减量增效实施满意度≥90%,全区化肥使用量持续保持零增长。</w:t>
      </w:r>
    </w:p>
    <w:p w14:paraId="174E047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（二）实施目的及支持方向</w:t>
      </w:r>
    </w:p>
    <w:p w14:paraId="3E060B5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1.摸清耕地养分。分析整理历年测土配方施肥土壤养分数据，结合耕地质量监测、污染源普查、第三次土壤普查等土壤养分数据，应用大数据、人工智能等手段研判耕地养分现状和变化趋势，为制定区域肥料配方提供支撑。</w:t>
      </w:r>
    </w:p>
    <w:p w14:paraId="439796B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2.开展田间试验。按照“统筹规划、区域设点、综合试验”的要求，开展小麦田间肥效实验、肥料利用效率试验，为优化肥料配方、科学评估化肥减量增效情况提供基础支撑。</w:t>
      </w:r>
    </w:p>
    <w:p w14:paraId="38E75EF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3.开展农户施肥监测调查。一是农户施肥定点监测。选取有代表性的48户（包括普通农户和种粮大户）为监测对象开展主要农作物施肥情况监测，建立施肥台账;安排专人负责完善上报建点信息，汇总施肥台账，批量录入上报农户施肥情况。二是区域施肥情况面上调查。参考农户施肥定点监测数据，结合我区农作物种植情况和科学施肥工作情况，测算本区域主要农作物各肥料品种施用量。通过全国农户施肥信息监测系统按时上报农户施肥定点监测数据和区域施肥情况面上调查数据。</w:t>
      </w:r>
    </w:p>
    <w:p w14:paraId="4DD53ED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4.指导科学施肥。充分发挥“包片联乡”专家指导组技术支撑作用，在关键农时季节，组织专家和农技人员，深入田间地头指导落实科学施肥各项技术措施。为农民提供简便、快捷、有效、实用的技术服务，努力解决推广施肥“最后一公里”技术难题。</w:t>
      </w:r>
    </w:p>
    <w:p w14:paraId="4120E82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5.重点围绕现代农业园区，在大石镇、荣山镇、嘉陵街道等9个乡镇（街道）探索小麦、玉米作物专用肥套餐制配送、植物营养全程化管理，示范展示化肥减量增效“三新”技术。重点推广种肥同播（机械深施）+缓控释肥+无人机追肥模式，后期结合“一喷三防”，适量施用中微量元素肥料。</w:t>
      </w:r>
    </w:p>
    <w:p w14:paraId="3F0A224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（三）预算安排及分配管理</w:t>
      </w:r>
    </w:p>
    <w:p w14:paraId="0020C7D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1.田间试验示范，补助资金3万元。主要用于试验示范土地租赁，人工劳务，土样及植株抽样、送检、化验，修正完善肥料配方，测土配方施肥系统完善更新等方面。</w:t>
      </w:r>
    </w:p>
    <w:p w14:paraId="005B238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2.农户施肥调查，补助资金1.8万元。主要用于建立48个施肥调查监测点，包括施肥监测点台账建立、区域施肥调查、数据汇总分析、系统上报等方面。</w:t>
      </w:r>
    </w:p>
    <w:p w14:paraId="090164F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3.物化投入补助，补助资金52万元。对推广化肥减量增效技术中需要的新品种缓释肥料（氮磷钾含量≥40%）等产品给予适当补贴。对新品种缓释肥料实行差额补贴，每亩补贴26元,推广使用的新品种缓释肥料必须取得农业农村部肥料登记证。对应用化肥减量增效技术后，由实施主体申报、乡镇审核、区级核实后按补助标准据实报账。</w:t>
      </w:r>
    </w:p>
    <w:p w14:paraId="19676D4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4.社会化服务补助，补助资金20万元。对新型农业经营主体、社会化服务组织等开展作物无人机追肥服务给予适当补助。项目实施后，由服务主体申报、乡镇审核、区级核实后据实补助，每亩补助10元。</w:t>
      </w:r>
    </w:p>
    <w:p w14:paraId="304722F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5.“三新”技术推广3.2万元。主要用于测土配方施肥技术推广的技术培训、标牌制作和宣传资料制作、农户满意度调查等。</w:t>
      </w:r>
    </w:p>
    <w:p w14:paraId="2DBA513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（四）项目绩效目标设置。</w:t>
      </w:r>
    </w:p>
    <w:p w14:paraId="079E313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开展田间肥效、肥料利用率等田间试验1个，完成农户施肥调查48个。集成推广化肥减量增效新产品、新技术、新机具（以下简称“三新”）15万亩。科学施肥促进降本增效，农户对化肥减量增效实施满意度≥90%,全区化肥使用量持续保持零增长。</w:t>
      </w:r>
    </w:p>
    <w:p w14:paraId="0A1400C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二、评价实施</w:t>
      </w:r>
    </w:p>
    <w:p w14:paraId="23A6F45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（一）评价目的</w:t>
      </w:r>
    </w:p>
    <w:p w14:paraId="1F3EC24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化肥减量增效示范项目在技术、经济、社会和生态方面都具有较高的可行性。通过科学施肥、优化配方、使用新技术等方式，可以有效减少化肥使用量，提高化肥利用率和作物产量品质。同时，该项目还能带来显著的经济效益、社会效益和生态效益，为农业可持续发展和环境保护作出积极贡献。</w:t>
      </w:r>
    </w:p>
    <w:p w14:paraId="2BD5ADF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（二）预设问题及评价重点</w:t>
      </w:r>
    </w:p>
    <w:p w14:paraId="3245204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探索整村整乡推广施肥新技术、新产品、新机具，持续推进智能化信息化施肥指导服务，促进施肥精准化、智能化、绿色化、专业化，提高化肥利用率。同时严格执行资金计划，不得更改资金使用用途，套取、挤占、挪用项目资金，确保专款专用，及时在农业农村部转移支付管理平台中填报进展情况。</w:t>
      </w:r>
    </w:p>
    <w:p w14:paraId="78863B6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（三）评价方法</w:t>
      </w:r>
    </w:p>
    <w:p w14:paraId="3423447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采用整体评价和样本评价。针对群众满意度，采取问卷调查法，调查种植农户160户，满意145户，满意度90.5%。</w:t>
      </w:r>
    </w:p>
    <w:p w14:paraId="586EFB9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（四）评价组织</w:t>
      </w:r>
    </w:p>
    <w:p w14:paraId="371B520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由项目所涉乡镇（街道）农业综合服务中心工作人员和区农业技术推广站工作人员组成评价组人员。乡镇（街道）农业综合服务中心工作人员对辖区内实施项目的农户及种粮大户按照3%开展问卷调查的方式对项目进行评价；区农业技术推广站工作人员结所实施农户及种粮大户按照2%的比例进行抽查开展问卷调查评价。</w:t>
      </w:r>
    </w:p>
    <w:p w14:paraId="0655DE8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三、绩效分析</w:t>
      </w:r>
      <w:r>
        <w:rPr>
          <w:rFonts w:hint="default" w:ascii="黑体" w:hAnsi="宋体" w:eastAsia="黑体" w:cs="黑体"/>
          <w:b w:val="0"/>
          <w:bCs w:val="0"/>
          <w:snapToGrid/>
          <w:color w:val="000000"/>
          <w:kern w:val="0"/>
          <w:sz w:val="32"/>
          <w:szCs w:val="32"/>
          <w:lang w:val="en-US" w:eastAsia="zh-CN" w:bidi="ar"/>
        </w:rPr>
        <w:tab/>
      </w:r>
    </w:p>
    <w:p w14:paraId="37DC729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（一）通用指标绩效分析。</w:t>
      </w:r>
    </w:p>
    <w:p w14:paraId="71202C3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预算执行：财政资金拨付率100%，单位资金使用率100%，地方资金到位率100%。本项得分6分。</w:t>
      </w:r>
    </w:p>
    <w:p w14:paraId="256393C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资金使用：项目资金使用、拨付符合国家财经法规、财务管理制度及有关专项资金管理制度办法的规定和审批程序，不存在超范围、超标准、超进度使用专项资金，不存在资金损失浪费、长期沉淀、截留、挤占、挪用、虚列支出等情况，项目实施遵守相关法律法规。本项3分不扣分。</w:t>
      </w:r>
    </w:p>
    <w:p w14:paraId="2034CA4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目标完成：开展田间肥效、肥料利用率等田间试验1个，完成农户施肥调查48个。集成推广化肥减量增效新产品、新技术、新机具8万亩。本项得6分。</w:t>
      </w:r>
    </w:p>
    <w:p w14:paraId="6FA4E17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完成时效：计划完成时间为2025年5月。实际完成时间2025年5月。本项得分3分。</w:t>
      </w:r>
    </w:p>
    <w:p w14:paraId="42BD77F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（二）专用指标绩效分析。</w:t>
      </w:r>
    </w:p>
    <w:p w14:paraId="5A8CAA7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符合性：项目与省委、省政府支持重点、产业支持政策符合。本项得分10分。</w:t>
      </w:r>
    </w:p>
    <w:p w14:paraId="0656F0A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功能实现：项目经济社会功能实现，农户增收30元/亩。本项得分10分。</w:t>
      </w:r>
    </w:p>
    <w:p w14:paraId="2CA9B27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对象精准性：资金实际支持对象均符合管理要求，符合支持对象范围。本项得分10分。</w:t>
      </w:r>
    </w:p>
    <w:p w14:paraId="61E2307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（三）个性指标绩效分析。</w:t>
      </w:r>
    </w:p>
    <w:p w14:paraId="68D63FB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集成推广化肥减量增效“三新”面积：完成集成推广化肥减量增效“三新”面积8万亩。未完成原因为季节性原因。本项得分16分。</w:t>
      </w:r>
    </w:p>
    <w:p w14:paraId="0A71751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无扣分项。</w:t>
      </w:r>
    </w:p>
    <w:p w14:paraId="7A692CF0">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四、评价结论</w:t>
      </w:r>
    </w:p>
    <w:p w14:paraId="6AC05AD5">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自评得分100分。</w:t>
      </w:r>
    </w:p>
    <w:p w14:paraId="1767DB3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五、存在主要问题及改进建议</w:t>
      </w:r>
    </w:p>
    <w:p w14:paraId="032E299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无</w:t>
      </w:r>
    </w:p>
    <w:p w14:paraId="3F7AD183">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 </w:t>
      </w:r>
    </w:p>
    <w:p w14:paraId="751E051A">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方正小标宋简体" w:hAnsi="方正小标宋简体" w:eastAsia="方正小标宋简体" w:cs="方正小标宋简体"/>
          <w:color w:val="000000"/>
          <w:kern w:val="2"/>
          <w:sz w:val="44"/>
          <w:szCs w:val="44"/>
        </w:rPr>
      </w:pPr>
      <w:r>
        <w:rPr>
          <w:rFonts w:hint="eastAsia" w:ascii="方正小标宋简体" w:hAnsi="方正小标宋简体" w:eastAsia="方正小标宋简体" w:cs="方正小标宋简体"/>
          <w:snapToGrid/>
          <w:color w:val="000000"/>
          <w:kern w:val="0"/>
          <w:sz w:val="44"/>
          <w:szCs w:val="44"/>
          <w:lang w:val="en-US" w:eastAsia="zh-CN" w:bidi="ar"/>
        </w:rPr>
        <w:br w:type="page"/>
      </w:r>
    </w:p>
    <w:p w14:paraId="3F09A5CA">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b w:val="0"/>
          <w:bCs/>
          <w:snapToGrid/>
          <w:color w:val="000000"/>
          <w:kern w:val="0"/>
          <w:sz w:val="44"/>
          <w:szCs w:val="44"/>
          <w:lang w:val="en-US" w:eastAsia="zh-CN" w:bidi="ar"/>
        </w:rPr>
        <w:t>2024年粮食单产提升行动项目预算绩效</w:t>
      </w:r>
    </w:p>
    <w:p w14:paraId="187A369C">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b w:val="0"/>
          <w:bCs/>
          <w:snapToGrid/>
          <w:color w:val="000000"/>
          <w:kern w:val="0"/>
          <w:sz w:val="44"/>
          <w:szCs w:val="44"/>
          <w:lang w:val="en-US" w:eastAsia="zh-CN" w:bidi="ar"/>
        </w:rPr>
        <w:t>自评报告</w:t>
      </w:r>
    </w:p>
    <w:p w14:paraId="68C4A77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 </w:t>
      </w:r>
    </w:p>
    <w:p w14:paraId="69BE678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一、项目概况</w:t>
      </w:r>
    </w:p>
    <w:p w14:paraId="2E0A42C9">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（一）设立背景及基本情况</w:t>
      </w:r>
    </w:p>
    <w:p w14:paraId="24A1086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紧紧围绕打造新时代更高水平“天府粮仓”建设，以促进粮食增产和农民增收为目标，开展单产提升行动，聚焦关键作物，加强技术集成，挖掘单产潜力，打造高产攻关示范样板，带动大面积均衡增产和效益提升。</w:t>
      </w:r>
    </w:p>
    <w:p w14:paraId="640643D6">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（二）实施目的及支持方向</w:t>
      </w:r>
    </w:p>
    <w:p w14:paraId="5EE9EAE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1.项目资金管理。科学选择示范区域，广泛开展技术指导。各乡镇（街道）对进行小麦单产提升行动的村、农户及新型经营主体建立种植地块台账。严格进行测产验收。物化补助严格按照台账发放并报区农业农村局备案。</w:t>
      </w:r>
    </w:p>
    <w:p w14:paraId="326B8C47">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2.项目实施目的和主要工作任务。全区小麦单产提升示范区面积不低于10000亩，单产220公斤以上，较上年提高14%以上，带动全区小麦平均亩产较上年提高5%以上。其中，建设小麦千亩单产提升核心示范片6个，面积6000亩，单产较全区当年水平提高10%以上；建小麦新品种展示园1个（每个展示园展示小麦新品种20个），面积40亩。</w:t>
      </w:r>
    </w:p>
    <w:p w14:paraId="4957AB6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3.严格督查指导。区农业农村局将不定期派出工作组，按照“清单制+责任制+时限制”方式，在各个关键环节和主要生产季节，加大技术指导力度，将小麦单产提升工作纳入粮食安全和年度目标考核内容，确保工作落实和技术到位。</w:t>
      </w:r>
    </w:p>
    <w:p w14:paraId="4A8E1D95">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（三）预算安排及分配管理</w:t>
      </w:r>
    </w:p>
    <w:p w14:paraId="3B2C6A0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2024年粮食单产提升行动项目计划资金400万元，建小麦单产提升示范区1万亩。</w:t>
      </w:r>
    </w:p>
    <w:p w14:paraId="6F7D872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1.推广优良品种。推广优良小麦种子10000亩，每亩用种15公斤，共需用种150吨，预计使用资金135万元；补助有机无机复混肥300吨，每亩30公斤，预计使用资金93万元。采购按项目计划资金进行全额采购，如完成项目实施区供种后有节余的种子和肥料，用于粮食监测点。</w:t>
      </w:r>
    </w:p>
    <w:p w14:paraId="359948D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2.开展集中示范。补助核心区集中示范6000亩，小麦耕种收每亩补助210元，小麦病虫害统防统治每亩50元，预计使用资金156万元。</w:t>
      </w:r>
    </w:p>
    <w:p w14:paraId="560430FE">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3.进行品种展示。建小麦新品种展示园1个共40亩，开展生物农药、生物有机肥等化肥农药减量增效示范，预计使用资金6万元。</w:t>
      </w:r>
    </w:p>
    <w:p w14:paraId="1621517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4.组织技术培训。计划集中培训基层农技干部、村组干部、骨干农民、农户600人次，预计使用资金3万元（按每亩5元）。</w:t>
      </w:r>
    </w:p>
    <w:p w14:paraId="60F7A50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5.制作标识标牌。设立标识标牌2个，嘉陵街道、荣山镇各1个，单价1.25万元/个，预计使用资金2.5万元。</w:t>
      </w:r>
    </w:p>
    <w:p w14:paraId="64A86DCE">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6.邀请专家测产。专家技术指导用车、测产等费用4.5万元。</w:t>
      </w:r>
    </w:p>
    <w:p w14:paraId="783F2B35">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以上几项共计使用资金400万元。</w:t>
      </w:r>
    </w:p>
    <w:p w14:paraId="7849FC0D">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（四）项目绩效目标设置</w:t>
      </w:r>
    </w:p>
    <w:p w14:paraId="59013F31">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全区小麦单产提升核心示范片面积不低于10000亩，单产220公斤以上，较上年提高14%以上，带动全区小麦平均亩产较上年提高5%以上。</w:t>
      </w:r>
    </w:p>
    <w:p w14:paraId="0900985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二、评价实施</w:t>
      </w:r>
    </w:p>
    <w:p w14:paraId="26DDADB7">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（一）评价目的</w:t>
      </w:r>
    </w:p>
    <w:p w14:paraId="6CAC02D6">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政策导向：粮食单产提升行动是在国家粮食安全战略和农业高质量发展的政策背景下提出的，旨在通过提高粮食单产来保障国家粮食安全，促进农业可持续发展。</w:t>
      </w:r>
    </w:p>
    <w:p w14:paraId="2119A6A3">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市场需求：随着人口增长和消费升级，对粮食的需求不断增加。提高粮食单产可以满足市场需求，稳定粮食供应。</w:t>
      </w:r>
    </w:p>
    <w:p w14:paraId="7E8B0233">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资源约束：在耕地资源有限的情况下，提高粮食单产是缓解资源压力、保障粮食安全的有效途径。</w:t>
      </w:r>
    </w:p>
    <w:p w14:paraId="1D7D4E19">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（二）预设问题及评价重点</w:t>
      </w:r>
    </w:p>
    <w:p w14:paraId="2287221D">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实施小麦单产提升行动的农户、种植大户、家庭农场、农民专业合作社、村集体经济组织等进行物化（物化补助主要包括种子、肥料、“一喷多促”等农用物资）和现金补助。鼓励农民主动积极种粮，为实现“藏粮于地”的目标。同时确保了公开透明，公平公正。补贴发放全过程阳光操作，公开透明，确保补贴公平公正落实到位。</w:t>
      </w:r>
    </w:p>
    <w:p w14:paraId="38D4CDCD">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（三）评价方法</w:t>
      </w:r>
    </w:p>
    <w:p w14:paraId="5E979DD0">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采用整体评价和样本评价。针对群众满意度，采取问卷调查法，调查种植农户158户，满意136户，满意度86%。</w:t>
      </w:r>
    </w:p>
    <w:p w14:paraId="7FC5C79E">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（四）评价组织</w:t>
      </w:r>
    </w:p>
    <w:p w14:paraId="2FC66347">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由项目所涉乡镇（街道）农业综合服务中心工作人员和区农业技术推广站工作人员组成评价组人员。乡镇（街道）农业综合服务中心工作人员对辖区内实施项目的农户及种粮大户按照3%开展问卷调查的方式对项目进行评价；区农业技术推广站工作人员结合实施项目农户及种粮大户按照2%的比例进行抽查开展问卷调查评价。</w:t>
      </w:r>
    </w:p>
    <w:p w14:paraId="07FD21E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三、绩效分析</w:t>
      </w:r>
      <w:r>
        <w:rPr>
          <w:rFonts w:hint="default" w:ascii="黑体" w:hAnsi="宋体" w:eastAsia="黑体" w:cs="黑体"/>
          <w:b w:val="0"/>
          <w:bCs w:val="0"/>
          <w:snapToGrid/>
          <w:color w:val="000000"/>
          <w:kern w:val="0"/>
          <w:sz w:val="32"/>
          <w:szCs w:val="32"/>
          <w:lang w:val="en-US" w:eastAsia="zh-CN" w:bidi="ar"/>
        </w:rPr>
        <w:tab/>
      </w:r>
    </w:p>
    <w:p w14:paraId="21A7AAF8">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（一）通用指标绩效分析</w:t>
      </w:r>
    </w:p>
    <w:p w14:paraId="617E1B89">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预算执行：财政资金拨付率100%，单位资金使用率75%，地方资金到位率75%。计划完成时间为2025年6月。本项不扣分。</w:t>
      </w:r>
    </w:p>
    <w:p w14:paraId="19F593B7">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资金使用：项目资金使用、拨付符合国家财经法规、财务管理制度及有关专项资金管理制度办法的规定和审批程序，不存在超范围、超标准、超进度使用专项资金，不存在资金损失浪费、长期沉淀、截留、挤占、挪用、虚列支出等情况，项目实施遵守相关法律法规。本项3分不扣分。</w:t>
      </w:r>
    </w:p>
    <w:p w14:paraId="18C39D68">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目标完成：小麦单产提升示范区面积实际完成11000亩，建设小麦千亩单产提升核心示范片6个，建小麦新品种展示园1个，通过验收。季节性原因，小麦单产提升示范区单产测量正在开展，本项不扣分。</w:t>
      </w:r>
    </w:p>
    <w:p w14:paraId="30ACBB77">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完成时效：计划完成时间为2025年6月。本项不扣分。</w:t>
      </w:r>
    </w:p>
    <w:p w14:paraId="35C832DD">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（二）专用指标绩效分析</w:t>
      </w:r>
    </w:p>
    <w:p w14:paraId="506CA481">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符合性：项目与省委、省政府支持重点、产业支持政策符合。本项得分10分。</w:t>
      </w:r>
    </w:p>
    <w:p w14:paraId="475A568F">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功能实现：项目经济社会功能实现，农户增收300元/亩。本项得分10分。</w:t>
      </w:r>
    </w:p>
    <w:p w14:paraId="6D7F1A91">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对象精准性：资金实际支持对象均符合管理要求，符合支持对象范围。本项得分10分。</w:t>
      </w:r>
    </w:p>
    <w:p w14:paraId="6D9201A4">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（三）个性指标绩效分析</w:t>
      </w:r>
    </w:p>
    <w:p w14:paraId="530C0858">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小麦单产提升示范区面积：完成小麦单产提升示范区面积10000亩。本项得分16分。</w:t>
      </w:r>
    </w:p>
    <w:p w14:paraId="0532E37D">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无扣分项。</w:t>
      </w:r>
    </w:p>
    <w:p w14:paraId="53B18D8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四、评价结论</w:t>
      </w:r>
    </w:p>
    <w:p w14:paraId="2F54F989">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自评得分100分。</w:t>
      </w:r>
    </w:p>
    <w:p w14:paraId="2F83399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五、存在主要问题及改进建议</w:t>
      </w:r>
    </w:p>
    <w:p w14:paraId="35C56D66">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无</w:t>
      </w:r>
    </w:p>
    <w:p w14:paraId="4F94C857">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     </w:t>
      </w:r>
      <w:r>
        <w:rPr>
          <w:rFonts w:hint="default" w:ascii="仿宋" w:hAnsi="仿宋" w:eastAsia="仿宋" w:cs="仿宋"/>
          <w:b w:val="0"/>
          <w:bCs/>
          <w:snapToGrid/>
          <w:color w:val="000000"/>
          <w:kern w:val="0"/>
          <w:sz w:val="32"/>
          <w:szCs w:val="32"/>
          <w:lang w:val="en-US" w:eastAsia="zh-CN" w:bidi="ar"/>
        </w:rPr>
        <w:t xml:space="preserve"> </w:t>
      </w:r>
    </w:p>
    <w:p w14:paraId="4443FF9F">
      <w:pPr>
        <w:rPr>
          <w:rFonts w:hint="default" w:ascii="黑体" w:hAnsi="宋体" w:eastAsia="黑体" w:cs="黑体"/>
          <w:b w:val="0"/>
          <w:bCs/>
          <w:color w:val="000000"/>
          <w:kern w:val="0"/>
          <w:sz w:val="32"/>
          <w:szCs w:val="32"/>
        </w:rPr>
        <w:sectPr>
          <w:pgSz w:w="11906" w:h="16838"/>
          <w:pgMar w:top="2098" w:right="1474" w:bottom="1984" w:left="1587" w:header="851" w:footer="1474" w:gutter="0"/>
          <w:pgNumType w:fmt="numberInDash"/>
          <w:cols w:space="720" w:num="1"/>
          <w:rtlGutter w:val="1"/>
          <w:docGrid w:type="lines" w:linePitch="312" w:charSpace="0"/>
        </w:sectPr>
      </w:pPr>
    </w:p>
    <w:p w14:paraId="3CB89DD1">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snapToGrid/>
          <w:color w:val="000000"/>
          <w:kern w:val="0"/>
          <w:sz w:val="44"/>
          <w:szCs w:val="44"/>
          <w:lang w:val="en-US" w:eastAsia="zh-CN" w:bidi="ar"/>
        </w:rPr>
        <w:t xml:space="preserve"> </w:t>
      </w:r>
    </w:p>
    <w:p w14:paraId="537B6CED">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b w:val="0"/>
          <w:bCs/>
          <w:snapToGrid/>
          <w:color w:val="000000"/>
          <w:kern w:val="0"/>
          <w:sz w:val="44"/>
          <w:szCs w:val="44"/>
          <w:lang w:val="en-US" w:eastAsia="zh-CN" w:bidi="ar"/>
        </w:rPr>
        <w:t>2024年耕地轮作休耕扩种油菜试点工作预算绩效自评报告</w:t>
      </w:r>
    </w:p>
    <w:p w14:paraId="65F32791">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 </w:t>
      </w:r>
    </w:p>
    <w:p w14:paraId="00C7956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一、项目概况</w:t>
      </w:r>
    </w:p>
    <w:p w14:paraId="3369970F">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（一）设立背景及基本情况</w:t>
      </w:r>
    </w:p>
    <w:p w14:paraId="1463C15B">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深入贯彻落实习近平总书记来川来广视察重要指示要求和党的二十大精神、中央农村工作会议及中央一号文件精神，为确保谷物基本自给、口粮绝对安全提供有力支撑，完整准确全面贯彻新发展理念，持续油菜轮作，提升粮油生产能力，粮油生产高质量发展，推动粮油生产转型升级、提质增效，大力推广高油酸“双低”油菜，创新技术推广模式，构建高效科技推广机制，持续促进多熟种植制度科学发展和资源合理利用。</w:t>
      </w:r>
    </w:p>
    <w:p w14:paraId="6A842CCC">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（二）实施目的及支持方向</w:t>
      </w:r>
    </w:p>
    <w:p w14:paraId="13F8E0C5">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全区6个乡镇（街道）试点区域内实施，大力推广“双低”油菜种植，大力开发幼林果园套作油菜、油稻两熟轮作和玉-油等轮作，完成2024年全区耕地轮作休耕扩种油菜试点任务1万亩。在保持农业补贴政策的稳定性和连续性的基础上，优化补贴结构,突出政策效能,调动农民保护耕地的积极性。依法依规开展改革工作,规范农业补贴政策实施,严格补贴资金监管确保改革工作顺利推进。农户满意度达85%以上。</w:t>
      </w:r>
    </w:p>
    <w:p w14:paraId="414E2648">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（三）预算安排及分配管理</w:t>
      </w:r>
    </w:p>
    <w:p w14:paraId="1F69DD3B">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本项目150万元资金投入主要用于对种植户的补助。</w:t>
      </w:r>
    </w:p>
    <w:p w14:paraId="12E61E8D">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（四）项目绩效目标设置</w:t>
      </w:r>
    </w:p>
    <w:p w14:paraId="1E383E70">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经济效益：根据试点区域内实际种植面积进行补助，严格按耕地轮作休耕轮作油菜试点任务面积150元/亩补助标准，增加享受补助的生产者转移性收入。社会效益：提高全区种粮农户种植积极性，让农户了解国家对粮食生产、粮食安全的重视，坚决禁止土地撂荒和“非粮化”，提高惠农政策的知晓率。</w:t>
      </w:r>
    </w:p>
    <w:p w14:paraId="26CCFCB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二、评价实施</w:t>
      </w:r>
    </w:p>
    <w:p w14:paraId="30583A7A">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（一）评价目的</w:t>
      </w:r>
    </w:p>
    <w:p w14:paraId="64D83271">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油菜是我国的主要油料作物，扩种油菜试点工作的补助可以提高农民种粮收益，提高农民种粮积极性，保障国家粮食安全，促进乡村振兴战略的实施。扩种油菜试点工作的实施，可以探索在本地可复制、可推广、可应用的耕作模式、适用技术、优良品种，让该试点工作成为我区农民长久受益的惠民工程。</w:t>
      </w:r>
    </w:p>
    <w:p w14:paraId="5C516A3D">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（二）预设问题及评价重点</w:t>
      </w:r>
    </w:p>
    <w:p w14:paraId="00A4362C">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该项目重点突出，注重绩效。补贴政策落实到农户，鼓励农民主动积极种粮，为实现“藏粮于地”的目标。同时确保了公开透明，公平公正。补贴发放全过程阳光操作，公开透明，确保补贴公平公正落实到位。</w:t>
      </w:r>
    </w:p>
    <w:p w14:paraId="5AE04F9D">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（三）评价方法</w:t>
      </w:r>
    </w:p>
    <w:p w14:paraId="172C5923">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采用整体评价和样本评价。针对群众满意度，采取问卷调查法，调查种植农户150户，满意131户，满意度87%。</w:t>
      </w:r>
    </w:p>
    <w:p w14:paraId="35C4A0D4">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（四）评价组织</w:t>
      </w:r>
    </w:p>
    <w:p w14:paraId="4BB25B88">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由项目所涉乡镇（街道）农业综合服务中心工作人员和区农业技术推广站工作人员组成评价组人员。乡镇（街道）农业综合服务中心工作人员对辖区内实施项目的农户及种粮大户按照3%开展问卷调查的方式对项目进行评价；区农业技术推广站工作人员结所实施农户及种粮大户按照2%的比例进行抽查开展问卷调查评价。</w:t>
      </w:r>
    </w:p>
    <w:p w14:paraId="707A86F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三、绩效分析</w:t>
      </w:r>
      <w:r>
        <w:rPr>
          <w:rFonts w:hint="default" w:ascii="黑体" w:hAnsi="宋体" w:eastAsia="黑体" w:cs="黑体"/>
          <w:b w:val="0"/>
          <w:bCs w:val="0"/>
          <w:snapToGrid/>
          <w:color w:val="000000"/>
          <w:kern w:val="0"/>
          <w:sz w:val="32"/>
          <w:szCs w:val="32"/>
          <w:lang w:val="en-US" w:eastAsia="zh-CN" w:bidi="ar"/>
        </w:rPr>
        <w:tab/>
      </w:r>
    </w:p>
    <w:p w14:paraId="068119D0">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（一）通用指标绩效分析</w:t>
      </w:r>
    </w:p>
    <w:p w14:paraId="4250ED59">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预算执行：财政资金拨付率100%，单位资金使用率100%，地方资金到位率100%。本项得分6分。</w:t>
      </w:r>
    </w:p>
    <w:p w14:paraId="0BCDB68D">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资金使用：项目资金使用、拨付符合国家财经法规、财务管理制度及有关专项资金管理制度办法的规定和审批程序，不存在超范围、超标准、超进度使用专项资金，不存在资金损失浪费、长期沉淀、截留、挤占、挪用、虚列支出等情况，项目实施遵守相关法律法规。本项3分不扣分。</w:t>
      </w:r>
    </w:p>
    <w:p w14:paraId="005AF160">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目标完成：耕地轮作休耕扩种油菜试点任务1万亩。</w:t>
      </w:r>
    </w:p>
    <w:p w14:paraId="545CC4F2">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完成时效：计划完成时间为2025年8月。实际完成时间2025年8月。本项3分不扣分。</w:t>
      </w:r>
    </w:p>
    <w:p w14:paraId="0DDE219F">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（二）专用指标绩效分析符合性：</w:t>
      </w:r>
      <w:r>
        <w:rPr>
          <w:rFonts w:hint="default" w:ascii="仿宋" w:hAnsi="仿宋" w:eastAsia="仿宋" w:cs="仿宋"/>
          <w:b w:val="0"/>
          <w:bCs w:val="0"/>
          <w:snapToGrid/>
          <w:color w:val="000000"/>
          <w:kern w:val="0"/>
          <w:sz w:val="32"/>
          <w:szCs w:val="32"/>
          <w:lang w:val="en-US" w:eastAsia="zh-CN" w:bidi="ar"/>
        </w:rPr>
        <w:t>项目与省委、省政府支持重点、产业支持政策符合。本项得分10分。</w:t>
      </w:r>
    </w:p>
    <w:p w14:paraId="2745AA56">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功能实现：项目经济社会功能实现，农户增收150元/亩。本项得分10分。</w:t>
      </w:r>
    </w:p>
    <w:p w14:paraId="60F67275">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对象精准性：资金实际支持对象均符合管理要求，符合支持对象范围。本项得分10分。</w:t>
      </w:r>
    </w:p>
    <w:p w14:paraId="283F0D4B">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（三）个性指标绩效分析</w:t>
      </w:r>
    </w:p>
    <w:p w14:paraId="23741F40">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无</w:t>
      </w:r>
    </w:p>
    <w:p w14:paraId="3749A4B1">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四、评价结论</w:t>
      </w:r>
    </w:p>
    <w:p w14:paraId="7F242E90">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自评得分100分。</w:t>
      </w:r>
    </w:p>
    <w:p w14:paraId="3AFABA96">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五、存在主要问题及改进建议</w:t>
      </w:r>
    </w:p>
    <w:p w14:paraId="1661806D">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无</w:t>
      </w:r>
    </w:p>
    <w:p w14:paraId="0F7ECCC5">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 </w:t>
      </w:r>
    </w:p>
    <w:p w14:paraId="5FB25DA0">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snapToGrid/>
          <w:color w:val="000000"/>
          <w:kern w:val="0"/>
          <w:sz w:val="44"/>
          <w:szCs w:val="44"/>
          <w:lang w:val="en-US" w:eastAsia="zh-CN" w:bidi="ar"/>
        </w:rPr>
        <w:br w:type="page"/>
      </w:r>
    </w:p>
    <w:p w14:paraId="7313E20E">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outlineLvl w:val="2"/>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b w:val="0"/>
          <w:bCs/>
          <w:snapToGrid/>
          <w:color w:val="000000"/>
          <w:kern w:val="0"/>
          <w:sz w:val="44"/>
          <w:szCs w:val="44"/>
          <w:lang w:val="en-US" w:eastAsia="zh-CN" w:bidi="ar"/>
        </w:rPr>
        <w:t>2024年商品粮大市奖励资金预算绩效</w:t>
      </w:r>
    </w:p>
    <w:p w14:paraId="45590684">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b w:val="0"/>
          <w:bCs/>
          <w:snapToGrid/>
          <w:color w:val="000000"/>
          <w:kern w:val="0"/>
          <w:sz w:val="44"/>
          <w:szCs w:val="44"/>
          <w:lang w:val="en-US" w:eastAsia="zh-CN" w:bidi="ar"/>
        </w:rPr>
        <w:t>自评报告</w:t>
      </w:r>
    </w:p>
    <w:p w14:paraId="5C02C6AE">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 </w:t>
      </w:r>
    </w:p>
    <w:p w14:paraId="41F29F39">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一、项目概况</w:t>
      </w:r>
    </w:p>
    <w:p w14:paraId="6F63532B">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（一）设立背景及基本情况</w:t>
      </w:r>
    </w:p>
    <w:p w14:paraId="42325604">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贯彻落实中央农村工作会议精神，稳定我区粮食发展，推进“天府粮仓·百县千片”建设，开展千亩高产、百亩超高产、规模经营主体高产提升创建，示范推广粮油新品种、化肥农药减量控害绿色高质高效生产技术，组建科研攻关团队开展技术攻关、培训等工作，着力提升粮油单产。</w:t>
      </w:r>
    </w:p>
    <w:p w14:paraId="388531CD">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（二）实施目的及支持方向</w:t>
      </w:r>
    </w:p>
    <w:p w14:paraId="077A5CA3">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以粮食监测点10个为核心示范点开展粮油高产示范片，辐射带动周边小麦、水稻、玉米绿色高质高效发展；创建油菜百亩超高产示范片1个，建立粮油新品种展示区3个（油菜、水稻、玉米各1个），开展水稻化肥利用率试验3个；建立农药化肥使用量监测点48个，组建1个科研攻关团队开展技术攻关、培训等工作，项目区粮食单产比全区平均水平提高5%。</w:t>
      </w:r>
    </w:p>
    <w:p w14:paraId="67E9EEAD">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（三）预算安排及分配管理</w:t>
      </w:r>
    </w:p>
    <w:p w14:paraId="12D46272">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本项目计划投入156.93万元资金主要用于粮食监测点的粮食高产创建；建立百亩超高产示范区、用于优良品种、绿色防控、配方施肥、有机肥及应用先进实用技术等关键环节的补贴及农药、化肥使用量的监测；组建科研攻关团队开展技术攻关、培训等工作；测产验收、资料归档、工作考评等。</w:t>
      </w:r>
    </w:p>
    <w:p w14:paraId="3271C843">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1.建立粮油高产示范片10个，面积1044亩，每亩按1150元补贴（小春：耕地200元/亩；种子125元/亩；肥料250元/亩；大春：耕地200元/亩；种子125元/亩；肥料250元/亩），共计120.06万元。</w:t>
      </w:r>
    </w:p>
    <w:p w14:paraId="7CE1672F">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2.建立油菜超高产示范片1个，面积100亩，每亩850元（耕地：200元/亩；种子：50元/亩；油菜专用肥：300元/亩；病虫害防治：70元/亩；水溶肥：30元/亩；人工：200元/亩），共计8.5万元。</w:t>
      </w:r>
    </w:p>
    <w:p w14:paraId="78F7E1C6">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3.建立农药、化肥使用量的监测点48个，每个监测点300元，共计1.44万元。</w:t>
      </w:r>
    </w:p>
    <w:p w14:paraId="44CA9B19">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4.建立粮油新品种展示片3个，水稻肥料利用率试验3个。选择不同区域不同海拔土壤肥力高、水源有保障、交通方便的区域地块各1个，每个不少于2亩。水稻、玉米、油菜各1个；水稻肥料利用率试验3个；共12万元。（包含租地、肥料、耕、种、防、收、检测、人工所有环节，最终据实结算，总费用不超过12万元；此项采用比选的方式购买服务）</w:t>
      </w:r>
    </w:p>
    <w:p w14:paraId="17322EB7">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5.组建科研攻关团队开展技术攻关、培训等工作经费10万元。</w:t>
      </w:r>
    </w:p>
    <w:p w14:paraId="0309C321">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6.标识标牌、测产、专家验收费、项目资料打印费等4.93万元。</w:t>
      </w:r>
    </w:p>
    <w:p w14:paraId="7BAE80F2">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（四）项目绩效目标设置</w:t>
      </w:r>
    </w:p>
    <w:p w14:paraId="5820AD21">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创建油菜百亩超高产示范片1个，建立粮油新品种展示区3个（油菜、水稻、玉米各1个），开展水稻化肥利用率试验3个；建立农药化肥使用量监测点48个，组建1个科研攻关团队开展技术攻关、培训等工作，项目区粮食单产比全区平均水平提高5%。</w:t>
      </w:r>
    </w:p>
    <w:p w14:paraId="0635926C">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二、评价实施</w:t>
      </w:r>
    </w:p>
    <w:p w14:paraId="05836806">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（一）评价目的</w:t>
      </w:r>
    </w:p>
    <w:p w14:paraId="449DCC72">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通过该项目实施，推广配方肥、有机肥，缓释肥、减少化肥用量；采取生物防治与化学防治相结合方式开展统防统治，减轻病虫危害。按照优质、高效、市场畅销的要求，选择产量高、抗病性好、商品品质好、抗逆性强的优质品种及高效模式；推广水稻轻简化栽培技术，主要机防、机收等整套机械化生产技术确保粮食单产比面上大面积增产10%以上。</w:t>
      </w:r>
    </w:p>
    <w:p w14:paraId="3B071169">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（二）预设问题及评价重点</w:t>
      </w:r>
    </w:p>
    <w:p w14:paraId="7F57E797">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该项目重点突出，注重绩效。组织措施得力，资金拨付到位，通过以点带面，进一步推动了全区高产创建的深入开展，科学及时防治，有效提高农户的种植技术和单产产量。经济效益、生态效益及社会效益良好，验收合格。</w:t>
      </w:r>
    </w:p>
    <w:p w14:paraId="2AB5F6D4">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（三）评价方法</w:t>
      </w:r>
    </w:p>
    <w:p w14:paraId="3B56D603">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采用整体评价和样本评价。</w:t>
      </w:r>
    </w:p>
    <w:p w14:paraId="5C5A146E">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（四）评价组织</w:t>
      </w:r>
    </w:p>
    <w:p w14:paraId="6FE97170">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由项目所涉乡镇（街道）农业综合服务中心工作人员和区农业技术推广站工作人员组成评价组人员。</w:t>
      </w:r>
    </w:p>
    <w:p w14:paraId="3C52B954">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三、绩效分析</w:t>
      </w:r>
      <w:r>
        <w:rPr>
          <w:rFonts w:hint="default" w:ascii="黑体" w:hAnsi="宋体" w:eastAsia="黑体" w:cs="黑体"/>
          <w:b w:val="0"/>
          <w:bCs w:val="0"/>
          <w:snapToGrid/>
          <w:color w:val="000000"/>
          <w:kern w:val="0"/>
          <w:sz w:val="32"/>
          <w:szCs w:val="32"/>
          <w:lang w:val="en-US" w:eastAsia="zh-CN" w:bidi="ar"/>
        </w:rPr>
        <w:tab/>
      </w:r>
    </w:p>
    <w:p w14:paraId="39844E69">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（一）通用指标绩效分析</w:t>
      </w:r>
    </w:p>
    <w:p w14:paraId="25F42D18">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预算执行：财政资金拨付率100%，单位资金使用率100%，地方资金到位率100%。本项不扣分。</w:t>
      </w:r>
    </w:p>
    <w:p w14:paraId="7F55AA17">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资金使用：项目资金使用、拨付符合国家财经法规、财务管理制度及有关专项资金管理制度办法的规定和审批程序，不存在超范围、超标准、超进度使用专项资金，不存在资金损失浪费、长期沉淀、截留、挤占、挪用、虚列支出等情况，项目实施遵守相关法律法规。本项不扣分。</w:t>
      </w:r>
    </w:p>
    <w:p w14:paraId="114F2AE1">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目标完成：以粮食监测点10个为核心示范点开展粮油高产示范片，辐射带动周边小麦、水稻、玉米绿色高质高效发展；创建油菜百亩超高产示范片1个，建立粮油新品种展示区3个（油菜、水稻、玉米各1个），开展水稻化肥利用率试验3个；建立农药化肥使用量监测点48个，组建1个科研攻关团队开展技术攻关、培训等工作，项目区粮食单产比全区平均水平提高5%。本项不扣分。</w:t>
      </w:r>
    </w:p>
    <w:p w14:paraId="58DD4293">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（二）专用指标绩效分析</w:t>
      </w:r>
    </w:p>
    <w:p w14:paraId="0B74659F">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符合性：项目与省委、省政府支持重点、产业支持政策符合。本项不扣分。</w:t>
      </w:r>
    </w:p>
    <w:p w14:paraId="108F95A0">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功能实现：实现预期。本项不扣分。</w:t>
      </w:r>
    </w:p>
    <w:p w14:paraId="15176D55">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对象精准性：资金实际支持对象均符合管理要求，符合支持对象范围。本项不扣分。</w:t>
      </w:r>
    </w:p>
    <w:p w14:paraId="3E43E7B4">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（三）个性指标绩效分析</w:t>
      </w:r>
    </w:p>
    <w:p w14:paraId="769A278D">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无</w:t>
      </w:r>
    </w:p>
    <w:p w14:paraId="526B0FBB">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四、评价结论</w:t>
      </w:r>
    </w:p>
    <w:p w14:paraId="02B7FCB0">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自评得分98分。</w:t>
      </w:r>
    </w:p>
    <w:p w14:paraId="29FC419A">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五、存在主要问题及改进建议</w:t>
      </w:r>
    </w:p>
    <w:p w14:paraId="32385B44">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无</w:t>
      </w:r>
    </w:p>
    <w:p w14:paraId="656D467B">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 </w:t>
      </w:r>
    </w:p>
    <w:p w14:paraId="430214FC">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snapToGrid/>
          <w:color w:val="000000"/>
          <w:kern w:val="0"/>
          <w:sz w:val="44"/>
          <w:szCs w:val="44"/>
          <w:lang w:val="en-US" w:eastAsia="zh-CN" w:bidi="ar"/>
        </w:rPr>
        <w:br w:type="page"/>
      </w:r>
    </w:p>
    <w:p w14:paraId="48B646AF">
      <w:pPr>
        <w:keepNext w:val="0"/>
        <w:keepLines w:val="0"/>
        <w:widowControl w:val="0"/>
        <w:suppressLineNumbers w:val="0"/>
        <w:kinsoku w:val="0"/>
        <w:autoSpaceDE w:val="0"/>
        <w:autoSpaceDN/>
        <w:adjustRightInd w:val="0"/>
        <w:snapToGrid w:val="0"/>
        <w:spacing w:before="0" w:beforeAutospacing="0" w:after="0" w:afterAutospacing="0" w:line="600" w:lineRule="exact"/>
        <w:ind w:left="0" w:right="0"/>
        <w:jc w:val="both"/>
        <w:textAlignment w:val="baseline"/>
        <w:outlineLvl w:val="2"/>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b w:val="0"/>
          <w:bCs/>
          <w:snapToGrid/>
          <w:color w:val="000000"/>
          <w:kern w:val="0"/>
          <w:sz w:val="44"/>
          <w:szCs w:val="44"/>
          <w:lang w:val="en-US" w:eastAsia="zh-CN" w:bidi="ar"/>
        </w:rPr>
        <w:t>2024年中央财政粮油生产保障专项资金(小麦“一喷三防”任务）项目预算绩效自评报告</w:t>
      </w:r>
    </w:p>
    <w:p w14:paraId="1803E0FF">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 </w:t>
      </w:r>
    </w:p>
    <w:p w14:paraId="146EB01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一、项目概况</w:t>
      </w:r>
    </w:p>
    <w:p w14:paraId="0D7C9733">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（一）设立背景及基本情况</w:t>
      </w:r>
    </w:p>
    <w:p w14:paraId="6A13554C">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贯彻落实中央农业农村工作会议精神，以科学发展观为指导，深入贯彻落实“预防为主、综合防治”的植保方针和“公共植保、绿色植保”的植保理念，依照“提质扩面，整村推进，规范管理，加快发展”的原则，按照“典型引路，示范带动，循序渐进，务求实效”的发展思路，以减少用药、提高防效、降低成本、保护环境、保障丰收为目标，以集约项目、整合资源、优化技术、创新服务、规范管理为抓手，大力发展农作物病虫害专业化统防统治服务组织，促进我区农作物病虫害专业化统防统治又好又快发展。</w:t>
      </w:r>
    </w:p>
    <w:p w14:paraId="385EB278">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（二）实施目的及支持方向</w:t>
      </w:r>
    </w:p>
    <w:p w14:paraId="36B2253B">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实现2024年小麦 “统防统治”补助全覆盖，防控面积7.4万亩次，通过实施小麦一喷三防，确保我区小麦达到防病虫、提单产的工作目标，夺取2024年夏粮丰收。</w:t>
      </w:r>
    </w:p>
    <w:p w14:paraId="1A98AF8B">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（三）预算安排及分配管理</w:t>
      </w:r>
    </w:p>
    <w:p w14:paraId="7C00F9E9">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本项目投入37万元资金。</w:t>
      </w:r>
    </w:p>
    <w:p w14:paraId="238BA5CB">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（四）项目绩效目标设置</w:t>
      </w:r>
    </w:p>
    <w:p w14:paraId="6E20D1F0">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通过该项目实施，着力提高专业化防治组织的管理水平和机防手的业务水平，树立“公共植保、绿色植保”新理念，普及农作物病虫害专业化防治相关知识，新技术推广培训。</w:t>
      </w:r>
    </w:p>
    <w:p w14:paraId="36CAE5D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二、评价实施</w:t>
      </w:r>
    </w:p>
    <w:p w14:paraId="7AED0AC6">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（一）评价目的</w:t>
      </w:r>
    </w:p>
    <w:p w14:paraId="1925A735">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通过该项目实施，提高农药利用率,减少不合理农药使用,降低农民用农药成本,为稳粮保供、绿色发展、乡村振兴提供有力支撑。</w:t>
      </w:r>
    </w:p>
    <w:p w14:paraId="1765384B">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（二）预设问题及评价重点</w:t>
      </w:r>
    </w:p>
    <w:p w14:paraId="533C941F">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该项目重点突出，注重绩效。统防统治示范区比农民自防区平均每亩减少1—2次用药，农药使用量减少10%～20%，农药包装废弃物无害化处理率100%。水稻病虫危害总损失率控制在5%以内;防治效果平均提高10%以上;平均每亩减损增产10%以上，每亩节本增效200元以上。</w:t>
      </w:r>
    </w:p>
    <w:p w14:paraId="00589FF5">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（三）评价方法</w:t>
      </w:r>
    </w:p>
    <w:p w14:paraId="248D922D">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采用整体评价和样本评价。针对群众满意度，采取问卷调查法，调查种植农户150户，满意131户，满意度87%。</w:t>
      </w:r>
    </w:p>
    <w:p w14:paraId="30397595">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（四）评价组织</w:t>
      </w:r>
    </w:p>
    <w:p w14:paraId="06F9370E">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由项目所涉乡镇（街道）农业综合服务中心工作人员和区农业技术推广站工作人员组成评价组人员。乡镇（街道）农业综合服务中心工作人员对辖区内实施项目的农户及种粮大户按照3%开展问卷调查的方式对项目进行评价；区农业技术推广站工作人员结合实施项目农户及种粮大户按照2%的比例进行抽查开展问卷调查评价。</w:t>
      </w:r>
    </w:p>
    <w:p w14:paraId="2CA2F7BD">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三、绩效分析</w:t>
      </w:r>
      <w:r>
        <w:rPr>
          <w:rFonts w:hint="default" w:ascii="黑体" w:hAnsi="宋体" w:eastAsia="黑体" w:cs="黑体"/>
          <w:b w:val="0"/>
          <w:bCs w:val="0"/>
          <w:snapToGrid/>
          <w:color w:val="000000"/>
          <w:kern w:val="0"/>
          <w:sz w:val="32"/>
          <w:szCs w:val="32"/>
          <w:lang w:val="en-US" w:eastAsia="zh-CN" w:bidi="ar"/>
        </w:rPr>
        <w:tab/>
      </w:r>
    </w:p>
    <w:p w14:paraId="4E4E5181">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（一）通用指标绩效分析。</w:t>
      </w:r>
    </w:p>
    <w:p w14:paraId="75A519F3">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预算执行：财政资金拨付率100%，单位资金使用率100%，地方资金到位率100%。本项得分6分。</w:t>
      </w:r>
    </w:p>
    <w:p w14:paraId="7A6D0579">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资金使用：项目资金使用、拨付符合国家财经法规、财务管理制度及有关专项资金管理制度办法的规定和审批程序，不存在超范围、超标准、超进度使用专项资金，不存在资金损失浪费、长期沉淀、截留、挤占、挪用、虚列支出等情况，项目实施遵守相关法律法规。本项3分不扣分。</w:t>
      </w:r>
    </w:p>
    <w:p w14:paraId="15AC2A33">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目标完成：实现2024年小麦 “统防统治”补助全覆盖，防控面积7.4万亩次，通过实施小麦一喷三防，确保我区小麦达到防病虫、提单产的工作目标，夺取2024年夏粮丰收。本项得6分。</w:t>
      </w:r>
    </w:p>
    <w:p w14:paraId="058E82BB">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完成时效：计划完成时间为2024年6月。实际完成时间2024年6月。本项得分3分。</w:t>
      </w:r>
    </w:p>
    <w:p w14:paraId="07F30FDA">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（二）专用指标绩效分析。</w:t>
      </w:r>
    </w:p>
    <w:p w14:paraId="77F5AAD2">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符合性：项目与省委、省政府支持重点、产业支持政策符合。本项得分10分。</w:t>
      </w:r>
    </w:p>
    <w:p w14:paraId="03B24571">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功能实现：项目经济社会功能实现，农户增收200元/亩。本项得分10分。</w:t>
      </w:r>
    </w:p>
    <w:p w14:paraId="1C22A6FC">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对象精准性：资金实际支持对象均符合管理要求，符合支持对象范围。本项得分10分。</w:t>
      </w:r>
    </w:p>
    <w:p w14:paraId="54690781">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楷体" w:hAnsi="楷体" w:eastAsia="楷体" w:cs="楷体"/>
          <w:b w:val="0"/>
          <w:bCs w:val="0"/>
          <w:color w:val="000000"/>
          <w:kern w:val="0"/>
          <w:sz w:val="32"/>
          <w:szCs w:val="32"/>
        </w:rPr>
      </w:pPr>
      <w:r>
        <w:rPr>
          <w:rFonts w:hint="default" w:ascii="楷体" w:hAnsi="楷体" w:eastAsia="楷体" w:cs="楷体"/>
          <w:b w:val="0"/>
          <w:bCs w:val="0"/>
          <w:snapToGrid/>
          <w:color w:val="000000"/>
          <w:kern w:val="0"/>
          <w:sz w:val="32"/>
          <w:szCs w:val="32"/>
          <w:lang w:val="en-US" w:eastAsia="zh-CN" w:bidi="ar"/>
        </w:rPr>
        <w:t>（三）个性指标绩效分析</w:t>
      </w:r>
    </w:p>
    <w:p w14:paraId="7F65A84E">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无</w:t>
      </w:r>
    </w:p>
    <w:p w14:paraId="1D2A67C2">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四、评价结论</w:t>
      </w:r>
    </w:p>
    <w:p w14:paraId="3226CD0C">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自评得分100分。</w:t>
      </w:r>
    </w:p>
    <w:p w14:paraId="63BB7848">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黑体" w:hAnsi="宋体" w:eastAsia="黑体" w:cs="黑体"/>
          <w:b w:val="0"/>
          <w:bCs w:val="0"/>
          <w:color w:val="000000"/>
          <w:kern w:val="0"/>
          <w:sz w:val="32"/>
          <w:szCs w:val="32"/>
        </w:rPr>
      </w:pPr>
      <w:r>
        <w:rPr>
          <w:rFonts w:hint="default" w:ascii="黑体" w:hAnsi="宋体" w:eastAsia="黑体" w:cs="黑体"/>
          <w:b w:val="0"/>
          <w:bCs w:val="0"/>
          <w:snapToGrid/>
          <w:color w:val="000000"/>
          <w:kern w:val="0"/>
          <w:sz w:val="32"/>
          <w:szCs w:val="32"/>
          <w:lang w:val="en-US" w:eastAsia="zh-CN" w:bidi="ar"/>
        </w:rPr>
        <w:t>五、存在主要问题及改进建议</w:t>
      </w:r>
    </w:p>
    <w:p w14:paraId="0BE77834">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无</w:t>
      </w:r>
    </w:p>
    <w:p w14:paraId="69DD9E83">
      <w:pPr>
        <w:keepNext w:val="0"/>
        <w:keepLines w:val="0"/>
        <w:widowControl/>
        <w:suppressLineNumbers w:val="0"/>
        <w:kinsoku w:val="0"/>
        <w:autoSpaceDE w:val="0"/>
        <w:autoSpaceDN/>
        <w:adjustRightInd w:val="0"/>
        <w:snapToGrid w:val="0"/>
        <w:spacing w:before="0" w:beforeAutospacing="0" w:after="0" w:afterAutospacing="0" w:line="576" w:lineRule="exact"/>
        <w:ind w:left="0" w:right="0" w:firstLine="640" w:firstLineChars="200"/>
        <w:contextualSpacing/>
        <w:jc w:val="both"/>
        <w:textAlignment w:val="baseline"/>
        <w:rPr>
          <w:rFonts w:hint="default" w:ascii="仿宋" w:hAnsi="仿宋" w:eastAsia="仿宋" w:cs="仿宋"/>
          <w:b w:val="0"/>
          <w:bCs w:val="0"/>
          <w:color w:val="000000"/>
          <w:kern w:val="0"/>
          <w:sz w:val="32"/>
          <w:szCs w:val="32"/>
        </w:rPr>
      </w:pPr>
      <w:r>
        <w:rPr>
          <w:rFonts w:hint="default" w:ascii="仿宋" w:hAnsi="仿宋" w:eastAsia="仿宋" w:cs="仿宋"/>
          <w:b w:val="0"/>
          <w:bCs w:val="0"/>
          <w:snapToGrid/>
          <w:color w:val="000000"/>
          <w:kern w:val="0"/>
          <w:sz w:val="32"/>
          <w:szCs w:val="32"/>
          <w:lang w:val="en-US" w:eastAsia="zh-CN" w:bidi="ar"/>
        </w:rPr>
        <w:t xml:space="preserve"> </w:t>
      </w:r>
    </w:p>
    <w:p w14:paraId="72A39F58">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snapToGrid/>
          <w:color w:val="000000"/>
          <w:kern w:val="0"/>
          <w:sz w:val="44"/>
          <w:szCs w:val="44"/>
          <w:lang w:val="en-US" w:eastAsia="zh-CN" w:bidi="ar"/>
        </w:rPr>
        <w:br w:type="page"/>
      </w:r>
    </w:p>
    <w:p w14:paraId="7E249447">
      <w:pPr>
        <w:pStyle w:val="24"/>
        <w:keepNext w:val="0"/>
        <w:keepLines w:val="0"/>
        <w:widowControl w:val="0"/>
        <w:suppressLineNumbers w:val="0"/>
        <w:suppressAutoHyphens/>
        <w:kinsoku w:val="0"/>
        <w:autoSpaceDE w:val="0"/>
        <w:autoSpaceDN/>
        <w:adjustRightInd w:val="0"/>
        <w:snapToGrid w:val="0"/>
        <w:spacing w:before="0" w:beforeAutospacing="0" w:after="0" w:afterAutospacing="0" w:line="600" w:lineRule="exact"/>
        <w:ind w:left="0" w:right="0" w:firstLine="0"/>
        <w:jc w:val="center"/>
        <w:textAlignment w:val="baseline"/>
        <w:outlineLvl w:val="2"/>
        <w:rPr>
          <w:rFonts w:hint="eastAsia" w:ascii="方正小标宋简体" w:hAnsi="方正小标宋简体" w:eastAsia="方正小标宋简体" w:cs="方正小标宋简体"/>
          <w:kern w:val="0"/>
          <w:sz w:val="44"/>
          <w:szCs w:val="44"/>
          <w:vertAlign w:val="baseline"/>
        </w:rPr>
      </w:pPr>
      <w:r>
        <w:rPr>
          <w:rFonts w:hint="eastAsia" w:ascii="方正小标宋简体" w:hAnsi="方正小标宋简体" w:eastAsia="方正小标宋简体" w:cs="方正小标宋简体"/>
          <w:snapToGrid/>
          <w:color w:val="000000"/>
          <w:kern w:val="0"/>
          <w:sz w:val="44"/>
          <w:szCs w:val="44"/>
          <w:vertAlign w:val="baseline"/>
          <w:lang w:val="en-US" w:eastAsia="zh-CN" w:bidi="ar"/>
        </w:rPr>
        <w:t>2024年度衔接推进乡村振兴补助资金绩效</w:t>
      </w:r>
    </w:p>
    <w:p w14:paraId="37F6D7FD">
      <w:pPr>
        <w:pStyle w:val="24"/>
        <w:keepNext w:val="0"/>
        <w:keepLines w:val="0"/>
        <w:widowControl w:val="0"/>
        <w:suppressLineNumbers w:val="0"/>
        <w:suppressAutoHyphens/>
        <w:kinsoku w:val="0"/>
        <w:autoSpaceDE w:val="0"/>
        <w:autoSpaceDN/>
        <w:adjustRightInd w:val="0"/>
        <w:snapToGrid w:val="0"/>
        <w:spacing w:before="0" w:beforeAutospacing="0" w:after="0" w:afterAutospacing="0" w:line="600" w:lineRule="exact"/>
        <w:ind w:left="0" w:right="0" w:firstLine="0"/>
        <w:jc w:val="center"/>
        <w:textAlignment w:val="baseline"/>
        <w:rPr>
          <w:rFonts w:hint="eastAsia" w:ascii="方正小标宋简体" w:hAnsi="方正小标宋简体" w:eastAsia="方正小标宋简体" w:cs="方正小标宋简体"/>
          <w:kern w:val="0"/>
          <w:sz w:val="44"/>
          <w:szCs w:val="44"/>
          <w:vertAlign w:val="baseline"/>
        </w:rPr>
      </w:pPr>
      <w:r>
        <w:rPr>
          <w:rFonts w:hint="eastAsia" w:ascii="方正小标宋简体" w:hAnsi="方正小标宋简体" w:eastAsia="方正小标宋简体" w:cs="方正小标宋简体"/>
          <w:snapToGrid/>
          <w:color w:val="000000"/>
          <w:kern w:val="0"/>
          <w:sz w:val="44"/>
          <w:szCs w:val="44"/>
          <w:vertAlign w:val="baseline"/>
          <w:lang w:val="en-US" w:eastAsia="zh-CN" w:bidi="ar"/>
        </w:rPr>
        <w:t>自评工作的说明</w:t>
      </w:r>
    </w:p>
    <w:p w14:paraId="4E886B4C">
      <w:pPr>
        <w:pStyle w:val="24"/>
        <w:keepNext w:val="0"/>
        <w:keepLines w:val="0"/>
        <w:widowControl w:val="0"/>
        <w:suppressLineNumbers w:val="0"/>
        <w:suppressAutoHyphens/>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vertAlign w:val="baseline"/>
        </w:rPr>
      </w:pPr>
      <w:r>
        <w:rPr>
          <w:rFonts w:hint="default" w:ascii="仿宋" w:hAnsi="仿宋" w:eastAsia="仿宋" w:cs="仿宋"/>
          <w:b w:val="0"/>
          <w:bCs w:val="0"/>
          <w:snapToGrid/>
          <w:color w:val="000000"/>
          <w:kern w:val="0"/>
          <w:sz w:val="32"/>
          <w:szCs w:val="32"/>
          <w:vertAlign w:val="baseline"/>
          <w:lang w:val="en-US" w:eastAsia="zh-CN" w:bidi="ar"/>
        </w:rPr>
        <w:t xml:space="preserve"> </w:t>
      </w:r>
    </w:p>
    <w:p w14:paraId="5F675F21">
      <w:pPr>
        <w:pStyle w:val="24"/>
        <w:keepNext w:val="0"/>
        <w:keepLines w:val="0"/>
        <w:widowControl w:val="0"/>
        <w:suppressLineNumbers w:val="0"/>
        <w:suppressAutoHyphens/>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vertAlign w:val="baseline"/>
        </w:rPr>
      </w:pPr>
      <w:r>
        <w:rPr>
          <w:rFonts w:hint="default" w:ascii="仿宋" w:hAnsi="仿宋" w:eastAsia="仿宋" w:cs="仿宋"/>
          <w:b w:val="0"/>
          <w:bCs w:val="0"/>
          <w:snapToGrid/>
          <w:color w:val="000000"/>
          <w:kern w:val="0"/>
          <w:sz w:val="32"/>
          <w:szCs w:val="32"/>
          <w:vertAlign w:val="baseline"/>
          <w:lang w:val="en-US" w:eastAsia="zh-CN" w:bidi="ar"/>
        </w:rPr>
        <w:t>按照省农业农村厅、省财政厅《关于做好2024年度衔接推进乡村振兴补助资金绩效评价考核准备工作的通知》（川农函〔2024〕564号）要求，已经开展了衔接推进乡村振兴补助资金绩效评价工作，相关文件及表册详见附件。</w:t>
      </w:r>
    </w:p>
    <w:p w14:paraId="2E3E6E1F">
      <w:pPr>
        <w:keepNext w:val="0"/>
        <w:keepLines w:val="0"/>
        <w:widowControl w:val="0"/>
        <w:suppressLineNumbers w:val="0"/>
        <w:kinsoku w:val="0"/>
        <w:autoSpaceDE w:val="0"/>
        <w:autoSpaceDN/>
        <w:adjustRightInd w:val="0"/>
        <w:snapToGrid w:val="0"/>
        <w:spacing w:before="0" w:beforeAutospacing="0" w:after="0" w:afterAutospacing="0" w:line="576" w:lineRule="exact"/>
        <w:ind w:left="0" w:right="0" w:firstLine="640" w:firstLineChars="200"/>
        <w:jc w:val="both"/>
        <w:textAlignment w:val="baseline"/>
        <w:rPr>
          <w:rFonts w:hint="default" w:ascii="仿宋" w:hAnsi="仿宋" w:eastAsia="仿宋" w:cs="仿宋"/>
          <w:b w:val="0"/>
          <w:bCs w:val="0"/>
          <w:color w:val="000000"/>
          <w:kern w:val="0"/>
          <w:sz w:val="32"/>
          <w:szCs w:val="32"/>
          <w:vertAlign w:val="baseline"/>
        </w:rPr>
      </w:pPr>
      <w:r>
        <w:rPr>
          <w:rFonts w:hint="default" w:ascii="仿宋" w:hAnsi="仿宋" w:eastAsia="仿宋" w:cs="仿宋"/>
          <w:b w:val="0"/>
          <w:bCs w:val="0"/>
          <w:snapToGrid/>
          <w:color w:val="000000"/>
          <w:kern w:val="0"/>
          <w:sz w:val="32"/>
          <w:szCs w:val="32"/>
          <w:vertAlign w:val="baseline"/>
          <w:lang w:val="en-US" w:eastAsia="zh-CN" w:bidi="ar"/>
        </w:rPr>
        <w:br w:type="page"/>
      </w:r>
    </w:p>
    <w:p w14:paraId="739633D3">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drawing>
          <wp:inline distT="0" distB="0" distL="114300" distR="114300">
            <wp:extent cx="6619875" cy="9363075"/>
            <wp:effectExtent l="0" t="0" r="9525" b="9525"/>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56"/>
                    <pic:cNvPicPr>
                      <a:picLocks noChangeAspect="1"/>
                    </pic:cNvPicPr>
                  </pic:nvPicPr>
                  <pic:blipFill>
                    <a:blip r:embed="rId18"/>
                    <a:stretch>
                      <a:fillRect/>
                    </a:stretch>
                  </pic:blipFill>
                  <pic:spPr>
                    <a:xfrm>
                      <a:off x="0" y="0"/>
                      <a:ext cx="6619875" cy="9363075"/>
                    </a:xfrm>
                    <a:prstGeom prst="rect">
                      <a:avLst/>
                    </a:prstGeom>
                    <a:noFill/>
                    <a:ln w="9525">
                      <a:noFill/>
                    </a:ln>
                  </pic:spPr>
                </pic:pic>
              </a:graphicData>
            </a:graphic>
          </wp:inline>
        </w:drawing>
      </w:r>
      <w:r>
        <w:rPr>
          <w:rFonts w:hint="default" w:ascii="Arial" w:hAnsi="Arial" w:eastAsia="宋体" w:cs="Arial"/>
          <w:snapToGrid/>
          <w:color w:val="000000"/>
          <w:kern w:val="0"/>
          <w:sz w:val="21"/>
          <w:szCs w:val="21"/>
          <w:lang w:val="en-US" w:eastAsia="zh-CN" w:bidi="ar"/>
        </w:rPr>
        <w:br w:type="page"/>
      </w:r>
    </w:p>
    <w:p w14:paraId="45633D8C">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drawing>
          <wp:inline distT="0" distB="0" distL="114300" distR="114300">
            <wp:extent cx="6619875" cy="9363075"/>
            <wp:effectExtent l="0" t="0" r="9525" b="9525"/>
            <wp:docPr id="2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7"/>
                    <pic:cNvPicPr>
                      <a:picLocks noChangeAspect="1"/>
                    </pic:cNvPicPr>
                  </pic:nvPicPr>
                  <pic:blipFill>
                    <a:blip r:embed="rId19"/>
                    <a:stretch>
                      <a:fillRect/>
                    </a:stretch>
                  </pic:blipFill>
                  <pic:spPr>
                    <a:xfrm>
                      <a:off x="0" y="0"/>
                      <a:ext cx="6619875" cy="9363075"/>
                    </a:xfrm>
                    <a:prstGeom prst="rect">
                      <a:avLst/>
                    </a:prstGeom>
                    <a:noFill/>
                    <a:ln w="9525">
                      <a:noFill/>
                    </a:ln>
                  </pic:spPr>
                </pic:pic>
              </a:graphicData>
            </a:graphic>
          </wp:inline>
        </w:drawing>
      </w:r>
      <w:r>
        <w:rPr>
          <w:rFonts w:hint="default" w:ascii="Arial" w:hAnsi="Arial" w:eastAsia="宋体" w:cs="Arial"/>
          <w:snapToGrid/>
          <w:color w:val="000000"/>
          <w:kern w:val="0"/>
          <w:sz w:val="21"/>
          <w:szCs w:val="21"/>
          <w:lang w:val="en-US" w:eastAsia="zh-CN" w:bidi="ar"/>
        </w:rPr>
        <w:br w:type="page"/>
      </w:r>
    </w:p>
    <w:p w14:paraId="5199A306">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drawing>
          <wp:inline distT="0" distB="0" distL="114300" distR="114300">
            <wp:extent cx="6619875" cy="9363075"/>
            <wp:effectExtent l="0" t="0" r="9525" b="9525"/>
            <wp:docPr id="2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IMG_258"/>
                    <pic:cNvPicPr>
                      <a:picLocks noChangeAspect="1"/>
                    </pic:cNvPicPr>
                  </pic:nvPicPr>
                  <pic:blipFill>
                    <a:blip r:embed="rId20"/>
                    <a:stretch>
                      <a:fillRect/>
                    </a:stretch>
                  </pic:blipFill>
                  <pic:spPr>
                    <a:xfrm>
                      <a:off x="0" y="0"/>
                      <a:ext cx="6619875" cy="9363075"/>
                    </a:xfrm>
                    <a:prstGeom prst="rect">
                      <a:avLst/>
                    </a:prstGeom>
                    <a:noFill/>
                    <a:ln w="9525">
                      <a:noFill/>
                    </a:ln>
                  </pic:spPr>
                </pic:pic>
              </a:graphicData>
            </a:graphic>
          </wp:inline>
        </w:drawing>
      </w:r>
      <w:r>
        <w:rPr>
          <w:rFonts w:hint="default" w:ascii="Arial" w:hAnsi="Arial" w:eastAsia="宋体" w:cs="Arial"/>
          <w:snapToGrid/>
          <w:color w:val="000000"/>
          <w:kern w:val="0"/>
          <w:sz w:val="21"/>
          <w:szCs w:val="21"/>
          <w:lang w:val="en-US" w:eastAsia="zh-CN" w:bidi="ar"/>
        </w:rPr>
        <w:br w:type="page"/>
      </w:r>
    </w:p>
    <w:p w14:paraId="42B081DB">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drawing>
          <wp:inline distT="0" distB="0" distL="114300" distR="114300">
            <wp:extent cx="6619875" cy="9363075"/>
            <wp:effectExtent l="0" t="0" r="9525" b="9525"/>
            <wp:docPr id="1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9"/>
                    <pic:cNvPicPr>
                      <a:picLocks noChangeAspect="1"/>
                    </pic:cNvPicPr>
                  </pic:nvPicPr>
                  <pic:blipFill>
                    <a:blip r:embed="rId21"/>
                    <a:stretch>
                      <a:fillRect/>
                    </a:stretch>
                  </pic:blipFill>
                  <pic:spPr>
                    <a:xfrm>
                      <a:off x="0" y="0"/>
                      <a:ext cx="6619875" cy="9363075"/>
                    </a:xfrm>
                    <a:prstGeom prst="rect">
                      <a:avLst/>
                    </a:prstGeom>
                    <a:noFill/>
                    <a:ln w="9525">
                      <a:noFill/>
                    </a:ln>
                  </pic:spPr>
                </pic:pic>
              </a:graphicData>
            </a:graphic>
          </wp:inline>
        </w:drawing>
      </w:r>
      <w:r>
        <w:rPr>
          <w:rFonts w:hint="default" w:ascii="Arial" w:hAnsi="Arial" w:eastAsia="宋体" w:cs="Arial"/>
          <w:snapToGrid/>
          <w:color w:val="000000"/>
          <w:kern w:val="0"/>
          <w:sz w:val="21"/>
          <w:szCs w:val="21"/>
          <w:lang w:val="en-US" w:eastAsia="zh-CN" w:bidi="ar"/>
        </w:rPr>
        <w:br w:type="page"/>
      </w:r>
    </w:p>
    <w:p w14:paraId="64D80A82">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drawing>
          <wp:inline distT="0" distB="0" distL="114300" distR="114300">
            <wp:extent cx="6619875" cy="9363075"/>
            <wp:effectExtent l="0" t="0" r="9525" b="9525"/>
            <wp:docPr id="2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IMG_260"/>
                    <pic:cNvPicPr>
                      <a:picLocks noChangeAspect="1"/>
                    </pic:cNvPicPr>
                  </pic:nvPicPr>
                  <pic:blipFill>
                    <a:blip r:embed="rId22"/>
                    <a:stretch>
                      <a:fillRect/>
                    </a:stretch>
                  </pic:blipFill>
                  <pic:spPr>
                    <a:xfrm>
                      <a:off x="0" y="0"/>
                      <a:ext cx="6619875" cy="9363075"/>
                    </a:xfrm>
                    <a:prstGeom prst="rect">
                      <a:avLst/>
                    </a:prstGeom>
                    <a:noFill/>
                    <a:ln w="9525">
                      <a:noFill/>
                    </a:ln>
                  </pic:spPr>
                </pic:pic>
              </a:graphicData>
            </a:graphic>
          </wp:inline>
        </w:drawing>
      </w:r>
      <w:r>
        <w:rPr>
          <w:rFonts w:hint="default" w:ascii="Arial" w:hAnsi="Arial" w:eastAsia="宋体" w:cs="Arial"/>
          <w:snapToGrid/>
          <w:color w:val="000000"/>
          <w:kern w:val="0"/>
          <w:sz w:val="21"/>
          <w:szCs w:val="21"/>
          <w:lang w:val="en-US" w:eastAsia="zh-CN" w:bidi="ar"/>
        </w:rPr>
        <w:br w:type="page"/>
      </w:r>
      <w:r>
        <w:rPr>
          <w:rFonts w:hint="default" w:ascii="Arial" w:hAnsi="Arial" w:eastAsia="宋体" w:cs="Arial"/>
          <w:snapToGrid/>
          <w:color w:val="000000"/>
          <w:kern w:val="0"/>
          <w:sz w:val="21"/>
          <w:szCs w:val="21"/>
          <w:lang w:val="en-US" w:eastAsia="zh-CN" w:bidi="ar"/>
        </w:rPr>
        <w:drawing>
          <wp:inline distT="0" distB="0" distL="114300" distR="114300">
            <wp:extent cx="6619875" cy="9363075"/>
            <wp:effectExtent l="0" t="0" r="9525" b="9525"/>
            <wp:docPr id="1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61"/>
                    <pic:cNvPicPr>
                      <a:picLocks noChangeAspect="1"/>
                    </pic:cNvPicPr>
                  </pic:nvPicPr>
                  <pic:blipFill>
                    <a:blip r:embed="rId23"/>
                    <a:stretch>
                      <a:fillRect/>
                    </a:stretch>
                  </pic:blipFill>
                  <pic:spPr>
                    <a:xfrm>
                      <a:off x="0" y="0"/>
                      <a:ext cx="6619875" cy="9363075"/>
                    </a:xfrm>
                    <a:prstGeom prst="rect">
                      <a:avLst/>
                    </a:prstGeom>
                    <a:noFill/>
                    <a:ln w="9525">
                      <a:noFill/>
                    </a:ln>
                  </pic:spPr>
                </pic:pic>
              </a:graphicData>
            </a:graphic>
          </wp:inline>
        </w:drawing>
      </w:r>
      <w:r>
        <w:rPr>
          <w:rFonts w:hint="default" w:ascii="Arial" w:hAnsi="Arial" w:eastAsia="宋体" w:cs="Arial"/>
          <w:snapToGrid/>
          <w:color w:val="000000"/>
          <w:kern w:val="0"/>
          <w:sz w:val="21"/>
          <w:szCs w:val="21"/>
          <w:lang w:val="en-US" w:eastAsia="zh-CN" w:bidi="ar"/>
        </w:rPr>
        <w:br w:type="page"/>
      </w:r>
    </w:p>
    <w:p w14:paraId="0A809B2C">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drawing>
          <wp:inline distT="0" distB="0" distL="114300" distR="114300">
            <wp:extent cx="6619875" cy="9363075"/>
            <wp:effectExtent l="0" t="0" r="9525" b="9525"/>
            <wp:docPr id="1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62"/>
                    <pic:cNvPicPr>
                      <a:picLocks noChangeAspect="1"/>
                    </pic:cNvPicPr>
                  </pic:nvPicPr>
                  <pic:blipFill>
                    <a:blip r:embed="rId24"/>
                    <a:stretch>
                      <a:fillRect/>
                    </a:stretch>
                  </pic:blipFill>
                  <pic:spPr>
                    <a:xfrm>
                      <a:off x="0" y="0"/>
                      <a:ext cx="6619875" cy="9363075"/>
                    </a:xfrm>
                    <a:prstGeom prst="rect">
                      <a:avLst/>
                    </a:prstGeom>
                    <a:noFill/>
                    <a:ln w="9525">
                      <a:noFill/>
                    </a:ln>
                  </pic:spPr>
                </pic:pic>
              </a:graphicData>
            </a:graphic>
          </wp:inline>
        </w:drawing>
      </w:r>
      <w:r>
        <w:rPr>
          <w:rFonts w:hint="default" w:ascii="Arial" w:hAnsi="Arial" w:eastAsia="宋体" w:cs="Arial"/>
          <w:snapToGrid/>
          <w:color w:val="000000"/>
          <w:kern w:val="0"/>
          <w:sz w:val="21"/>
          <w:szCs w:val="21"/>
          <w:lang w:val="en-US" w:eastAsia="zh-CN" w:bidi="ar"/>
        </w:rPr>
        <w:br w:type="page"/>
      </w:r>
    </w:p>
    <w:p w14:paraId="0A5C9709">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drawing>
          <wp:inline distT="0" distB="0" distL="114300" distR="114300">
            <wp:extent cx="6619875" cy="9363075"/>
            <wp:effectExtent l="0" t="0" r="9525" b="9525"/>
            <wp:docPr id="1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IMG_263"/>
                    <pic:cNvPicPr>
                      <a:picLocks noChangeAspect="1"/>
                    </pic:cNvPicPr>
                  </pic:nvPicPr>
                  <pic:blipFill>
                    <a:blip r:embed="rId25"/>
                    <a:stretch>
                      <a:fillRect/>
                    </a:stretch>
                  </pic:blipFill>
                  <pic:spPr>
                    <a:xfrm>
                      <a:off x="0" y="0"/>
                      <a:ext cx="6619875" cy="9363075"/>
                    </a:xfrm>
                    <a:prstGeom prst="rect">
                      <a:avLst/>
                    </a:prstGeom>
                    <a:noFill/>
                    <a:ln w="9525">
                      <a:noFill/>
                    </a:ln>
                  </pic:spPr>
                </pic:pic>
              </a:graphicData>
            </a:graphic>
          </wp:inline>
        </w:drawing>
      </w:r>
      <w:r>
        <w:rPr>
          <w:rFonts w:hint="default" w:ascii="Arial" w:hAnsi="Arial" w:eastAsia="宋体" w:cs="Arial"/>
          <w:snapToGrid/>
          <w:color w:val="000000"/>
          <w:kern w:val="0"/>
          <w:sz w:val="21"/>
          <w:szCs w:val="21"/>
          <w:lang w:val="en-US" w:eastAsia="zh-CN" w:bidi="ar"/>
        </w:rPr>
        <w:br w:type="page"/>
      </w:r>
      <w:r>
        <w:rPr>
          <w:rFonts w:hint="default" w:ascii="Arial" w:hAnsi="Arial" w:eastAsia="宋体" w:cs="Arial"/>
          <w:snapToGrid/>
          <w:color w:val="000000"/>
          <w:kern w:val="0"/>
          <w:sz w:val="21"/>
          <w:szCs w:val="21"/>
          <w:lang w:val="en-US" w:eastAsia="zh-CN" w:bidi="ar"/>
        </w:rPr>
        <w:drawing>
          <wp:inline distT="0" distB="0" distL="114300" distR="114300">
            <wp:extent cx="6619875" cy="9363075"/>
            <wp:effectExtent l="0" t="0" r="9525" b="9525"/>
            <wp:docPr id="2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IMG_264"/>
                    <pic:cNvPicPr>
                      <a:picLocks noChangeAspect="1"/>
                    </pic:cNvPicPr>
                  </pic:nvPicPr>
                  <pic:blipFill>
                    <a:blip r:embed="rId26"/>
                    <a:stretch>
                      <a:fillRect/>
                    </a:stretch>
                  </pic:blipFill>
                  <pic:spPr>
                    <a:xfrm>
                      <a:off x="0" y="0"/>
                      <a:ext cx="6619875" cy="9363075"/>
                    </a:xfrm>
                    <a:prstGeom prst="rect">
                      <a:avLst/>
                    </a:prstGeom>
                    <a:noFill/>
                    <a:ln w="9525">
                      <a:noFill/>
                    </a:ln>
                  </pic:spPr>
                </pic:pic>
              </a:graphicData>
            </a:graphic>
          </wp:inline>
        </w:drawing>
      </w:r>
      <w:r>
        <w:rPr>
          <w:rFonts w:hint="default" w:ascii="Arial" w:hAnsi="Arial" w:eastAsia="宋体" w:cs="Arial"/>
          <w:snapToGrid/>
          <w:color w:val="000000"/>
          <w:kern w:val="0"/>
          <w:sz w:val="21"/>
          <w:szCs w:val="21"/>
          <w:lang w:val="en-US" w:eastAsia="zh-CN" w:bidi="ar"/>
        </w:rPr>
        <w:br w:type="page"/>
      </w:r>
    </w:p>
    <w:p w14:paraId="111D6AE5">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drawing>
          <wp:inline distT="0" distB="0" distL="114300" distR="114300">
            <wp:extent cx="6619875" cy="9363075"/>
            <wp:effectExtent l="0" t="0" r="9525" b="9525"/>
            <wp:docPr id="1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265"/>
                    <pic:cNvPicPr>
                      <a:picLocks noChangeAspect="1"/>
                    </pic:cNvPicPr>
                  </pic:nvPicPr>
                  <pic:blipFill>
                    <a:blip r:embed="rId27"/>
                    <a:stretch>
                      <a:fillRect/>
                    </a:stretch>
                  </pic:blipFill>
                  <pic:spPr>
                    <a:xfrm>
                      <a:off x="0" y="0"/>
                      <a:ext cx="6619875" cy="9363075"/>
                    </a:xfrm>
                    <a:prstGeom prst="rect">
                      <a:avLst/>
                    </a:prstGeom>
                    <a:noFill/>
                    <a:ln w="9525">
                      <a:noFill/>
                    </a:ln>
                  </pic:spPr>
                </pic:pic>
              </a:graphicData>
            </a:graphic>
          </wp:inline>
        </w:drawing>
      </w:r>
      <w:r>
        <w:rPr>
          <w:rFonts w:hint="default" w:ascii="Arial" w:hAnsi="Arial" w:eastAsia="宋体" w:cs="Arial"/>
          <w:snapToGrid/>
          <w:color w:val="000000"/>
          <w:kern w:val="0"/>
          <w:sz w:val="21"/>
          <w:szCs w:val="21"/>
          <w:lang w:val="en-US" w:eastAsia="zh-CN" w:bidi="ar"/>
        </w:rPr>
        <w:br w:type="page"/>
      </w:r>
    </w:p>
    <w:p w14:paraId="36E3C08C">
      <w:pPr>
        <w:rPr>
          <w:rFonts w:hint="default" w:ascii="Arial" w:hAnsi="Arial" w:cs="Arial"/>
          <w:color w:val="000000"/>
          <w:kern w:val="0"/>
          <w:sz w:val="21"/>
          <w:szCs w:val="21"/>
        </w:rPr>
        <w:sectPr>
          <w:pgSz w:w="11906" w:h="16838"/>
          <w:pgMar w:top="2098" w:right="1474" w:bottom="1984" w:left="1587" w:header="851" w:footer="1474" w:gutter="0"/>
          <w:pgNumType w:fmt="numberInDash"/>
          <w:cols w:space="720" w:num="1"/>
          <w:rtlGutter w:val="1"/>
          <w:docGrid w:type="lines" w:linePitch="312" w:charSpace="0"/>
        </w:sectPr>
      </w:pPr>
    </w:p>
    <w:p w14:paraId="7E473A03">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drawing>
          <wp:inline distT="0" distB="0" distL="114300" distR="114300">
            <wp:extent cx="10277475" cy="7267575"/>
            <wp:effectExtent l="0" t="0" r="9525" b="9525"/>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28"/>
                    <a:stretch>
                      <a:fillRect/>
                    </a:stretch>
                  </pic:blipFill>
                  <pic:spPr>
                    <a:xfrm>
                      <a:off x="0" y="0"/>
                      <a:ext cx="10277475" cy="7267575"/>
                    </a:xfrm>
                    <a:prstGeom prst="rect">
                      <a:avLst/>
                    </a:prstGeom>
                    <a:noFill/>
                    <a:ln w="9525">
                      <a:noFill/>
                    </a:ln>
                  </pic:spPr>
                </pic:pic>
              </a:graphicData>
            </a:graphic>
          </wp:inline>
        </w:drawing>
      </w:r>
      <w:r>
        <w:rPr>
          <w:rFonts w:hint="default" w:ascii="Arial" w:hAnsi="Arial" w:eastAsia="宋体" w:cs="Arial"/>
          <w:snapToGrid/>
          <w:color w:val="000000"/>
          <w:kern w:val="0"/>
          <w:sz w:val="21"/>
          <w:szCs w:val="21"/>
          <w:lang w:val="en-US" w:eastAsia="zh-CN" w:bidi="ar"/>
        </w:rPr>
        <w:br w:type="page"/>
      </w:r>
      <w:r>
        <w:rPr>
          <w:rFonts w:hint="default" w:ascii="Arial" w:hAnsi="Arial" w:eastAsia="宋体" w:cs="Arial"/>
          <w:snapToGrid/>
          <w:color w:val="000000"/>
          <w:kern w:val="0"/>
          <w:sz w:val="21"/>
          <w:szCs w:val="21"/>
          <w:lang w:val="en-US" w:eastAsia="zh-CN" w:bidi="ar"/>
        </w:rPr>
        <w:drawing>
          <wp:inline distT="0" distB="0" distL="114300" distR="114300">
            <wp:extent cx="9896475" cy="7000875"/>
            <wp:effectExtent l="0" t="0" r="9525" b="9525"/>
            <wp:docPr id="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IMG_267"/>
                    <pic:cNvPicPr>
                      <a:picLocks noChangeAspect="1"/>
                    </pic:cNvPicPr>
                  </pic:nvPicPr>
                  <pic:blipFill>
                    <a:blip r:embed="rId29"/>
                    <a:stretch>
                      <a:fillRect/>
                    </a:stretch>
                  </pic:blipFill>
                  <pic:spPr>
                    <a:xfrm>
                      <a:off x="0" y="0"/>
                      <a:ext cx="9896475" cy="7000875"/>
                    </a:xfrm>
                    <a:prstGeom prst="rect">
                      <a:avLst/>
                    </a:prstGeom>
                    <a:noFill/>
                    <a:ln w="9525">
                      <a:noFill/>
                    </a:ln>
                  </pic:spPr>
                </pic:pic>
              </a:graphicData>
            </a:graphic>
          </wp:inline>
        </w:drawing>
      </w:r>
      <w:r>
        <w:rPr>
          <w:rFonts w:hint="default" w:ascii="Arial" w:hAnsi="Arial" w:eastAsia="宋体" w:cs="Arial"/>
          <w:snapToGrid/>
          <w:color w:val="000000"/>
          <w:kern w:val="0"/>
          <w:sz w:val="21"/>
          <w:szCs w:val="21"/>
          <w:lang w:val="en-US" w:eastAsia="zh-CN" w:bidi="ar"/>
        </w:rPr>
        <w:br w:type="page"/>
      </w:r>
    </w:p>
    <w:p w14:paraId="7337DB1F">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drawing>
          <wp:inline distT="0" distB="0" distL="114300" distR="114300">
            <wp:extent cx="10258425" cy="7258050"/>
            <wp:effectExtent l="0" t="0" r="9525" b="0"/>
            <wp:docPr id="2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IMG_268"/>
                    <pic:cNvPicPr>
                      <a:picLocks noChangeAspect="1"/>
                    </pic:cNvPicPr>
                  </pic:nvPicPr>
                  <pic:blipFill>
                    <a:blip r:embed="rId30"/>
                    <a:stretch>
                      <a:fillRect/>
                    </a:stretch>
                  </pic:blipFill>
                  <pic:spPr>
                    <a:xfrm>
                      <a:off x="0" y="0"/>
                      <a:ext cx="10258425" cy="7258050"/>
                    </a:xfrm>
                    <a:prstGeom prst="rect">
                      <a:avLst/>
                    </a:prstGeom>
                    <a:noFill/>
                    <a:ln w="9525">
                      <a:noFill/>
                    </a:ln>
                  </pic:spPr>
                </pic:pic>
              </a:graphicData>
            </a:graphic>
          </wp:inline>
        </w:drawing>
      </w:r>
      <w:r>
        <w:rPr>
          <w:rFonts w:hint="default" w:ascii="Arial" w:hAnsi="Arial" w:eastAsia="宋体" w:cs="Arial"/>
          <w:snapToGrid/>
          <w:color w:val="000000"/>
          <w:kern w:val="0"/>
          <w:sz w:val="21"/>
          <w:szCs w:val="21"/>
          <w:lang w:val="en-US" w:eastAsia="zh-CN" w:bidi="ar"/>
        </w:rPr>
        <w:br w:type="page"/>
      </w:r>
      <w:r>
        <w:rPr>
          <w:rFonts w:hint="default" w:ascii="Arial" w:hAnsi="Arial" w:eastAsia="宋体" w:cs="Arial"/>
          <w:snapToGrid/>
          <w:color w:val="000000"/>
          <w:kern w:val="0"/>
          <w:sz w:val="21"/>
          <w:szCs w:val="21"/>
          <w:lang w:val="en-US" w:eastAsia="zh-CN" w:bidi="ar"/>
        </w:rPr>
        <w:drawing>
          <wp:inline distT="0" distB="0" distL="114300" distR="114300">
            <wp:extent cx="9963150" cy="7048500"/>
            <wp:effectExtent l="0" t="0" r="0" b="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31"/>
                    <a:stretch>
                      <a:fillRect/>
                    </a:stretch>
                  </pic:blipFill>
                  <pic:spPr>
                    <a:xfrm>
                      <a:off x="0" y="0"/>
                      <a:ext cx="9963150" cy="7048500"/>
                    </a:xfrm>
                    <a:prstGeom prst="rect">
                      <a:avLst/>
                    </a:prstGeom>
                    <a:noFill/>
                    <a:ln w="9525">
                      <a:noFill/>
                    </a:ln>
                  </pic:spPr>
                </pic:pic>
              </a:graphicData>
            </a:graphic>
          </wp:inline>
        </w:drawing>
      </w:r>
      <w:r>
        <w:rPr>
          <w:rFonts w:hint="default" w:ascii="Arial" w:hAnsi="Arial" w:eastAsia="宋体" w:cs="Arial"/>
          <w:snapToGrid/>
          <w:color w:val="000000"/>
          <w:kern w:val="0"/>
          <w:sz w:val="21"/>
          <w:szCs w:val="21"/>
          <w:lang w:val="en-US" w:eastAsia="zh-CN" w:bidi="ar"/>
        </w:rPr>
        <w:br w:type="page"/>
      </w:r>
    </w:p>
    <w:p w14:paraId="0D9724BF">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pPr>
      <w:r>
        <w:rPr>
          <w:rFonts w:hint="default" w:ascii="Arial" w:hAnsi="Arial" w:eastAsia="宋体" w:cs="Arial"/>
          <w:snapToGrid/>
          <w:color w:val="000000"/>
          <w:kern w:val="0"/>
          <w:sz w:val="21"/>
          <w:szCs w:val="21"/>
          <w:lang w:val="en-US" w:eastAsia="zh-CN" w:bidi="ar"/>
        </w:rPr>
        <w:drawing>
          <wp:inline distT="0" distB="0" distL="114300" distR="114300">
            <wp:extent cx="10229850" cy="7239000"/>
            <wp:effectExtent l="0" t="0" r="0" b="0"/>
            <wp:docPr id="2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IMG_270"/>
                    <pic:cNvPicPr>
                      <a:picLocks noChangeAspect="1"/>
                    </pic:cNvPicPr>
                  </pic:nvPicPr>
                  <pic:blipFill>
                    <a:blip r:embed="rId32"/>
                    <a:stretch>
                      <a:fillRect/>
                    </a:stretch>
                  </pic:blipFill>
                  <pic:spPr>
                    <a:xfrm>
                      <a:off x="0" y="0"/>
                      <a:ext cx="10229850" cy="7239000"/>
                    </a:xfrm>
                    <a:prstGeom prst="rect">
                      <a:avLst/>
                    </a:prstGeom>
                    <a:noFill/>
                    <a:ln w="9525">
                      <a:noFill/>
                    </a:ln>
                  </pic:spPr>
                </pic:pic>
              </a:graphicData>
            </a:graphic>
          </wp:inline>
        </w:drawing>
      </w:r>
      <w:r>
        <w:rPr>
          <w:rFonts w:hint="default" w:ascii="Arial" w:hAnsi="Arial" w:eastAsia="宋体" w:cs="Arial"/>
          <w:snapToGrid/>
          <w:color w:val="000000"/>
          <w:kern w:val="0"/>
          <w:sz w:val="21"/>
          <w:szCs w:val="21"/>
          <w:lang w:val="en-US" w:eastAsia="zh-CN" w:bidi="ar"/>
        </w:rPr>
        <w:br w:type="page"/>
      </w:r>
    </w:p>
    <w:p w14:paraId="2038B4B8">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000000"/>
          <w:kern w:val="0"/>
          <w:sz w:val="21"/>
          <w:szCs w:val="21"/>
        </w:rPr>
        <w:sectPr>
          <w:pgSz w:w="16838" w:h="11906" w:orient="landscape"/>
          <w:pgMar w:top="1701" w:right="1474" w:bottom="1474" w:left="1587" w:header="851" w:footer="992" w:gutter="0"/>
          <w:pgNumType w:fmt="numberInDash"/>
          <w:cols w:space="720" w:num="1"/>
          <w:rtlGutter w:val="1"/>
          <w:docGrid w:type="lines" w:linePitch="312" w:charSpace="0"/>
        </w:sectPr>
      </w:pPr>
      <w:r>
        <w:rPr>
          <w:rFonts w:hint="default" w:ascii="Arial" w:hAnsi="Arial" w:eastAsia="宋体" w:cs="Arial"/>
          <w:snapToGrid/>
          <w:color w:val="000000"/>
          <w:kern w:val="0"/>
          <w:sz w:val="21"/>
          <w:szCs w:val="21"/>
          <w:lang w:val="en-US" w:eastAsia="zh-CN" w:bidi="ar"/>
        </w:rPr>
        <w:drawing>
          <wp:inline distT="0" distB="0" distL="114300" distR="114300">
            <wp:extent cx="10172700" cy="7200900"/>
            <wp:effectExtent l="0" t="0" r="0" b="0"/>
            <wp:docPr id="2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IMG_271"/>
                    <pic:cNvPicPr>
                      <a:picLocks noChangeAspect="1"/>
                    </pic:cNvPicPr>
                  </pic:nvPicPr>
                  <pic:blipFill>
                    <a:blip r:embed="rId33"/>
                    <a:stretch>
                      <a:fillRect/>
                    </a:stretch>
                  </pic:blipFill>
                  <pic:spPr>
                    <a:xfrm>
                      <a:off x="0" y="0"/>
                      <a:ext cx="10172700" cy="7200900"/>
                    </a:xfrm>
                    <a:prstGeom prst="rect">
                      <a:avLst/>
                    </a:prstGeom>
                    <a:noFill/>
                    <a:ln w="9525">
                      <a:noFill/>
                    </a:ln>
                  </pic:spPr>
                </pic:pic>
              </a:graphicData>
            </a:graphic>
          </wp:inline>
        </w:drawing>
      </w:r>
      <w:r>
        <w:rPr>
          <w:rFonts w:hint="default" w:ascii="Arial" w:hAnsi="Arial" w:eastAsia="宋体" w:cs="Arial"/>
          <w:snapToGrid/>
          <w:color w:val="000000"/>
          <w:kern w:val="0"/>
          <w:sz w:val="21"/>
          <w:szCs w:val="21"/>
          <w:lang w:val="en-US" w:eastAsia="zh-CN" w:bidi="ar"/>
        </w:rPr>
        <w:br w:type="page"/>
      </w:r>
      <w:r>
        <w:rPr>
          <w:rFonts w:hint="default" w:ascii="Arial" w:hAnsi="Arial" w:eastAsia="宋体" w:cs="Arial"/>
          <w:snapToGrid/>
          <w:color w:val="000000"/>
          <w:kern w:val="0"/>
          <w:sz w:val="21"/>
          <w:szCs w:val="21"/>
          <w:lang w:val="en-US" w:eastAsia="zh-CN" w:bidi="ar"/>
        </w:rPr>
        <w:drawing>
          <wp:inline distT="0" distB="0" distL="114300" distR="114300">
            <wp:extent cx="10106025" cy="7153275"/>
            <wp:effectExtent l="0" t="0" r="9525" b="9525"/>
            <wp:docPr id="2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descr="IMG_272"/>
                    <pic:cNvPicPr>
                      <a:picLocks noChangeAspect="1"/>
                    </pic:cNvPicPr>
                  </pic:nvPicPr>
                  <pic:blipFill>
                    <a:blip r:embed="rId34"/>
                    <a:stretch>
                      <a:fillRect/>
                    </a:stretch>
                  </pic:blipFill>
                  <pic:spPr>
                    <a:xfrm>
                      <a:off x="0" y="0"/>
                      <a:ext cx="10106025" cy="7153275"/>
                    </a:xfrm>
                    <a:prstGeom prst="rect">
                      <a:avLst/>
                    </a:prstGeom>
                    <a:noFill/>
                    <a:ln w="9525">
                      <a:noFill/>
                    </a:ln>
                  </pic:spPr>
                </pic:pic>
              </a:graphicData>
            </a:graphic>
          </wp:inline>
        </w:drawing>
      </w:r>
      <w:r>
        <w:rPr>
          <w:rFonts w:hint="default" w:ascii="Arial" w:hAnsi="Arial" w:eastAsia="宋体" w:cs="Arial"/>
          <w:snapToGrid/>
          <w:color w:val="000000"/>
          <w:kern w:val="0"/>
          <w:sz w:val="21"/>
          <w:szCs w:val="21"/>
          <w:lang w:val="en-US" w:eastAsia="zh-CN" w:bidi="ar"/>
        </w:rPr>
        <w:br w:type="page"/>
      </w:r>
    </w:p>
    <w:p w14:paraId="6258673E">
      <w:pPr>
        <w:pStyle w:val="11"/>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2"/>
        <w:rPr>
          <w:rFonts w:hint="eastAsia" w:hAnsi="Times New Roman" w:cs="Times New Roman"/>
          <w:color w:val="auto"/>
          <w:sz w:val="32"/>
          <w:szCs w:val="32"/>
          <w:highlight w:val="none"/>
          <w:lang w:val="zh-CN" w:eastAsia="zh-CN"/>
        </w:rPr>
      </w:pPr>
      <w:bookmarkStart w:id="39" w:name="_Toc1295250396"/>
      <w:r>
        <w:rPr>
          <w:rFonts w:hint="eastAsia" w:cs="Times New Roman"/>
          <w:color w:val="auto"/>
          <w:sz w:val="32"/>
          <w:szCs w:val="32"/>
          <w:highlight w:val="none"/>
          <w:lang w:val="en-US" w:eastAsia="zh-CN"/>
        </w:rPr>
        <w:t>附件：</w:t>
      </w:r>
      <w:r>
        <w:rPr>
          <w:rFonts w:hint="eastAsia" w:hAnsi="Times New Roman" w:cs="Times New Roman"/>
          <w:color w:val="auto"/>
          <w:sz w:val="32"/>
          <w:szCs w:val="32"/>
          <w:highlight w:val="none"/>
          <w:lang w:val="en-US" w:eastAsia="zh-CN"/>
        </w:rPr>
        <w:t>部门预算项目支出绩效自评表（202</w:t>
      </w:r>
      <w:r>
        <w:rPr>
          <w:rFonts w:hint="eastAsia" w:cs="Times New Roman"/>
          <w:color w:val="auto"/>
          <w:sz w:val="32"/>
          <w:szCs w:val="32"/>
          <w:highlight w:val="none"/>
          <w:lang w:val="en-US" w:eastAsia="zh-CN"/>
        </w:rPr>
        <w:t>4</w:t>
      </w:r>
      <w:r>
        <w:rPr>
          <w:rFonts w:hint="eastAsia" w:hAnsi="Times New Roman" w:cs="Times New Roman"/>
          <w:color w:val="auto"/>
          <w:sz w:val="32"/>
          <w:szCs w:val="32"/>
          <w:highlight w:val="none"/>
          <w:lang w:val="en-US" w:eastAsia="zh-CN"/>
        </w:rPr>
        <w:t>年度</w:t>
      </w:r>
      <w:r>
        <w:rPr>
          <w:rFonts w:hint="eastAsia" w:cs="Times New Roman"/>
          <w:color w:val="auto"/>
          <w:sz w:val="32"/>
          <w:szCs w:val="32"/>
          <w:highlight w:val="none"/>
          <w:lang w:val="en-US" w:eastAsia="zh-CN"/>
        </w:rPr>
        <w:t>）</w:t>
      </w:r>
    </w:p>
    <w:p w14:paraId="6C8F77D3">
      <w:pPr>
        <w:spacing w:line="600" w:lineRule="exact"/>
        <w:jc w:val="center"/>
        <w:outlineLvl w:val="9"/>
        <w:rPr>
          <w:rFonts w:hint="eastAsia" w:ascii="方正小标宋简体" w:hAnsi="方正小标宋简体" w:eastAsia="方正小标宋简体" w:cs="方正小标宋简体"/>
          <w:bCs/>
          <w:kern w:val="44"/>
          <w:sz w:val="44"/>
          <w:szCs w:val="44"/>
          <w:highlight w:val="none"/>
        </w:rPr>
      </w:pPr>
    </w:p>
    <w:p w14:paraId="74A494FF">
      <w:pPr>
        <w:pStyle w:val="2"/>
        <w:rPr>
          <w:rFonts w:hint="eastAsia" w:ascii="方正小标宋简体" w:hAnsi="方正小标宋简体" w:eastAsia="方正小标宋简体" w:cs="方正小标宋简体"/>
          <w:bCs/>
          <w:kern w:val="44"/>
          <w:sz w:val="44"/>
          <w:szCs w:val="44"/>
          <w:highlight w:val="none"/>
        </w:rPr>
      </w:pPr>
    </w:p>
    <w:p w14:paraId="4CF7B73C">
      <w:pPr>
        <w:pStyle w:val="2"/>
        <w:rPr>
          <w:rFonts w:hint="eastAsia" w:ascii="方正小标宋简体" w:hAnsi="方正小标宋简体" w:eastAsia="方正小标宋简体" w:cs="方正小标宋简体"/>
          <w:bCs/>
          <w:kern w:val="44"/>
          <w:sz w:val="44"/>
          <w:szCs w:val="44"/>
          <w:highlight w:val="none"/>
        </w:rPr>
      </w:pPr>
    </w:p>
    <w:p w14:paraId="764F9444">
      <w:pPr>
        <w:pStyle w:val="2"/>
        <w:rPr>
          <w:rFonts w:hint="eastAsia" w:ascii="方正小标宋简体" w:hAnsi="方正小标宋简体" w:eastAsia="方正小标宋简体" w:cs="方正小标宋简体"/>
          <w:bCs/>
          <w:kern w:val="44"/>
          <w:sz w:val="44"/>
          <w:szCs w:val="44"/>
          <w:highlight w:val="none"/>
        </w:rPr>
      </w:pPr>
    </w:p>
    <w:p w14:paraId="39F2807D">
      <w:pPr>
        <w:pStyle w:val="2"/>
        <w:rPr>
          <w:rFonts w:hint="eastAsia" w:ascii="方正小标宋简体" w:hAnsi="方正小标宋简体" w:eastAsia="方正小标宋简体" w:cs="方正小标宋简体"/>
          <w:bCs/>
          <w:kern w:val="44"/>
          <w:sz w:val="44"/>
          <w:szCs w:val="44"/>
          <w:highlight w:val="none"/>
        </w:rPr>
      </w:pPr>
    </w:p>
    <w:p w14:paraId="44E51DAE">
      <w:pPr>
        <w:pStyle w:val="2"/>
        <w:rPr>
          <w:rFonts w:hint="eastAsia" w:ascii="方正小标宋简体" w:hAnsi="方正小标宋简体" w:eastAsia="方正小标宋简体" w:cs="方正小标宋简体"/>
          <w:bCs/>
          <w:kern w:val="44"/>
          <w:sz w:val="44"/>
          <w:szCs w:val="44"/>
          <w:highlight w:val="none"/>
        </w:rPr>
      </w:pPr>
    </w:p>
    <w:p w14:paraId="7BD476BF">
      <w:pPr>
        <w:pStyle w:val="2"/>
        <w:rPr>
          <w:rFonts w:hint="eastAsia" w:ascii="方正小标宋简体" w:hAnsi="方正小标宋简体" w:eastAsia="方正小标宋简体" w:cs="方正小标宋简体"/>
          <w:bCs/>
          <w:kern w:val="44"/>
          <w:sz w:val="44"/>
          <w:szCs w:val="44"/>
          <w:highlight w:val="none"/>
        </w:rPr>
      </w:pPr>
    </w:p>
    <w:p w14:paraId="2722FA0A">
      <w:pPr>
        <w:pStyle w:val="2"/>
        <w:rPr>
          <w:rFonts w:hint="eastAsia" w:ascii="方正小标宋简体" w:hAnsi="方正小标宋简体" w:eastAsia="方正小标宋简体" w:cs="方正小标宋简体"/>
          <w:bCs/>
          <w:kern w:val="44"/>
          <w:sz w:val="44"/>
          <w:szCs w:val="44"/>
          <w:highlight w:val="none"/>
        </w:rPr>
      </w:pPr>
    </w:p>
    <w:p w14:paraId="4556493D">
      <w:pPr>
        <w:pStyle w:val="2"/>
        <w:rPr>
          <w:rFonts w:hint="eastAsia" w:ascii="方正小标宋简体" w:hAnsi="方正小标宋简体" w:eastAsia="方正小标宋简体" w:cs="方正小标宋简体"/>
          <w:bCs/>
          <w:kern w:val="44"/>
          <w:sz w:val="44"/>
          <w:szCs w:val="44"/>
          <w:highlight w:val="none"/>
        </w:rPr>
      </w:pPr>
    </w:p>
    <w:p w14:paraId="04F56843">
      <w:pPr>
        <w:pStyle w:val="2"/>
        <w:rPr>
          <w:rFonts w:hint="eastAsia" w:ascii="方正小标宋简体" w:hAnsi="方正小标宋简体" w:eastAsia="方正小标宋简体" w:cs="方正小标宋简体"/>
          <w:bCs/>
          <w:kern w:val="44"/>
          <w:sz w:val="44"/>
          <w:szCs w:val="44"/>
          <w:highlight w:val="none"/>
        </w:rPr>
      </w:pPr>
    </w:p>
    <w:p w14:paraId="6754078F">
      <w:pPr>
        <w:pStyle w:val="2"/>
        <w:rPr>
          <w:rFonts w:hint="eastAsia" w:ascii="方正小标宋简体" w:hAnsi="方正小标宋简体" w:eastAsia="方正小标宋简体" w:cs="方正小标宋简体"/>
          <w:bCs/>
          <w:kern w:val="44"/>
          <w:sz w:val="44"/>
          <w:szCs w:val="44"/>
          <w:highlight w:val="none"/>
        </w:rPr>
      </w:pPr>
    </w:p>
    <w:p w14:paraId="1B3C631D">
      <w:pPr>
        <w:pStyle w:val="2"/>
        <w:rPr>
          <w:rFonts w:hint="eastAsia" w:ascii="方正小标宋简体" w:hAnsi="方正小标宋简体" w:eastAsia="方正小标宋简体" w:cs="方正小标宋简体"/>
          <w:bCs/>
          <w:kern w:val="44"/>
          <w:sz w:val="44"/>
          <w:szCs w:val="44"/>
          <w:highlight w:val="none"/>
        </w:rPr>
      </w:pPr>
    </w:p>
    <w:p w14:paraId="3FBC503A">
      <w:pPr>
        <w:spacing w:line="600" w:lineRule="exact"/>
        <w:jc w:val="center"/>
        <w:outlineLvl w:val="0"/>
        <w:rPr>
          <w:rFonts w:ascii="方正小标宋简体" w:hAnsi="方正小标宋简体" w:eastAsia="方正小标宋简体" w:cs="方正小标宋简体"/>
          <w:bCs/>
          <w:kern w:val="44"/>
          <w:sz w:val="44"/>
          <w:szCs w:val="44"/>
          <w:highlight w:val="none"/>
        </w:rPr>
      </w:pPr>
      <w:r>
        <w:rPr>
          <w:rFonts w:hint="eastAsia" w:ascii="方正小标宋简体" w:hAnsi="方正小标宋简体" w:eastAsia="方正小标宋简体" w:cs="方正小标宋简体"/>
          <w:bCs/>
          <w:kern w:val="44"/>
          <w:sz w:val="44"/>
          <w:szCs w:val="44"/>
          <w:highlight w:val="none"/>
        </w:rPr>
        <w:t>第五部分附表</w:t>
      </w:r>
      <w:bookmarkEnd w:id="39"/>
    </w:p>
    <w:p w14:paraId="3F23E68E">
      <w:pPr>
        <w:spacing w:line="576" w:lineRule="exact"/>
        <w:ind w:firstLine="640" w:firstLineChars="200"/>
        <w:rPr>
          <w:rStyle w:val="32"/>
          <w:rFonts w:ascii="仿宋" w:hAnsi="仿宋" w:eastAsia="仿宋" w:cs="仿宋"/>
          <w:b w:val="0"/>
          <w:sz w:val="32"/>
          <w:szCs w:val="32"/>
          <w:highlight w:val="none"/>
        </w:rPr>
      </w:pPr>
    </w:p>
    <w:p w14:paraId="4015B3D5">
      <w:pPr>
        <w:spacing w:line="576" w:lineRule="exact"/>
        <w:ind w:firstLine="640" w:firstLineChars="200"/>
        <w:outlineLvl w:val="1"/>
        <w:rPr>
          <w:rStyle w:val="32"/>
          <w:rFonts w:ascii="仿宋" w:hAnsi="仿宋" w:eastAsia="仿宋" w:cs="仿宋"/>
          <w:b w:val="0"/>
          <w:sz w:val="32"/>
          <w:szCs w:val="32"/>
          <w:highlight w:val="none"/>
        </w:rPr>
      </w:pPr>
      <w:bookmarkStart w:id="40" w:name="_Toc664133002"/>
      <w:bookmarkStart w:id="41" w:name="_Toc4308"/>
      <w:r>
        <w:rPr>
          <w:rStyle w:val="32"/>
          <w:rFonts w:hint="eastAsia" w:ascii="仿宋" w:hAnsi="仿宋" w:eastAsia="仿宋" w:cs="仿宋"/>
          <w:b w:val="0"/>
          <w:sz w:val="32"/>
          <w:szCs w:val="32"/>
          <w:highlight w:val="none"/>
        </w:rPr>
        <w:t>一、收入支出决算总表</w:t>
      </w:r>
      <w:bookmarkEnd w:id="40"/>
    </w:p>
    <w:bookmarkEnd w:id="41"/>
    <w:p w14:paraId="09C84B7F">
      <w:pPr>
        <w:spacing w:line="576" w:lineRule="exact"/>
        <w:ind w:firstLine="640" w:firstLineChars="200"/>
        <w:outlineLvl w:val="1"/>
        <w:rPr>
          <w:rStyle w:val="32"/>
          <w:rFonts w:ascii="仿宋" w:hAnsi="仿宋" w:eastAsia="仿宋" w:cs="仿宋"/>
          <w:b w:val="0"/>
          <w:sz w:val="32"/>
          <w:szCs w:val="32"/>
          <w:highlight w:val="none"/>
        </w:rPr>
      </w:pPr>
      <w:bookmarkStart w:id="42" w:name="_Toc1211954413"/>
      <w:bookmarkStart w:id="43" w:name="_Toc24941"/>
      <w:r>
        <w:rPr>
          <w:rStyle w:val="32"/>
          <w:rFonts w:hint="eastAsia" w:ascii="仿宋" w:hAnsi="仿宋" w:eastAsia="仿宋" w:cs="仿宋"/>
          <w:b w:val="0"/>
          <w:sz w:val="32"/>
          <w:szCs w:val="32"/>
          <w:highlight w:val="none"/>
        </w:rPr>
        <w:t>二、收入决算表</w:t>
      </w:r>
      <w:bookmarkEnd w:id="42"/>
    </w:p>
    <w:bookmarkEnd w:id="43"/>
    <w:p w14:paraId="31611B61">
      <w:pPr>
        <w:spacing w:line="576" w:lineRule="exact"/>
        <w:ind w:firstLine="640" w:firstLineChars="200"/>
        <w:outlineLvl w:val="1"/>
        <w:rPr>
          <w:rStyle w:val="32"/>
          <w:rFonts w:ascii="仿宋" w:hAnsi="仿宋" w:eastAsia="仿宋" w:cs="仿宋"/>
          <w:b w:val="0"/>
          <w:sz w:val="32"/>
          <w:szCs w:val="32"/>
          <w:highlight w:val="none"/>
        </w:rPr>
      </w:pPr>
      <w:bookmarkStart w:id="44" w:name="_Toc1188155282"/>
      <w:bookmarkStart w:id="45" w:name="_Toc2826"/>
      <w:r>
        <w:rPr>
          <w:rStyle w:val="32"/>
          <w:rFonts w:hint="eastAsia" w:ascii="仿宋" w:hAnsi="仿宋" w:eastAsia="仿宋" w:cs="仿宋"/>
          <w:b w:val="0"/>
          <w:sz w:val="32"/>
          <w:szCs w:val="32"/>
          <w:highlight w:val="none"/>
        </w:rPr>
        <w:t>三、支出决算表</w:t>
      </w:r>
      <w:bookmarkEnd w:id="44"/>
    </w:p>
    <w:bookmarkEnd w:id="45"/>
    <w:p w14:paraId="4065B8FA">
      <w:pPr>
        <w:spacing w:line="576" w:lineRule="exact"/>
        <w:ind w:firstLine="640" w:firstLineChars="200"/>
        <w:outlineLvl w:val="1"/>
        <w:rPr>
          <w:rStyle w:val="32"/>
          <w:rFonts w:ascii="仿宋" w:hAnsi="仿宋" w:eastAsia="仿宋" w:cs="仿宋"/>
          <w:b w:val="0"/>
          <w:sz w:val="32"/>
          <w:szCs w:val="32"/>
          <w:highlight w:val="none"/>
        </w:rPr>
      </w:pPr>
      <w:bookmarkStart w:id="46" w:name="_Toc1562572240"/>
      <w:bookmarkStart w:id="47" w:name="_Toc30249"/>
      <w:r>
        <w:rPr>
          <w:rStyle w:val="32"/>
          <w:rFonts w:hint="eastAsia" w:ascii="仿宋" w:hAnsi="仿宋" w:eastAsia="仿宋" w:cs="仿宋"/>
          <w:b w:val="0"/>
          <w:sz w:val="32"/>
          <w:szCs w:val="32"/>
          <w:highlight w:val="none"/>
        </w:rPr>
        <w:t>四、财政拨款收入支出决算总表</w:t>
      </w:r>
      <w:bookmarkEnd w:id="46"/>
    </w:p>
    <w:bookmarkEnd w:id="47"/>
    <w:p w14:paraId="657B3811">
      <w:pPr>
        <w:spacing w:line="576" w:lineRule="exact"/>
        <w:ind w:firstLine="640" w:firstLineChars="200"/>
        <w:outlineLvl w:val="1"/>
        <w:rPr>
          <w:rStyle w:val="32"/>
          <w:rFonts w:ascii="仿宋" w:hAnsi="仿宋" w:eastAsia="仿宋" w:cs="仿宋"/>
          <w:b w:val="0"/>
          <w:sz w:val="32"/>
          <w:szCs w:val="32"/>
          <w:highlight w:val="none"/>
        </w:rPr>
      </w:pPr>
      <w:bookmarkStart w:id="48" w:name="_Toc1337659155"/>
      <w:bookmarkStart w:id="49" w:name="_Toc3675"/>
      <w:r>
        <w:rPr>
          <w:rStyle w:val="32"/>
          <w:rFonts w:hint="eastAsia" w:ascii="仿宋" w:hAnsi="仿宋" w:eastAsia="仿宋" w:cs="仿宋"/>
          <w:b w:val="0"/>
          <w:sz w:val="32"/>
          <w:szCs w:val="32"/>
          <w:highlight w:val="none"/>
        </w:rPr>
        <w:t>五、财政拨款支出决算明细表</w:t>
      </w:r>
      <w:bookmarkEnd w:id="48"/>
    </w:p>
    <w:bookmarkEnd w:id="49"/>
    <w:p w14:paraId="21E70647">
      <w:pPr>
        <w:spacing w:line="576" w:lineRule="exact"/>
        <w:ind w:firstLine="640" w:firstLineChars="200"/>
        <w:outlineLvl w:val="1"/>
        <w:rPr>
          <w:rStyle w:val="32"/>
          <w:rFonts w:ascii="仿宋" w:hAnsi="仿宋" w:eastAsia="仿宋" w:cs="仿宋"/>
          <w:b w:val="0"/>
          <w:sz w:val="32"/>
          <w:szCs w:val="32"/>
          <w:highlight w:val="none"/>
        </w:rPr>
      </w:pPr>
      <w:bookmarkStart w:id="50" w:name="_Toc1900700242"/>
      <w:bookmarkStart w:id="51" w:name="_Toc17606"/>
      <w:r>
        <w:rPr>
          <w:rStyle w:val="32"/>
          <w:rFonts w:hint="eastAsia" w:ascii="仿宋" w:hAnsi="仿宋" w:eastAsia="仿宋" w:cs="仿宋"/>
          <w:b w:val="0"/>
          <w:sz w:val="32"/>
          <w:szCs w:val="32"/>
          <w:highlight w:val="none"/>
        </w:rPr>
        <w:t>六、一般公共预算财政拨款支出决算表</w:t>
      </w:r>
      <w:bookmarkEnd w:id="50"/>
    </w:p>
    <w:bookmarkEnd w:id="51"/>
    <w:p w14:paraId="13E59A20">
      <w:pPr>
        <w:spacing w:line="576" w:lineRule="exact"/>
        <w:ind w:firstLine="640" w:firstLineChars="200"/>
        <w:outlineLvl w:val="1"/>
        <w:rPr>
          <w:rStyle w:val="32"/>
          <w:rFonts w:ascii="仿宋" w:hAnsi="仿宋" w:eastAsia="仿宋" w:cs="仿宋"/>
          <w:b w:val="0"/>
          <w:sz w:val="32"/>
          <w:szCs w:val="32"/>
          <w:highlight w:val="none"/>
        </w:rPr>
      </w:pPr>
      <w:bookmarkStart w:id="52" w:name="_Toc1430449975"/>
      <w:bookmarkStart w:id="53" w:name="_Toc16750"/>
      <w:r>
        <w:rPr>
          <w:rStyle w:val="32"/>
          <w:rFonts w:hint="eastAsia" w:ascii="仿宋" w:hAnsi="仿宋" w:eastAsia="仿宋" w:cs="仿宋"/>
          <w:b w:val="0"/>
          <w:sz w:val="32"/>
          <w:szCs w:val="32"/>
          <w:highlight w:val="none"/>
        </w:rPr>
        <w:t>七、一般公共预算财政拨款支出决算明细表</w:t>
      </w:r>
      <w:bookmarkEnd w:id="52"/>
    </w:p>
    <w:bookmarkEnd w:id="53"/>
    <w:p w14:paraId="29201919">
      <w:pPr>
        <w:spacing w:line="576" w:lineRule="exact"/>
        <w:ind w:firstLine="640" w:firstLineChars="200"/>
        <w:outlineLvl w:val="1"/>
        <w:rPr>
          <w:rStyle w:val="32"/>
          <w:rFonts w:ascii="仿宋" w:hAnsi="仿宋" w:eastAsia="仿宋" w:cs="仿宋"/>
          <w:b w:val="0"/>
          <w:sz w:val="32"/>
          <w:szCs w:val="32"/>
          <w:highlight w:val="none"/>
        </w:rPr>
      </w:pPr>
      <w:bookmarkStart w:id="54" w:name="_Toc1307885347"/>
      <w:bookmarkStart w:id="55" w:name="_Toc21741"/>
      <w:r>
        <w:rPr>
          <w:rStyle w:val="32"/>
          <w:rFonts w:hint="eastAsia" w:ascii="仿宋" w:hAnsi="仿宋" w:eastAsia="仿宋" w:cs="仿宋"/>
          <w:b w:val="0"/>
          <w:sz w:val="32"/>
          <w:szCs w:val="32"/>
          <w:highlight w:val="none"/>
        </w:rPr>
        <w:t>八、一般公共预算财政拨款基本支出决算表</w:t>
      </w:r>
      <w:bookmarkEnd w:id="54"/>
    </w:p>
    <w:bookmarkEnd w:id="55"/>
    <w:p w14:paraId="6F7E887C">
      <w:pPr>
        <w:spacing w:line="576" w:lineRule="exact"/>
        <w:ind w:firstLine="640" w:firstLineChars="200"/>
        <w:outlineLvl w:val="1"/>
        <w:rPr>
          <w:rStyle w:val="32"/>
          <w:rFonts w:ascii="仿宋" w:hAnsi="仿宋" w:eastAsia="仿宋" w:cs="仿宋"/>
          <w:b w:val="0"/>
          <w:sz w:val="32"/>
          <w:szCs w:val="32"/>
          <w:highlight w:val="none"/>
        </w:rPr>
      </w:pPr>
      <w:bookmarkStart w:id="56" w:name="_Toc1016945161"/>
      <w:bookmarkStart w:id="57" w:name="_Toc637"/>
      <w:r>
        <w:rPr>
          <w:rStyle w:val="32"/>
          <w:rFonts w:hint="eastAsia" w:ascii="仿宋" w:hAnsi="仿宋" w:eastAsia="仿宋" w:cs="仿宋"/>
          <w:b w:val="0"/>
          <w:sz w:val="32"/>
          <w:szCs w:val="32"/>
          <w:highlight w:val="none"/>
        </w:rPr>
        <w:t>九、一般公共预算财政拨款项目支出决算表</w:t>
      </w:r>
      <w:bookmarkEnd w:id="56"/>
    </w:p>
    <w:bookmarkEnd w:id="57"/>
    <w:p w14:paraId="27558FB1">
      <w:pPr>
        <w:spacing w:line="576" w:lineRule="exact"/>
        <w:ind w:firstLine="640" w:firstLineChars="200"/>
        <w:outlineLvl w:val="1"/>
        <w:rPr>
          <w:rStyle w:val="32"/>
          <w:rFonts w:ascii="仿宋" w:hAnsi="仿宋" w:eastAsia="仿宋" w:cs="仿宋"/>
          <w:b w:val="0"/>
          <w:sz w:val="32"/>
          <w:szCs w:val="32"/>
          <w:highlight w:val="none"/>
        </w:rPr>
      </w:pPr>
      <w:bookmarkStart w:id="58" w:name="_Toc830856590"/>
      <w:bookmarkStart w:id="59" w:name="_Toc29782"/>
      <w:r>
        <w:rPr>
          <w:rStyle w:val="32"/>
          <w:rFonts w:hint="eastAsia" w:ascii="仿宋" w:hAnsi="仿宋" w:eastAsia="仿宋" w:cs="仿宋"/>
          <w:b w:val="0"/>
          <w:sz w:val="32"/>
          <w:szCs w:val="32"/>
          <w:highlight w:val="none"/>
        </w:rPr>
        <w:t>十、政府性基金预算财政拨款收入支出决算表</w:t>
      </w:r>
      <w:bookmarkEnd w:id="58"/>
    </w:p>
    <w:bookmarkEnd w:id="59"/>
    <w:p w14:paraId="7799EB53">
      <w:pPr>
        <w:spacing w:line="576" w:lineRule="exact"/>
        <w:ind w:firstLine="640" w:firstLineChars="200"/>
        <w:outlineLvl w:val="1"/>
        <w:rPr>
          <w:rStyle w:val="32"/>
          <w:rFonts w:ascii="仿宋" w:hAnsi="仿宋" w:eastAsia="仿宋" w:cs="仿宋"/>
          <w:b w:val="0"/>
          <w:sz w:val="32"/>
          <w:szCs w:val="32"/>
          <w:highlight w:val="none"/>
        </w:rPr>
      </w:pPr>
      <w:bookmarkStart w:id="60" w:name="_Toc840658911"/>
      <w:bookmarkStart w:id="61" w:name="_Toc22304"/>
      <w:r>
        <w:rPr>
          <w:rStyle w:val="32"/>
          <w:rFonts w:hint="eastAsia" w:ascii="仿宋" w:hAnsi="仿宋" w:eastAsia="仿宋" w:cs="仿宋"/>
          <w:b w:val="0"/>
          <w:sz w:val="32"/>
          <w:szCs w:val="32"/>
          <w:highlight w:val="none"/>
        </w:rPr>
        <w:t>十一、国有资本经营预算财政拨款收入支出决算表</w:t>
      </w:r>
      <w:bookmarkEnd w:id="60"/>
    </w:p>
    <w:bookmarkEnd w:id="61"/>
    <w:p w14:paraId="3B05C6BF">
      <w:pPr>
        <w:spacing w:line="576" w:lineRule="exact"/>
        <w:ind w:firstLine="640" w:firstLineChars="200"/>
        <w:outlineLvl w:val="1"/>
        <w:rPr>
          <w:rStyle w:val="32"/>
          <w:rFonts w:ascii="仿宋" w:hAnsi="仿宋" w:eastAsia="仿宋" w:cs="仿宋"/>
          <w:b w:val="0"/>
          <w:sz w:val="32"/>
          <w:szCs w:val="32"/>
          <w:highlight w:val="none"/>
        </w:rPr>
      </w:pPr>
      <w:bookmarkStart w:id="62" w:name="_Toc644817610"/>
      <w:bookmarkStart w:id="63" w:name="_Toc19956"/>
      <w:r>
        <w:rPr>
          <w:rStyle w:val="32"/>
          <w:rFonts w:hint="eastAsia" w:ascii="仿宋" w:hAnsi="仿宋" w:eastAsia="仿宋" w:cs="仿宋"/>
          <w:b w:val="0"/>
          <w:sz w:val="32"/>
          <w:szCs w:val="32"/>
          <w:highlight w:val="none"/>
        </w:rPr>
        <w:t>十二、国有资本经营预算财政拨款支出决算表</w:t>
      </w:r>
      <w:bookmarkEnd w:id="62"/>
    </w:p>
    <w:bookmarkEnd w:id="63"/>
    <w:p w14:paraId="5E3B06CA">
      <w:pPr>
        <w:spacing w:line="576" w:lineRule="exact"/>
        <w:ind w:firstLine="640" w:firstLineChars="200"/>
        <w:outlineLvl w:val="1"/>
        <w:rPr>
          <w:rStyle w:val="32"/>
          <w:rFonts w:hint="eastAsia" w:ascii="仿宋" w:hAnsi="仿宋" w:eastAsia="仿宋" w:cs="仿宋"/>
          <w:b w:val="0"/>
          <w:sz w:val="32"/>
          <w:szCs w:val="32"/>
          <w:highlight w:val="none"/>
        </w:rPr>
      </w:pPr>
      <w:bookmarkStart w:id="64" w:name="_Toc1120219128"/>
      <w:bookmarkStart w:id="65" w:name="_Toc29520"/>
      <w:r>
        <w:rPr>
          <w:rStyle w:val="32"/>
          <w:rFonts w:hint="eastAsia" w:ascii="仿宋" w:hAnsi="仿宋" w:eastAsia="仿宋" w:cs="仿宋"/>
          <w:b w:val="0"/>
          <w:sz w:val="32"/>
          <w:szCs w:val="32"/>
          <w:highlight w:val="none"/>
        </w:rPr>
        <w:t>十三、财政拨款“三公”经费支出决算表</w:t>
      </w:r>
      <w:bookmarkEnd w:id="33"/>
      <w:bookmarkEnd w:id="64"/>
    </w:p>
    <w:bookmarkEnd w:id="65"/>
    <w:p w14:paraId="4A22FE6F">
      <w:pPr>
        <w:spacing w:line="576" w:lineRule="exact"/>
        <w:rPr>
          <w:rStyle w:val="32"/>
          <w:rFonts w:ascii="仿宋" w:hAnsi="仿宋" w:eastAsia="仿宋" w:cs="仿宋"/>
          <w:b w:val="0"/>
          <w:sz w:val="32"/>
          <w:szCs w:val="32"/>
          <w:highlight w:val="none"/>
        </w:rPr>
      </w:pPr>
    </w:p>
    <w:sectPr>
      <w:headerReference r:id="rId8" w:type="default"/>
      <w:footerReference r:id="rId9" w:type="default"/>
      <w:pgSz w:w="11906" w:h="16838"/>
      <w:pgMar w:top="2098" w:right="1474" w:bottom="1984" w:left="1587" w:header="851" w:footer="1474"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文泉驿微米黑">
    <w:altName w:val="黑体"/>
    <w:panose1 w:val="020B0606030804020204"/>
    <w:charset w:val="86"/>
    <w:family w:val="auto"/>
    <w:pitch w:val="default"/>
    <w:sig w:usb0="00000000" w:usb1="00000000" w:usb2="00800036" w:usb3="00000000" w:csb0="603E019F" w:csb1="DFD70000"/>
  </w:font>
  <w:font w:name="??">
    <w:altName w:val="DejaVu Sans"/>
    <w:panose1 w:val="00000000000000000000"/>
    <w:charset w:val="00"/>
    <w:family w:val="roman"/>
    <w:pitch w:val="default"/>
    <w:sig w:usb0="00000000" w:usb1="00000000" w:usb2="00000000" w:usb3="00000000" w:csb0="00000000" w:csb1="00000000"/>
  </w:font>
  <w:font w:name="DejaVu Sans">
    <w:panose1 w:val="020B0603030804020204"/>
    <w:charset w:val="00"/>
    <w:family w:val="auto"/>
    <w:pitch w:val="default"/>
    <w:sig w:usb0="E7002EFF" w:usb1="D200FDFF" w:usb2="0A246029" w:usb3="00000000" w:csb0="600001FF" w:csb1="DFFF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Lucida Sans">
    <w:altName w:val="DejaVu Sans"/>
    <w:panose1 w:val="020B0602030504020204"/>
    <w:charset w:val="00"/>
    <w:family w:val="swiss"/>
    <w:pitch w:val="default"/>
    <w:sig w:usb0="00000000" w:usb1="00000000" w:usb2="00000000" w:usb3="00000000" w:csb0="20000001" w:csb1="00000000"/>
  </w:font>
  <w:font w:name="CESI仿宋-GB2312">
    <w:altName w:val="仿宋"/>
    <w:panose1 w:val="02000500000000000000"/>
    <w:charset w:val="86"/>
    <w:family w:val="script"/>
    <w:pitch w:val="default"/>
    <w:sig w:usb0="00000000" w:usb1="00000000" w:usb2="00000010" w:usb3="00000000" w:csb0="0004000F"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4EF55">
    <w:pPr>
      <w:pStyle w:val="16"/>
      <w:jc w:val="center"/>
    </w:pPr>
    <w:r>
      <mc:AlternateContent>
        <mc:Choice Requires="wps">
          <w:drawing>
            <wp:anchor distT="0" distB="0" distL="113665" distR="113665" simplePos="0" relativeHeight="251659264" behindDoc="0" locked="0" layoutInCell="1" allowOverlap="1">
              <wp:simplePos x="0" y="0"/>
              <wp:positionH relativeFrom="margin">
                <wp:align>outside</wp:align>
              </wp:positionH>
              <wp:positionV relativeFrom="paragraph">
                <wp:posOffset>-48113315</wp:posOffset>
              </wp:positionV>
              <wp:extent cx="622300" cy="264795"/>
              <wp:effectExtent l="0" t="0" r="0" b="0"/>
              <wp:wrapNone/>
              <wp:docPr id="1" name="文本框 3 3"/>
              <wp:cNvGraphicFramePr/>
              <a:graphic xmlns:a="http://schemas.openxmlformats.org/drawingml/2006/main">
                <a:graphicData uri="http://schemas.microsoft.com/office/word/2010/wordprocessingShape">
                  <wps:wsp>
                    <wps:cNvSpPr/>
                    <wps:spPr>
                      <a:xfrm>
                        <a:off x="0" y="0"/>
                        <a:ext cx="622299" cy="264765"/>
                      </a:xfrm>
                      <a:prstGeom prst="rect">
                        <a:avLst/>
                      </a:prstGeom>
                      <a:noFill/>
                      <a:ln w="9525" cap="flat" cmpd="sng">
                        <a:noFill/>
                        <a:prstDash val="solid"/>
                        <a:miter/>
                      </a:ln>
                    </wps:spPr>
                    <wps:txbx>
                      <w:txbxContent>
                        <w:p w14:paraId="671F2BCB">
                          <w:pPr>
                            <w:pStyle w:val="16"/>
                            <w:rPr>
                              <w:rFonts w:ascii="宋体" w:cs="宋体"/>
                              <w:sz w:val="28"/>
                              <w:szCs w:val="28"/>
                            </w:rPr>
                          </w:pPr>
                          <w:r>
                            <w:rPr>
                              <w:rFonts w:hint="eastAsia" w:ascii="宋体" w:cs="宋体"/>
                              <w:sz w:val="28"/>
                              <w:szCs w:val="28"/>
                            </w:rPr>
                            <w:t xml:space="preserve">— </w:t>
                          </w:r>
                          <w:r>
                            <w:rPr>
                              <w:rFonts w:hint="eastAsia" w:ascii="宋体" w:cs="宋体"/>
                              <w:sz w:val="28"/>
                              <w:szCs w:val="28"/>
                            </w:rPr>
                            <w:fldChar w:fldCharType="begin"/>
                          </w:r>
                          <w:r>
                            <w:rPr>
                              <w:rFonts w:hint="eastAsia" w:ascii="宋体" w:cs="宋体"/>
                              <w:sz w:val="28"/>
                              <w:szCs w:val="28"/>
                            </w:rPr>
                            <w:instrText xml:space="preserve"> PAGE  \* MERGEFORMAT </w:instrText>
                          </w:r>
                          <w:r>
                            <w:rPr>
                              <w:rFonts w:hint="eastAsia" w:ascii="宋体" w:cs="宋体"/>
                              <w:sz w:val="28"/>
                              <w:szCs w:val="28"/>
                            </w:rPr>
                            <w:fldChar w:fldCharType="separate"/>
                          </w:r>
                          <w:r>
                            <w:rPr>
                              <w:rFonts w:ascii="宋体" w:cs="宋体"/>
                              <w:sz w:val="28"/>
                              <w:szCs w:val="28"/>
                            </w:rPr>
                            <w:t>17</w:t>
                          </w:r>
                          <w:r>
                            <w:rPr>
                              <w:rFonts w:hint="eastAsia" w:ascii="宋体" w:cs="宋体"/>
                              <w:sz w:val="28"/>
                              <w:szCs w:val="28"/>
                            </w:rPr>
                            <w:fldChar w:fldCharType="end"/>
                          </w:r>
                          <w:r>
                            <w:rPr>
                              <w:rFonts w:hint="eastAsia" w:ascii="宋体" w:cs="宋体"/>
                              <w:sz w:val="28"/>
                              <w:szCs w:val="28"/>
                            </w:rPr>
                            <w:t xml:space="preserve"> —</w:t>
                          </w:r>
                        </w:p>
                      </w:txbxContent>
                    </wps:txbx>
                    <wps:bodyPr vert="horz" wrap="none" lIns="0" tIns="0" rIns="0" bIns="0" anchor="t" anchorCtr="0" upright="1">
                      <a:spAutoFit/>
                    </wps:bodyPr>
                  </wps:wsp>
                </a:graphicData>
              </a:graphic>
            </wp:anchor>
          </w:drawing>
        </mc:Choice>
        <mc:Fallback>
          <w:pict>
            <v:rect id="文本框 3 3" o:spid="_x0000_s1026" o:spt="1" style="position:absolute;left:0pt;margin-top:-3788.45pt;height:20.85pt;width:49pt;mso-position-horizontal:outside;mso-position-horizontal-relative:margin;mso-wrap-style:none;z-index:251659264;mso-width-relative:page;mso-height-relative:page;" filled="f" stroked="f" coordsize="21600,21600" o:gfxdata="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&#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ttX282AAAAAsBAAAPAAAAAAAAAAEAIAAAACIAAABk&#10;cnMvZG93bnJldi54bWxQSwECFAAUAAAACACHTuJA74qDBgYCAAD2AwAADgAAAAAAAAABACAAAAAn&#10;AQAAZHJzL2Uyb0RvYy54bWxQSwUGAAAAAAYABgBZAQAAnwUAAAAA&#10;">
              <v:fill on="f" focussize="0,0"/>
              <v:stroke on="f" joinstyle="miter"/>
              <v:imagedata o:title=""/>
              <o:lock v:ext="edit" aspectratio="f"/>
              <v:textbox inset="0mm,0mm,0mm,0mm" style="mso-fit-shape-to-text:t;">
                <w:txbxContent>
                  <w:p w14:paraId="671F2BCB">
                    <w:pPr>
                      <w:pStyle w:val="16"/>
                      <w:rPr>
                        <w:rFonts w:ascii="宋体" w:cs="宋体"/>
                        <w:sz w:val="28"/>
                        <w:szCs w:val="28"/>
                      </w:rPr>
                    </w:pPr>
                    <w:r>
                      <w:rPr>
                        <w:rFonts w:hint="eastAsia" w:ascii="宋体" w:cs="宋体"/>
                        <w:sz w:val="28"/>
                        <w:szCs w:val="28"/>
                      </w:rPr>
                      <w:t xml:space="preserve">— </w:t>
                    </w:r>
                    <w:r>
                      <w:rPr>
                        <w:rFonts w:hint="eastAsia" w:ascii="宋体" w:cs="宋体"/>
                        <w:sz w:val="28"/>
                        <w:szCs w:val="28"/>
                      </w:rPr>
                      <w:fldChar w:fldCharType="begin"/>
                    </w:r>
                    <w:r>
                      <w:rPr>
                        <w:rFonts w:hint="eastAsia" w:ascii="宋体" w:cs="宋体"/>
                        <w:sz w:val="28"/>
                        <w:szCs w:val="28"/>
                      </w:rPr>
                      <w:instrText xml:space="preserve"> PAGE  \* MERGEFORMAT </w:instrText>
                    </w:r>
                    <w:r>
                      <w:rPr>
                        <w:rFonts w:hint="eastAsia" w:ascii="宋体" w:cs="宋体"/>
                        <w:sz w:val="28"/>
                        <w:szCs w:val="28"/>
                      </w:rPr>
                      <w:fldChar w:fldCharType="separate"/>
                    </w:r>
                    <w:r>
                      <w:rPr>
                        <w:rFonts w:ascii="宋体" w:cs="宋体"/>
                        <w:sz w:val="28"/>
                        <w:szCs w:val="28"/>
                      </w:rPr>
                      <w:t>17</w:t>
                    </w:r>
                    <w:r>
                      <w:rPr>
                        <w:rFonts w:hint="eastAsia" w:ascii="宋体" w:cs="宋体"/>
                        <w:sz w:val="28"/>
                        <w:szCs w:val="28"/>
                      </w:rPr>
                      <w:fldChar w:fldCharType="end"/>
                    </w:r>
                    <w:r>
                      <w:rPr>
                        <w:rFonts w:hint="eastAsia" w:ascii="宋体" w:cs="宋体"/>
                        <w:sz w:val="28"/>
                        <w:szCs w:val="28"/>
                      </w:rPr>
                      <w:t xml:space="preserve"> —</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2F3EB">
    <w:pPr>
      <w:pStyle w:val="16"/>
    </w:pPr>
    <w:r>
      <mc:AlternateContent>
        <mc:Choice Requires="wps">
          <w:drawing>
            <wp:anchor distT="0" distB="0" distL="113665" distR="113665" simplePos="0" relativeHeight="251659264" behindDoc="0" locked="0" layoutInCell="1" allowOverlap="1">
              <wp:simplePos x="0" y="0"/>
              <wp:positionH relativeFrom="margin">
                <wp:align>outside</wp:align>
              </wp:positionH>
              <wp:positionV relativeFrom="paragraph">
                <wp:posOffset>0</wp:posOffset>
              </wp:positionV>
              <wp:extent cx="623570" cy="268605"/>
              <wp:effectExtent l="0" t="0" r="0" b="0"/>
              <wp:wrapNone/>
              <wp:docPr id="4" name="文本框 6 6"/>
              <wp:cNvGraphicFramePr/>
              <a:graphic xmlns:a="http://schemas.openxmlformats.org/drawingml/2006/main">
                <a:graphicData uri="http://schemas.microsoft.com/office/word/2010/wordprocessingShape">
                  <wps:wsp>
                    <wps:cNvSpPr/>
                    <wps:spPr>
                      <a:xfrm>
                        <a:off x="0" y="0"/>
                        <a:ext cx="623367" cy="268581"/>
                      </a:xfrm>
                      <a:prstGeom prst="rect">
                        <a:avLst/>
                      </a:prstGeom>
                      <a:noFill/>
                      <a:ln w="9525" cap="flat" cmpd="sng">
                        <a:noFill/>
                        <a:prstDash val="solid"/>
                        <a:miter/>
                      </a:ln>
                    </wps:spPr>
                    <wps:txbx>
                      <w:txbxContent>
                        <w:p w14:paraId="41B6FFC4">
                          <w:pPr>
                            <w:pStyle w:val="16"/>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vert="horz" wrap="none" lIns="0" tIns="0" rIns="0" bIns="0" anchor="t" anchorCtr="0" upright="1">
                      <a:spAutoFit/>
                    </wps:bodyPr>
                  </wps:wsp>
                </a:graphicData>
              </a:graphic>
            </wp:anchor>
          </w:drawing>
        </mc:Choice>
        <mc:Fallback>
          <w:pict>
            <v:rect id="文本框 6 6" o:spid="_x0000_s1026" o:spt="1" style="position:absolute;left:0pt;margin-top:0pt;height:21.15pt;width:49.1pt;mso-position-horizontal:outside;mso-position-horizontal-relative:margin;mso-wrap-style:none;z-index:251659264;mso-width-relative:page;mso-height-relative:page;" filled="f" stroked="f" coordsize="21600,21600" o:gfxdata="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9KQEK0gAAAAMBAAAPAAAAAAAAAAEAIAAAACIAAABkcnMvZG93&#10;bnJldi54bWxQSwECFAAUAAAACACHTuJA1AOyKAYCAAD2AwAADgAAAAAAAAABACAAAAAhAQAAZHJz&#10;L2Uyb0RvYy54bWxQSwUGAAAAAAYABgBZAQAAmQUAAAAA&#10;">
              <v:fill on="f" focussize="0,0"/>
              <v:stroke on="f" joinstyle="miter"/>
              <v:imagedata o:title=""/>
              <o:lock v:ext="edit" aspectratio="f"/>
              <v:textbox inset="0mm,0mm,0mm,0mm" style="mso-fit-shape-to-text:t;">
                <w:txbxContent>
                  <w:p w14:paraId="41B6FFC4">
                    <w:pPr>
                      <w:pStyle w:val="16"/>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D91EF">
    <w:pPr>
      <w:pStyle w:val="16"/>
      <w:framePr w:wrap="around" w:vAnchor="text" w:hAnchor="margin" w:xAlign="center" w:y="1"/>
      <w:pBdr>
        <w:top w:val="none" w:color="auto" w:sz="0" w:space="0"/>
        <w:left w:val="none" w:color="auto" w:sz="0" w:space="0"/>
        <w:bottom w:val="none" w:color="auto" w:sz="0" w:space="0"/>
        <w:right w:val="none" w:color="auto" w:sz="0" w:space="0"/>
      </w:pBdr>
      <w:rPr>
        <w:rFonts w:hint="eastAsia" w:ascii="方正仿宋_GBK" w:eastAsia="方正仿宋_GBK" w:cs="方正仿宋_GBK"/>
        <w:sz w:val="24"/>
        <w:szCs w:val="24"/>
      </w:rPr>
    </w:pPr>
    <w:r>
      <w:rPr>
        <w:rStyle w:val="30"/>
        <w:rFonts w:hint="eastAsia" w:ascii="方正仿宋_GBK" w:eastAsia="方正仿宋_GBK" w:cs="方正仿宋_GBK"/>
        <w:sz w:val="24"/>
        <w:szCs w:val="24"/>
      </w:rPr>
      <w:fldChar w:fldCharType="begin"/>
    </w:r>
    <w:r>
      <w:rPr>
        <w:rStyle w:val="30"/>
        <w:rFonts w:hint="eastAsia" w:ascii="方正仿宋_GBK" w:eastAsia="方正仿宋_GBK" w:cs="方正仿宋_GBK"/>
        <w:sz w:val="24"/>
        <w:szCs w:val="24"/>
      </w:rPr>
      <w:instrText xml:space="preserve">Page</w:instrText>
    </w:r>
    <w:r>
      <w:rPr>
        <w:rStyle w:val="30"/>
        <w:rFonts w:hint="eastAsia" w:ascii="方正仿宋_GBK" w:eastAsia="方正仿宋_GBK" w:cs="方正仿宋_GBK"/>
        <w:sz w:val="24"/>
        <w:szCs w:val="24"/>
      </w:rPr>
      <w:fldChar w:fldCharType="separate"/>
    </w:r>
    <w:r>
      <w:rPr>
        <w:rStyle w:val="30"/>
        <w:rFonts w:hint="eastAsia" w:ascii="方正仿宋_GBK" w:eastAsia="方正仿宋_GBK" w:cs="方正仿宋_GBK"/>
        <w:sz w:val="24"/>
        <w:szCs w:val="24"/>
      </w:rPr>
      <w:t>— 1 —</w:t>
    </w:r>
    <w:r>
      <w:rPr>
        <w:rStyle w:val="30"/>
        <w:rFonts w:hint="eastAsia" w:ascii="方正仿宋_GBK" w:eastAsia="方正仿宋_GBK" w:cs="方正仿宋_GBK"/>
        <w:sz w:val="24"/>
        <w:szCs w:val="24"/>
      </w:rPr>
      <w:fldChar w:fldCharType="end"/>
    </w:r>
  </w:p>
  <w:p w14:paraId="2990BD2F">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DFBC4">
    <w:pPr>
      <w:pStyle w:val="16"/>
      <w:framePr w:wrap="around" w:vAnchor="text" w:hAnchor="margin" w:xAlign="center" w:y="1"/>
      <w:pBdr>
        <w:top w:val="none" w:color="auto" w:sz="0" w:space="0"/>
        <w:left w:val="none" w:color="auto" w:sz="0" w:space="0"/>
        <w:bottom w:val="none" w:color="auto" w:sz="0" w:space="0"/>
        <w:right w:val="none" w:color="auto" w:sz="0" w:space="0"/>
      </w:pBdr>
    </w:pPr>
    <w:r>
      <w:rPr>
        <w:rStyle w:val="30"/>
      </w:rPr>
      <w:fldChar w:fldCharType="begin"/>
    </w:r>
    <w:r>
      <w:rPr>
        <w:rStyle w:val="30"/>
      </w:rPr>
      <w:instrText xml:space="preserve">Page</w:instrText>
    </w:r>
    <w:r>
      <w:rPr>
        <w:rStyle w:val="30"/>
      </w:rPr>
      <w:fldChar w:fldCharType="separate"/>
    </w:r>
    <w:r>
      <w:rPr>
        <w:rStyle w:val="30"/>
      </w:rPr>
      <w:t>— 1 —</w:t>
    </w:r>
    <w:r>
      <w:rPr>
        <w:rStyle w:val="30"/>
      </w:rPr>
      <w:fldChar w:fldCharType="end"/>
    </w:r>
  </w:p>
  <w:p w14:paraId="38E4FB6A">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0F614">
    <w:pPr>
      <w:pStyle w:val="16"/>
      <w:framePr w:wrap="around" w:vAnchor="text" w:hAnchor="margin" w:xAlign="center" w:y="1"/>
      <w:pBdr>
        <w:top w:val="none" w:color="auto" w:sz="0" w:space="0"/>
        <w:left w:val="none" w:color="auto" w:sz="0" w:space="0"/>
        <w:bottom w:val="none" w:color="auto" w:sz="0" w:space="0"/>
        <w:right w:val="none" w:color="auto" w:sz="0" w:space="0"/>
      </w:pBdr>
    </w:pPr>
    <w:r>
      <w:rPr>
        <w:rStyle w:val="30"/>
      </w:rPr>
      <w:fldChar w:fldCharType="begin"/>
    </w:r>
    <w:r>
      <w:rPr>
        <w:rStyle w:val="30"/>
      </w:rPr>
      <w:instrText xml:space="preserve">Page</w:instrText>
    </w:r>
    <w:r>
      <w:rPr>
        <w:rStyle w:val="30"/>
      </w:rPr>
      <w:fldChar w:fldCharType="separate"/>
    </w:r>
    <w:r>
      <w:rPr>
        <w:rStyle w:val="30"/>
      </w:rPr>
      <w:t>— 1 —</w:t>
    </w:r>
    <w:r>
      <w:rPr>
        <w:rStyle w:val="30"/>
      </w:rPr>
      <w:fldChar w:fldCharType="end"/>
    </w:r>
  </w:p>
  <w:p w14:paraId="73C8809D">
    <w:pPr>
      <w:pStyle w:val="1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56042">
    <w:pPr>
      <w:pStyle w:val="16"/>
    </w:pPr>
    <w:r>
      <w:rPr>
        <w:sz w:val="18"/>
      </w:rPr>
      <mc:AlternateContent>
        <mc:Choice Requires="wps">
          <w:drawing>
            <wp:anchor distT="0" distB="0" distL="113665" distR="113665" simplePos="0" relativeHeight="251659264" behindDoc="0" locked="0" layoutInCell="1" allowOverlap="1">
              <wp:simplePos x="0" y="0"/>
              <wp:positionH relativeFrom="margin">
                <wp:align>outside</wp:align>
              </wp:positionH>
              <wp:positionV relativeFrom="paragraph">
                <wp:posOffset>0</wp:posOffset>
              </wp:positionV>
              <wp:extent cx="0" cy="264795"/>
              <wp:effectExtent l="0" t="0" r="0" b="0"/>
              <wp:wrapNone/>
              <wp:docPr id="7" name="文本框 1"/>
              <wp:cNvGraphicFramePr/>
              <a:graphic xmlns:a="http://schemas.openxmlformats.org/drawingml/2006/main">
                <a:graphicData uri="http://schemas.microsoft.com/office/word/2010/wordprocessingShape">
                  <wps:wsp>
                    <wps:cNvSpPr/>
                    <wps:spPr>
                      <a:xfrm>
                        <a:off x="0" y="0"/>
                        <a:ext cx="0" cy="264765"/>
                      </a:xfrm>
                      <a:prstGeom prst="rect">
                        <a:avLst/>
                      </a:prstGeom>
                      <a:noFill/>
                      <a:ln w="6350" cap="flat" cmpd="sng">
                        <a:noFill/>
                        <a:prstDash val="solid"/>
                        <a:round/>
                      </a:ln>
                    </wps:spPr>
                    <wps:txbx>
                      <w:txbxContent>
                        <w:p w14:paraId="6CEA875E">
                          <w:pPr>
                            <w:pStyle w:val="16"/>
                            <w:rPr>
                              <w:rFonts w:hint="eastAsia" w:ascii="宋体" w:eastAsia="宋体" w:cs="宋体"/>
                              <w:sz w:val="28"/>
                              <w:szCs w:val="28"/>
                            </w:rPr>
                          </w:pPr>
                        </w:p>
                      </w:txbxContent>
                    </wps:txbx>
                    <wps:bodyPr vert="horz" wrap="none" lIns="0" tIns="0" rIns="0" bIns="0" anchor="t" anchorCtr="0" upright="0">
                      <a:spAutoFit/>
                    </wps:bodyPr>
                  </wps:wsp>
                </a:graphicData>
              </a:graphic>
            </wp:anchor>
          </w:drawing>
        </mc:Choice>
        <mc:Fallback>
          <w:pict>
            <v:rect id="文本框 1" o:spid="_x0000_s1026" o:spt="1" style="position:absolute;left:0pt;margin-top:0pt;height:20.85pt;width:0pt;mso-position-horizontal:outside;mso-position-horizontal-relative:margin;mso-wrap-style:none;z-index:251659264;mso-width-relative:page;mso-height-relative:page;" filled="f" stroked="f" coordsize="21600,21600" o:gfxdata="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DFPGNUAAAABAQAADwAAAAAAAAABACAAAAAiAAAAZHJzL2Rvd25yZXYu&#10;eG1sUEsBAhQAFAAAAAgAh07iQO+fhRj+AQAA7wMAAA4AAAAAAAAAAQAgAAAAJAEAAGRycy9lMm9E&#10;b2MueG1sUEsFBgAAAAAGAAYAWQEAAJQFAAAAAA==&#10;">
              <v:fill on="f" focussize="0,0"/>
              <v:stroke on="f" weight="0.5pt" joinstyle="round"/>
              <v:imagedata o:title=""/>
              <o:lock v:ext="edit" aspectratio="f"/>
              <v:textbox inset="0mm,0mm,0mm,0mm" style="mso-fit-shape-to-text:t;">
                <w:txbxContent>
                  <w:p w14:paraId="6CEA875E">
                    <w:pPr>
                      <w:pStyle w:val="16"/>
                      <w:rPr>
                        <w:rFonts w:hint="eastAsia" w:ascii="宋体" w:eastAsia="宋体" w:cs="宋体"/>
                        <w:sz w:val="28"/>
                        <w:szCs w:val="28"/>
                      </w:rPr>
                    </w:pP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9BB34">
    <w:pPr>
      <w:pStyle w:val="2"/>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3818A09A"/>
    <w:multiLevelType w:val="singleLevel"/>
    <w:tmpl w:val="3818A09A"/>
    <w:lvl w:ilvl="0" w:tentative="0">
      <w:start w:val="1"/>
      <w:numFmt w:val="chineseCounting"/>
      <w:suff w:val="nothing"/>
      <w:lvlText w:val="%1、"/>
      <w:lvlJc w:val="left"/>
      <w:rPr>
        <w:rFonts w:hint="eastAsia"/>
      </w:rPr>
    </w:lvl>
  </w:abstractNum>
  <w:abstractNum w:abstractNumId="3">
    <w:nsid w:val="7FFF18B1"/>
    <w:multiLevelType w:val="multilevel"/>
    <w:tmpl w:val="7FFF18B1"/>
    <w:lvl w:ilvl="0" w:tentative="0">
      <w:start w:val="5"/>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dit="readOnly"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YzdhOTEyNjQ4NTk0NDU3MDNmOTlkMzNmMDVlMTQ1MjMifQ=="/>
  </w:docVars>
  <w:rsids>
    <w:rsidRoot w:val="00000000"/>
    <w:rsid w:val="0CFF0D0C"/>
    <w:rsid w:val="15B438B4"/>
    <w:rsid w:val="166F1B64"/>
    <w:rsid w:val="1BDFBB38"/>
    <w:rsid w:val="1E73F3C6"/>
    <w:rsid w:val="1FAF7E34"/>
    <w:rsid w:val="27FE931D"/>
    <w:rsid w:val="2DDEC9D7"/>
    <w:rsid w:val="2DF1F8F3"/>
    <w:rsid w:val="2E754506"/>
    <w:rsid w:val="33AE8B70"/>
    <w:rsid w:val="33FDDF9E"/>
    <w:rsid w:val="3497F1CC"/>
    <w:rsid w:val="36BB288F"/>
    <w:rsid w:val="3AFF1C64"/>
    <w:rsid w:val="3B3D0F5D"/>
    <w:rsid w:val="3B875732"/>
    <w:rsid w:val="3CFF85FF"/>
    <w:rsid w:val="3E0EC0F2"/>
    <w:rsid w:val="3EFA9617"/>
    <w:rsid w:val="3FBF90C1"/>
    <w:rsid w:val="3FF4047A"/>
    <w:rsid w:val="3FF5CA41"/>
    <w:rsid w:val="450EDBED"/>
    <w:rsid w:val="4E8F1F15"/>
    <w:rsid w:val="56EBA4C5"/>
    <w:rsid w:val="5B4D2182"/>
    <w:rsid w:val="5B7F1044"/>
    <w:rsid w:val="5BF74357"/>
    <w:rsid w:val="5BFAA75E"/>
    <w:rsid w:val="5DEB3749"/>
    <w:rsid w:val="5F7C3793"/>
    <w:rsid w:val="5FEFE788"/>
    <w:rsid w:val="5FF7D067"/>
    <w:rsid w:val="5FFCB25E"/>
    <w:rsid w:val="5FFF83B5"/>
    <w:rsid w:val="623C773F"/>
    <w:rsid w:val="63E365E0"/>
    <w:rsid w:val="667F96DE"/>
    <w:rsid w:val="67EDB325"/>
    <w:rsid w:val="67F9257D"/>
    <w:rsid w:val="67FFEBDC"/>
    <w:rsid w:val="697C456F"/>
    <w:rsid w:val="6AFF5049"/>
    <w:rsid w:val="6BF515FB"/>
    <w:rsid w:val="6CF8C6DC"/>
    <w:rsid w:val="6DFF6CC1"/>
    <w:rsid w:val="6EF55624"/>
    <w:rsid w:val="6FA700F9"/>
    <w:rsid w:val="6FB6E7DC"/>
    <w:rsid w:val="6FBFE847"/>
    <w:rsid w:val="6FF90770"/>
    <w:rsid w:val="6FFFE2BF"/>
    <w:rsid w:val="7022B480"/>
    <w:rsid w:val="72B6BCCF"/>
    <w:rsid w:val="72E17313"/>
    <w:rsid w:val="73BFAA29"/>
    <w:rsid w:val="73C7A237"/>
    <w:rsid w:val="74292932"/>
    <w:rsid w:val="7527920A"/>
    <w:rsid w:val="759ED503"/>
    <w:rsid w:val="763A580D"/>
    <w:rsid w:val="76FDCC9E"/>
    <w:rsid w:val="77302980"/>
    <w:rsid w:val="776B5963"/>
    <w:rsid w:val="77A7F7DF"/>
    <w:rsid w:val="77BF9E6B"/>
    <w:rsid w:val="78DF8F85"/>
    <w:rsid w:val="7A5AA24E"/>
    <w:rsid w:val="7B6BD932"/>
    <w:rsid w:val="7BBC507E"/>
    <w:rsid w:val="7D677441"/>
    <w:rsid w:val="7DFF18CE"/>
    <w:rsid w:val="7DFF2194"/>
    <w:rsid w:val="7DFF6F88"/>
    <w:rsid w:val="7E7F4A4C"/>
    <w:rsid w:val="7EBBCEAA"/>
    <w:rsid w:val="7F57E35A"/>
    <w:rsid w:val="7F5F410E"/>
    <w:rsid w:val="7FB7BD4D"/>
    <w:rsid w:val="7FE604F4"/>
    <w:rsid w:val="7FF51958"/>
    <w:rsid w:val="7FFAE663"/>
    <w:rsid w:val="7FFBD051"/>
    <w:rsid w:val="7FFE2389"/>
    <w:rsid w:val="7FFF223C"/>
    <w:rsid w:val="7FFFBF5B"/>
    <w:rsid w:val="90DED6AF"/>
    <w:rsid w:val="972F38C3"/>
    <w:rsid w:val="9F7F7746"/>
    <w:rsid w:val="9FD7D30D"/>
    <w:rsid w:val="A75DBF49"/>
    <w:rsid w:val="A79B1906"/>
    <w:rsid w:val="AE36004B"/>
    <w:rsid w:val="AFFB6423"/>
    <w:rsid w:val="B6FD5746"/>
    <w:rsid w:val="B78F0096"/>
    <w:rsid w:val="B7EDED0A"/>
    <w:rsid w:val="B7FF6230"/>
    <w:rsid w:val="B84B5F95"/>
    <w:rsid w:val="B8FE2AA6"/>
    <w:rsid w:val="B9FB013B"/>
    <w:rsid w:val="BA8F5EFB"/>
    <w:rsid w:val="BBEE641E"/>
    <w:rsid w:val="BE1473EA"/>
    <w:rsid w:val="BEEF7560"/>
    <w:rsid w:val="BF994404"/>
    <w:rsid w:val="BFDDF2AE"/>
    <w:rsid w:val="BFEF389A"/>
    <w:rsid w:val="BFFDF556"/>
    <w:rsid w:val="C4BE5B5E"/>
    <w:rsid w:val="C6FAEC2D"/>
    <w:rsid w:val="CD7B85D4"/>
    <w:rsid w:val="CF6F43C6"/>
    <w:rsid w:val="CFCFDB3B"/>
    <w:rsid w:val="D8DEEC95"/>
    <w:rsid w:val="DABEC9CD"/>
    <w:rsid w:val="DD7F82D8"/>
    <w:rsid w:val="DEFF175B"/>
    <w:rsid w:val="DF73DFC8"/>
    <w:rsid w:val="DF74065B"/>
    <w:rsid w:val="DF8DA644"/>
    <w:rsid w:val="DF8F83BF"/>
    <w:rsid w:val="DFAEE37F"/>
    <w:rsid w:val="DFBFE2D5"/>
    <w:rsid w:val="DFE62C9D"/>
    <w:rsid w:val="DFF76527"/>
    <w:rsid w:val="DFFF32E3"/>
    <w:rsid w:val="E3BB8939"/>
    <w:rsid w:val="E4F7797A"/>
    <w:rsid w:val="E7F7ABCD"/>
    <w:rsid w:val="EBD7906A"/>
    <w:rsid w:val="EE5BBBD8"/>
    <w:rsid w:val="EF679787"/>
    <w:rsid w:val="EFBFBD40"/>
    <w:rsid w:val="EFFA5020"/>
    <w:rsid w:val="F3FD6893"/>
    <w:rsid w:val="F4FA64F7"/>
    <w:rsid w:val="F5FF5DA9"/>
    <w:rsid w:val="F71D39ED"/>
    <w:rsid w:val="F75E99CC"/>
    <w:rsid w:val="F75F9BD3"/>
    <w:rsid w:val="F7676F02"/>
    <w:rsid w:val="F77F1AC0"/>
    <w:rsid w:val="F7BD1BBE"/>
    <w:rsid w:val="F97F100E"/>
    <w:rsid w:val="FA6DBA6B"/>
    <w:rsid w:val="FAD3CC34"/>
    <w:rsid w:val="FAFDC5BF"/>
    <w:rsid w:val="FB7D0591"/>
    <w:rsid w:val="FBD21ECE"/>
    <w:rsid w:val="FBEF3C6F"/>
    <w:rsid w:val="FBEFE487"/>
    <w:rsid w:val="FBFB59CE"/>
    <w:rsid w:val="FD6EC018"/>
    <w:rsid w:val="FE7FBF45"/>
    <w:rsid w:val="FEF4E0D9"/>
    <w:rsid w:val="FEFF7C41"/>
    <w:rsid w:val="FF458DF3"/>
    <w:rsid w:val="FF497118"/>
    <w:rsid w:val="FF5F8C8C"/>
    <w:rsid w:val="FF69A52C"/>
    <w:rsid w:val="FF77A656"/>
    <w:rsid w:val="FF7E2E12"/>
    <w:rsid w:val="FF7FDEB5"/>
    <w:rsid w:val="FFAD0C65"/>
    <w:rsid w:val="FFAF0018"/>
    <w:rsid w:val="FFB70343"/>
    <w:rsid w:val="FFDA7BAB"/>
    <w:rsid w:val="FFE5291C"/>
    <w:rsid w:val="FFED0262"/>
    <w:rsid w:val="FFFDAE86"/>
    <w:rsid w:val="FFFF7B03"/>
    <w:rsid w:val="FFFF88A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qFormat="1"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0"/>
    <w:qFormat/>
    <w:uiPriority w:val="0"/>
    <w:pPr>
      <w:keepNext/>
      <w:keepLines/>
      <w:widowControl w:val="0"/>
      <w:spacing w:before="340" w:after="330" w:line="578" w:lineRule="auto"/>
      <w:outlineLvl w:val="0"/>
    </w:pPr>
    <w:rPr>
      <w:b/>
      <w:bCs/>
      <w:kern w:val="44"/>
      <w:sz w:val="44"/>
      <w:szCs w:val="44"/>
    </w:rPr>
  </w:style>
  <w:style w:type="paragraph" w:styleId="4">
    <w:name w:val="heading 2"/>
    <w:basedOn w:val="1"/>
    <w:next w:val="1"/>
    <w:link w:val="41"/>
    <w:qFormat/>
    <w:uiPriority w:val="0"/>
    <w:pPr>
      <w:keepNext/>
      <w:keepLines/>
      <w:widowControl w:val="0"/>
      <w:spacing w:before="260" w:after="260" w:line="415" w:lineRule="auto"/>
      <w:outlineLvl w:val="1"/>
    </w:pPr>
    <w:rPr>
      <w:rFonts w:ascii="Cambria" w:hAnsi="Cambria"/>
      <w:b/>
      <w:bCs/>
      <w:sz w:val="32"/>
      <w:szCs w:val="32"/>
    </w:rPr>
  </w:style>
  <w:style w:type="paragraph" w:styleId="5">
    <w:name w:val="heading 3"/>
    <w:basedOn w:val="1"/>
    <w:next w:val="1"/>
    <w:qFormat/>
    <w:uiPriority w:val="0"/>
    <w:pPr>
      <w:keepNext/>
      <w:keepLines/>
      <w:widowControl w:val="0"/>
      <w:spacing w:before="260" w:after="260" w:line="415" w:lineRule="auto"/>
      <w:outlineLvl w:val="2"/>
    </w:pPr>
    <w:rPr>
      <w:b/>
      <w:bCs/>
      <w:sz w:val="32"/>
      <w:szCs w:val="32"/>
    </w:rPr>
  </w:style>
  <w:style w:type="character" w:default="1" w:styleId="28">
    <w:name w:val="Default Paragraph Font"/>
    <w:qFormat/>
    <w:uiPriority w:val="0"/>
  </w:style>
  <w:style w:type="table" w:default="1" w:styleId="27">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qFormat/>
    <w:uiPriority w:val="0"/>
    <w:pPr>
      <w:spacing w:before="30" w:beforeLines="30"/>
    </w:pPr>
    <w:rPr>
      <w:rFonts w:ascii="仿宋_GB2312" w:eastAsia="仿宋_GB2312"/>
      <w:kern w:val="0"/>
      <w:sz w:val="30"/>
    </w:rPr>
  </w:style>
  <w:style w:type="paragraph" w:styleId="6">
    <w:name w:val="index 8"/>
    <w:basedOn w:val="1"/>
    <w:next w:val="1"/>
    <w:qFormat/>
    <w:uiPriority w:val="0"/>
    <w:pPr>
      <w:ind w:left="2940"/>
    </w:pPr>
  </w:style>
  <w:style w:type="paragraph" w:styleId="7">
    <w:name w:val="Normal Indent"/>
    <w:basedOn w:val="1"/>
    <w:qFormat/>
    <w:uiPriority w:val="0"/>
    <w:pPr>
      <w:widowControl w:val="0"/>
      <w:ind w:firstLine="420"/>
      <w:jc w:val="both"/>
    </w:pPr>
    <w:rPr>
      <w:rFonts w:ascii="Times New Roman" w:hAnsi="Times New Roman" w:eastAsia="宋体" w:cs="Times New Roman"/>
      <w:kern w:val="2"/>
      <w:sz w:val="21"/>
      <w:szCs w:val="20"/>
      <w:lang w:val="en-US" w:eastAsia="zh-CN" w:bidi="ar-SA"/>
    </w:rPr>
  </w:style>
  <w:style w:type="paragraph" w:styleId="8">
    <w:name w:val="index 5"/>
    <w:basedOn w:val="1"/>
    <w:next w:val="1"/>
    <w:autoRedefine/>
    <w:qFormat/>
    <w:uiPriority w:val="0"/>
    <w:pPr>
      <w:widowControl w:val="0"/>
      <w:ind w:left="1680"/>
      <w:jc w:val="both"/>
    </w:pPr>
    <w:rPr>
      <w:rFonts w:ascii="Times New Roman" w:hAnsi="Times New Roman" w:eastAsia="宋体" w:cs="Times New Roman"/>
      <w:kern w:val="2"/>
      <w:sz w:val="21"/>
      <w:szCs w:val="24"/>
      <w:lang w:val="en-US" w:eastAsia="zh-CN" w:bidi="ar-SA"/>
    </w:rPr>
  </w:style>
  <w:style w:type="paragraph" w:styleId="9">
    <w:name w:val="Salutation"/>
    <w:basedOn w:val="1"/>
    <w:next w:val="1"/>
    <w:qFormat/>
    <w:uiPriority w:val="0"/>
    <w:pPr>
      <w:kinsoku w:val="0"/>
      <w:autoSpaceDE w:val="0"/>
      <w:autoSpaceDN w:val="0"/>
      <w:adjustRightInd w:val="0"/>
      <w:snapToGrid w:val="0"/>
      <w:spacing w:before="0" w:beforeAutospacing="0" w:after="0" w:afterAutospacing="0"/>
      <w:ind w:left="0" w:right="0"/>
      <w:jc w:val="left"/>
      <w:textAlignment w:val="baseline"/>
    </w:pPr>
    <w:rPr>
      <w:rFonts w:hint="default" w:ascii="Arial" w:hAnsi="Arial" w:cs="Arial"/>
      <w:snapToGrid/>
      <w:color w:val="000000"/>
      <w:kern w:val="0"/>
      <w:sz w:val="21"/>
      <w:szCs w:val="21"/>
      <w:lang w:val="en-US" w:eastAsia="zh-CN" w:bidi="ar"/>
    </w:rPr>
  </w:style>
  <w:style w:type="paragraph" w:styleId="10">
    <w:name w:val="Body Text Indent"/>
    <w:basedOn w:val="1"/>
    <w:next w:val="11"/>
    <w:qFormat/>
    <w:uiPriority w:val="0"/>
    <w:pPr>
      <w:spacing w:after="120"/>
      <w:ind w:left="420"/>
    </w:pPr>
  </w:style>
  <w:style w:type="paragraph" w:styleId="11">
    <w:name w:val="Body Text First Indent 2"/>
    <w:basedOn w:val="10"/>
    <w:qFormat/>
    <w:uiPriority w:val="0"/>
    <w:pPr>
      <w:widowControl w:val="0"/>
      <w:spacing w:after="120"/>
      <w:ind w:left="200" w:leftChars="200" w:firstLine="200" w:firstLineChars="200"/>
      <w:jc w:val="both"/>
    </w:pPr>
    <w:rPr>
      <w:rFonts w:ascii="Times New Roman" w:hAnsi="Times New Roman" w:eastAsia="仿宋_GB2312" w:cs="Times New Roman"/>
      <w:kern w:val="2"/>
      <w:sz w:val="32"/>
      <w:szCs w:val="32"/>
      <w:lang w:val="en-US" w:eastAsia="zh-CN" w:bidi="ar-SA"/>
    </w:rPr>
  </w:style>
  <w:style w:type="paragraph" w:styleId="12">
    <w:name w:val="toc 3"/>
    <w:basedOn w:val="1"/>
    <w:next w:val="1"/>
    <w:qFormat/>
    <w:uiPriority w:val="0"/>
    <w:pPr>
      <w:ind w:left="840"/>
    </w:pPr>
  </w:style>
  <w:style w:type="paragraph" w:styleId="13">
    <w:name w:val="Plain Text"/>
    <w:basedOn w:val="1"/>
    <w:qFormat/>
    <w:uiPriority w:val="0"/>
    <w:rPr>
      <w:rFonts w:ascii="宋体" w:hAnsi="Courier New" w:cs="Times New Roman"/>
    </w:rPr>
  </w:style>
  <w:style w:type="paragraph" w:styleId="14">
    <w:name w:val="Body Text Indent 2"/>
    <w:basedOn w:val="1"/>
    <w:qFormat/>
    <w:uiPriority w:val="0"/>
    <w:pPr>
      <w:spacing w:line="540" w:lineRule="exact"/>
      <w:ind w:firstLine="600"/>
    </w:pPr>
    <w:rPr>
      <w:rFonts w:ascii="Times New Roman" w:hAnsi="Times New Roman" w:cs="Times New Roman"/>
      <w:sz w:val="30"/>
    </w:rPr>
  </w:style>
  <w:style w:type="paragraph" w:styleId="15">
    <w:name w:val="Balloon Text"/>
    <w:basedOn w:val="1"/>
    <w:qFormat/>
    <w:uiPriority w:val="0"/>
    <w:rPr>
      <w:sz w:val="18"/>
      <w:szCs w:val="18"/>
    </w:rPr>
  </w:style>
  <w:style w:type="paragraph" w:styleId="16">
    <w:name w:val="footer"/>
    <w:basedOn w:val="1"/>
    <w:next w:val="1"/>
    <w:qFormat/>
    <w:uiPriority w:val="0"/>
    <w:pPr>
      <w:tabs>
        <w:tab w:val="center" w:pos="4153"/>
        <w:tab w:val="right" w:pos="8306"/>
      </w:tabs>
      <w:snapToGrid w:val="0"/>
      <w:jc w:val="left"/>
    </w:pPr>
    <w:rPr>
      <w:rFonts w:ascii="Calibri" w:hAnsi="Calibri"/>
      <w:kern w:val="0"/>
      <w:sz w:val="18"/>
      <w:szCs w:val="18"/>
    </w:rPr>
  </w:style>
  <w:style w:type="paragraph" w:styleId="17">
    <w:name w:val="header"/>
    <w:basedOn w:val="1"/>
    <w:qFormat/>
    <w:uiPriority w:val="0"/>
    <w:pPr>
      <w:tabs>
        <w:tab w:val="center" w:pos="4153"/>
        <w:tab w:val="right" w:pos="8306"/>
      </w:tabs>
      <w:snapToGrid w:val="0"/>
    </w:pPr>
    <w:rPr>
      <w:sz w:val="18"/>
    </w:rPr>
  </w:style>
  <w:style w:type="paragraph" w:styleId="18">
    <w:name w:val="toc 1"/>
    <w:basedOn w:val="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9">
    <w:name w:val="toc 4"/>
    <w:basedOn w:val="1"/>
    <w:next w:val="1"/>
    <w:autoRedefine/>
    <w:qFormat/>
    <w:uiPriority w:val="0"/>
    <w:pPr>
      <w:ind w:left="1260"/>
    </w:pPr>
  </w:style>
  <w:style w:type="paragraph" w:styleId="20">
    <w:name w:val="footnote text"/>
    <w:basedOn w:val="1"/>
    <w:qFormat/>
    <w:uiPriority w:val="0"/>
    <w:pPr>
      <w:snapToGrid w:val="0"/>
      <w:jc w:val="left"/>
    </w:pPr>
    <w:rPr>
      <w:sz w:val="18"/>
      <w:szCs w:val="18"/>
    </w:rPr>
  </w:style>
  <w:style w:type="paragraph" w:styleId="21">
    <w:name w:val="index 7"/>
    <w:basedOn w:val="1"/>
    <w:next w:val="1"/>
    <w:qFormat/>
    <w:uiPriority w:val="0"/>
    <w:pPr>
      <w:widowControl w:val="0"/>
      <w:ind w:left="2520"/>
      <w:jc w:val="both"/>
    </w:pPr>
    <w:rPr>
      <w:rFonts w:ascii="Calibri" w:hAnsi="Calibri" w:eastAsia="宋体" w:cs="Times New Roman"/>
      <w:kern w:val="2"/>
      <w:sz w:val="21"/>
      <w:szCs w:val="24"/>
      <w:lang w:val="en-US" w:eastAsia="zh-CN" w:bidi="ar-SA"/>
    </w:rPr>
  </w:style>
  <w:style w:type="paragraph" w:styleId="22">
    <w:name w:val="table of figures"/>
    <w:basedOn w:val="1"/>
    <w:next w:val="1"/>
    <w:qFormat/>
    <w:uiPriority w:val="0"/>
    <w:pPr>
      <w:ind w:left="400" w:leftChars="200" w:hanging="200" w:hangingChars="200"/>
    </w:pPr>
  </w:style>
  <w:style w:type="paragraph" w:styleId="23">
    <w:name w:val="toc 2"/>
    <w:basedOn w:val="1"/>
    <w:next w:val="1"/>
    <w:qFormat/>
    <w:uiPriority w:val="0"/>
    <w:pPr>
      <w:ind w:left="420"/>
    </w:pPr>
  </w:style>
  <w:style w:type="paragraph" w:styleId="24">
    <w:name w:val="Normal (Web)"/>
    <w:basedOn w:val="1"/>
    <w:qFormat/>
    <w:uiPriority w:val="0"/>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before="100" w:beforeAutospacing="1" w:after="100" w:afterAutospacing="1" w:line="240" w:lineRule="auto"/>
      <w:ind w:left="0" w:right="0" w:firstLine="0"/>
      <w:contextualSpacing w:val="0"/>
      <w:jc w:val="left"/>
      <w:textAlignment w:val="auto"/>
      <w:outlineLvl w:val="9"/>
    </w:pPr>
    <w:rPr>
      <w:rFonts w:ascii="宋体" w:hAnsi="文泉驿微米黑" w:eastAsia="宋体" w:cs="文泉驿微米黑"/>
      <w:snapToGrid/>
      <w:color w:val="auto"/>
      <w:spacing w:val="0"/>
      <w:w w:val="100"/>
      <w:kern w:val="0"/>
      <w:position w:val="0"/>
      <w:sz w:val="24"/>
      <w:szCs w:val="21"/>
      <w:u w:val="none" w:color="auto"/>
      <w:vertAlign w:val="baseline"/>
      <w:lang w:val="en-US" w:eastAsia="zh-CN" w:bidi="ar-SA"/>
    </w:rPr>
  </w:style>
  <w:style w:type="paragraph" w:styleId="25">
    <w:name w:val="Title"/>
    <w:basedOn w:val="1"/>
    <w:qFormat/>
    <w:uiPriority w:val="0"/>
    <w:pPr>
      <w:spacing w:before="240" w:after="60"/>
      <w:jc w:val="center"/>
      <w:outlineLvl w:val="0"/>
    </w:pPr>
    <w:rPr>
      <w:rFonts w:ascii="Arial" w:hAnsi="Arial" w:eastAsia="宋体" w:cs="Arial"/>
      <w:bCs/>
    </w:rPr>
  </w:style>
  <w:style w:type="paragraph" w:styleId="26">
    <w:name w:val="Body Text First Indent"/>
    <w:basedOn w:val="2"/>
    <w:qFormat/>
    <w:uiPriority w:val="0"/>
    <w:pPr>
      <w:ind w:firstLine="100" w:firstLineChars="100"/>
    </w:pPr>
  </w:style>
  <w:style w:type="character" w:styleId="29">
    <w:name w:val="Strong"/>
    <w:basedOn w:val="28"/>
    <w:qFormat/>
    <w:uiPriority w:val="99"/>
    <w:rPr>
      <w:b/>
    </w:rPr>
  </w:style>
  <w:style w:type="character" w:styleId="30">
    <w:name w:val="page number"/>
    <w:basedOn w:val="28"/>
    <w:qFormat/>
    <w:uiPriority w:val="0"/>
  </w:style>
  <w:style w:type="character" w:styleId="31">
    <w:name w:val="Hyperlink"/>
    <w:basedOn w:val="28"/>
    <w:qFormat/>
    <w:uiPriority w:val="0"/>
    <w:rPr>
      <w:color w:val="0000FF"/>
      <w:u w:val="single"/>
    </w:rPr>
  </w:style>
  <w:style w:type="character" w:customStyle="1" w:styleId="32">
    <w:name w:val="heading 1 Char"/>
    <w:basedOn w:val="28"/>
    <w:link w:val="3"/>
    <w:qFormat/>
    <w:uiPriority w:val="0"/>
    <w:rPr>
      <w:rFonts w:ascii="Times New Roman" w:hAnsi="Times New Roman" w:eastAsia="宋体" w:cs="Times New Roman"/>
      <w:b/>
      <w:bCs/>
      <w:kern w:val="44"/>
      <w:sz w:val="44"/>
      <w:szCs w:val="44"/>
      <w:lang w:val="en-US" w:eastAsia="zh-CN" w:bidi="ar-SA"/>
    </w:rPr>
  </w:style>
  <w:style w:type="character" w:customStyle="1" w:styleId="33">
    <w:name w:val="heading 2 Char"/>
    <w:basedOn w:val="28"/>
    <w:link w:val="4"/>
    <w:qFormat/>
    <w:uiPriority w:val="0"/>
    <w:rPr>
      <w:rFonts w:ascii="Cambria" w:hAnsi="Cambria" w:eastAsia="宋体" w:cs="Times New Roman"/>
      <w:b/>
      <w:bCs/>
      <w:kern w:val="2"/>
      <w:sz w:val="32"/>
      <w:szCs w:val="32"/>
      <w:lang w:val="en-US" w:eastAsia="zh-CN" w:bidi="ar-SA"/>
    </w:rPr>
  </w:style>
  <w:style w:type="paragraph" w:customStyle="1" w:styleId="34">
    <w:name w:val="WPSOffice手动目录 1"/>
    <w:qFormat/>
    <w:uiPriority w:val="0"/>
    <w:rPr>
      <w:rFonts w:ascii="Calibri" w:hAnsi="Calibri" w:eastAsia="宋体" w:cs="Arial"/>
      <w:sz w:val="20"/>
      <w:szCs w:val="20"/>
      <w:lang w:val="en-US" w:eastAsia="zh-CN" w:bidi="ar-SA"/>
    </w:rPr>
  </w:style>
  <w:style w:type="paragraph" w:customStyle="1" w:styleId="35">
    <w:name w:val="WPSOffice手动目录 2"/>
    <w:qFormat/>
    <w:uiPriority w:val="0"/>
    <w:pPr>
      <w:ind w:left="200" w:leftChars="200"/>
    </w:pPr>
    <w:rPr>
      <w:rFonts w:ascii="Calibri" w:hAnsi="Calibri" w:eastAsia="宋体" w:cs="Arial"/>
      <w:sz w:val="20"/>
      <w:szCs w:val="20"/>
      <w:lang w:val="en-US" w:eastAsia="zh-CN" w:bidi="ar-SA"/>
    </w:rPr>
  </w:style>
  <w:style w:type="paragraph" w:customStyle="1" w:styleId="36">
    <w:name w:val="四号正文"/>
    <w:basedOn w:val="1"/>
    <w:qFormat/>
    <w:uiPriority w:val="0"/>
    <w:pPr>
      <w:widowControl w:val="0"/>
      <w:suppressAutoHyphens/>
      <w:bidi w:val="0"/>
      <w:spacing w:line="360" w:lineRule="auto"/>
      <w:jc w:val="both"/>
    </w:pPr>
    <w:rPr>
      <w:rFonts w:ascii="??" w:hAnsi="??" w:eastAsia="宋体" w:cs="Times New Roman"/>
      <w:color w:val="000000"/>
      <w:kern w:val="0"/>
      <w:sz w:val="28"/>
      <w:szCs w:val="21"/>
      <w:lang w:val="zh-CN" w:eastAsia="zh-CN" w:bidi="ar-SA"/>
    </w:rPr>
  </w:style>
  <w:style w:type="paragraph" w:customStyle="1" w:styleId="37">
    <w:name w:val="标题 5（有编号）（绿盟科技）"/>
    <w:qFormat/>
    <w:uiPriority w:val="0"/>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paragraph" w:customStyle="1" w:styleId="38">
    <w:name w:val="BodyText1I2"/>
    <w:basedOn w:val="39"/>
    <w:next w:val="1"/>
    <w:autoRedefine/>
    <w:qFormat/>
    <w:uiPriority w:val="0"/>
    <w:pPr>
      <w:widowControl w:val="0"/>
      <w:spacing w:before="100" w:beforeAutospacing="1" w:after="100" w:afterAutospacing="1"/>
      <w:ind w:left="200" w:leftChars="200" w:firstLine="200" w:firstLineChars="200"/>
      <w:jc w:val="both"/>
      <w:textAlignment w:val="baseline"/>
    </w:pPr>
    <w:rPr>
      <w:rFonts w:ascii="Calibri" w:hAnsi="Calibri" w:eastAsia="宋体" w:cs="黑体"/>
      <w:kern w:val="2"/>
      <w:sz w:val="21"/>
      <w:szCs w:val="24"/>
      <w:lang w:val="en-US" w:eastAsia="zh-CN" w:bidi="ar-SA"/>
    </w:rPr>
  </w:style>
  <w:style w:type="paragraph" w:customStyle="1" w:styleId="39">
    <w:name w:val="BodyTextIndent"/>
    <w:basedOn w:val="1"/>
    <w:qFormat/>
    <w:uiPriority w:val="0"/>
    <w:pPr>
      <w:widowControl/>
      <w:spacing w:line="360" w:lineRule="auto"/>
      <w:ind w:firstLine="200" w:firstLineChars="200"/>
      <w:jc w:val="left"/>
      <w:textAlignment w:val="baseline"/>
    </w:pPr>
    <w:rPr>
      <w:rFonts w:ascii="仿宋" w:hAnsi="仿宋" w:eastAsia="仿宋" w:cs="宋体"/>
      <w:bCs/>
      <w:kern w:val="0"/>
      <w:sz w:val="30"/>
      <w:szCs w:val="30"/>
    </w:rPr>
  </w:style>
  <w:style w:type="character" w:customStyle="1" w:styleId="40">
    <w:name w:val="标题 1 Char"/>
    <w:basedOn w:val="28"/>
    <w:link w:val="3"/>
    <w:qFormat/>
    <w:uiPriority w:val="9"/>
    <w:rPr>
      <w:b/>
      <w:bCs/>
      <w:kern w:val="44"/>
      <w:sz w:val="44"/>
      <w:szCs w:val="44"/>
    </w:rPr>
  </w:style>
  <w:style w:type="character" w:customStyle="1" w:styleId="41">
    <w:name w:val="标题 2 Char"/>
    <w:basedOn w:val="28"/>
    <w:link w:val="4"/>
    <w:qFormat/>
    <w:uiPriority w:val="9"/>
    <w:rPr>
      <w:rFonts w:ascii="Cambria" w:hAnsi="Cambria" w:eastAsia="宋体" w:cs="Times New Roman"/>
      <w:b/>
      <w:bCs/>
      <w:sz w:val="32"/>
      <w:szCs w:val="32"/>
    </w:rPr>
  </w:style>
  <w:style w:type="paragraph" w:styleId="42">
    <w:name w:val="List Paragraph"/>
    <w:basedOn w:val="1"/>
    <w:qFormat/>
    <w:uiPriority w:val="34"/>
    <w:pPr>
      <w:ind w:firstLine="420" w:firstLineChars="200"/>
    </w:pPr>
  </w:style>
  <w:style w:type="paragraph" w:customStyle="1" w:styleId="43">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44">
    <w:name w:val="Table Text"/>
    <w:basedOn w:val="1"/>
    <w:qFormat/>
    <w:uiPriority w:val="0"/>
    <w:rPr>
      <w:rFonts w:ascii="宋体" w:hAnsi="宋体" w:eastAsia="宋体" w:cs="宋体"/>
      <w:sz w:val="20"/>
      <w:szCs w:val="20"/>
    </w:rPr>
  </w:style>
  <w:style w:type="paragraph" w:customStyle="1" w:styleId="45">
    <w:name w:val="实施方案正文"/>
    <w:basedOn w:val="1"/>
    <w:qFormat/>
    <w:uiPriority w:val="0"/>
    <w:pPr>
      <w:ind w:firstLine="202" w:firstLineChars="202"/>
    </w:pPr>
    <w:rPr>
      <w:rFonts w:ascii="等线" w:hAnsi="等线" w:eastAsia="等线"/>
      <w:szCs w:val="28"/>
    </w:rPr>
  </w:style>
  <w:style w:type="character" w:customStyle="1" w:styleId="46">
    <w:name w:val="font11"/>
    <w:basedOn w:val="28"/>
    <w:qFormat/>
    <w:uiPriority w:val="0"/>
    <w:rPr>
      <w:rFonts w:ascii="宋体" w:hAnsi="宋体" w:eastAsia="宋体" w:cs="宋体"/>
      <w:color w:val="000000"/>
      <w:sz w:val="20"/>
      <w:szCs w:val="20"/>
      <w:u w:val="none"/>
    </w:rPr>
  </w:style>
  <w:style w:type="character" w:customStyle="1" w:styleId="47">
    <w:name w:val="font31"/>
    <w:basedOn w:val="28"/>
    <w:qFormat/>
    <w:uiPriority w:val="0"/>
    <w:rPr>
      <w:rFonts w:ascii="宋体" w:hAnsi="宋体" w:eastAsia="宋体" w:cs="宋体"/>
      <w:color w:val="000000"/>
      <w:sz w:val="20"/>
      <w:szCs w:val="20"/>
      <w:u w:val="none"/>
    </w:rPr>
  </w:style>
  <w:style w:type="character" w:customStyle="1" w:styleId="48">
    <w:name w:val="font41"/>
    <w:basedOn w:val="28"/>
    <w:qFormat/>
    <w:uiPriority w:val="0"/>
    <w:rPr>
      <w:rFonts w:ascii="宋体" w:hAnsi="宋体" w:eastAsia="宋体" w:cs="宋体"/>
      <w:color w:val="000000"/>
      <w:sz w:val="18"/>
      <w:szCs w:val="18"/>
      <w:u w:val="none"/>
    </w:rPr>
  </w:style>
  <w:style w:type="character" w:customStyle="1" w:styleId="49">
    <w:name w:val="font21"/>
    <w:basedOn w:val="28"/>
    <w:qFormat/>
    <w:uiPriority w:val="0"/>
    <w:rPr>
      <w:rFonts w:ascii="宋体" w:hAnsi="宋体" w:eastAsia="宋体" w:cs="宋体"/>
      <w:color w:val="000000"/>
      <w:sz w:val="21"/>
      <w:szCs w:val="21"/>
      <w:u w:val="none"/>
    </w:rPr>
  </w:style>
  <w:style w:type="character" w:customStyle="1" w:styleId="50">
    <w:name w:val="font51"/>
    <w:basedOn w:val="28"/>
    <w:qFormat/>
    <w:uiPriority w:val="0"/>
    <w:rPr>
      <w:rFonts w:ascii="Arial" w:hAnsi="Arial" w:cs="Arial"/>
      <w:color w:val="000000"/>
      <w:sz w:val="20"/>
      <w:szCs w:val="20"/>
      <w:u w:val="none"/>
    </w:rPr>
  </w:style>
  <w:style w:type="paragraph" w:customStyle="1" w:styleId="51">
    <w:name w:val="附件标题-1"/>
    <w:basedOn w:val="1"/>
    <w:next w:val="1"/>
    <w:qFormat/>
    <w:uiPriority w:val="0"/>
    <w:pPr>
      <w:spacing w:before="50" w:beforeLines="50" w:after="50" w:afterLines="50"/>
      <w:jc w:val="center"/>
    </w:pPr>
    <w:rPr>
      <w:rFonts w:ascii="Times New Roman" w:hAnsi="Times New Roman" w:eastAsia="黑体"/>
    </w:rPr>
  </w:style>
  <w:style w:type="character" w:customStyle="1" w:styleId="52">
    <w:name w:val="font01"/>
    <w:basedOn w:val="28"/>
    <w:qFormat/>
    <w:uiPriority w:val="0"/>
    <w:rPr>
      <w:rFonts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224</Pages>
  <Words>15230</Words>
  <Characters>16545</Characters>
  <Lines>1</Lines>
  <Paragraphs>1</Paragraphs>
  <TotalTime>5</TotalTime>
  <ScaleCrop>false</ScaleCrop>
  <LinksUpToDate>false</LinksUpToDate>
  <CharactersWithSpaces>16712</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2023-09-26T01:18:00Z</dcterms:created>
  <dc:creator>杜一笔</dc:creator>
  <cp:lastModifiedBy>SHilyRrr</cp:lastModifiedBy>
  <dcterms:modified xsi:type="dcterms:W3CDTF">2025-09-28T09:49:01Z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AB932A9AEED19839F129C168F103F564_43</vt:lpwstr>
  </property>
  <property fmtid="{D5CDD505-2E9C-101B-9397-08002B2CF9AE}" pid="4" name="KSOTemplateDocerSaveRecord">
    <vt:lpwstr>eyJoZGlkIjoiZjkxYTFjYmNmZmY5YTMyNTViMWY0MjcwYzQ2YTI2YzEiLCJ1c2VySWQiOiI2MzA0MjgzNDUifQ==</vt:lpwstr>
  </property>
</Properties>
</file>