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s="Times New Roman"/>
          <w:color w:val="000000"/>
          <w:sz w:val="52"/>
          <w:szCs w:val="52"/>
        </w:rPr>
      </w:pPr>
    </w:p>
    <w:p>
      <w:pPr>
        <w:spacing w:line="600" w:lineRule="exact"/>
        <w:jc w:val="center"/>
        <w:outlineLvl w:val="0"/>
        <w:rPr>
          <w:rFonts w:ascii="方正小标宋简体" w:hAnsi="宋体" w:eastAsia="方正小标宋简体" w:cs="Times New Roman"/>
          <w:color w:val="000000"/>
          <w:sz w:val="48"/>
          <w:szCs w:val="48"/>
        </w:rPr>
      </w:pPr>
      <w:bookmarkStart w:id="1" w:name="_Toc15396597"/>
      <w:bookmarkStart w:id="2" w:name="_Toc15377193"/>
      <w:bookmarkStart w:id="3" w:name="_Toc15377425"/>
      <w:bookmarkStart w:id="4" w:name="_Toc15396475"/>
      <w:bookmarkStart w:id="5" w:name="_Toc15378441"/>
      <w:r>
        <w:rPr>
          <w:rFonts w:ascii="方正小标宋简体" w:hAnsi="宋体" w:eastAsia="方正小标宋简体" w:cs="Times New Roman"/>
          <w:color w:val="000000"/>
          <w:sz w:val="48"/>
          <w:szCs w:val="48"/>
        </w:rPr>
        <w:t>2020</w:t>
      </w:r>
      <w:r>
        <w:rPr>
          <w:rFonts w:hint="eastAsia" w:ascii="方正小标宋简体" w:hAnsi="宋体" w:eastAsia="方正小标宋简体" w:cs="Times New Roman"/>
          <w:color w:val="000000"/>
          <w:sz w:val="48"/>
          <w:szCs w:val="48"/>
        </w:rPr>
        <w:t>年度</w:t>
      </w:r>
      <w:bookmarkEnd w:id="1"/>
      <w:bookmarkEnd w:id="2"/>
      <w:bookmarkEnd w:id="3"/>
      <w:bookmarkEnd w:id="4"/>
      <w:bookmarkEnd w:id="5"/>
    </w:p>
    <w:bookmarkEnd w:id="0"/>
    <w:p>
      <w:pPr>
        <w:spacing w:line="600" w:lineRule="exact"/>
        <w:jc w:val="center"/>
        <w:outlineLvl w:val="0"/>
        <w:rPr>
          <w:rFonts w:ascii="方正小标宋简体" w:hAnsi="宋体" w:eastAsia="方正小标宋简体" w:cs="Times New Roman"/>
          <w:color w:val="000000"/>
          <w:sz w:val="48"/>
          <w:szCs w:val="48"/>
        </w:rPr>
      </w:pPr>
      <w:r>
        <w:rPr>
          <w:rFonts w:hint="eastAsia" w:ascii="方正小标宋简体" w:hAnsi="宋体" w:eastAsia="方正小标宋简体" w:cs="Times New Roman"/>
          <w:color w:val="000000"/>
          <w:sz w:val="48"/>
          <w:szCs w:val="48"/>
        </w:rPr>
        <w:t>广元市利州区</w:t>
      </w:r>
      <w:bookmarkStart w:id="6" w:name="_Toc15306268"/>
      <w:r>
        <w:rPr>
          <w:rFonts w:hint="eastAsia" w:ascii="方正小标宋简体" w:hAnsi="宋体" w:eastAsia="方正小标宋简体" w:cs="Times New Roman"/>
          <w:color w:val="000000"/>
          <w:sz w:val="48"/>
          <w:szCs w:val="48"/>
        </w:rPr>
        <w:t>卫生和计划生育</w:t>
      </w:r>
      <w:r>
        <w:rPr>
          <w:rFonts w:hint="eastAsia" w:ascii="方正小标宋简体" w:hAnsi="宋体" w:eastAsia="方正小标宋简体" w:cs="Times New Roman"/>
          <w:color w:val="000000"/>
          <w:sz w:val="48"/>
          <w:szCs w:val="48"/>
          <w:lang w:eastAsia="zh-CN"/>
        </w:rPr>
        <w:t>监督</w:t>
      </w:r>
      <w:r>
        <w:rPr>
          <w:rFonts w:hint="eastAsia" w:ascii="方正小标宋简体" w:hAnsi="宋体" w:eastAsia="方正小标宋简体" w:cs="Times New Roman"/>
          <w:color w:val="000000"/>
          <w:sz w:val="48"/>
          <w:szCs w:val="48"/>
        </w:rPr>
        <w:t>执法大队部门决算</w:t>
      </w:r>
      <w:bookmarkEnd w:id="6"/>
    </w:p>
    <w:p>
      <w:pPr>
        <w:pageBreakBefore w:val="0"/>
        <w:widowControl/>
        <w:kinsoku/>
        <w:wordWrap/>
        <w:overflowPunct/>
        <w:topLinePunct w:val="0"/>
        <w:autoSpaceDE/>
        <w:autoSpaceDN/>
        <w:bidi w:val="0"/>
        <w:spacing w:line="576" w:lineRule="exact"/>
        <w:ind w:left="0" w:leftChars="0" w:right="0" w:firstLine="720" w:firstLineChars="200"/>
        <w:jc w:val="center"/>
        <w:textAlignment w:val="auto"/>
        <w:rPr>
          <w:rFonts w:hint="eastAsia" w:ascii="方正小标宋简体" w:hAnsi="方正小标宋简体" w:eastAsia="方正小标宋简体" w:cs="方正小标宋简体"/>
          <w:color w:val="auto"/>
          <w:sz w:val="44"/>
          <w:szCs w:val="44"/>
        </w:rPr>
      </w:pPr>
      <w:r>
        <w:rPr>
          <w:rFonts w:ascii="方正小标宋简体" w:hAnsi="宋体" w:eastAsia="方正小标宋简体"/>
          <w:color w:val="000000"/>
          <w:sz w:val="36"/>
          <w:szCs w:val="36"/>
        </w:rPr>
        <w:br w:type="page"/>
      </w: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pPr>
        <w:pStyle w:val="11"/>
        <w:pageBreakBefore w:val="0"/>
        <w:kinsoku/>
        <w:wordWrap/>
        <w:overflowPunct/>
        <w:topLinePunct w:val="0"/>
        <w:autoSpaceDE/>
        <w:autoSpaceDN/>
        <w:bidi w:val="0"/>
        <w:spacing w:before="0" w:line="576" w:lineRule="exact"/>
        <w:ind w:left="0" w:leftChars="0" w:right="0" w:firstLine="640" w:firstLineChars="200"/>
        <w:textAlignment w:val="auto"/>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公开时间：202</w:t>
      </w:r>
      <w:r>
        <w:rPr>
          <w:rFonts w:hint="eastAsia" w:ascii="方正楷体简体" w:hAnsi="方正楷体简体" w:eastAsia="方正楷体简体" w:cs="方正楷体简体"/>
          <w:color w:val="auto"/>
          <w:sz w:val="32"/>
          <w:szCs w:val="32"/>
          <w:lang w:val="en-US" w:eastAsia="zh-CN"/>
        </w:rPr>
        <w:t>1</w:t>
      </w:r>
      <w:r>
        <w:rPr>
          <w:rFonts w:hint="eastAsia" w:ascii="方正楷体简体" w:hAnsi="方正楷体简体" w:eastAsia="方正楷体简体" w:cs="方正楷体简体"/>
          <w:color w:val="auto"/>
          <w:sz w:val="32"/>
          <w:szCs w:val="32"/>
        </w:rPr>
        <w:t>年</w:t>
      </w:r>
      <w:r>
        <w:rPr>
          <w:rFonts w:hint="eastAsia" w:ascii="方正楷体简体" w:hAnsi="方正楷体简体" w:eastAsia="方正楷体简体" w:cs="方正楷体简体"/>
          <w:color w:val="auto"/>
          <w:sz w:val="32"/>
          <w:szCs w:val="32"/>
          <w:lang w:val="en-US" w:eastAsia="zh-CN"/>
        </w:rPr>
        <w:t>10</w:t>
      </w:r>
      <w:r>
        <w:rPr>
          <w:rFonts w:hint="eastAsia" w:ascii="方正楷体简体" w:hAnsi="方正楷体简体" w:eastAsia="方正楷体简体" w:cs="方正楷体简体"/>
          <w:color w:val="auto"/>
          <w:sz w:val="32"/>
          <w:szCs w:val="32"/>
        </w:rPr>
        <w:t>月</w:t>
      </w:r>
      <w:r>
        <w:rPr>
          <w:rFonts w:hint="eastAsia" w:ascii="方正楷体简体" w:hAnsi="方正楷体简体" w:eastAsia="方正楷体简体" w:cs="方正楷体简体"/>
          <w:color w:val="auto"/>
          <w:sz w:val="32"/>
          <w:szCs w:val="32"/>
          <w:lang w:val="en-US" w:eastAsia="zh-CN"/>
        </w:rPr>
        <w:t>14</w:t>
      </w:r>
      <w:r>
        <w:rPr>
          <w:rFonts w:hint="eastAsia" w:ascii="方正楷体简体" w:hAnsi="方正楷体简体" w:eastAsia="方正楷体简体" w:cs="方正楷体简体"/>
          <w:color w:val="auto"/>
          <w:sz w:val="32"/>
          <w:szCs w:val="32"/>
        </w:rPr>
        <w:t>日</w:t>
      </w:r>
    </w:p>
    <w:p>
      <w:pPr>
        <w:pStyle w:val="11"/>
        <w:pageBreakBefore w:val="0"/>
        <w:kinsoku/>
        <w:wordWrap/>
        <w:overflowPunct/>
        <w:topLinePunct w:val="0"/>
        <w:autoSpaceDE/>
        <w:autoSpaceDN/>
        <w:bidi w:val="0"/>
        <w:adjustRightInd w:val="0"/>
        <w:snapToGrid w:val="0"/>
        <w:spacing w:before="0" w:line="576" w:lineRule="exact"/>
        <w:ind w:left="0" w:leftChars="0" w:right="0" w:firstLine="640" w:firstLineChars="200"/>
        <w:jc w:val="distribute"/>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rPr>
        <w:t>第一部分 部门</w:t>
      </w:r>
      <w:r>
        <w:rPr>
          <w:rFonts w:hint="eastAsia" w:ascii="方正黑体简体" w:hAnsi="方正黑体简体" w:eastAsia="方正黑体简体" w:cs="方正黑体简体"/>
          <w:color w:val="auto"/>
          <w:sz w:val="32"/>
          <w:szCs w:val="32"/>
          <w:lang w:eastAsia="zh-CN"/>
        </w:rPr>
        <w:t>概</w:t>
      </w:r>
      <w:r>
        <w:rPr>
          <w:rFonts w:hint="eastAsia" w:ascii="方正黑体简体" w:hAnsi="方正黑体简体" w:eastAsia="方正黑体简体" w:cs="方正黑体简体"/>
          <w:color w:val="auto"/>
          <w:sz w:val="32"/>
          <w:szCs w:val="32"/>
        </w:rPr>
        <w:t>况</w:t>
      </w:r>
      <w:r>
        <w:rPr>
          <w:rFonts w:hint="eastAsia" w:ascii="方正黑体简体" w:hAnsi="方正黑体简体" w:eastAsia="方正黑体简体" w:cs="方正黑体简体"/>
          <w:color w:val="auto"/>
          <w:sz w:val="32"/>
          <w:szCs w:val="32"/>
          <w:lang w:val="en-US" w:eastAsia="zh-CN"/>
        </w:rPr>
        <w:t>.................................................04</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一、基本职能及主要工作</w:t>
      </w:r>
      <w:r>
        <w:rPr>
          <w:rFonts w:hint="eastAsia" w:ascii="方正仿宋简体" w:hAnsi="方正仿宋简体" w:eastAsia="方正仿宋简体" w:cs="方正仿宋简体"/>
          <w:color w:val="auto"/>
          <w:sz w:val="32"/>
          <w:szCs w:val="32"/>
          <w:lang w:val="en-US" w:eastAsia="zh-CN"/>
        </w:rPr>
        <w:t>..............................................04</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二、机构设置</w:t>
      </w:r>
      <w:r>
        <w:rPr>
          <w:rFonts w:hint="eastAsia" w:ascii="方正仿宋简体" w:hAnsi="方正仿宋简体" w:eastAsia="方正仿宋简体" w:cs="方正仿宋简体"/>
          <w:color w:val="auto"/>
          <w:sz w:val="32"/>
          <w:szCs w:val="32"/>
          <w:lang w:val="en-US" w:eastAsia="zh-CN"/>
        </w:rPr>
        <w:t>...............................................................04</w:t>
      </w:r>
    </w:p>
    <w:p>
      <w:pPr>
        <w:pStyle w:val="11"/>
        <w:pageBreakBefore w:val="0"/>
        <w:kinsoku/>
        <w:wordWrap/>
        <w:overflowPunct/>
        <w:topLinePunct w:val="0"/>
        <w:autoSpaceDE/>
        <w:autoSpaceDN/>
        <w:bidi w:val="0"/>
        <w:adjustRightInd w:val="0"/>
        <w:snapToGrid w:val="0"/>
        <w:spacing w:before="0" w:line="576" w:lineRule="exact"/>
        <w:ind w:left="0" w:leftChars="0" w:right="0" w:firstLine="640" w:firstLineChars="200"/>
        <w:jc w:val="distribute"/>
        <w:textAlignment w:val="auto"/>
        <w:rPr>
          <w:rFonts w:hint="default"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rPr>
        <w:t>第二部分</w:t>
      </w:r>
      <w:r>
        <w:rPr>
          <w:rFonts w:hint="eastAsia" w:ascii="方正黑体简体" w:hAnsi="方正黑体简体" w:eastAsia="方正黑体简体" w:cs="方正黑体简体"/>
          <w:color w:val="auto"/>
          <w:sz w:val="32"/>
          <w:szCs w:val="32"/>
          <w:lang w:val="en-US" w:eastAsia="zh-CN"/>
        </w:rPr>
        <w:t xml:space="preserve"> </w:t>
      </w:r>
      <w:r>
        <w:rPr>
          <w:rFonts w:hint="eastAsia" w:ascii="方正黑体简体" w:hAnsi="方正黑体简体" w:eastAsia="方正黑体简体" w:cs="方正黑体简体"/>
          <w:color w:val="auto"/>
          <w:sz w:val="32"/>
          <w:szCs w:val="32"/>
        </w:rPr>
        <w:t>部门决算情况</w:t>
      </w:r>
      <w:r>
        <w:rPr>
          <w:rFonts w:hint="eastAsia" w:ascii="方正黑体简体" w:hAnsi="方正黑体简体" w:eastAsia="方正黑体简体" w:cs="方正黑体简体"/>
          <w:color w:val="auto"/>
          <w:sz w:val="32"/>
          <w:szCs w:val="32"/>
          <w:lang w:eastAsia="zh-CN"/>
        </w:rPr>
        <w:t>说</w:t>
      </w:r>
      <w:r>
        <w:rPr>
          <w:rFonts w:hint="eastAsia" w:ascii="方正黑体简体" w:hAnsi="方正黑体简体" w:eastAsia="方正黑体简体" w:cs="方正黑体简体"/>
          <w:color w:val="auto"/>
          <w:sz w:val="32"/>
          <w:szCs w:val="32"/>
        </w:rPr>
        <w:t>明</w:t>
      </w:r>
      <w:r>
        <w:rPr>
          <w:rFonts w:hint="eastAsia" w:ascii="方正黑体简体" w:hAnsi="方正黑体简体" w:eastAsia="方正黑体简体" w:cs="方正黑体简体"/>
          <w:color w:val="auto"/>
          <w:sz w:val="32"/>
          <w:szCs w:val="32"/>
          <w:lang w:val="en-US" w:eastAsia="zh-CN"/>
        </w:rPr>
        <w:t>.......................................06</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一、收入支出决算总体情况说明</w:t>
      </w:r>
      <w:r>
        <w:rPr>
          <w:rFonts w:hint="eastAsia" w:ascii="方正仿宋简体" w:hAnsi="方正仿宋简体" w:eastAsia="方正仿宋简体" w:cs="方正仿宋简体"/>
          <w:color w:val="auto"/>
          <w:sz w:val="32"/>
          <w:szCs w:val="32"/>
          <w:lang w:val="en-US" w:eastAsia="zh-CN"/>
        </w:rPr>
        <w:t>....................................06</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二、收入决算情况</w:t>
      </w:r>
      <w:r>
        <w:rPr>
          <w:rFonts w:hint="eastAsia" w:ascii="方正仿宋简体" w:hAnsi="方正仿宋简体" w:eastAsia="方正仿宋简体" w:cs="方正仿宋简体"/>
          <w:color w:val="auto"/>
          <w:sz w:val="32"/>
          <w:szCs w:val="32"/>
          <w:lang w:eastAsia="zh-CN"/>
        </w:rPr>
        <w:t>说</w:t>
      </w:r>
      <w:r>
        <w:rPr>
          <w:rFonts w:hint="eastAsia" w:ascii="方正仿宋简体" w:hAnsi="方正仿宋简体" w:eastAsia="方正仿宋简体" w:cs="方正仿宋简体"/>
          <w:color w:val="auto"/>
          <w:sz w:val="32"/>
          <w:szCs w:val="32"/>
        </w:rPr>
        <w:t>明</w:t>
      </w:r>
      <w:r>
        <w:rPr>
          <w:rFonts w:hint="eastAsia" w:ascii="方正仿宋简体" w:hAnsi="方正仿宋简体" w:eastAsia="方正仿宋简体" w:cs="方正仿宋简体"/>
          <w:color w:val="auto"/>
          <w:sz w:val="32"/>
          <w:szCs w:val="32"/>
          <w:lang w:val="en-US" w:eastAsia="zh-CN"/>
        </w:rPr>
        <w:t>..................................................06</w:t>
      </w:r>
    </w:p>
    <w:p>
      <w:pPr>
        <w:pStyle w:val="11"/>
        <w:pageBreakBefore w:val="0"/>
        <w:kinsoku/>
        <w:wordWrap/>
        <w:overflowPunct/>
        <w:topLinePunct w:val="0"/>
        <w:autoSpaceDE/>
        <w:autoSpaceDN/>
        <w:bidi w:val="0"/>
        <w:adjustRightInd w:val="0"/>
        <w:snapToGrid w:val="0"/>
        <w:spacing w:before="0"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三、支出决算情况</w:t>
      </w:r>
      <w:r>
        <w:rPr>
          <w:rFonts w:hint="eastAsia" w:ascii="方正仿宋简体" w:hAnsi="方正仿宋简体" w:eastAsia="方正仿宋简体" w:cs="方正仿宋简体"/>
          <w:color w:val="auto"/>
          <w:sz w:val="32"/>
          <w:szCs w:val="32"/>
          <w:lang w:eastAsia="zh-CN"/>
        </w:rPr>
        <w:t>说</w:t>
      </w:r>
      <w:r>
        <w:rPr>
          <w:rFonts w:hint="eastAsia" w:ascii="方正仿宋简体" w:hAnsi="方正仿宋简体" w:eastAsia="方正仿宋简体" w:cs="方正仿宋简体"/>
          <w:color w:val="auto"/>
          <w:sz w:val="32"/>
          <w:szCs w:val="32"/>
        </w:rPr>
        <w:t>明</w:t>
      </w:r>
      <w:r>
        <w:rPr>
          <w:rFonts w:hint="eastAsia" w:ascii="方正仿宋简体" w:hAnsi="方正仿宋简体" w:eastAsia="方正仿宋简体" w:cs="方正仿宋简体"/>
          <w:color w:val="auto"/>
          <w:sz w:val="32"/>
          <w:szCs w:val="32"/>
          <w:lang w:val="en-US" w:eastAsia="zh-CN"/>
        </w:rPr>
        <w:t>..................................................07</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四、财政拨款收入支出决算总体情况</w:t>
      </w:r>
      <w:r>
        <w:rPr>
          <w:rFonts w:hint="eastAsia" w:ascii="方正仿宋简体" w:hAnsi="方正仿宋简体" w:eastAsia="方正仿宋简体" w:cs="方正仿宋简体"/>
          <w:color w:val="auto"/>
          <w:sz w:val="32"/>
          <w:szCs w:val="32"/>
          <w:lang w:eastAsia="zh-CN"/>
        </w:rPr>
        <w:t>说</w:t>
      </w:r>
      <w:r>
        <w:rPr>
          <w:rFonts w:hint="eastAsia" w:ascii="方正仿宋简体" w:hAnsi="方正仿宋简体" w:eastAsia="方正仿宋简体" w:cs="方正仿宋简体"/>
          <w:color w:val="auto"/>
          <w:sz w:val="32"/>
          <w:szCs w:val="32"/>
        </w:rPr>
        <w:t>明</w:t>
      </w:r>
      <w:r>
        <w:rPr>
          <w:rFonts w:hint="eastAsia" w:ascii="方正仿宋简体" w:hAnsi="方正仿宋简体" w:eastAsia="方正仿宋简体" w:cs="方正仿宋简体"/>
          <w:color w:val="auto"/>
          <w:sz w:val="32"/>
          <w:szCs w:val="32"/>
          <w:lang w:val="en-US" w:eastAsia="zh-CN"/>
        </w:rPr>
        <w:t>.......................07</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五、一般公共预算财政拨款支出决算情况</w:t>
      </w:r>
      <w:r>
        <w:rPr>
          <w:rFonts w:hint="eastAsia" w:ascii="方正仿宋简体" w:hAnsi="方正仿宋简体" w:eastAsia="方正仿宋简体" w:cs="方正仿宋简体"/>
          <w:color w:val="auto"/>
          <w:sz w:val="32"/>
          <w:szCs w:val="32"/>
          <w:lang w:eastAsia="zh-CN"/>
        </w:rPr>
        <w:t>说</w:t>
      </w:r>
      <w:r>
        <w:rPr>
          <w:rFonts w:hint="eastAsia" w:ascii="方正仿宋简体" w:hAnsi="方正仿宋简体" w:eastAsia="方正仿宋简体" w:cs="方正仿宋简体"/>
          <w:color w:val="auto"/>
          <w:sz w:val="32"/>
          <w:szCs w:val="32"/>
        </w:rPr>
        <w:t>明</w:t>
      </w:r>
      <w:r>
        <w:rPr>
          <w:rFonts w:hint="eastAsia" w:ascii="方正仿宋简体" w:hAnsi="方正仿宋简体" w:eastAsia="方正仿宋简体" w:cs="方正仿宋简体"/>
          <w:color w:val="auto"/>
          <w:sz w:val="32"/>
          <w:szCs w:val="32"/>
          <w:lang w:val="en-US" w:eastAsia="zh-CN"/>
        </w:rPr>
        <w:t>................08</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六、一般公共预算财政拨款基本支出决算情况</w:t>
      </w:r>
      <w:r>
        <w:rPr>
          <w:rFonts w:hint="eastAsia" w:ascii="方正仿宋简体" w:hAnsi="方正仿宋简体" w:eastAsia="方正仿宋简体" w:cs="方正仿宋简体"/>
          <w:color w:val="auto"/>
          <w:sz w:val="32"/>
          <w:szCs w:val="32"/>
          <w:lang w:eastAsia="zh-CN"/>
        </w:rPr>
        <w:t>说</w:t>
      </w:r>
      <w:r>
        <w:rPr>
          <w:rFonts w:hint="eastAsia" w:ascii="方正仿宋简体" w:hAnsi="方正仿宋简体" w:eastAsia="方正仿宋简体" w:cs="方正仿宋简体"/>
          <w:color w:val="auto"/>
          <w:sz w:val="32"/>
          <w:szCs w:val="32"/>
        </w:rPr>
        <w:t>明</w:t>
      </w:r>
      <w:r>
        <w:rPr>
          <w:rFonts w:hint="eastAsia" w:ascii="方正仿宋简体" w:hAnsi="方正仿宋简体" w:eastAsia="方正仿宋简体" w:cs="方正仿宋简体"/>
          <w:color w:val="auto"/>
          <w:sz w:val="32"/>
          <w:szCs w:val="32"/>
          <w:lang w:val="en-US" w:eastAsia="zh-CN"/>
        </w:rPr>
        <w:t>.........11</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七、“三公”经费财政拨款支出决算情况说明</w:t>
      </w:r>
      <w:r>
        <w:rPr>
          <w:rFonts w:hint="eastAsia" w:ascii="方正仿宋简体" w:hAnsi="方正仿宋简体" w:eastAsia="方正仿宋简体" w:cs="方正仿宋简体"/>
          <w:color w:val="auto"/>
          <w:sz w:val="32"/>
          <w:szCs w:val="32"/>
          <w:lang w:val="en-US" w:eastAsia="zh-CN"/>
        </w:rPr>
        <w:t>...................11</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八、政府性基金预算支出决算情况</w:t>
      </w:r>
      <w:r>
        <w:rPr>
          <w:rFonts w:hint="eastAsia" w:ascii="方正仿宋简体" w:hAnsi="方正仿宋简体" w:eastAsia="方正仿宋简体" w:cs="方正仿宋简体"/>
          <w:color w:val="auto"/>
          <w:sz w:val="32"/>
          <w:szCs w:val="32"/>
          <w:lang w:eastAsia="zh-CN"/>
        </w:rPr>
        <w:t>说</w:t>
      </w:r>
      <w:r>
        <w:rPr>
          <w:rFonts w:hint="eastAsia" w:ascii="方正仿宋简体" w:hAnsi="方正仿宋简体" w:eastAsia="方正仿宋简体" w:cs="方正仿宋简体"/>
          <w:color w:val="auto"/>
          <w:sz w:val="32"/>
          <w:szCs w:val="32"/>
        </w:rPr>
        <w:t>明</w:t>
      </w:r>
      <w:r>
        <w:rPr>
          <w:rFonts w:hint="eastAsia" w:ascii="方正仿宋简体" w:hAnsi="方正仿宋简体" w:eastAsia="方正仿宋简体" w:cs="方正仿宋简体"/>
          <w:color w:val="auto"/>
          <w:sz w:val="32"/>
          <w:szCs w:val="32"/>
          <w:lang w:val="en-US" w:eastAsia="zh-CN"/>
        </w:rPr>
        <w:t>..........................13</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九、 国有资本经营预算支出决算情况</w:t>
      </w:r>
      <w:r>
        <w:rPr>
          <w:rFonts w:hint="eastAsia" w:ascii="方正仿宋简体" w:hAnsi="方正仿宋简体" w:eastAsia="方正仿宋简体" w:cs="方正仿宋简体"/>
          <w:color w:val="auto"/>
          <w:sz w:val="32"/>
          <w:szCs w:val="32"/>
          <w:lang w:eastAsia="zh-CN"/>
        </w:rPr>
        <w:t>说</w:t>
      </w:r>
      <w:r>
        <w:rPr>
          <w:rFonts w:hint="eastAsia" w:ascii="方正仿宋简体" w:hAnsi="方正仿宋简体" w:eastAsia="方正仿宋简体" w:cs="方正仿宋简体"/>
          <w:color w:val="auto"/>
          <w:sz w:val="32"/>
          <w:szCs w:val="32"/>
        </w:rPr>
        <w:t>明</w:t>
      </w:r>
      <w:r>
        <w:rPr>
          <w:rFonts w:hint="eastAsia" w:ascii="方正仿宋简体" w:hAnsi="方正仿宋简体" w:eastAsia="方正仿宋简体" w:cs="方正仿宋简体"/>
          <w:color w:val="auto"/>
          <w:sz w:val="32"/>
          <w:szCs w:val="32"/>
          <w:lang w:val="en-US" w:eastAsia="zh-CN"/>
        </w:rPr>
        <w:t>....................13</w:t>
      </w:r>
    </w:p>
    <w:p>
      <w:pPr>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Style w:val="16"/>
          <w:rFonts w:hint="eastAsia" w:ascii="方正仿宋简体" w:hAnsi="方正仿宋简体" w:eastAsia="方正仿宋简体" w:cs="方正仿宋简体"/>
          <w:color w:val="auto"/>
          <w:sz w:val="32"/>
          <w:szCs w:val="32"/>
          <w:u w:val="none"/>
        </w:rPr>
        <w:t>十、</w:t>
      </w:r>
      <w:r>
        <w:rPr>
          <w:rFonts w:hint="eastAsia" w:ascii="方正仿宋简体" w:hAnsi="方正仿宋简体" w:eastAsia="方正仿宋简体" w:cs="方正仿宋简体"/>
          <w:color w:val="auto"/>
          <w:sz w:val="32"/>
          <w:szCs w:val="32"/>
        </w:rPr>
        <w:t>其他重要事项的情况说明</w:t>
      </w:r>
      <w:r>
        <w:rPr>
          <w:rFonts w:hint="eastAsia" w:ascii="方正仿宋简体" w:hAnsi="方正仿宋简体" w:eastAsia="方正仿宋简体" w:cs="方正仿宋简体"/>
          <w:color w:val="auto"/>
          <w:sz w:val="32"/>
          <w:szCs w:val="32"/>
          <w:lang w:val="en-US" w:eastAsia="zh-CN"/>
        </w:rPr>
        <w:t>...................................13</w:t>
      </w:r>
    </w:p>
    <w:p>
      <w:pPr>
        <w:pStyle w:val="11"/>
        <w:pageBreakBefore w:val="0"/>
        <w:kinsoku/>
        <w:wordWrap/>
        <w:overflowPunct/>
        <w:topLinePunct w:val="0"/>
        <w:autoSpaceDE/>
        <w:autoSpaceDN/>
        <w:bidi w:val="0"/>
        <w:adjustRightInd w:val="0"/>
        <w:snapToGrid w:val="0"/>
        <w:spacing w:before="0" w:line="576" w:lineRule="exact"/>
        <w:ind w:left="0" w:leftChars="0" w:right="0" w:firstLine="640" w:firstLineChars="200"/>
        <w:jc w:val="distribute"/>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rPr>
        <w:t>第三部分</w:t>
      </w:r>
      <w:r>
        <w:rPr>
          <w:rFonts w:hint="eastAsia" w:ascii="方正黑体简体" w:hAnsi="方正黑体简体" w:eastAsia="方正黑体简体" w:cs="方正黑体简体"/>
          <w:color w:val="auto"/>
          <w:sz w:val="32"/>
          <w:szCs w:val="32"/>
          <w:lang w:val="en-US" w:eastAsia="zh-CN"/>
        </w:rPr>
        <w:t xml:space="preserve">  </w:t>
      </w:r>
      <w:r>
        <w:rPr>
          <w:rFonts w:hint="eastAsia" w:ascii="方正黑体简体" w:hAnsi="方正黑体简体" w:eastAsia="方正黑体简体" w:cs="方正黑体简体"/>
          <w:color w:val="auto"/>
          <w:sz w:val="32"/>
          <w:szCs w:val="32"/>
        </w:rPr>
        <w:t>名词</w:t>
      </w:r>
      <w:r>
        <w:rPr>
          <w:rFonts w:hint="eastAsia" w:ascii="方正黑体简体" w:hAnsi="方正黑体简体" w:eastAsia="方正黑体简体" w:cs="方正黑体简体"/>
          <w:color w:val="auto"/>
          <w:sz w:val="32"/>
          <w:szCs w:val="32"/>
          <w:lang w:eastAsia="zh-CN"/>
        </w:rPr>
        <w:t>解释</w:t>
      </w:r>
      <w:r>
        <w:rPr>
          <w:rFonts w:hint="eastAsia" w:ascii="方正黑体简体" w:hAnsi="方正黑体简体" w:eastAsia="方正黑体简体" w:cs="方正黑体简体"/>
          <w:color w:val="auto"/>
          <w:sz w:val="32"/>
          <w:szCs w:val="32"/>
          <w:lang w:val="en-US" w:eastAsia="zh-CN"/>
        </w:rPr>
        <w:t>..................................................20</w:t>
      </w:r>
    </w:p>
    <w:p>
      <w:pPr>
        <w:pStyle w:val="11"/>
        <w:pageBreakBefore w:val="0"/>
        <w:kinsoku/>
        <w:wordWrap/>
        <w:overflowPunct/>
        <w:topLinePunct w:val="0"/>
        <w:autoSpaceDE/>
        <w:autoSpaceDN/>
        <w:bidi w:val="0"/>
        <w:adjustRightInd w:val="0"/>
        <w:snapToGrid w:val="0"/>
        <w:spacing w:before="0" w:line="576" w:lineRule="exact"/>
        <w:ind w:left="0" w:leftChars="0" w:right="0" w:firstLine="640" w:firstLineChars="200"/>
        <w:jc w:val="distribute"/>
        <w:textAlignment w:val="auto"/>
        <w:rPr>
          <w:rFonts w:hint="default"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rPr>
        <w:t>第四部分</w:t>
      </w:r>
      <w:r>
        <w:rPr>
          <w:rFonts w:hint="eastAsia" w:ascii="方正黑体简体" w:hAnsi="方正黑体简体" w:eastAsia="方正黑体简体" w:cs="方正黑体简体"/>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附件</w:t>
      </w:r>
      <w:r>
        <w:rPr>
          <w:rFonts w:hint="eastAsia" w:ascii="方正黑体简体" w:hAnsi="方正黑体简体" w:eastAsia="方正黑体简体" w:cs="方正黑体简体"/>
          <w:color w:val="auto"/>
          <w:sz w:val="32"/>
          <w:szCs w:val="32"/>
          <w:lang w:val="en-US" w:eastAsia="zh-CN"/>
        </w:rPr>
        <w:t>....................................................23</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eastAsia="zh-CN"/>
        </w:rPr>
        <w:t>附件</w:t>
      </w:r>
      <w:r>
        <w:rPr>
          <w:rFonts w:hint="eastAsia" w:ascii="方正仿宋简体" w:hAnsi="方正仿宋简体" w:eastAsia="方正仿宋简体" w:cs="方正仿宋简体"/>
          <w:color w:val="auto"/>
          <w:sz w:val="32"/>
          <w:szCs w:val="32"/>
        </w:rPr>
        <w:t>1</w:t>
      </w:r>
      <w:r>
        <w:rPr>
          <w:rFonts w:hint="eastAsia" w:ascii="方正仿宋简体" w:hAnsi="方正仿宋简体" w:eastAsia="方正仿宋简体" w:cs="方正仿宋简体"/>
          <w:color w:val="auto"/>
          <w:sz w:val="32"/>
          <w:szCs w:val="32"/>
          <w:lang w:val="en-US" w:eastAsia="zh-CN"/>
        </w:rPr>
        <w:t>............................................................24</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附</w:t>
      </w:r>
      <w:r>
        <w:rPr>
          <w:rFonts w:hint="eastAsia" w:ascii="方正仿宋简体" w:hAnsi="方正仿宋简体" w:eastAsia="方正仿宋简体" w:cs="方正仿宋简体"/>
          <w:color w:val="auto"/>
          <w:sz w:val="32"/>
          <w:szCs w:val="32"/>
          <w:lang w:eastAsia="zh-CN"/>
        </w:rPr>
        <w:t>件</w:t>
      </w:r>
      <w:r>
        <w:rPr>
          <w:rFonts w:hint="eastAsia" w:ascii="方正仿宋简体" w:hAnsi="方正仿宋简体" w:eastAsia="方正仿宋简体" w:cs="方正仿宋简体"/>
          <w:color w:val="auto"/>
          <w:sz w:val="32"/>
          <w:szCs w:val="32"/>
        </w:rPr>
        <w:t>2</w:t>
      </w:r>
      <w:r>
        <w:rPr>
          <w:rFonts w:hint="eastAsia" w:ascii="方正仿宋简体" w:hAnsi="方正仿宋简体" w:eastAsia="方正仿宋简体" w:cs="方正仿宋简体"/>
          <w:color w:val="auto"/>
          <w:sz w:val="32"/>
          <w:szCs w:val="32"/>
          <w:lang w:val="en-US" w:eastAsia="zh-CN"/>
        </w:rPr>
        <w:t>........................................................................27</w:t>
      </w:r>
    </w:p>
    <w:p>
      <w:pPr>
        <w:pStyle w:val="11"/>
        <w:pageBreakBefore w:val="0"/>
        <w:kinsoku/>
        <w:wordWrap/>
        <w:overflowPunct/>
        <w:topLinePunct w:val="0"/>
        <w:autoSpaceDE/>
        <w:autoSpaceDN/>
        <w:bidi w:val="0"/>
        <w:adjustRightInd w:val="0"/>
        <w:snapToGrid w:val="0"/>
        <w:spacing w:before="0" w:line="576" w:lineRule="exact"/>
        <w:ind w:left="0" w:leftChars="0" w:right="0" w:firstLine="640" w:firstLineChars="200"/>
        <w:jc w:val="distribute"/>
        <w:textAlignment w:val="auto"/>
        <w:rPr>
          <w:rFonts w:hint="default"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rPr>
        <w:t>第五部分</w:t>
      </w:r>
      <w:r>
        <w:rPr>
          <w:rFonts w:hint="eastAsia" w:ascii="方正黑体简体" w:hAnsi="方正黑体简体" w:eastAsia="方正黑体简体" w:cs="方正黑体简体"/>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附</w:t>
      </w:r>
      <w:r>
        <w:rPr>
          <w:rFonts w:hint="eastAsia" w:ascii="方正黑体简体" w:hAnsi="方正黑体简体" w:eastAsia="方正黑体简体" w:cs="方正黑体简体"/>
          <w:color w:val="auto"/>
          <w:sz w:val="32"/>
          <w:szCs w:val="32"/>
        </w:rPr>
        <w:t>表</w:t>
      </w:r>
      <w:r>
        <w:rPr>
          <w:rFonts w:hint="eastAsia" w:ascii="方正黑体简体" w:hAnsi="方正黑体简体" w:eastAsia="方正黑体简体" w:cs="方正黑体简体"/>
          <w:color w:val="auto"/>
          <w:sz w:val="32"/>
          <w:szCs w:val="32"/>
          <w:lang w:val="en-US" w:eastAsia="zh-CN"/>
        </w:rPr>
        <w:t>....................................................32</w:t>
      </w:r>
    </w:p>
    <w:p>
      <w:pPr>
        <w:pageBreakBefore w:val="0"/>
        <w:kinsoku/>
        <w:wordWrap/>
        <w:overflowPunct/>
        <w:topLinePunct w:val="0"/>
        <w:autoSpaceDE/>
        <w:autoSpaceDN/>
        <w:bidi w:val="0"/>
        <w:spacing w:line="576" w:lineRule="exact"/>
        <w:ind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一、收入支出决算总表</w:t>
      </w:r>
    </w:p>
    <w:p>
      <w:pPr>
        <w:pageBreakBefore w:val="0"/>
        <w:kinsoku/>
        <w:wordWrap/>
        <w:overflowPunct/>
        <w:topLinePunct w:val="0"/>
        <w:autoSpaceDE/>
        <w:autoSpaceDN/>
        <w:bidi w:val="0"/>
        <w:spacing w:line="576" w:lineRule="exact"/>
        <w:ind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二、收入决算表</w:t>
      </w:r>
    </w:p>
    <w:p>
      <w:pPr>
        <w:pageBreakBefore w:val="0"/>
        <w:kinsoku/>
        <w:wordWrap/>
        <w:overflowPunct/>
        <w:topLinePunct w:val="0"/>
        <w:autoSpaceDE/>
        <w:autoSpaceDN/>
        <w:bidi w:val="0"/>
        <w:spacing w:line="576" w:lineRule="exact"/>
        <w:ind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三、支出决算表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四、财政拨款收入支出决算</w:t>
      </w:r>
      <w:r>
        <w:rPr>
          <w:rFonts w:hint="eastAsia" w:ascii="方正仿宋简体" w:hAnsi="方正仿宋简体" w:eastAsia="方正仿宋简体" w:cs="方正仿宋简体"/>
          <w:color w:val="auto"/>
          <w:sz w:val="32"/>
          <w:szCs w:val="32"/>
          <w:lang w:eastAsia="zh-CN"/>
        </w:rPr>
        <w:t>总</w:t>
      </w:r>
      <w:r>
        <w:rPr>
          <w:rFonts w:hint="eastAsia" w:ascii="方正仿宋简体" w:hAnsi="方正仿宋简体" w:eastAsia="方正仿宋简体" w:cs="方正仿宋简体"/>
          <w:color w:val="auto"/>
          <w:sz w:val="32"/>
          <w:szCs w:val="32"/>
        </w:rPr>
        <w:t>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五、财政拨款支出决算明</w:t>
      </w:r>
      <w:r>
        <w:rPr>
          <w:rFonts w:hint="eastAsia" w:ascii="方正仿宋简体" w:hAnsi="方正仿宋简体" w:eastAsia="方正仿宋简体" w:cs="方正仿宋简体"/>
          <w:color w:val="auto"/>
          <w:sz w:val="32"/>
          <w:szCs w:val="32"/>
          <w:lang w:eastAsia="zh-CN"/>
        </w:rPr>
        <w:t>细</w:t>
      </w:r>
      <w:r>
        <w:rPr>
          <w:rFonts w:hint="eastAsia" w:ascii="方正仿宋简体" w:hAnsi="方正仿宋简体" w:eastAsia="方正仿宋简体" w:cs="方正仿宋简体"/>
          <w:color w:val="auto"/>
          <w:sz w:val="32"/>
          <w:szCs w:val="32"/>
        </w:rPr>
        <w:t>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六、一般公共预算财政拨款支出决</w:t>
      </w:r>
      <w:r>
        <w:rPr>
          <w:rFonts w:hint="eastAsia" w:ascii="方正仿宋简体" w:hAnsi="方正仿宋简体" w:eastAsia="方正仿宋简体" w:cs="方正仿宋简体"/>
          <w:color w:val="auto"/>
          <w:sz w:val="32"/>
          <w:szCs w:val="32"/>
          <w:lang w:eastAsia="zh-CN"/>
        </w:rPr>
        <w:t>算</w:t>
      </w:r>
      <w:r>
        <w:rPr>
          <w:rFonts w:hint="eastAsia" w:ascii="方正仿宋简体" w:hAnsi="方正仿宋简体" w:eastAsia="方正仿宋简体" w:cs="方正仿宋简体"/>
          <w:color w:val="auto"/>
          <w:sz w:val="32"/>
          <w:szCs w:val="32"/>
        </w:rPr>
        <w:t>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七、一般公共预算财政拨款支出决算明</w:t>
      </w:r>
      <w:r>
        <w:rPr>
          <w:rFonts w:hint="eastAsia" w:ascii="方正仿宋简体" w:hAnsi="方正仿宋简体" w:eastAsia="方正仿宋简体" w:cs="方正仿宋简体"/>
          <w:color w:val="auto"/>
          <w:sz w:val="32"/>
          <w:szCs w:val="32"/>
          <w:lang w:eastAsia="zh-CN"/>
        </w:rPr>
        <w:t>细</w:t>
      </w:r>
      <w:r>
        <w:rPr>
          <w:rFonts w:hint="eastAsia" w:ascii="方正仿宋简体" w:hAnsi="方正仿宋简体" w:eastAsia="方正仿宋简体" w:cs="方正仿宋简体"/>
          <w:color w:val="auto"/>
          <w:sz w:val="32"/>
          <w:szCs w:val="32"/>
        </w:rPr>
        <w:t>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八、一般公共预算财政拨款基本支出决算表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九、一般公共预算财政拨款项目支出决算表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十、一般公共预算财政拨款“三公”经费支出决算表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十一、政府性基金预算财政拨款收入支出决</w:t>
      </w:r>
      <w:r>
        <w:rPr>
          <w:rFonts w:hint="eastAsia" w:ascii="方正仿宋简体" w:hAnsi="方正仿宋简体" w:eastAsia="方正仿宋简体" w:cs="方正仿宋简体"/>
          <w:color w:val="auto"/>
          <w:sz w:val="32"/>
          <w:szCs w:val="32"/>
          <w:lang w:eastAsia="zh-CN"/>
        </w:rPr>
        <w:t>算</w:t>
      </w:r>
      <w:r>
        <w:rPr>
          <w:rFonts w:hint="eastAsia" w:ascii="方正仿宋简体" w:hAnsi="方正仿宋简体" w:eastAsia="方正仿宋简体" w:cs="方正仿宋简体"/>
          <w:color w:val="auto"/>
          <w:sz w:val="32"/>
          <w:szCs w:val="32"/>
        </w:rPr>
        <w:t>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十二、政府性基金预算财政拨款“三公”经费支出决算表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十三、国有资本经营预算</w:t>
      </w:r>
      <w:r>
        <w:rPr>
          <w:rFonts w:hint="eastAsia" w:ascii="方正仿宋简体" w:hAnsi="方正仿宋简体" w:eastAsia="方正仿宋简体" w:cs="方正仿宋简体"/>
          <w:color w:val="auto"/>
          <w:sz w:val="32"/>
          <w:szCs w:val="32"/>
          <w:lang w:eastAsia="zh-CN"/>
        </w:rPr>
        <w:t>财政收入拨款收入</w:t>
      </w:r>
      <w:r>
        <w:rPr>
          <w:rFonts w:hint="eastAsia" w:ascii="方正仿宋简体" w:hAnsi="方正仿宋简体" w:eastAsia="方正仿宋简体" w:cs="方正仿宋简体"/>
          <w:color w:val="auto"/>
          <w:sz w:val="32"/>
          <w:szCs w:val="32"/>
        </w:rPr>
        <w:t>支出决算</w:t>
      </w:r>
      <w:r>
        <w:rPr>
          <w:rFonts w:hint="eastAsia" w:ascii="方正仿宋简体" w:hAnsi="方正仿宋简体" w:eastAsia="方正仿宋简体" w:cs="方正仿宋简体"/>
          <w:color w:val="auto"/>
          <w:sz w:val="32"/>
          <w:szCs w:val="32"/>
          <w:lang w:eastAsia="zh-CN"/>
        </w:rPr>
        <w:t>表</w:t>
      </w:r>
    </w:p>
    <w:p>
      <w:pPr>
        <w:pStyle w:val="12"/>
        <w:pageBreakBefore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w:t>
      </w:r>
      <w:r>
        <w:rPr>
          <w:rFonts w:hint="eastAsia" w:ascii="方正仿宋简体" w:hAnsi="方正仿宋简体" w:eastAsia="方正仿宋简体" w:cs="方正仿宋简体"/>
          <w:color w:val="auto"/>
          <w:sz w:val="32"/>
          <w:szCs w:val="32"/>
          <w:lang w:eastAsia="zh-CN"/>
        </w:rPr>
        <w:t>四</w:t>
      </w:r>
      <w:r>
        <w:rPr>
          <w:rFonts w:hint="eastAsia" w:ascii="方正仿宋简体" w:hAnsi="方正仿宋简体" w:eastAsia="方正仿宋简体" w:cs="方正仿宋简体"/>
          <w:color w:val="auto"/>
          <w:sz w:val="32"/>
          <w:szCs w:val="32"/>
        </w:rPr>
        <w:t>、国有资本经营预算</w:t>
      </w:r>
      <w:r>
        <w:rPr>
          <w:rFonts w:hint="eastAsia" w:ascii="方正仿宋简体" w:hAnsi="方正仿宋简体" w:eastAsia="方正仿宋简体" w:cs="方正仿宋简体"/>
          <w:color w:val="auto"/>
          <w:sz w:val="32"/>
          <w:szCs w:val="32"/>
          <w:lang w:eastAsia="zh-CN"/>
        </w:rPr>
        <w:t>财政拨款</w:t>
      </w:r>
      <w:r>
        <w:rPr>
          <w:rFonts w:hint="eastAsia" w:ascii="方正仿宋简体" w:hAnsi="方正仿宋简体" w:eastAsia="方正仿宋简体" w:cs="方正仿宋简体"/>
          <w:color w:val="auto"/>
          <w:sz w:val="32"/>
          <w:szCs w:val="32"/>
        </w:rPr>
        <w:t>支出决算</w:t>
      </w:r>
      <w:r>
        <w:rPr>
          <w:rFonts w:hint="eastAsia" w:ascii="方正仿宋简体" w:hAnsi="方正仿宋简体" w:eastAsia="方正仿宋简体" w:cs="方正仿宋简体"/>
          <w:color w:val="auto"/>
          <w:sz w:val="32"/>
          <w:szCs w:val="32"/>
          <w:lang w:eastAsia="zh-CN"/>
        </w:rPr>
        <w:t>表</w:t>
      </w:r>
    </w:p>
    <w:p>
      <w:pPr>
        <w:pStyle w:val="12"/>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p>
    <w:p>
      <w:pPr>
        <w:widowControl/>
        <w:spacing w:line="440" w:lineRule="exact"/>
        <w:jc w:val="left"/>
        <w:rPr>
          <w:rFonts w:ascii="仿宋" w:hAnsi="仿宋" w:eastAsia="仿宋"/>
          <w:bCs/>
          <w:kern w:val="44"/>
          <w:sz w:val="24"/>
        </w:rPr>
      </w:pPr>
      <w:bookmarkStart w:id="7" w:name="_Toc15377196"/>
      <w:bookmarkStart w:id="8" w:name="_Toc15396599"/>
      <w:r>
        <w:rPr>
          <w:rFonts w:ascii="仿宋" w:hAnsi="仿宋" w:eastAsia="仿宋"/>
          <w:b/>
          <w:sz w:val="24"/>
        </w:rPr>
        <w:br w:type="page"/>
      </w:r>
    </w:p>
    <w:p>
      <w:pPr>
        <w:pStyle w:val="4"/>
        <w:keepNext w:val="0"/>
        <w:keepLines w:val="0"/>
        <w:pageBreakBefore w:val="0"/>
        <w:widowControl w:val="0"/>
        <w:kinsoku/>
        <w:wordWrap/>
        <w:overflowPunct/>
        <w:topLinePunct w:val="0"/>
        <w:autoSpaceDE/>
        <w:autoSpaceDN/>
        <w:bidi w:val="0"/>
        <w:spacing w:before="0" w:after="0" w:line="576" w:lineRule="exact"/>
        <w:jc w:val="center"/>
        <w:textAlignment w:val="auto"/>
        <w:rPr>
          <w:rFonts w:hint="eastAsia" w:ascii="方正小标宋简体" w:hAnsi="黑体" w:eastAsia="方正小标宋简体"/>
          <w:bCs w:val="0"/>
        </w:rPr>
      </w:pPr>
      <w:r>
        <w:rPr>
          <w:rFonts w:hint="eastAsia" w:ascii="方正小标宋简体" w:hAnsi="黑体" w:eastAsia="方正小标宋简体"/>
          <w:b w:val="0"/>
        </w:rPr>
        <w:t xml:space="preserve">第一部分 </w:t>
      </w:r>
      <w:r>
        <w:rPr>
          <w:rStyle w:val="17"/>
          <w:rFonts w:hint="eastAsia" w:ascii="方正小标宋简体" w:hAnsi="黑体" w:eastAsia="方正小标宋简体"/>
          <w:b w:val="0"/>
          <w:bCs w:val="0"/>
        </w:rPr>
        <w:t>部门概况</w:t>
      </w:r>
      <w:bookmarkEnd w:id="7"/>
      <w:bookmarkEnd w:id="8"/>
      <w:bookmarkStart w:id="9" w:name="_Toc15377197"/>
      <w:bookmarkStart w:id="10" w:name="_Toc15396600"/>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textAlignment w:val="auto"/>
        <w:rPr>
          <w:rFonts w:hint="eastAsia" w:ascii="黑体" w:hAnsi="黑体" w:eastAsia="黑体"/>
          <w:b w:val="0"/>
          <w:color w:val="000000"/>
        </w:rPr>
      </w:pP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textAlignment w:val="auto"/>
        <w:rPr>
          <w:rStyle w:val="18"/>
          <w:rFonts w:hint="eastAsia" w:ascii="方正黑体简体" w:hAnsi="方正黑体简体" w:eastAsia="方正黑体简体" w:cs="方正黑体简体"/>
          <w:b w:val="0"/>
          <w:bCs w:val="0"/>
        </w:rPr>
      </w:pPr>
      <w:r>
        <w:rPr>
          <w:rFonts w:hint="eastAsia" w:ascii="方正黑体简体" w:hAnsi="方正黑体简体" w:eastAsia="方正黑体简体" w:cs="方正黑体简体"/>
          <w:b w:val="0"/>
          <w:color w:val="000000"/>
        </w:rPr>
        <w:t>一、基</w:t>
      </w:r>
      <w:r>
        <w:rPr>
          <w:rStyle w:val="18"/>
          <w:rFonts w:hint="eastAsia" w:ascii="方正黑体简体" w:hAnsi="方正黑体简体" w:eastAsia="方正黑体简体" w:cs="方正黑体简体"/>
          <w:b w:val="0"/>
          <w:bCs w:val="0"/>
        </w:rPr>
        <w:t>本职能及主要工作</w:t>
      </w:r>
      <w:bookmarkEnd w:id="9"/>
      <w:bookmarkEnd w:id="10"/>
    </w:p>
    <w:p>
      <w:pPr>
        <w:pStyle w:val="7"/>
        <w:keepNext w:val="0"/>
        <w:keepLines w:val="0"/>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rPr>
          <w:rFonts w:hint="eastAsia" w:ascii="方正仿宋简体" w:hAnsi="方正仿宋简体" w:eastAsia="方正仿宋简体" w:cs="方正仿宋简体"/>
          <w:bCs/>
          <w:color w:val="000000"/>
          <w:sz w:val="32"/>
          <w:szCs w:val="32"/>
        </w:rPr>
      </w:pPr>
      <w:bookmarkStart w:id="11" w:name="_Toc15378446"/>
      <w:bookmarkStart w:id="12" w:name="_Toc15377199"/>
      <w:r>
        <w:rPr>
          <w:rFonts w:hint="eastAsia" w:ascii="方正楷体简体" w:hAnsi="方正楷体简体" w:eastAsia="方正楷体简体" w:cs="方正楷体简体"/>
          <w:bCs/>
          <w:color w:val="000000"/>
          <w:kern w:val="2"/>
          <w:sz w:val="32"/>
          <w:szCs w:val="32"/>
          <w:lang w:val="en-US" w:eastAsia="zh-CN" w:bidi="ar-SA"/>
        </w:rPr>
        <w:t>（一）主要职能。</w:t>
      </w:r>
      <w:r>
        <w:rPr>
          <w:rFonts w:hint="eastAsia" w:ascii="方正仿宋简体" w:hAnsi="方正仿宋简体" w:eastAsia="方正仿宋简体" w:cs="方正仿宋简体"/>
          <w:sz w:val="32"/>
          <w:szCs w:val="32"/>
        </w:rPr>
        <w:t>一是依法负责广元市城区五小行业及城市规划区外的消毒产品、生活用水及饮用水卫生安全产品、公共场所、职业卫生、放射、学校卫生、传染病防治、医疗机构和采供血机构及其执业人员的执业活动等具体执法监督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二是为人民身体健康提供卫生监督执法。卫生许可证、医疗机构执业许可证审核、卫生许可现场审核、卫生法制宣传、卫生监督管理。</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bCs/>
          <w:color w:val="000000"/>
          <w:sz w:val="32"/>
          <w:szCs w:val="32"/>
        </w:rPr>
      </w:pPr>
      <w:r>
        <w:rPr>
          <w:rFonts w:hint="eastAsia" w:ascii="方正楷体简体" w:hAnsi="方正楷体简体" w:eastAsia="方正楷体简体" w:cs="方正楷体简体"/>
          <w:bCs/>
          <w:color w:val="000000"/>
          <w:sz w:val="32"/>
          <w:szCs w:val="32"/>
        </w:rPr>
        <w:t>（二）2020年重点工作完成情况。</w:t>
      </w:r>
      <w:r>
        <w:rPr>
          <w:rFonts w:hint="eastAsia" w:ascii="方正仿宋简体" w:hAnsi="方正仿宋简体" w:eastAsia="方正仿宋简体" w:cs="方正仿宋简体"/>
          <w:color w:val="000000"/>
          <w:sz w:val="32"/>
          <w:szCs w:val="32"/>
        </w:rPr>
        <w:t>2020年，在区委、区政府的坚强领导和区卫健局的大力支持下，利州区卫生和计划生育监督执法大队坚持以习近平新时代中国特色社会主义思想为指导，全面落实区委八届六次、七次全会和全国全省全市卫生健康委工作部署，</w:t>
      </w:r>
      <w:r>
        <w:rPr>
          <w:rFonts w:hint="eastAsia" w:ascii="方正仿宋简体" w:hAnsi="方正仿宋简体" w:eastAsia="方正仿宋简体" w:cs="方正仿宋简体"/>
          <w:kern w:val="0"/>
          <w:sz w:val="32"/>
          <w:szCs w:val="32"/>
        </w:rPr>
        <w:t>紧紧围绕全年的工作任务目标，</w:t>
      </w:r>
      <w:r>
        <w:rPr>
          <w:rFonts w:hint="eastAsia" w:ascii="方正仿宋简体" w:hAnsi="方正仿宋简体" w:eastAsia="方正仿宋简体" w:cs="方正仿宋简体"/>
          <w:sz w:val="32"/>
          <w:szCs w:val="32"/>
        </w:rPr>
        <w:t>以效能建设为依托，</w:t>
      </w:r>
      <w:r>
        <w:rPr>
          <w:rFonts w:hint="eastAsia" w:ascii="方正仿宋简体" w:hAnsi="方正仿宋简体" w:eastAsia="方正仿宋简体" w:cs="方正仿宋简体"/>
          <w:kern w:val="0"/>
          <w:sz w:val="32"/>
          <w:szCs w:val="32"/>
        </w:rPr>
        <w:t>着力强化队伍建设、作风建设、能力建设。推行卫生监督公示制，</w:t>
      </w:r>
      <w:r>
        <w:rPr>
          <w:rFonts w:hint="eastAsia" w:ascii="方正仿宋简体" w:hAnsi="方正仿宋简体" w:eastAsia="方正仿宋简体" w:cs="方正仿宋简体"/>
          <w:sz w:val="32"/>
          <w:szCs w:val="32"/>
        </w:rPr>
        <w:t>以医疗机构监督和职业卫生监督为工作重点，扎实推进学校卫生监管、传染病防治、生活饮用水卫生监督、公共场所卫生监督，坚持日常卫生监督与各项专项整治相结合，夯实基础，措施得力，</w:t>
      </w:r>
      <w:r>
        <w:rPr>
          <w:rFonts w:hint="eastAsia" w:ascii="方正仿宋简体" w:hAnsi="方正仿宋简体" w:eastAsia="方正仿宋简体" w:cs="方正仿宋简体"/>
          <w:kern w:val="0"/>
          <w:sz w:val="32"/>
          <w:szCs w:val="32"/>
        </w:rPr>
        <w:t>全面履行卫生法律法规赋予的职责，全面完成了各项目标任务，</w:t>
      </w:r>
      <w:r>
        <w:rPr>
          <w:rFonts w:hint="eastAsia" w:ascii="方正仿宋简体" w:hAnsi="方正仿宋简体" w:eastAsia="方正仿宋简体" w:cs="方正仿宋简体"/>
          <w:sz w:val="32"/>
          <w:szCs w:val="32"/>
        </w:rPr>
        <w:t>有效维护了广大人民群众的健康权益。</w:t>
      </w:r>
    </w:p>
    <w:bookmarkEnd w:id="11"/>
    <w:bookmarkEnd w:id="12"/>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textAlignment w:val="auto"/>
        <w:rPr>
          <w:rFonts w:hint="eastAsia" w:ascii="方正黑体简体" w:hAnsi="方正黑体简体" w:eastAsia="方正黑体简体" w:cs="方正黑体简体"/>
          <w:b w:val="0"/>
          <w:color w:val="000000"/>
        </w:rPr>
      </w:pPr>
      <w:bookmarkStart w:id="13" w:name="_Toc15377200"/>
      <w:bookmarkStart w:id="14" w:name="_Toc15396601"/>
      <w:r>
        <w:rPr>
          <w:rFonts w:hint="eastAsia" w:ascii="方正黑体简体" w:hAnsi="方正黑体简体" w:eastAsia="方正黑体简体" w:cs="方正黑体简体"/>
          <w:b w:val="0"/>
          <w:color w:val="000000"/>
        </w:rPr>
        <w:t>二、机构设置</w:t>
      </w:r>
      <w:bookmarkEnd w:id="13"/>
      <w:bookmarkEnd w:id="14"/>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本单位属卫健局</w:t>
      </w:r>
      <w:r>
        <w:rPr>
          <w:rFonts w:hint="eastAsia" w:ascii="方正仿宋简体" w:hAnsi="方正仿宋简体" w:eastAsia="方正仿宋简体" w:cs="方正仿宋简体"/>
          <w:sz w:val="32"/>
          <w:szCs w:val="32"/>
          <w:lang w:eastAsia="zh-CN"/>
        </w:rPr>
        <w:t>下属</w:t>
      </w:r>
      <w:r>
        <w:rPr>
          <w:rFonts w:hint="eastAsia" w:ascii="方正仿宋简体" w:hAnsi="方正仿宋简体" w:eastAsia="方正仿宋简体" w:cs="方正仿宋简体"/>
          <w:sz w:val="32"/>
          <w:szCs w:val="32"/>
        </w:rPr>
        <w:t>二级预算单位，在编22人，内设中队5个。</w:t>
      </w:r>
    </w:p>
    <w:p>
      <w:pPr>
        <w:keepNext w:val="0"/>
        <w:keepLines w:val="0"/>
        <w:pageBreakBefore w:val="0"/>
        <w:widowControl w:val="0"/>
        <w:kinsoku/>
        <w:wordWrap/>
        <w:overflowPunct/>
        <w:topLinePunct w:val="0"/>
        <w:autoSpaceDE/>
        <w:autoSpaceDN/>
        <w:bidi w:val="0"/>
        <w:spacing w:line="576" w:lineRule="exact"/>
        <w:jc w:val="left"/>
        <w:textAlignment w:val="auto"/>
        <w:rPr>
          <w:rFonts w:ascii="黑体" w:hAnsi="黑体" w:eastAsia="黑体"/>
          <w:b/>
          <w:color w:val="000000"/>
        </w:rPr>
      </w:pPr>
      <w:bookmarkStart w:id="15" w:name="_Toc15396602"/>
      <w:bookmarkStart w:id="16" w:name="_Toc15377204"/>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2"/>
        <w:rPr>
          <w:rFonts w:ascii="黑体" w:hAnsi="黑体" w:eastAsia="黑体"/>
          <w:b/>
          <w:color w:val="000000"/>
        </w:rPr>
      </w:pPr>
    </w:p>
    <w:p>
      <w:pPr>
        <w:pStyle w:val="4"/>
        <w:keepNext w:val="0"/>
        <w:keepLines w:val="0"/>
        <w:pageBreakBefore w:val="0"/>
        <w:widowControl w:val="0"/>
        <w:kinsoku/>
        <w:wordWrap/>
        <w:overflowPunct/>
        <w:topLinePunct w:val="0"/>
        <w:autoSpaceDE/>
        <w:autoSpaceDN/>
        <w:bidi w:val="0"/>
        <w:spacing w:before="0" w:after="0" w:line="576" w:lineRule="exact"/>
        <w:jc w:val="center"/>
        <w:textAlignment w:val="auto"/>
        <w:rPr>
          <w:rFonts w:hint="eastAsia" w:ascii="方正小标宋简体" w:hAnsi="黑体" w:eastAsia="方正小标宋简体" w:cs="Times New Roman"/>
          <w:b w:val="0"/>
        </w:rPr>
      </w:pPr>
      <w:r>
        <w:rPr>
          <w:rFonts w:hint="eastAsia" w:ascii="方正小标宋简体" w:hAnsi="黑体" w:eastAsia="方正小标宋简体" w:cs="Times New Roman"/>
          <w:b w:val="0"/>
          <w:lang w:eastAsia="zh-CN"/>
        </w:rPr>
        <w:t>第二部分</w:t>
      </w:r>
      <w:r>
        <w:rPr>
          <w:rFonts w:hint="eastAsia" w:ascii="方正小标宋简体" w:hAnsi="黑体" w:eastAsia="方正小标宋简体" w:cs="Times New Roman"/>
          <w:b w:val="0"/>
          <w:lang w:val="en-US" w:eastAsia="zh-CN"/>
        </w:rPr>
        <w:t xml:space="preserve">  </w:t>
      </w:r>
      <w:r>
        <w:rPr>
          <w:rFonts w:hint="eastAsia" w:ascii="方正小标宋简体" w:hAnsi="黑体" w:eastAsia="方正小标宋简体" w:cs="Times New Roman"/>
          <w:b w:val="0"/>
        </w:rPr>
        <w:t>2020年度部门决算情况说明</w:t>
      </w:r>
      <w:bookmarkEnd w:id="15"/>
      <w:bookmarkEnd w:id="16"/>
    </w:p>
    <w:p>
      <w:pPr>
        <w:pStyle w:val="2"/>
        <w:numPr>
          <w:ilvl w:val="0"/>
          <w:numId w:val="0"/>
        </w:numPr>
      </w:pPr>
    </w:p>
    <w:p>
      <w:pPr>
        <w:pStyle w:val="1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1"/>
        <w:rPr>
          <w:rStyle w:val="18"/>
          <w:rFonts w:hint="eastAsia" w:ascii="方正黑体简体" w:hAnsi="方正黑体简体" w:eastAsia="方正黑体简体" w:cs="方正黑体简体"/>
          <w:b w:val="0"/>
        </w:rPr>
      </w:pPr>
      <w:bookmarkStart w:id="17" w:name="_Toc15377205"/>
      <w:bookmarkStart w:id="18" w:name="_Toc15396603"/>
      <w:r>
        <w:rPr>
          <w:rFonts w:hint="eastAsia" w:ascii="方正黑体简体" w:hAnsi="方正黑体简体" w:eastAsia="方正黑体简体" w:cs="方正黑体简体"/>
          <w:color w:val="000000"/>
          <w:sz w:val="32"/>
          <w:szCs w:val="32"/>
          <w:lang w:eastAsia="zh-CN"/>
        </w:rPr>
        <w:t>一、</w:t>
      </w:r>
      <w:r>
        <w:rPr>
          <w:rFonts w:hint="eastAsia" w:ascii="方正黑体简体" w:hAnsi="方正黑体简体" w:eastAsia="方正黑体简体" w:cs="方正黑体简体"/>
          <w:color w:val="000000"/>
          <w:sz w:val="32"/>
          <w:szCs w:val="32"/>
        </w:rPr>
        <w:t>收</w:t>
      </w:r>
      <w:r>
        <w:rPr>
          <w:rStyle w:val="18"/>
          <w:rFonts w:hint="eastAsia" w:ascii="方正黑体简体" w:hAnsi="方正黑体简体" w:eastAsia="方正黑体简体" w:cs="方正黑体简体"/>
          <w:b w:val="0"/>
        </w:rPr>
        <w:t>入支出决算总体情况说明</w:t>
      </w:r>
      <w:bookmarkEnd w:id="17"/>
      <w:bookmarkEnd w:id="18"/>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2020年度收入总计367.82万元。与2019年335.94万元相比，收入增加31.88万元，增加9%，主要变动原因是人员调资，财政拨款增加。</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2020年度支出总计371.32万元。与2019年372.56万元相比，支出减少1.24万元，减少0.3%，主要变动原因是人员经费支出减少。</w:t>
      </w:r>
    </w:p>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114300" distR="114300">
            <wp:extent cx="3912235" cy="2600325"/>
            <wp:effectExtent l="19050" t="0" r="1206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1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1"/>
        <w:rPr>
          <w:rFonts w:hint="eastAsia" w:ascii="方正黑体简体" w:hAnsi="方正黑体简体" w:eastAsia="方正黑体简体" w:cs="方正黑体简体"/>
          <w:color w:val="000000"/>
          <w:sz w:val="32"/>
          <w:szCs w:val="32"/>
          <w:lang w:eastAsia="zh-CN"/>
        </w:rPr>
      </w:pPr>
      <w:bookmarkStart w:id="19" w:name="_Toc15396604"/>
      <w:bookmarkStart w:id="20" w:name="_Toc15377206"/>
      <w:r>
        <w:rPr>
          <w:rFonts w:hint="eastAsia" w:ascii="方正黑体简体" w:hAnsi="方正黑体简体" w:eastAsia="方正黑体简体" w:cs="方正黑体简体"/>
          <w:color w:val="000000"/>
          <w:sz w:val="32"/>
          <w:szCs w:val="32"/>
          <w:lang w:eastAsia="zh-CN"/>
        </w:rPr>
        <w:t>二、收入决算情况说明</w:t>
      </w:r>
      <w:bookmarkEnd w:id="19"/>
      <w:bookmarkEnd w:id="20"/>
    </w:p>
    <w:p>
      <w:pPr>
        <w:spacing w:line="600" w:lineRule="exact"/>
        <w:ind w:firstLine="640" w:firstLineChars="200"/>
        <w:outlineLvl w:val="1"/>
        <w:rPr>
          <w:rFonts w:ascii="仿宋_GB2312" w:hAnsi="仿宋" w:eastAsia="仿宋_GB2312"/>
          <w:color w:val="000000"/>
          <w:sz w:val="32"/>
          <w:szCs w:val="32"/>
        </w:rPr>
      </w:pPr>
      <w:r>
        <w:rPr>
          <w:rFonts w:hint="eastAsia" w:ascii="方正仿宋简体" w:hAnsi="方正仿宋简体" w:eastAsia="方正仿宋简体" w:cs="方正仿宋简体"/>
          <w:color w:val="000000"/>
          <w:sz w:val="32"/>
          <w:szCs w:val="32"/>
        </w:rPr>
        <w:t>2020年本年收入合计367.82万元，其中：一般公共预算财政拨款收入367.82万元，占100%；</w:t>
      </w:r>
    </w:p>
    <w:p>
      <w:pPr>
        <w:pStyle w:val="6"/>
        <w:jc w:val="center"/>
        <w:rPr>
          <w:rFonts w:ascii="仿宋" w:hAnsi="仿宋" w:eastAsia="仿宋"/>
          <w:b/>
          <w:color w:val="FF0000"/>
          <w:sz w:val="32"/>
          <w:szCs w:val="32"/>
        </w:rPr>
      </w:pPr>
      <w:r>
        <w:rPr>
          <w:rFonts w:hint="eastAsia" w:eastAsia="仿宋"/>
        </w:rPr>
        <w:drawing>
          <wp:inline distT="0" distB="0" distL="114300" distR="114300">
            <wp:extent cx="3968115" cy="2550795"/>
            <wp:effectExtent l="19050" t="0" r="12827" b="1524"/>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hint="eastAsia" w:ascii="仿宋_GB2312" w:hAnsi="仿宋" w:eastAsia="仿宋_GB2312"/>
          <w:color w:val="000000"/>
          <w:sz w:val="32"/>
          <w:szCs w:val="32"/>
        </w:rPr>
      </w:pPr>
      <w:r>
        <w:rPr>
          <w:rFonts w:hint="eastAsia" w:ascii="仿宋_GB2312" w:hAnsi="仿宋" w:eastAsia="仿宋_GB2312"/>
          <w:color w:val="000000"/>
          <w:sz w:val="32"/>
          <w:szCs w:val="32"/>
        </w:rPr>
        <w:t>（图2：收入决算结构图）（饼状图）</w:t>
      </w:r>
    </w:p>
    <w:p>
      <w:pPr>
        <w:pStyle w:val="1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1"/>
        <w:rPr>
          <w:rFonts w:hint="eastAsia" w:ascii="方正黑体简体" w:hAnsi="方正黑体简体" w:eastAsia="方正黑体简体" w:cs="方正黑体简体"/>
          <w:color w:val="000000"/>
          <w:sz w:val="32"/>
          <w:szCs w:val="32"/>
          <w:lang w:eastAsia="zh-CN"/>
        </w:rPr>
      </w:pPr>
      <w:bookmarkStart w:id="21" w:name="_Toc15396605"/>
      <w:bookmarkStart w:id="22" w:name="_Toc15377207"/>
      <w:r>
        <w:rPr>
          <w:rFonts w:hint="eastAsia" w:ascii="方正黑体简体" w:hAnsi="方正黑体简体" w:eastAsia="方正黑体简体" w:cs="方正黑体简体"/>
          <w:color w:val="000000"/>
          <w:sz w:val="32"/>
          <w:szCs w:val="32"/>
          <w:lang w:eastAsia="zh-CN"/>
        </w:rPr>
        <w:t>三、支出决算情况说明</w:t>
      </w:r>
      <w:bookmarkEnd w:id="21"/>
      <w:bookmarkEnd w:id="22"/>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2020年本年支出合计371.32万元，其中：基本支出307.57万元，占83%；项目支出63.75万元，占17%。</w:t>
      </w:r>
    </w:p>
    <w:p>
      <w:pPr>
        <w:pStyle w:val="6"/>
        <w:jc w:val="center"/>
      </w:pPr>
      <w:r>
        <w:rPr>
          <w:rFonts w:hint="eastAsia" w:ascii="仿宋" w:hAnsi="仿宋" w:eastAsia="仿宋"/>
          <w:color w:val="000000"/>
          <w:sz w:val="32"/>
          <w:szCs w:val="32"/>
        </w:rPr>
        <w:drawing>
          <wp:inline distT="0" distB="0" distL="114300" distR="114300">
            <wp:extent cx="3808730" cy="2591435"/>
            <wp:effectExtent l="19050" t="0" r="19939"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pPr>
        <w:spacing w:line="576" w:lineRule="exact"/>
        <w:ind w:firstLine="640" w:firstLineChars="200"/>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pStyle w:val="1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1"/>
        <w:rPr>
          <w:rFonts w:hint="eastAsia" w:ascii="方正黑体简体" w:hAnsi="方正黑体简体" w:eastAsia="方正黑体简体" w:cs="方正黑体简体"/>
          <w:color w:val="000000"/>
          <w:sz w:val="32"/>
          <w:szCs w:val="32"/>
          <w:lang w:eastAsia="zh-CN"/>
        </w:rPr>
      </w:pPr>
      <w:bookmarkStart w:id="23" w:name="_Toc15377208"/>
      <w:bookmarkStart w:id="24" w:name="_Toc15396606"/>
      <w:r>
        <w:rPr>
          <w:rFonts w:hint="eastAsia" w:ascii="方正黑体简体" w:hAnsi="方正黑体简体" w:eastAsia="方正黑体简体" w:cs="方正黑体简体"/>
          <w:color w:val="000000"/>
          <w:sz w:val="32"/>
          <w:szCs w:val="32"/>
          <w:lang w:eastAsia="zh-CN"/>
        </w:rPr>
        <w:t>四、财政拨款收入支出决算总体情况说明</w:t>
      </w:r>
      <w:bookmarkEnd w:id="23"/>
      <w:bookmarkEnd w:id="24"/>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2020年财政拨款收入总计367.82万元。与2019年335.94万元相比，收入增强31.88万元，增加9%，主要变动原因是人员调资，财政拨款增加。</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2020年度财政拨款支出总计371.32万元。与2019年372.56万元相比，支出减少1.24万元，下降0.3%，主要变动原因是人员经费支出减少。</w:t>
      </w:r>
    </w:p>
    <w:p>
      <w:pPr>
        <w:jc w:val="center"/>
      </w:pPr>
      <w:r>
        <w:rPr>
          <w:rFonts w:hint="eastAsia" w:ascii="仿宋" w:hAnsi="仿宋" w:eastAsia="仿宋"/>
          <w:color w:val="000000"/>
          <w:sz w:val="32"/>
          <w:szCs w:val="32"/>
        </w:rPr>
        <w:drawing>
          <wp:inline distT="0" distB="0" distL="114300" distR="114300">
            <wp:extent cx="4521835" cy="2601595"/>
            <wp:effectExtent l="19050" t="0" r="12065"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76"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pStyle w:val="1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1"/>
        <w:rPr>
          <w:rFonts w:hint="eastAsia" w:ascii="方正黑体简体" w:hAnsi="方正黑体简体" w:eastAsia="方正黑体简体" w:cs="方正黑体简体"/>
          <w:color w:val="000000"/>
          <w:sz w:val="32"/>
          <w:szCs w:val="32"/>
          <w:lang w:eastAsia="zh-CN"/>
        </w:rPr>
      </w:pPr>
      <w:bookmarkStart w:id="25" w:name="_Toc15377209"/>
      <w:bookmarkStart w:id="26" w:name="_Toc15396607"/>
      <w:r>
        <w:rPr>
          <w:rFonts w:hint="eastAsia" w:ascii="方正黑体简体" w:hAnsi="方正黑体简体" w:eastAsia="方正黑体简体" w:cs="方正黑体简体"/>
          <w:color w:val="000000"/>
          <w:sz w:val="32"/>
          <w:szCs w:val="32"/>
          <w:lang w:eastAsia="zh-CN"/>
        </w:rPr>
        <w:t>五、一般公共预算财政拨款支出决算情况说明</w:t>
      </w:r>
      <w:bookmarkEnd w:id="25"/>
      <w:bookmarkEnd w:id="26"/>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bookmarkStart w:id="27" w:name="_Toc15377210"/>
      <w:r>
        <w:rPr>
          <w:rFonts w:hint="eastAsia" w:ascii="方正楷体简体" w:hAnsi="方正楷体简体" w:eastAsia="方正楷体简体" w:cs="方正楷体简体"/>
          <w:color w:val="000000"/>
          <w:sz w:val="32"/>
          <w:szCs w:val="32"/>
        </w:rPr>
        <w:t>（一）一般公共预算财政拨款支出决算总体情况</w:t>
      </w:r>
      <w:bookmarkEnd w:id="27"/>
      <w:r>
        <w:rPr>
          <w:rFonts w:hint="eastAsia" w:ascii="方正楷体简体" w:hAnsi="方正楷体简体" w:eastAsia="方正楷体简体" w:cs="方正楷体简体"/>
          <w:color w:val="000000"/>
          <w:sz w:val="32"/>
          <w:szCs w:val="32"/>
        </w:rPr>
        <w:t>。</w:t>
      </w:r>
      <w:r>
        <w:rPr>
          <w:rFonts w:hint="eastAsia" w:ascii="方正仿宋简体" w:hAnsi="方正仿宋简体" w:eastAsia="方正仿宋简体" w:cs="方正仿宋简体"/>
          <w:color w:val="000000"/>
          <w:sz w:val="32"/>
          <w:szCs w:val="32"/>
        </w:rPr>
        <w:t>2020年一般公共预算财政拨款支出371.32万元，占本年支出合计的100%。与2019年相比，一般公共预算财政拨款减少1.24万元，下降0.3%。主要变动原因是人员经费支出减少。</w:t>
      </w:r>
    </w:p>
    <w:p>
      <w:pPr>
        <w:pStyle w:val="6"/>
        <w:jc w:val="center"/>
        <w:rPr>
          <w:rFonts w:eastAsia="仿宋"/>
        </w:rPr>
      </w:pPr>
      <w:r>
        <w:rPr>
          <w:rFonts w:hint="eastAsia" w:eastAsia="仿宋"/>
        </w:rPr>
        <w:drawing>
          <wp:inline distT="0" distB="0" distL="114300" distR="114300">
            <wp:extent cx="3993515" cy="2404745"/>
            <wp:effectExtent l="19050" t="0" r="25654"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76" w:lineRule="exact"/>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bookmarkStart w:id="28" w:name="_Toc15377211"/>
      <w:r>
        <w:rPr>
          <w:rFonts w:hint="eastAsia" w:ascii="方正楷体简体" w:hAnsi="方正楷体简体" w:eastAsia="方正楷体简体" w:cs="方正楷体简体"/>
          <w:color w:val="000000"/>
          <w:sz w:val="32"/>
          <w:szCs w:val="32"/>
        </w:rPr>
        <w:t>（二）一般公共预算财政拨款支出决算结构情况</w:t>
      </w:r>
      <w:bookmarkEnd w:id="28"/>
      <w:r>
        <w:rPr>
          <w:rFonts w:hint="eastAsia" w:ascii="方正楷体简体" w:hAnsi="方正楷体简体" w:eastAsia="方正楷体简体" w:cs="方正楷体简体"/>
          <w:color w:val="000000"/>
          <w:sz w:val="32"/>
          <w:szCs w:val="32"/>
        </w:rPr>
        <w:t>。</w:t>
      </w:r>
      <w:r>
        <w:rPr>
          <w:rFonts w:hint="eastAsia" w:ascii="方正仿宋简体" w:hAnsi="方正仿宋简体" w:eastAsia="方正仿宋简体" w:cs="方正仿宋简体"/>
          <w:color w:val="000000"/>
          <w:sz w:val="32"/>
          <w:szCs w:val="32"/>
        </w:rPr>
        <w:t>2020年一般公共预算财政拨款支出371.32万元，主要用于以下方面:一般公共服务（类）支出0万元；教育支出（类）0万元；科学技术（类）支出0万元；文化旅游体育与传媒（类）支出0万元；社会保障和就业（类）支出23.54万元，占6%；卫生健康支出331.65万元，占90%；住房保障支出16.14万元，占4%。（罗列全部功能分类科目，至类级。）</w:t>
      </w:r>
    </w:p>
    <w:p>
      <w:pPr>
        <w:jc w:val="center"/>
        <w:rPr>
          <w:rFonts w:ascii="仿宋" w:hAnsi="仿宋" w:eastAsia="仿宋"/>
          <w:color w:val="000000"/>
          <w:sz w:val="32"/>
          <w:szCs w:val="32"/>
        </w:rPr>
      </w:pPr>
      <w:r>
        <w:rPr>
          <w:rFonts w:hint="eastAsia" w:ascii="仿宋" w:hAnsi="仿宋" w:eastAsia="仿宋"/>
          <w:color w:val="000000"/>
          <w:sz w:val="32"/>
          <w:szCs w:val="32"/>
        </w:rPr>
        <w:drawing>
          <wp:inline distT="0" distB="0" distL="114300" distR="114300">
            <wp:extent cx="3877945" cy="2459355"/>
            <wp:effectExtent l="19050" t="0" r="26924"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bookmarkStart w:id="29" w:name="_Toc15377212"/>
      <w:r>
        <w:rPr>
          <w:rFonts w:hint="eastAsia" w:ascii="方正楷体简体" w:hAnsi="方正楷体简体" w:eastAsia="方正楷体简体" w:cs="方正楷体简体"/>
          <w:color w:val="000000"/>
          <w:sz w:val="32"/>
          <w:szCs w:val="32"/>
        </w:rPr>
        <w:t>（三）一般公共预算财政拨款支出决算具体情况</w:t>
      </w:r>
      <w:bookmarkEnd w:id="29"/>
      <w:r>
        <w:rPr>
          <w:rFonts w:hint="eastAsia" w:ascii="方正楷体简体" w:hAnsi="方正楷体简体" w:eastAsia="方正楷体简体" w:cs="方正楷体简体"/>
          <w:color w:val="000000"/>
          <w:sz w:val="32"/>
          <w:szCs w:val="32"/>
        </w:rPr>
        <w:t>。</w:t>
      </w:r>
      <w:bookmarkStart w:id="30" w:name="_Toc15378460"/>
      <w:bookmarkStart w:id="31" w:name="_Toc15377213"/>
      <w:bookmarkStart w:id="32" w:name="_Toc15377444"/>
      <w:r>
        <w:rPr>
          <w:rFonts w:hint="eastAsia" w:ascii="方正仿宋简体" w:hAnsi="方正仿宋简体" w:eastAsia="方正仿宋简体" w:cs="方正仿宋简体"/>
          <w:color w:val="000000"/>
          <w:sz w:val="32"/>
          <w:szCs w:val="32"/>
        </w:rPr>
        <w:t>2020年一般公共预算支出决算数为371.32，完成预算98%。其中：</w:t>
      </w:r>
      <w:bookmarkEnd w:id="30"/>
      <w:bookmarkEnd w:id="31"/>
      <w:bookmarkEnd w:id="32"/>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1.一般公共服务（类）***（款）***（项）: 支出决算为0万元，完成预算0%。</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2.教育（类）***（款）***（项）: 支出决算0万元，完成预算0%。</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3.科学技术（类）***（款）***（项）: 支出决算为0万元，完成预算0%。</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4.文化旅游体育与传媒（类）***（款）***（项）: 支出决算为0万元，完成预算0%。</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5.社会保障和就业208（类）: 行政事业单位离退休（20805款）机关事业单位基本养老保险缴费支出（2080505项）: 支出决算为23.54万元，完成预算100%。</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卫生健康210（类）:行政事业单位医疗（21011款）行政单位医疗（2101101项）支出决算为10.09万元，完成预算的100%；公共卫生（21004）卫生监督机构（2100402项）支出决算为322.5万元，完成预算97%，主支变动原因是日常公用经费支出减少。</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7.住房保障221（类）：住房改革支出（22102款）住房公积金（2210201项）支出决算为15.19万元，完成预算100%。</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（注：数据来源于财决Z01-1表，罗列全部功能分类科目至项级。上述“预算”口径为调整预算数。）</w:t>
      </w:r>
    </w:p>
    <w:p>
      <w:pPr>
        <w:pStyle w:val="1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1"/>
        <w:rPr>
          <w:rFonts w:hint="eastAsia" w:ascii="方正黑体简体" w:hAnsi="方正黑体简体" w:eastAsia="方正黑体简体" w:cs="方正黑体简体"/>
          <w:color w:val="000000"/>
          <w:sz w:val="32"/>
          <w:szCs w:val="32"/>
          <w:lang w:eastAsia="zh-CN"/>
        </w:rPr>
      </w:pPr>
      <w:bookmarkStart w:id="33" w:name="_Toc15396608"/>
      <w:bookmarkStart w:id="34" w:name="_Toc15377214"/>
      <w:r>
        <w:rPr>
          <w:rFonts w:hint="eastAsia" w:ascii="方正黑体简体" w:hAnsi="方正黑体简体" w:eastAsia="方正黑体简体" w:cs="方正黑体简体"/>
          <w:color w:val="000000"/>
          <w:sz w:val="32"/>
          <w:szCs w:val="32"/>
          <w:lang w:eastAsia="zh-CN"/>
        </w:rPr>
        <w:t>六、一般公共预算财政拨款基本支出决算情况说明</w:t>
      </w:r>
      <w:bookmarkEnd w:id="33"/>
      <w:bookmarkEnd w:id="34"/>
      <w:r>
        <w:rPr>
          <w:rFonts w:hint="eastAsia" w:ascii="方正黑体简体" w:hAnsi="方正黑体简体" w:eastAsia="方正黑体简体" w:cs="方正黑体简体"/>
          <w:color w:val="000000"/>
          <w:sz w:val="32"/>
          <w:szCs w:val="32"/>
          <w:lang w:eastAsia="zh-CN"/>
        </w:rPr>
        <w:tab/>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2020年一般公共预算财政拨款基本支出</w:t>
      </w:r>
      <w:r>
        <w:rPr>
          <w:rFonts w:hint="eastAsia" w:ascii="方正仿宋简体" w:hAnsi="方正仿宋简体" w:eastAsia="方正仿宋简体" w:cs="方正仿宋简体"/>
          <w:color w:val="000000"/>
          <w:sz w:val="32"/>
          <w:szCs w:val="32"/>
          <w:lang w:val="en-US" w:eastAsia="zh-CN"/>
        </w:rPr>
        <w:t>307.57</w:t>
      </w:r>
      <w:r>
        <w:rPr>
          <w:rFonts w:hint="eastAsia" w:ascii="方正仿宋简体" w:hAnsi="方正仿宋简体" w:eastAsia="方正仿宋简体" w:cs="方正仿宋简体"/>
          <w:color w:val="000000"/>
          <w:sz w:val="32"/>
          <w:szCs w:val="32"/>
        </w:rPr>
        <w:t>万元，其中：</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人员经费280.21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日常公用经费</w:t>
      </w:r>
      <w:r>
        <w:rPr>
          <w:rFonts w:hint="eastAsia" w:ascii="方正仿宋简体" w:hAnsi="方正仿宋简体" w:eastAsia="方正仿宋简体" w:cs="方正仿宋简体"/>
          <w:color w:val="000000"/>
          <w:sz w:val="32"/>
          <w:szCs w:val="32"/>
          <w:lang w:val="en-US" w:eastAsia="zh-CN"/>
        </w:rPr>
        <w:t>27.36</w:t>
      </w:r>
      <w:r>
        <w:rPr>
          <w:rFonts w:hint="eastAsia" w:ascii="方正仿宋简体" w:hAnsi="方正仿宋简体" w:eastAsia="方正仿宋简体" w:cs="方正仿宋简体"/>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1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1"/>
        <w:rPr>
          <w:rFonts w:hint="eastAsia" w:ascii="方正黑体简体" w:hAnsi="方正黑体简体" w:eastAsia="方正黑体简体" w:cs="方正黑体简体"/>
          <w:color w:val="000000"/>
          <w:sz w:val="32"/>
          <w:szCs w:val="32"/>
          <w:lang w:eastAsia="zh-CN"/>
        </w:rPr>
      </w:pPr>
      <w:bookmarkStart w:id="35" w:name="_Toc15396609"/>
      <w:bookmarkStart w:id="36" w:name="_Toc15377215"/>
      <w:r>
        <w:rPr>
          <w:rFonts w:hint="eastAsia" w:ascii="方正黑体简体" w:hAnsi="方正黑体简体" w:eastAsia="方正黑体简体" w:cs="方正黑体简体"/>
          <w:color w:val="000000"/>
          <w:sz w:val="32"/>
          <w:szCs w:val="32"/>
          <w:lang w:eastAsia="zh-CN"/>
        </w:rPr>
        <w:t>七、“三公”经费财政拨款支出决算情况说明</w:t>
      </w:r>
      <w:bookmarkEnd w:id="35"/>
      <w:bookmarkEnd w:id="36"/>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楷体简体" w:hAnsi="方正楷体简体" w:eastAsia="方正楷体简体" w:cs="方正楷体简体"/>
          <w:color w:val="000000"/>
          <w:sz w:val="32"/>
          <w:szCs w:val="32"/>
        </w:rPr>
      </w:pPr>
      <w:bookmarkStart w:id="37" w:name="_Toc15377216"/>
      <w:r>
        <w:rPr>
          <w:rFonts w:hint="eastAsia" w:ascii="方正楷体简体" w:hAnsi="方正楷体简体" w:eastAsia="方正楷体简体" w:cs="方正楷体简体"/>
          <w:color w:val="000000"/>
          <w:sz w:val="32"/>
          <w:szCs w:val="32"/>
        </w:rPr>
        <w:t>（一）“三公”经费财政拨款支出决算总体情况说明</w:t>
      </w:r>
      <w:bookmarkEnd w:id="37"/>
      <w:r>
        <w:rPr>
          <w:rFonts w:hint="eastAsia" w:ascii="方正楷体简体" w:hAnsi="方正楷体简体" w:eastAsia="方正楷体简体" w:cs="方正楷体简体"/>
          <w:color w:val="000000"/>
          <w:sz w:val="32"/>
          <w:szCs w:val="32"/>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2020年“三公”经费财政拨款支出决算为0.09万元，完成预算75%，决算数小于预算数的主要原因是公务接待减少。</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000000"/>
          <w:sz w:val="32"/>
          <w:szCs w:val="32"/>
        </w:rPr>
      </w:pPr>
      <w:bookmarkStart w:id="38" w:name="_Toc15377217"/>
      <w:r>
        <w:rPr>
          <w:rFonts w:hint="eastAsia" w:ascii="方正仿宋简体" w:hAnsi="方正仿宋简体" w:eastAsia="方正仿宋简体" w:cs="方正仿宋简体"/>
          <w:color w:val="000000"/>
          <w:sz w:val="32"/>
          <w:szCs w:val="32"/>
        </w:rPr>
        <w:t>“三公”经费财政拨款支出决算具体情况说明</w:t>
      </w:r>
      <w:bookmarkEnd w:id="38"/>
      <w:r>
        <w:rPr>
          <w:rFonts w:hint="eastAsia" w:ascii="方正仿宋简体" w:hAnsi="方正仿宋简体" w:eastAsia="方正仿宋简体" w:cs="方正仿宋简体"/>
          <w:color w:val="000000"/>
          <w:sz w:val="32"/>
          <w:szCs w:val="32"/>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楷体" w:eastAsia="仿宋_GB2312"/>
          <w:color w:val="000000"/>
          <w:sz w:val="32"/>
          <w:szCs w:val="32"/>
        </w:rPr>
      </w:pPr>
      <w:r>
        <w:rPr>
          <w:rFonts w:hint="eastAsia" w:ascii="方正仿宋简体" w:hAnsi="方正仿宋简体" w:eastAsia="方正仿宋简体" w:cs="方正仿宋简体"/>
          <w:color w:val="000000"/>
          <w:sz w:val="32"/>
          <w:szCs w:val="32"/>
        </w:rPr>
        <w:t>2020年“三公”经费财政拨款支出决算中，因公出国（境）费支出决算0万元；公务用车购置及运行维护费支出决算0万元；公务接待费支出决算0.09万元，占100%。具体情况如下：</w:t>
      </w:r>
    </w:p>
    <w:p>
      <w:pPr>
        <w:pStyle w:val="6"/>
        <w:jc w:val="center"/>
        <w:rPr>
          <w:rFonts w:ascii="仿宋" w:hAnsi="仿宋" w:eastAsia="仿宋"/>
          <w:color w:val="000000"/>
          <w:sz w:val="32"/>
          <w:szCs w:val="32"/>
        </w:rPr>
      </w:pPr>
      <w:r>
        <w:rPr>
          <w:rFonts w:hint="eastAsia" w:ascii="仿宋" w:hAnsi="仿宋" w:eastAsia="仿宋"/>
          <w:color w:val="000000"/>
          <w:sz w:val="32"/>
          <w:szCs w:val="32"/>
        </w:rPr>
        <w:drawing>
          <wp:inline distT="0" distB="0" distL="114300" distR="114300">
            <wp:extent cx="4686300" cy="2811780"/>
            <wp:effectExtent l="19050" t="0" r="18923" b="7493"/>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76"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公务接待费支出0.09万元，完成预算75%。公务接待费支出决算比2019年减少0.03万元，下降25%。主要原因是公务接待减少。</w:t>
      </w:r>
    </w:p>
    <w:p>
      <w:pPr>
        <w:keepNext w:val="0"/>
        <w:keepLines w:val="0"/>
        <w:pageBreakBefore w:val="0"/>
        <w:widowControl w:val="0"/>
        <w:numPr>
          <w:ilvl w:val="0"/>
          <w:numId w:val="1"/>
        </w:numPr>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因公出国（境）经费支出0万元，完成预算0%。全年安排因公出国（境）团组0次，出国（境）0人。</w:t>
      </w:r>
    </w:p>
    <w:p>
      <w:pPr>
        <w:keepNext w:val="0"/>
        <w:keepLines w:val="0"/>
        <w:pageBreakBefore w:val="0"/>
        <w:widowControl w:val="0"/>
        <w:numPr>
          <w:ilvl w:val="0"/>
          <w:numId w:val="1"/>
        </w:numPr>
        <w:kinsoku/>
        <w:wordWrap/>
        <w:overflowPunct/>
        <w:topLinePunct w:val="0"/>
        <w:autoSpaceDE/>
        <w:autoSpaceDN/>
        <w:bidi w:val="0"/>
        <w:spacing w:line="576" w:lineRule="exact"/>
        <w:ind w:left="0" w:leftChars="0"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公务用车购置及运行维护费支出0万元,完成预算0%。</w:t>
      </w:r>
    </w:p>
    <w:p>
      <w:pPr>
        <w:keepNext w:val="0"/>
        <w:keepLines w:val="0"/>
        <w:pageBreakBefore w:val="0"/>
        <w:widowControl w:val="0"/>
        <w:numPr>
          <w:ilvl w:val="0"/>
          <w:numId w:val="0"/>
        </w:numPr>
        <w:kinsoku/>
        <w:wordWrap/>
        <w:overflowPunct/>
        <w:topLinePunct w:val="0"/>
        <w:autoSpaceDE/>
        <w:autoSpaceDN/>
        <w:bidi w:val="0"/>
        <w:spacing w:line="576" w:lineRule="exact"/>
        <w:ind w:leftChars="200" w:firstLine="320" w:firstLineChars="1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其中：公务用车购置支出0万元。全年按规定更新购置公务用车0辆，其中：轿车0辆、金额0万元，越野车0辆、金额0万元，载客汽车0辆、金额0万元。截至2020年12月底，单位共有公务用车0辆，其中：轿车0辆、越野车0辆、载客汽车0辆。</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公务用车运行维护费支出0万元。</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3.公务接待费支出0.09万元，完成预算75%。公务接待费支出决算比2019年减少0.03万元，下降25%。主要原因是公务接待减少。其中：</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国内公务接待支出</w:t>
      </w:r>
      <w:r>
        <w:rPr>
          <w:rFonts w:hint="eastAsia" w:ascii="方正仿宋简体" w:hAnsi="方正仿宋简体" w:eastAsia="方正仿宋简体" w:cs="方正仿宋简体"/>
          <w:color w:val="auto"/>
          <w:sz w:val="32"/>
          <w:szCs w:val="32"/>
          <w:lang w:val="en-US" w:eastAsia="zh-CN"/>
        </w:rPr>
        <w:t>0.09</w:t>
      </w:r>
      <w:r>
        <w:rPr>
          <w:rFonts w:hint="eastAsia" w:ascii="方正仿宋简体" w:hAnsi="方正仿宋简体" w:eastAsia="方正仿宋简体" w:cs="方正仿宋简体"/>
          <w:color w:val="auto"/>
          <w:sz w:val="32"/>
          <w:szCs w:val="32"/>
        </w:rPr>
        <w:t>万元，主要用于执行公务、开展业务活动开支的交通费、住宿费、用餐费等。国内公务接待</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批次，</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人次（不包括陪同人员），共计支出</w:t>
      </w:r>
      <w:r>
        <w:rPr>
          <w:rFonts w:hint="eastAsia" w:ascii="方正仿宋简体" w:hAnsi="方正仿宋简体" w:eastAsia="方正仿宋简体" w:cs="方正仿宋简体"/>
          <w:color w:val="auto"/>
          <w:sz w:val="32"/>
          <w:szCs w:val="32"/>
          <w:lang w:val="en-US" w:eastAsia="zh-CN"/>
        </w:rPr>
        <w:t>0.09</w:t>
      </w:r>
      <w:r>
        <w:rPr>
          <w:rFonts w:hint="eastAsia" w:ascii="方正仿宋简体" w:hAnsi="方正仿宋简体" w:eastAsia="方正仿宋简体" w:cs="方正仿宋简体"/>
          <w:color w:val="auto"/>
          <w:sz w:val="32"/>
          <w:szCs w:val="32"/>
        </w:rPr>
        <w:t>万元，具体内容包括：接待上级检查、督导、调研及其他市、县</w:t>
      </w:r>
      <w:r>
        <w:rPr>
          <w:rFonts w:hint="eastAsia" w:ascii="方正仿宋简体" w:hAnsi="方正仿宋简体" w:eastAsia="方正仿宋简体" w:cs="方正仿宋简体"/>
          <w:color w:val="auto"/>
          <w:sz w:val="32"/>
          <w:szCs w:val="32"/>
          <w:lang w:eastAsia="zh-CN"/>
        </w:rPr>
        <w:t>、区</w:t>
      </w:r>
      <w:r>
        <w:rPr>
          <w:rFonts w:hint="eastAsia" w:ascii="方正仿宋简体" w:hAnsi="方正仿宋简体" w:eastAsia="方正仿宋简体" w:cs="方正仿宋简体"/>
          <w:color w:val="auto"/>
          <w:sz w:val="32"/>
          <w:szCs w:val="32"/>
        </w:rPr>
        <w:t>友邻单位交流学习等。</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外事接待支出：无</w:t>
      </w:r>
    </w:p>
    <w:p>
      <w:pPr>
        <w:pStyle w:val="1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1"/>
        <w:rPr>
          <w:rFonts w:hint="eastAsia" w:ascii="方正黑体简体" w:hAnsi="方正黑体简体" w:eastAsia="方正黑体简体" w:cs="方正黑体简体"/>
          <w:color w:val="000000"/>
          <w:sz w:val="32"/>
          <w:szCs w:val="32"/>
          <w:lang w:eastAsia="zh-CN"/>
        </w:rPr>
      </w:pPr>
      <w:bookmarkStart w:id="39" w:name="_Toc15377218"/>
      <w:bookmarkStart w:id="40" w:name="_Toc15396610"/>
      <w:r>
        <w:rPr>
          <w:rFonts w:hint="eastAsia" w:ascii="方正黑体简体" w:hAnsi="方正黑体简体" w:eastAsia="方正黑体简体" w:cs="方正黑体简体"/>
          <w:color w:val="000000"/>
          <w:sz w:val="32"/>
          <w:szCs w:val="32"/>
          <w:lang w:eastAsia="zh-CN"/>
        </w:rPr>
        <w:t>八、政府性基金预算支出决算情况说明</w:t>
      </w:r>
      <w:bookmarkEnd w:id="39"/>
      <w:bookmarkEnd w:id="40"/>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2020年政府性基金预算拨款支出0万元。</w:t>
      </w:r>
    </w:p>
    <w:p>
      <w:pPr>
        <w:pStyle w:val="1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1"/>
        <w:rPr>
          <w:rFonts w:hint="eastAsia" w:ascii="方正黑体简体" w:hAnsi="方正黑体简体" w:eastAsia="方正黑体简体" w:cs="方正黑体简体"/>
          <w:color w:val="000000"/>
          <w:sz w:val="32"/>
          <w:szCs w:val="32"/>
          <w:lang w:eastAsia="zh-CN"/>
        </w:rPr>
      </w:pPr>
      <w:bookmarkStart w:id="41" w:name="_Toc15377219"/>
      <w:bookmarkStart w:id="42" w:name="_Toc15396611"/>
      <w:r>
        <w:rPr>
          <w:rFonts w:hint="eastAsia" w:ascii="方正黑体简体" w:hAnsi="方正黑体简体" w:eastAsia="方正黑体简体" w:cs="方正黑体简体"/>
          <w:color w:val="000000"/>
          <w:sz w:val="32"/>
          <w:szCs w:val="32"/>
          <w:lang w:eastAsia="zh-CN"/>
        </w:rPr>
        <w:t>九、国有资本经营预算支出决算情况说明</w:t>
      </w:r>
      <w:bookmarkEnd w:id="41"/>
      <w:bookmarkEnd w:id="42"/>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2020年国有资本经营预算拨款支出0万元。</w:t>
      </w:r>
    </w:p>
    <w:p>
      <w:pPr>
        <w:pStyle w:val="19"/>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1"/>
        <w:rPr>
          <w:rFonts w:hint="eastAsia" w:ascii="方正黑体简体" w:hAnsi="方正黑体简体" w:eastAsia="方正黑体简体" w:cs="方正黑体简体"/>
          <w:color w:val="000000"/>
          <w:sz w:val="32"/>
          <w:szCs w:val="32"/>
          <w:lang w:eastAsia="zh-CN"/>
        </w:rPr>
      </w:pPr>
      <w:bookmarkStart w:id="43" w:name="_Toc15396612"/>
      <w:bookmarkStart w:id="44" w:name="_Toc15377221"/>
      <w:r>
        <w:rPr>
          <w:rFonts w:hint="eastAsia" w:ascii="方正黑体简体" w:hAnsi="方正黑体简体" w:eastAsia="方正黑体简体" w:cs="方正黑体简体"/>
          <w:color w:val="000000"/>
          <w:sz w:val="32"/>
          <w:szCs w:val="32"/>
          <w:lang w:eastAsia="zh-CN"/>
        </w:rPr>
        <w:t>十、其他重要事项的情况说明</w:t>
      </w:r>
      <w:bookmarkEnd w:id="43"/>
      <w:bookmarkEnd w:id="44"/>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bookmarkStart w:id="45" w:name="_Toc15377222"/>
      <w:r>
        <w:rPr>
          <w:rFonts w:hint="eastAsia" w:ascii="方正楷体简体" w:hAnsi="方正楷体简体" w:eastAsia="方正楷体简体" w:cs="方正楷体简体"/>
          <w:color w:val="000000"/>
          <w:sz w:val="32"/>
          <w:szCs w:val="32"/>
        </w:rPr>
        <w:t>（一）机关运行经费支出情况</w:t>
      </w:r>
      <w:bookmarkEnd w:id="45"/>
      <w:r>
        <w:rPr>
          <w:rFonts w:hint="eastAsia" w:ascii="方正楷体简体" w:hAnsi="方正楷体简体" w:eastAsia="方正楷体简体" w:cs="方正楷体简体"/>
          <w:color w:val="000000"/>
          <w:sz w:val="32"/>
          <w:szCs w:val="32"/>
        </w:rPr>
        <w:t>。</w:t>
      </w:r>
      <w:r>
        <w:rPr>
          <w:rFonts w:hint="eastAsia" w:ascii="方正仿宋简体" w:hAnsi="方正仿宋简体" w:eastAsia="方正仿宋简体" w:cs="方正仿宋简体"/>
          <w:color w:val="auto"/>
          <w:sz w:val="32"/>
          <w:szCs w:val="32"/>
        </w:rPr>
        <w:t>2020年，利州区卫生和计划生育监督执法大队机关运行经费支出27.37万元，比2019年减少15.35万元，下降36%主要原因是公用经费支出减少。</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bookmarkStart w:id="46" w:name="_Toc15377223"/>
      <w:r>
        <w:rPr>
          <w:rFonts w:hint="eastAsia" w:ascii="方正楷体简体" w:hAnsi="方正楷体简体" w:eastAsia="方正楷体简体" w:cs="方正楷体简体"/>
          <w:color w:val="000000"/>
          <w:sz w:val="32"/>
          <w:szCs w:val="32"/>
        </w:rPr>
        <w:t>（二）政府采购支出情况</w:t>
      </w:r>
      <w:bookmarkEnd w:id="46"/>
      <w:r>
        <w:rPr>
          <w:rFonts w:hint="eastAsia" w:ascii="方正楷体简体" w:hAnsi="方正楷体简体" w:eastAsia="方正楷体简体" w:cs="方正楷体简体"/>
          <w:color w:val="000000"/>
          <w:sz w:val="32"/>
          <w:szCs w:val="32"/>
        </w:rPr>
        <w:t>。</w:t>
      </w:r>
      <w:r>
        <w:rPr>
          <w:rFonts w:hint="eastAsia" w:ascii="方正仿宋简体" w:hAnsi="方正仿宋简体" w:eastAsia="方正仿宋简体" w:cs="方正仿宋简体"/>
          <w:color w:val="auto"/>
          <w:sz w:val="32"/>
          <w:szCs w:val="32"/>
        </w:rPr>
        <w:t>2020年，利州区卫生和计划生育监督执法大队政府采购支出总额0万元，其中：政府采购货物支出0万元、政府采购工程支出0万元、政府采购服务支出0万元。</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bookmarkStart w:id="47" w:name="_Toc15377224"/>
      <w:r>
        <w:rPr>
          <w:rFonts w:hint="eastAsia" w:ascii="方正楷体简体" w:hAnsi="方正楷体简体" w:eastAsia="方正楷体简体" w:cs="方正楷体简体"/>
          <w:color w:val="000000"/>
          <w:sz w:val="32"/>
          <w:szCs w:val="32"/>
        </w:rPr>
        <w:t>（三）国有资产占有使用情况</w:t>
      </w:r>
      <w:bookmarkEnd w:id="47"/>
      <w:r>
        <w:rPr>
          <w:rFonts w:hint="eastAsia" w:ascii="方正仿宋简体" w:hAnsi="方正仿宋简体" w:eastAsia="方正仿宋简体" w:cs="方正仿宋简体"/>
          <w:color w:val="auto"/>
          <w:sz w:val="32"/>
          <w:szCs w:val="32"/>
        </w:rPr>
        <w:t>。截至2020年12月31日，利州区卫生和计划生育监督执法大队共有车辆0辆，单价50万元以上通用设备0台（套），单价100万元以上专用设备0台（套）。</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楷体简体" w:hAnsi="方正楷体简体" w:eastAsia="方正楷体简体" w:cs="方正楷体简体"/>
          <w:color w:val="000000"/>
          <w:sz w:val="32"/>
          <w:szCs w:val="32"/>
        </w:rPr>
        <w:t>（四）预算绩效管理情况</w:t>
      </w:r>
      <w:r>
        <w:rPr>
          <w:rFonts w:hint="eastAsia" w:ascii="方正仿宋简体" w:hAnsi="方正仿宋简体" w:eastAsia="方正仿宋简体" w:cs="方正仿宋简体"/>
          <w:color w:val="auto"/>
          <w:sz w:val="32"/>
          <w:szCs w:val="32"/>
        </w:rPr>
        <w:t>。根据预算绩效管理要求，</w:t>
      </w:r>
      <w:r>
        <w:rPr>
          <w:rFonts w:hint="eastAsia" w:ascii="方正仿宋简体" w:hAnsi="方正仿宋简体" w:eastAsia="方正仿宋简体" w:cs="方正仿宋简体"/>
          <w:color w:val="auto"/>
          <w:sz w:val="32"/>
          <w:szCs w:val="32"/>
          <w:lang w:eastAsia="zh-CN"/>
        </w:rPr>
        <w:t>本</w:t>
      </w:r>
      <w:r>
        <w:rPr>
          <w:rFonts w:hint="eastAsia" w:ascii="方正仿宋简体" w:hAnsi="方正仿宋简体" w:eastAsia="方正仿宋简体" w:cs="方正仿宋简体"/>
          <w:color w:val="auto"/>
          <w:sz w:val="32"/>
          <w:szCs w:val="32"/>
        </w:rPr>
        <w:t>单位在年初预算编制阶段，组织对基本公共卫生、卫生监督执法办案</w:t>
      </w:r>
      <w:r>
        <w:rPr>
          <w:rFonts w:hint="eastAsia" w:ascii="方正仿宋简体" w:hAnsi="方正仿宋简体" w:eastAsia="方正仿宋简体" w:cs="方正仿宋简体"/>
          <w:color w:val="auto"/>
          <w:sz w:val="32"/>
          <w:szCs w:val="32"/>
          <w:lang w:eastAsia="zh-CN"/>
        </w:rPr>
        <w:t>工作经费</w:t>
      </w:r>
      <w:r>
        <w:rPr>
          <w:rFonts w:hint="eastAsia" w:ascii="方正仿宋简体" w:hAnsi="方正仿宋简体" w:eastAsia="方正仿宋简体" w:cs="方正仿宋简体"/>
          <w:color w:val="auto"/>
          <w:sz w:val="32"/>
          <w:szCs w:val="32"/>
        </w:rPr>
        <w:t>两项目开展了预算事前绩效评估，对两个项目编制了绩效目标，预算执行过程中，对这两个项目开展绩效监控，年终执行完毕后，对两个项目开展了绩效目标完成情况自评。</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按要求对2020年部门整体支出开展绩效自评，从评价情况来看我大队较好地执行了2020年部门整体支出绩效目标工作按年初计划稳步推进。我大队严格执行财务制度，按时发放在职人员的工资，保障了干部队伍的稳定，按时支付各项费用，按部门预算科学合理使用财政资金，充分发挥资金利用效率，保证了大队的正常运转。同时强化内部管理，提高工作效率，积极发挥预算、计划的导向作用。本大队还自行组织了两个项目绩效评价，从评价情况来看基本完成了项目预期目标。</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1.项目绩效目标完成情况。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在2020年度部门决算中反映“基本公共卫生</w:t>
      </w:r>
      <w:r>
        <w:rPr>
          <w:rFonts w:hint="eastAsia" w:ascii="方正仿宋简体" w:hAnsi="方正仿宋简体" w:eastAsia="方正仿宋简体" w:cs="方正仿宋简体"/>
          <w:color w:val="auto"/>
          <w:sz w:val="32"/>
          <w:szCs w:val="32"/>
          <w:lang w:eastAsia="zh-CN"/>
        </w:rPr>
        <w:t>服务</w:t>
      </w:r>
      <w:r>
        <w:rPr>
          <w:rFonts w:hint="eastAsia" w:ascii="方正仿宋简体" w:hAnsi="方正仿宋简体" w:eastAsia="方正仿宋简体" w:cs="方正仿宋简体"/>
          <w:color w:val="auto"/>
          <w:sz w:val="32"/>
          <w:szCs w:val="32"/>
        </w:rPr>
        <w:t>”、“卫生监督执法办案</w:t>
      </w:r>
      <w:r>
        <w:rPr>
          <w:rFonts w:hint="eastAsia" w:ascii="方正仿宋简体" w:hAnsi="方正仿宋简体" w:eastAsia="方正仿宋简体" w:cs="方正仿宋简体"/>
          <w:color w:val="auto"/>
          <w:sz w:val="32"/>
          <w:szCs w:val="32"/>
          <w:lang w:eastAsia="zh-CN"/>
        </w:rPr>
        <w:t>工作经费</w:t>
      </w:r>
      <w:r>
        <w:rPr>
          <w:rFonts w:hint="eastAsia" w:ascii="方正仿宋简体" w:hAnsi="方正仿宋简体" w:eastAsia="方正仿宋简体" w:cs="方正仿宋简体"/>
          <w:color w:val="auto"/>
          <w:sz w:val="32"/>
          <w:szCs w:val="32"/>
        </w:rPr>
        <w:t>”两个项目绩效目标实际完成情况。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（1）基本公共卫生</w:t>
      </w:r>
      <w:r>
        <w:rPr>
          <w:rFonts w:hint="eastAsia" w:ascii="方正仿宋简体" w:hAnsi="方正仿宋简体" w:eastAsia="方正仿宋简体" w:cs="方正仿宋简体"/>
          <w:color w:val="auto"/>
          <w:sz w:val="32"/>
          <w:szCs w:val="32"/>
          <w:lang w:eastAsia="zh-CN"/>
        </w:rPr>
        <w:t>服务</w:t>
      </w:r>
      <w:r>
        <w:rPr>
          <w:rFonts w:hint="eastAsia" w:ascii="方正仿宋简体" w:hAnsi="方正仿宋简体" w:eastAsia="方正仿宋简体" w:cs="方正仿宋简体"/>
          <w:color w:val="auto"/>
          <w:sz w:val="32"/>
          <w:szCs w:val="32"/>
        </w:rPr>
        <w:t>项目绩效目标完成情况综述。基本公共卫生全年预算数30万元，执行数为30万元，完成预算的100%。通过项目实施，确保了全区医疗、学校、职业防护、生活饮用水、公共场所卫生监督执法工作的顺利开展，提升了公共卫生服务场所的管理水平和服务能力，有效的保障了群众在医疗，就业、消费、教育等方面的权利，为地方经济的发展保驾护航。基本公共卫生服务项目实施让老百姓的良好卫生习惯养成、自我遵纪守法、主动开展社会监督的意识明显提升，大大提高了群众对政府的满意度和信任度。发现的主要问题：一是协管监督体制还不够完善，基层协管人员流动性大。二是人员严重不足，监督服务能力和及时性欠缺。三是学习和培训力度不足导致专业水平低。下一步改进措施：继续推动卫健监督体制改革，明确职责，落实责任，优化考核措施，有计划的加大人才引进和培训，全面提升基本公共卫生服务水平和能力。</w:t>
      </w:r>
    </w:p>
    <w:p>
      <w:pPr>
        <w:keepNext w:val="0"/>
        <w:keepLines w:val="0"/>
        <w:pageBreakBefore w:val="0"/>
        <w:widowControl w:val="0"/>
        <w:kinsoku/>
        <w:wordWrap/>
        <w:overflowPunct/>
        <w:topLinePunct w:val="0"/>
        <w:autoSpaceDE/>
        <w:autoSpaceDN/>
        <w:bidi w:val="0"/>
        <w:spacing w:line="576" w:lineRule="exact"/>
        <w:ind w:firstLine="640" w:firstLineChars="200"/>
        <w:jc w:val="center"/>
        <w:textAlignment w:val="auto"/>
        <w:rPr>
          <w:rFonts w:hint="eastAsia" w:ascii="方正小标宋简体" w:hAnsi="仿宋" w:eastAsia="方正小标宋简体" w:cs="仿宋"/>
          <w:bCs/>
          <w:color w:val="000000"/>
          <w:kern w:val="0"/>
          <w:sz w:val="44"/>
          <w:szCs w:val="44"/>
          <w:lang w:val="en-US" w:eastAsia="zh-CN"/>
        </w:rPr>
      </w:pPr>
      <w:r>
        <w:rPr>
          <w:rFonts w:hint="eastAsia" w:ascii="方正仿宋简体" w:hAnsi="方正仿宋简体" w:eastAsia="方正仿宋简体" w:cs="方正仿宋简体"/>
          <w:color w:val="auto"/>
          <w:sz w:val="32"/>
          <w:szCs w:val="32"/>
        </w:rPr>
        <w:t>（2）卫生监督执法办案</w:t>
      </w:r>
      <w:r>
        <w:rPr>
          <w:rFonts w:hint="eastAsia" w:ascii="方正仿宋简体" w:hAnsi="方正仿宋简体" w:eastAsia="方正仿宋简体" w:cs="方正仿宋简体"/>
          <w:color w:val="auto"/>
          <w:sz w:val="32"/>
          <w:szCs w:val="32"/>
          <w:lang w:eastAsia="zh-CN"/>
        </w:rPr>
        <w:t>工作经费</w:t>
      </w:r>
      <w:r>
        <w:rPr>
          <w:rFonts w:hint="eastAsia" w:ascii="方正仿宋简体" w:hAnsi="方正仿宋简体" w:eastAsia="方正仿宋简体" w:cs="方正仿宋简体"/>
          <w:color w:val="auto"/>
          <w:sz w:val="32"/>
          <w:szCs w:val="32"/>
        </w:rPr>
        <w:t>项目绩效目标完成情况综述。项目全年预算数33.75万元，执行数为33.75万元，完成预算的100%。通过项目实施，保障了专项整治、查办案件、突发公共卫生事件应急处置、重大活动卫生监督、制装等卫生监督执法业务所需经费，维护了全区人民群众健康权益，促进了和谐社会建设，该专项有可持续影响力，人民群众对卫生监督工作测评满意度提升。发现的主要问题：一是执法人员少，而管理对象相对较多，人均监管对象多、监管任务重，造成项目实施过程中出现比计划延迟的情况。二是对项目资金开支分类不够科学、规范，费用开支和绩效产出测得结果不够准确。下一步改进措施：一是做好单位项目评价、审计、考核工作，设计有效的管理指标。二是做好绩效产出的跟踪，进行项目分类统计和成本分析。</w:t>
      </w:r>
      <w:r>
        <w:rPr>
          <w:rFonts w:hint="eastAsia" w:ascii="方正小标宋简体" w:hAnsi="仿宋" w:eastAsia="方正小标宋简体" w:cs="仿宋"/>
          <w:bCs/>
          <w:color w:val="000000"/>
          <w:kern w:val="0"/>
          <w:sz w:val="44"/>
          <w:szCs w:val="44"/>
        </w:rPr>
        <w:t>项目支出绩效目标完成情况表</w:t>
      </w:r>
      <w:r>
        <w:rPr>
          <w:rFonts w:hint="eastAsia" w:ascii="方正小标宋简体" w:hAnsi="仿宋" w:eastAsia="方正小标宋简体" w:cs="仿宋"/>
          <w:bCs/>
          <w:color w:val="000000"/>
          <w:kern w:val="0"/>
          <w:sz w:val="44"/>
          <w:szCs w:val="44"/>
          <w:lang w:val="en-US" w:eastAsia="zh-CN"/>
        </w:rPr>
        <w:t>1</w:t>
      </w:r>
    </w:p>
    <w:p>
      <w:pPr>
        <w:spacing w:line="576" w:lineRule="exact"/>
        <w:jc w:val="center"/>
        <w:rPr>
          <w:rFonts w:ascii="方正小标宋简体" w:hAnsi="仿宋" w:eastAsia="方正小标宋简体" w:cs="仿宋"/>
          <w:color w:val="000000"/>
          <w:kern w:val="0"/>
          <w:sz w:val="32"/>
          <w:szCs w:val="32"/>
        </w:rPr>
      </w:pPr>
      <w:r>
        <w:rPr>
          <w:rFonts w:hint="eastAsia" w:ascii="方正小标宋简体" w:hAnsi="仿宋" w:eastAsia="方正小标宋简体" w:cs="仿宋"/>
          <w:color w:val="000000"/>
          <w:kern w:val="0"/>
          <w:sz w:val="32"/>
          <w:szCs w:val="32"/>
        </w:rPr>
        <w:t>(2020年度)</w:t>
      </w:r>
    </w:p>
    <w:tbl>
      <w:tblPr>
        <w:tblStyle w:val="13"/>
        <w:tblW w:w="8837" w:type="dxa"/>
        <w:jc w:val="center"/>
        <w:tblLayout w:type="fixed"/>
        <w:tblCellMar>
          <w:top w:w="0" w:type="dxa"/>
          <w:left w:w="0" w:type="dxa"/>
          <w:bottom w:w="0" w:type="dxa"/>
          <w:right w:w="0" w:type="dxa"/>
        </w:tblCellMar>
      </w:tblPr>
      <w:tblGrid>
        <w:gridCol w:w="676"/>
        <w:gridCol w:w="1041"/>
        <w:gridCol w:w="937"/>
        <w:gridCol w:w="273"/>
        <w:gridCol w:w="1866"/>
        <w:gridCol w:w="1922"/>
        <w:gridCol w:w="2122"/>
      </w:tblGrid>
      <w:tr>
        <w:tblPrEx>
          <w:tblCellMar>
            <w:top w:w="0" w:type="dxa"/>
            <w:left w:w="0" w:type="dxa"/>
            <w:bottom w:w="0" w:type="dxa"/>
            <w:right w:w="0" w:type="dxa"/>
          </w:tblCellMar>
        </w:tblPrEx>
        <w:trPr>
          <w:trHeight w:val="490" w:hRule="atLeast"/>
          <w:jc w:val="center"/>
        </w:trPr>
        <w:tc>
          <w:tcPr>
            <w:tcW w:w="292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项目名称</w:t>
            </w:r>
          </w:p>
        </w:tc>
        <w:tc>
          <w:tcPr>
            <w:tcW w:w="59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基本公共卫生</w:t>
            </w:r>
            <w:r>
              <w:rPr>
                <w:rFonts w:hint="eastAsia" w:ascii="宋体" w:hAnsi="宋体" w:cs="宋体"/>
                <w:color w:val="000000"/>
                <w:sz w:val="21"/>
                <w:szCs w:val="21"/>
                <w:lang w:eastAsia="zh-CN"/>
              </w:rPr>
              <w:t>服务</w:t>
            </w:r>
          </w:p>
        </w:tc>
      </w:tr>
      <w:tr>
        <w:tblPrEx>
          <w:tblCellMar>
            <w:top w:w="0" w:type="dxa"/>
            <w:left w:w="0" w:type="dxa"/>
            <w:bottom w:w="0" w:type="dxa"/>
            <w:right w:w="0" w:type="dxa"/>
          </w:tblCellMar>
        </w:tblPrEx>
        <w:trPr>
          <w:trHeight w:val="355" w:hRule="atLeast"/>
          <w:jc w:val="center"/>
        </w:trPr>
        <w:tc>
          <w:tcPr>
            <w:tcW w:w="292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预算单位</w:t>
            </w:r>
          </w:p>
        </w:tc>
        <w:tc>
          <w:tcPr>
            <w:tcW w:w="59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广元市利州区卫生和计划生育监督执法大队</w:t>
            </w:r>
          </w:p>
        </w:tc>
      </w:tr>
      <w:tr>
        <w:tblPrEx>
          <w:tblCellMar>
            <w:top w:w="0" w:type="dxa"/>
            <w:left w:w="0" w:type="dxa"/>
            <w:bottom w:w="0" w:type="dxa"/>
            <w:right w:w="0" w:type="dxa"/>
          </w:tblCellMar>
        </w:tblPrEx>
        <w:trPr>
          <w:trHeight w:val="282"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预算执行情况(万元)</w:t>
            </w:r>
          </w:p>
        </w:tc>
        <w:tc>
          <w:tcPr>
            <w:tcW w:w="22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预算数:</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执行数:</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r>
      <w:tr>
        <w:tblPrEx>
          <w:tblCellMar>
            <w:top w:w="0" w:type="dxa"/>
            <w:left w:w="0" w:type="dxa"/>
            <w:bottom w:w="0" w:type="dxa"/>
            <w:right w:w="0" w:type="dxa"/>
          </w:tblCellMar>
        </w:tblPrEx>
        <w:trPr>
          <w:trHeight w:val="28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eastAsia="宋体" w:cs="宋体"/>
                <w:color w:val="000000"/>
                <w:sz w:val="21"/>
                <w:szCs w:val="21"/>
              </w:rPr>
            </w:pPr>
          </w:p>
        </w:tc>
        <w:tc>
          <w:tcPr>
            <w:tcW w:w="22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其中-财政拨款:</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其中-财政拨款:</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r>
      <w:tr>
        <w:tblPrEx>
          <w:tblCellMar>
            <w:top w:w="0" w:type="dxa"/>
            <w:left w:w="0" w:type="dxa"/>
            <w:bottom w:w="0" w:type="dxa"/>
            <w:right w:w="0" w:type="dxa"/>
          </w:tblCellMar>
        </w:tblPrEx>
        <w:trPr>
          <w:trHeight w:val="443"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eastAsia="宋体" w:cs="宋体"/>
                <w:color w:val="000000"/>
                <w:sz w:val="21"/>
                <w:szCs w:val="21"/>
              </w:rPr>
            </w:pPr>
          </w:p>
        </w:tc>
        <w:tc>
          <w:tcPr>
            <w:tcW w:w="22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其它资金:</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其它资金:</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282"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年度目标完成情况</w:t>
            </w:r>
          </w:p>
        </w:tc>
        <w:tc>
          <w:tcPr>
            <w:tcW w:w="411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预期目标</w:t>
            </w:r>
          </w:p>
        </w:tc>
        <w:tc>
          <w:tcPr>
            <w:tcW w:w="40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实际完成目标</w:t>
            </w:r>
          </w:p>
        </w:tc>
      </w:tr>
      <w:tr>
        <w:tblPrEx>
          <w:tblCellMar>
            <w:top w:w="0" w:type="dxa"/>
            <w:left w:w="0" w:type="dxa"/>
            <w:bottom w:w="0" w:type="dxa"/>
            <w:right w:w="0" w:type="dxa"/>
          </w:tblCellMar>
        </w:tblPrEx>
        <w:trPr>
          <w:trHeight w:val="76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eastAsia="宋体" w:cs="宋体"/>
                <w:color w:val="000000"/>
                <w:sz w:val="21"/>
                <w:szCs w:val="21"/>
              </w:rPr>
            </w:pPr>
          </w:p>
        </w:tc>
        <w:tc>
          <w:tcPr>
            <w:tcW w:w="411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spacing w:line="3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确保了全区医疗、学校、职业防护、生活饮用水、公共场所卫生监督执法工作的顺利开展，提升了公共卫生服务场所的管理水平和服务能力，有效的保障了群众在医疗，就业、消费、教育等方面的权利，为地方经济的发展保驾护航。</w:t>
            </w:r>
          </w:p>
        </w:tc>
        <w:tc>
          <w:tcPr>
            <w:tcW w:w="40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让老百姓的良好卫生习惯养成、自我遵纪守法、主动开展社会监督的意识明显提升，大大提高了群众对政府的满意度和信任度。</w:t>
            </w:r>
          </w:p>
        </w:tc>
      </w:tr>
      <w:tr>
        <w:trPr>
          <w:trHeight w:val="861"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绩效指标完成情况</w:t>
            </w: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一级指标</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二级指标</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三级指标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预期指标值(包含数字及文字描述)</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实际完成指标值(包含数字及文字描述)</w:t>
            </w:r>
          </w:p>
        </w:tc>
      </w:tr>
      <w:tr>
        <w:tblPrEx>
          <w:tblCellMar>
            <w:top w:w="0" w:type="dxa"/>
            <w:left w:w="0" w:type="dxa"/>
            <w:bottom w:w="0" w:type="dxa"/>
            <w:right w:w="0" w:type="dxa"/>
          </w:tblCellMar>
        </w:tblPrEx>
        <w:trPr>
          <w:trHeight w:val="57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eastAsia="宋体" w:cs="宋体"/>
                <w:color w:val="000000"/>
                <w:sz w:val="21"/>
                <w:szCs w:val="21"/>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项目完成指标</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数量指标</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spacing w:line="3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医疗、学校、生活饮用水、职业防护、公共场所“五大”卫生监督检查、协管督导与培训、卫生与法制宣传</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“五大”4000余家各类卫生场所检查、督导全覆盖，从业人员及协管人员集中培训，多形式开展宣传教育</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ind w:firstLine="630" w:firstLineChars="3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≥95%</w:t>
            </w:r>
          </w:p>
        </w:tc>
      </w:tr>
      <w:tr>
        <w:tblPrEx>
          <w:tblCellMar>
            <w:top w:w="0" w:type="dxa"/>
            <w:left w:w="0" w:type="dxa"/>
            <w:bottom w:w="0" w:type="dxa"/>
            <w:right w:w="0" w:type="dxa"/>
          </w:tblCellMar>
        </w:tblPrEx>
        <w:trPr>
          <w:trHeight w:val="1021"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eastAsia="宋体" w:cs="宋体"/>
                <w:color w:val="000000"/>
                <w:sz w:val="21"/>
                <w:szCs w:val="21"/>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项目完成指标</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质量指标</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spacing w:line="300" w:lineRule="exact"/>
              <w:ind w:left="0" w:leftChars="0"/>
              <w:rPr>
                <w:rFonts w:hint="eastAsia" w:ascii="宋体" w:hAnsi="宋体" w:eastAsia="宋体" w:cs="宋体"/>
                <w:sz w:val="21"/>
                <w:szCs w:val="21"/>
              </w:rPr>
            </w:pPr>
            <w:r>
              <w:rPr>
                <w:rFonts w:hint="eastAsia" w:ascii="宋体" w:hAnsi="宋体" w:eastAsia="宋体" w:cs="宋体"/>
                <w:sz w:val="21"/>
                <w:szCs w:val="21"/>
              </w:rPr>
              <w:t>“五大”卫生场所持有效证件规范经营，严格控制突发公共卫生事件的发生，减少举报投诉事件</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4000余家各类卫生经营场所持卫生许可证100%，人员持健康证明100%,严格控制突发公共卫生事件发生，投诉事件减少30%</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持证率≥95%，未发生突发公共卫生事件，投诉案件同比减少35%</w:t>
            </w:r>
          </w:p>
        </w:tc>
      </w:tr>
      <w:tr>
        <w:tblPrEx>
          <w:tblCellMar>
            <w:top w:w="0" w:type="dxa"/>
            <w:left w:w="0" w:type="dxa"/>
            <w:bottom w:w="0" w:type="dxa"/>
            <w:right w:w="0" w:type="dxa"/>
          </w:tblCellMar>
        </w:tblPrEx>
        <w:trPr>
          <w:trHeight w:val="764"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sz w:val="21"/>
                <w:szCs w:val="21"/>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效益指标</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可持续影响</w:t>
            </w:r>
          </w:p>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打击非法行医、专项整治</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营造良好的医疗卫生服务秩序，提升百姓健康水平</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公平有序的社会消费和营商环境逐年改善</w:t>
            </w:r>
          </w:p>
        </w:tc>
      </w:tr>
      <w:tr>
        <w:tblPrEx>
          <w:tblCellMar>
            <w:top w:w="0" w:type="dxa"/>
            <w:left w:w="0" w:type="dxa"/>
            <w:bottom w:w="0" w:type="dxa"/>
            <w:right w:w="0" w:type="dxa"/>
          </w:tblCellMar>
        </w:tblPrEx>
        <w:trPr>
          <w:trHeight w:val="854"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sz w:val="21"/>
                <w:szCs w:val="21"/>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满意度指标</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满意度指标</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群众满意度和政府信任感</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r>
    </w:tbl>
    <w:p>
      <w:pPr>
        <w:spacing w:line="580" w:lineRule="exact"/>
        <w:ind w:left="630"/>
        <w:rPr>
          <w:rFonts w:ascii="仿宋_GB2312" w:hAnsi="仿宋_GB2312" w:eastAsia="仿宋_GB2312" w:cs="仿宋_GB2312"/>
          <w:sz w:val="32"/>
          <w:szCs w:val="32"/>
        </w:rPr>
      </w:pPr>
    </w:p>
    <w:p>
      <w:pPr>
        <w:spacing w:line="576" w:lineRule="exact"/>
        <w:ind w:firstLine="2200" w:firstLineChars="500"/>
        <w:jc w:val="both"/>
        <w:rPr>
          <w:rFonts w:hint="eastAsia" w:ascii="方正小标宋简体" w:hAnsi="仿宋" w:eastAsia="方正小标宋简体" w:cs="仿宋"/>
          <w:bCs/>
          <w:color w:val="000000"/>
          <w:kern w:val="0"/>
          <w:sz w:val="44"/>
          <w:szCs w:val="44"/>
          <w:lang w:val="en-US" w:eastAsia="zh-CN"/>
        </w:rPr>
      </w:pPr>
      <w:r>
        <w:rPr>
          <w:rFonts w:hint="eastAsia" w:ascii="方正小标宋简体" w:hAnsi="仿宋" w:eastAsia="方正小标宋简体" w:cs="仿宋"/>
          <w:bCs/>
          <w:color w:val="000000"/>
          <w:kern w:val="0"/>
          <w:sz w:val="44"/>
          <w:szCs w:val="44"/>
        </w:rPr>
        <w:t>绩效目标完成情况表</w:t>
      </w:r>
      <w:r>
        <w:rPr>
          <w:rFonts w:hint="eastAsia" w:ascii="方正小标宋简体" w:hAnsi="仿宋" w:eastAsia="方正小标宋简体" w:cs="仿宋"/>
          <w:bCs/>
          <w:color w:val="000000"/>
          <w:kern w:val="0"/>
          <w:sz w:val="44"/>
          <w:szCs w:val="44"/>
          <w:lang w:val="en-US" w:eastAsia="zh-CN"/>
        </w:rPr>
        <w:t>2</w:t>
      </w:r>
    </w:p>
    <w:p>
      <w:pPr>
        <w:spacing w:line="576" w:lineRule="exact"/>
        <w:jc w:val="center"/>
        <w:rPr>
          <w:rFonts w:ascii="方正小标宋简体" w:hAnsi="仿宋" w:eastAsia="方正小标宋简体" w:cs="仿宋"/>
          <w:color w:val="000000"/>
          <w:kern w:val="0"/>
          <w:sz w:val="32"/>
          <w:szCs w:val="32"/>
        </w:rPr>
      </w:pPr>
      <w:r>
        <w:rPr>
          <w:rFonts w:hint="eastAsia" w:ascii="方正小标宋简体" w:hAnsi="仿宋" w:eastAsia="方正小标宋简体" w:cs="仿宋"/>
          <w:color w:val="000000"/>
          <w:kern w:val="0"/>
          <w:sz w:val="32"/>
          <w:szCs w:val="32"/>
        </w:rPr>
        <w:t>(2020 年度)</w:t>
      </w:r>
    </w:p>
    <w:tbl>
      <w:tblPr>
        <w:tblStyle w:val="13"/>
        <w:tblpPr w:leftFromText="180" w:rightFromText="180" w:vertAnchor="text" w:horzAnchor="margin" w:tblpXSpec="center" w:tblpY="22"/>
        <w:tblOverlap w:val="never"/>
        <w:tblW w:w="8837" w:type="dxa"/>
        <w:tblInd w:w="0" w:type="dxa"/>
        <w:tblLayout w:type="fixed"/>
        <w:tblCellMar>
          <w:top w:w="0" w:type="dxa"/>
          <w:left w:w="0" w:type="dxa"/>
          <w:bottom w:w="0" w:type="dxa"/>
          <w:right w:w="0" w:type="dxa"/>
        </w:tblCellMar>
      </w:tblPr>
      <w:tblGrid>
        <w:gridCol w:w="676"/>
        <w:gridCol w:w="1041"/>
        <w:gridCol w:w="937"/>
        <w:gridCol w:w="273"/>
        <w:gridCol w:w="1866"/>
        <w:gridCol w:w="1922"/>
        <w:gridCol w:w="2122"/>
      </w:tblGrid>
      <w:tr>
        <w:tblPrEx>
          <w:tblCellMar>
            <w:top w:w="0" w:type="dxa"/>
            <w:left w:w="0" w:type="dxa"/>
            <w:bottom w:w="0" w:type="dxa"/>
            <w:right w:w="0" w:type="dxa"/>
          </w:tblCellMar>
        </w:tblPrEx>
        <w:trPr>
          <w:trHeight w:val="490" w:hRule="atLeast"/>
        </w:trPr>
        <w:tc>
          <w:tcPr>
            <w:tcW w:w="292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项目名称</w:t>
            </w:r>
          </w:p>
        </w:tc>
        <w:tc>
          <w:tcPr>
            <w:tcW w:w="59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卫生</w:t>
            </w:r>
            <w:r>
              <w:rPr>
                <w:rFonts w:hint="eastAsia" w:ascii="宋体" w:hAnsi="宋体" w:cs="宋体"/>
                <w:color w:val="000000"/>
                <w:sz w:val="21"/>
                <w:szCs w:val="21"/>
                <w:lang w:eastAsia="zh-CN"/>
              </w:rPr>
              <w:t>监督</w:t>
            </w:r>
            <w:r>
              <w:rPr>
                <w:rFonts w:hint="eastAsia" w:ascii="宋体" w:hAnsi="宋体" w:eastAsia="宋体" w:cs="宋体"/>
                <w:color w:val="000000"/>
                <w:sz w:val="21"/>
                <w:szCs w:val="21"/>
              </w:rPr>
              <w:t>执法办案工作经费</w:t>
            </w:r>
          </w:p>
        </w:tc>
      </w:tr>
      <w:tr>
        <w:tblPrEx>
          <w:tblCellMar>
            <w:top w:w="0" w:type="dxa"/>
            <w:left w:w="0" w:type="dxa"/>
            <w:bottom w:w="0" w:type="dxa"/>
            <w:right w:w="0" w:type="dxa"/>
          </w:tblCellMar>
        </w:tblPrEx>
        <w:trPr>
          <w:trHeight w:val="355" w:hRule="atLeast"/>
        </w:trPr>
        <w:tc>
          <w:tcPr>
            <w:tcW w:w="292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预算单位</w:t>
            </w:r>
          </w:p>
        </w:tc>
        <w:tc>
          <w:tcPr>
            <w:tcW w:w="59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广元市利州区卫生和计划生育监督执法大队</w:t>
            </w:r>
          </w:p>
        </w:tc>
      </w:tr>
      <w:tr>
        <w:tblPrEx>
          <w:tblCellMar>
            <w:top w:w="0" w:type="dxa"/>
            <w:left w:w="0" w:type="dxa"/>
            <w:bottom w:w="0" w:type="dxa"/>
            <w:right w:w="0" w:type="dxa"/>
          </w:tblCellMar>
        </w:tblPrEx>
        <w:trPr>
          <w:trHeight w:val="282" w:hRule="atLeast"/>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预算执行情况(万元)</w:t>
            </w:r>
          </w:p>
        </w:tc>
        <w:tc>
          <w:tcPr>
            <w:tcW w:w="22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预算数:</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33.75</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执行数:</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33.75</w:t>
            </w:r>
          </w:p>
        </w:tc>
      </w:tr>
      <w:tr>
        <w:tblPrEx>
          <w:tblCellMar>
            <w:top w:w="0" w:type="dxa"/>
            <w:left w:w="0" w:type="dxa"/>
            <w:bottom w:w="0" w:type="dxa"/>
            <w:right w:w="0" w:type="dxa"/>
          </w:tblCellMar>
        </w:tblPrEx>
        <w:trPr>
          <w:trHeight w:val="28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color w:val="000000"/>
                <w:sz w:val="21"/>
                <w:szCs w:val="21"/>
              </w:rPr>
            </w:pPr>
          </w:p>
        </w:tc>
        <w:tc>
          <w:tcPr>
            <w:tcW w:w="22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其中-财政拨款:</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33.75</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其中-财政拨款:</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33.75</w:t>
            </w:r>
          </w:p>
        </w:tc>
      </w:tr>
      <w:tr>
        <w:tblPrEx>
          <w:tblCellMar>
            <w:top w:w="0" w:type="dxa"/>
            <w:left w:w="0" w:type="dxa"/>
            <w:bottom w:w="0" w:type="dxa"/>
            <w:right w:w="0" w:type="dxa"/>
          </w:tblCellMar>
        </w:tblPrEx>
        <w:trPr>
          <w:trHeight w:val="443"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color w:val="000000"/>
                <w:sz w:val="21"/>
                <w:szCs w:val="21"/>
              </w:rPr>
            </w:pPr>
          </w:p>
        </w:tc>
        <w:tc>
          <w:tcPr>
            <w:tcW w:w="22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其它资金:</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其它资金:</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282" w:hRule="atLeast"/>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年度目标完成情况</w:t>
            </w:r>
          </w:p>
        </w:tc>
        <w:tc>
          <w:tcPr>
            <w:tcW w:w="411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预期目标</w:t>
            </w:r>
          </w:p>
        </w:tc>
        <w:tc>
          <w:tcPr>
            <w:tcW w:w="40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实际完成目标</w:t>
            </w:r>
          </w:p>
        </w:tc>
      </w:tr>
      <w:tr>
        <w:tblPrEx>
          <w:tblCellMar>
            <w:top w:w="0" w:type="dxa"/>
            <w:left w:w="0" w:type="dxa"/>
            <w:bottom w:w="0" w:type="dxa"/>
            <w:right w:w="0" w:type="dxa"/>
          </w:tblCellMar>
        </w:tblPrEx>
        <w:trPr>
          <w:trHeight w:val="760"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color w:val="000000"/>
                <w:sz w:val="21"/>
                <w:szCs w:val="21"/>
              </w:rPr>
            </w:pPr>
          </w:p>
        </w:tc>
        <w:tc>
          <w:tcPr>
            <w:tcW w:w="411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keepNext w:val="0"/>
              <w:keepLines w:val="0"/>
              <w:pageBreakBefore w:val="0"/>
              <w:kinsoku/>
              <w:wordWrap/>
              <w:overflowPunct/>
              <w:topLinePunct w:val="0"/>
              <w:autoSpaceDE/>
              <w:autoSpaceDN/>
              <w:bidi w:val="0"/>
              <w:adjustRightInd/>
              <w:snapToGrid/>
              <w:spacing w:line="340" w:lineRule="exact"/>
              <w:ind w:left="0" w:leftChars="0"/>
              <w:rPr>
                <w:rFonts w:hint="eastAsia" w:ascii="宋体" w:hAnsi="宋体" w:eastAsia="宋体" w:cs="宋体"/>
                <w:sz w:val="21"/>
                <w:szCs w:val="21"/>
              </w:rPr>
            </w:pPr>
            <w:r>
              <w:rPr>
                <w:rFonts w:hint="eastAsia" w:ascii="宋体" w:hAnsi="宋体" w:eastAsia="宋体" w:cs="宋体"/>
                <w:sz w:val="21"/>
                <w:szCs w:val="21"/>
              </w:rPr>
              <w:t>确保全区医疗、学校、职业防护、生活饮用水、公共场所卫生监督执法工作的顺利开展，全覆盖的查处涉及全区医疗、学校、公共场所、生活饮用水制供、职业卫生防</w:t>
            </w:r>
          </w:p>
          <w:p>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护安全方面的违法违规行为。</w:t>
            </w:r>
          </w:p>
          <w:p>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rPr>
                <w:rFonts w:hint="eastAsia" w:ascii="宋体" w:hAnsi="宋体" w:eastAsia="宋体" w:cs="宋体"/>
                <w:sz w:val="21"/>
                <w:szCs w:val="21"/>
              </w:rPr>
            </w:pPr>
          </w:p>
        </w:tc>
        <w:tc>
          <w:tcPr>
            <w:tcW w:w="40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firstLine="420" w:firstLineChars="200"/>
              <w:rPr>
                <w:rFonts w:hint="eastAsia" w:ascii="宋体" w:hAnsi="宋体" w:eastAsia="宋体" w:cs="宋体"/>
                <w:bCs/>
                <w:color w:val="000000"/>
                <w:sz w:val="21"/>
                <w:szCs w:val="21"/>
              </w:rPr>
            </w:pPr>
            <w:r>
              <w:rPr>
                <w:rFonts w:hint="eastAsia" w:ascii="宋体" w:hAnsi="宋体" w:eastAsia="宋体" w:cs="宋体"/>
                <w:sz w:val="21"/>
                <w:szCs w:val="21"/>
              </w:rPr>
              <w:t>以医疗机构监督和职业卫生监督为工作重点，扎实推进学校卫生监管、传染病防治、生活饮用水卫生监督、公共场所卫生监督，坚持日常卫生监督与各项专项整治相结合。全年查处案件105件，罚款24.5万元，有效维护了广大人民群众的健康权益。</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861" w:hRule="atLeast"/>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绩效指标完成情况</w:t>
            </w: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一级指标</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二级指标</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三级指标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预期指标值(包含数字及文字描述)</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实际完成指标值(包含数字及文字描述)</w:t>
            </w:r>
          </w:p>
        </w:tc>
      </w:tr>
      <w:tr>
        <w:tblPrEx>
          <w:tblCellMar>
            <w:top w:w="0" w:type="dxa"/>
            <w:left w:w="0" w:type="dxa"/>
            <w:bottom w:w="0" w:type="dxa"/>
            <w:right w:w="0" w:type="dxa"/>
          </w:tblCellMar>
        </w:tblPrEx>
        <w:trPr>
          <w:trHeight w:val="575"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color w:val="000000"/>
                <w:sz w:val="21"/>
                <w:szCs w:val="21"/>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项目完成指标</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数量指标</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卫生执法办案经费</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查处违法案件110件</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全年实际查处案件105件，≥95%</w:t>
            </w:r>
          </w:p>
        </w:tc>
      </w:tr>
      <w:tr>
        <w:tblPrEx>
          <w:tblCellMar>
            <w:top w:w="0" w:type="dxa"/>
            <w:left w:w="0" w:type="dxa"/>
            <w:bottom w:w="0" w:type="dxa"/>
            <w:right w:w="0" w:type="dxa"/>
          </w:tblCellMar>
        </w:tblPrEx>
        <w:trPr>
          <w:trHeight w:val="1021"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color w:val="000000"/>
                <w:sz w:val="21"/>
                <w:szCs w:val="21"/>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项目完成指标</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质量指标</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keepNext w:val="0"/>
              <w:keepLines w:val="0"/>
              <w:pageBreakBefore w:val="0"/>
              <w:kinsoku/>
              <w:wordWrap/>
              <w:overflowPunct/>
              <w:topLinePunct w:val="0"/>
              <w:autoSpaceDE/>
              <w:autoSpaceDN/>
              <w:bidi w:val="0"/>
              <w:adjustRightInd/>
              <w:snapToGrid/>
              <w:spacing w:line="340" w:lineRule="exact"/>
              <w:ind w:left="0" w:leftChars="0"/>
              <w:rPr>
                <w:rFonts w:hint="eastAsia" w:ascii="宋体" w:hAnsi="宋体" w:eastAsia="宋体" w:cs="宋体"/>
                <w:sz w:val="21"/>
                <w:szCs w:val="21"/>
              </w:rPr>
            </w:pPr>
            <w:r>
              <w:rPr>
                <w:rFonts w:hint="eastAsia" w:ascii="宋体" w:hAnsi="宋体" w:eastAsia="宋体" w:cs="宋体"/>
                <w:sz w:val="21"/>
                <w:szCs w:val="21"/>
              </w:rPr>
              <w:t>完成质量</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秉公执法，规范办案</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发现、举报的违法行为处理率达100%，处罚案件零复议，零起诉</w:t>
            </w:r>
          </w:p>
        </w:tc>
      </w:tr>
      <w:tr>
        <w:tblPrEx>
          <w:tblCellMar>
            <w:top w:w="0" w:type="dxa"/>
            <w:left w:w="0" w:type="dxa"/>
            <w:bottom w:w="0" w:type="dxa"/>
            <w:right w:w="0" w:type="dxa"/>
          </w:tblCellMar>
        </w:tblPrEx>
        <w:trPr>
          <w:trHeight w:val="764"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color w:val="000000"/>
                <w:sz w:val="21"/>
                <w:szCs w:val="21"/>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效益指标</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社会效益指标</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强化执法，各行业有序发展，政府管理有形象</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营造良好的卫生服务秩序，提升百姓健康水平</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通过严格执法管理达到全区各行业规范合法经营，百姓安居乐业，幸福感明显提升</w:t>
            </w:r>
          </w:p>
        </w:tc>
      </w:tr>
      <w:tr>
        <w:tblPrEx>
          <w:tblCellMar>
            <w:top w:w="0" w:type="dxa"/>
            <w:left w:w="0" w:type="dxa"/>
            <w:bottom w:w="0" w:type="dxa"/>
            <w:right w:w="0" w:type="dxa"/>
          </w:tblCellMar>
        </w:tblPrEx>
        <w:trPr>
          <w:trHeight w:val="854"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color w:val="000000"/>
                <w:sz w:val="21"/>
                <w:szCs w:val="21"/>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满意度指标</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满意度指标</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群众满意度和政府信任感</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r>
    </w:tbl>
    <w:p>
      <w:pPr>
        <w:spacing w:line="580" w:lineRule="exact"/>
        <w:ind w:firstLine="640" w:firstLineChars="200"/>
        <w:rPr>
          <w:rFonts w:hint="eastAsia" w:ascii="仿宋_GB2312" w:hAnsi="楷体_GB2312" w:eastAsia="仿宋_GB2312" w:cs="楷体_GB2312"/>
          <w:sz w:val="32"/>
          <w:szCs w:val="32"/>
        </w:rPr>
      </w:pPr>
    </w:p>
    <w:p>
      <w:pPr>
        <w:spacing w:line="580" w:lineRule="exact"/>
        <w:ind w:firstLine="640" w:firstLineChars="200"/>
        <w:rPr>
          <w:rFonts w:hint="eastAsia" w:ascii="仿宋_GB2312" w:hAnsi="楷体_GB2312" w:eastAsia="仿宋_GB2312" w:cs="楷体_GB2312"/>
          <w:sz w:val="32"/>
          <w:szCs w:val="32"/>
        </w:rPr>
      </w:pP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2.部门绩效评价结果。</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按要求对2020年部门整体支出绩效评价情况开展自评，《广元市利州区</w:t>
      </w:r>
      <w:r>
        <w:rPr>
          <w:rFonts w:hint="eastAsia" w:ascii="方正仿宋简体" w:hAnsi="方正仿宋简体" w:eastAsia="方正仿宋简体" w:cs="方正仿宋简体"/>
          <w:sz w:val="32"/>
          <w:szCs w:val="32"/>
          <w:lang w:eastAsia="zh-CN"/>
        </w:rPr>
        <w:t>卫生和计划生育监督执法大队</w:t>
      </w:r>
      <w:r>
        <w:rPr>
          <w:rFonts w:hint="eastAsia" w:ascii="方正仿宋简体" w:hAnsi="方正仿宋简体" w:eastAsia="方正仿宋简体" w:cs="方正仿宋简体"/>
          <w:sz w:val="32"/>
          <w:szCs w:val="32"/>
        </w:rPr>
        <w:t>2020年部门整体支出绩效评价报告》见附件（附件1）</w:t>
      </w:r>
    </w:p>
    <w:p>
      <w:pPr>
        <w:spacing w:line="580" w:lineRule="exact"/>
        <w:ind w:firstLine="640"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自行组织对基本公共卫生</w:t>
      </w:r>
      <w:r>
        <w:rPr>
          <w:rFonts w:hint="eastAsia" w:ascii="方正仿宋简体" w:hAnsi="方正仿宋简体" w:eastAsia="方正仿宋简体" w:cs="方正仿宋简体"/>
          <w:sz w:val="32"/>
          <w:szCs w:val="32"/>
          <w:lang w:eastAsia="zh-CN"/>
        </w:rPr>
        <w:t>服务</w:t>
      </w: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color w:val="auto"/>
          <w:sz w:val="32"/>
          <w:szCs w:val="32"/>
        </w:rPr>
        <w:t>卫生监督执法办案</w:t>
      </w:r>
      <w:r>
        <w:rPr>
          <w:rFonts w:hint="eastAsia" w:ascii="方正仿宋简体" w:hAnsi="方正仿宋简体" w:eastAsia="方正仿宋简体" w:cs="方正仿宋简体"/>
          <w:color w:val="auto"/>
          <w:sz w:val="32"/>
          <w:szCs w:val="32"/>
          <w:lang w:eastAsia="zh-CN"/>
        </w:rPr>
        <w:t>工作经费</w:t>
      </w:r>
      <w:r>
        <w:rPr>
          <w:rFonts w:hint="eastAsia" w:ascii="方正仿宋简体" w:hAnsi="方正仿宋简体" w:eastAsia="方正仿宋简体" w:cs="方正仿宋简体"/>
          <w:sz w:val="32"/>
          <w:szCs w:val="32"/>
        </w:rPr>
        <w:t>项目开展了绩效评价，《利州区卫生和计划生育监督执法大队项目2020年绩效评价报告》见附件（附件2）。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spacing w:line="576" w:lineRule="exact"/>
        <w:jc w:val="center"/>
        <w:rPr>
          <w:rFonts w:hint="eastAsia" w:ascii="方正小标宋简体" w:hAnsi="方正小标宋简体" w:eastAsia="方正小标宋简体" w:cs="方正小标宋简体"/>
          <w:color w:val="000000"/>
          <w:sz w:val="44"/>
          <w:szCs w:val="44"/>
        </w:rPr>
      </w:pPr>
      <w:bookmarkStart w:id="48" w:name="_Toc15377225"/>
      <w:bookmarkStart w:id="49" w:name="_Toc15396613"/>
      <w:r>
        <w:rPr>
          <w:rFonts w:hint="eastAsia" w:ascii="方正小标宋简体" w:hAnsi="方正小标宋简体" w:eastAsia="方正小标宋简体" w:cs="方正小标宋简体"/>
          <w:color w:val="000000"/>
          <w:sz w:val="44"/>
          <w:szCs w:val="44"/>
          <w:lang w:eastAsia="zh-CN"/>
        </w:rPr>
        <w:t>第三部分</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名词解释</w:t>
      </w:r>
      <w:bookmarkEnd w:id="48"/>
      <w:bookmarkEnd w:id="49"/>
    </w:p>
    <w:p>
      <w:pPr>
        <w:spacing w:line="576" w:lineRule="exact"/>
        <w:jc w:val="left"/>
        <w:rPr>
          <w:rFonts w:hint="eastAsia" w:ascii="仿宋_GB2312" w:hAnsi="仿宋" w:eastAsia="仿宋_GB2312"/>
          <w:b/>
          <w:color w:val="000000"/>
          <w:sz w:val="32"/>
          <w:szCs w:val="32"/>
        </w:rPr>
      </w:pPr>
    </w:p>
    <w:p>
      <w:pPr>
        <w:pStyle w:val="2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1.财政拨款收入：指单位从同级财政部门取得的财政预算资金。</w:t>
      </w:r>
    </w:p>
    <w:p>
      <w:pPr>
        <w:pStyle w:val="2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2.事业收入：指事业单位开展专业业务活动及辅助活动取得的收入。</w:t>
      </w:r>
    </w:p>
    <w:p>
      <w:pPr>
        <w:pStyle w:val="2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3.经营收入：指事业单位在专业业务活动及其辅助活动之外开展非独立核算经营活动取得的收入。</w:t>
      </w:r>
    </w:p>
    <w:p>
      <w:pPr>
        <w:pStyle w:val="2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4.其他收入：指单位取得的除上述收入以外的各项收入。</w:t>
      </w:r>
    </w:p>
    <w:p>
      <w:pPr>
        <w:pStyle w:val="2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6.年初结转和结余：指以前年度尚未完成、结转到本年按有关规定继续使用的资金。 </w:t>
      </w:r>
    </w:p>
    <w:p>
      <w:pPr>
        <w:pStyle w:val="2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7.结余分配：指事业单位按照事业单位会计制度的规定从非财政补助结余中分配的事业基金和职工福利基金等。</w:t>
      </w:r>
    </w:p>
    <w:p>
      <w:pPr>
        <w:pStyle w:val="2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8、年末结转和结余：指单位按有关规定结转到下年或以后年度继续使用的资金。</w:t>
      </w:r>
    </w:p>
    <w:p>
      <w:pPr>
        <w:ind w:firstLine="640" w:firstLineChars="20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社会保障和就业（类）</w:t>
      </w:r>
      <w:r>
        <w:rPr>
          <w:rStyle w:val="15"/>
          <w:rFonts w:hint="eastAsia" w:ascii="方正仿宋简体" w:hAnsi="方正仿宋简体" w:eastAsia="方正仿宋简体" w:cs="方正仿宋简体"/>
          <w:b w:val="0"/>
          <w:color w:val="000000" w:themeColor="text1"/>
          <w:sz w:val="32"/>
          <w:szCs w:val="32"/>
          <w14:textFill>
            <w14:solidFill>
              <w14:schemeClr w14:val="tx1"/>
            </w14:solidFill>
          </w14:textFill>
        </w:rPr>
        <w:t>行政事业单位离退休（款）机关事业单位基本养老保险缴费支出（项）</w:t>
      </w:r>
      <w:r>
        <w:rPr>
          <w:rFonts w:hint="eastAsia" w:ascii="方正仿宋简体" w:hAnsi="方正仿宋简体" w:eastAsia="方正仿宋简体" w:cs="方正仿宋简体"/>
          <w:color w:val="000000" w:themeColor="text1"/>
          <w:sz w:val="32"/>
          <w:szCs w:val="32"/>
          <w14:textFill>
            <w14:solidFill>
              <w14:schemeClr w14:val="tx1"/>
            </w14:solidFill>
          </w14:textFill>
        </w:rPr>
        <w:t>：指单位缴纳的基本养老保险费支出。</w:t>
      </w:r>
      <w:r>
        <w:rPr>
          <w:rFonts w:hint="eastAsia" w:ascii="方正仿宋简体" w:hAnsi="方正仿宋简体" w:eastAsia="方正仿宋简体" w:cs="方正仿宋简体"/>
          <w:sz w:val="32"/>
          <w:szCs w:val="32"/>
        </w:rPr>
        <w:t>其他社会保障和就业支出（项）：指</w:t>
      </w:r>
      <w:r>
        <w:rPr>
          <w:rFonts w:hint="eastAsia" w:ascii="方正仿宋简体" w:hAnsi="方正仿宋简体" w:eastAsia="方正仿宋简体" w:cs="方正仿宋简体"/>
          <w:color w:val="000000" w:themeColor="text1"/>
          <w:sz w:val="32"/>
          <w:szCs w:val="32"/>
          <w14:textFill>
            <w14:solidFill>
              <w14:schemeClr w14:val="tx1"/>
            </w14:solidFill>
          </w14:textFill>
        </w:rPr>
        <w:t>单位缴纳的</w:t>
      </w:r>
      <w:r>
        <w:rPr>
          <w:rFonts w:hint="eastAsia" w:ascii="方正仿宋简体" w:hAnsi="方正仿宋简体" w:eastAsia="方正仿宋简体" w:cs="方正仿宋简体"/>
          <w:sz w:val="32"/>
          <w:szCs w:val="32"/>
        </w:rPr>
        <w:t>其他社会保障缴费支出。</w:t>
      </w:r>
    </w:p>
    <w:p>
      <w:pPr>
        <w:spacing w:line="600" w:lineRule="exact"/>
        <w:ind w:firstLine="640" w:firstLineChars="200"/>
        <w:rPr>
          <w:rStyle w:val="15"/>
          <w:rFonts w:hint="eastAsia" w:ascii="方正仿宋简体" w:hAnsi="方正仿宋简体" w:eastAsia="方正仿宋简体" w:cs="方正仿宋简体"/>
          <w:b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卫生健康支出</w:t>
      </w:r>
      <w:r>
        <w:rPr>
          <w:rFonts w:hint="eastAsia" w:ascii="方正仿宋简体" w:hAnsi="方正仿宋简体" w:eastAsia="方正仿宋简体" w:cs="方正仿宋简体"/>
          <w:color w:val="000000" w:themeColor="text1"/>
          <w:sz w:val="32"/>
          <w:szCs w:val="32"/>
          <w14:textFill>
            <w14:solidFill>
              <w14:schemeClr w14:val="tx1"/>
            </w14:solidFill>
          </w14:textFill>
        </w:rPr>
        <w:t>（类）</w:t>
      </w:r>
      <w:r>
        <w:rPr>
          <w:rStyle w:val="15"/>
          <w:rFonts w:hint="eastAsia" w:ascii="方正仿宋简体" w:hAnsi="方正仿宋简体" w:eastAsia="方正仿宋简体" w:cs="方正仿宋简体"/>
          <w:b w:val="0"/>
          <w:color w:val="000000" w:themeColor="text1"/>
          <w:sz w:val="32"/>
          <w:szCs w:val="32"/>
          <w14:textFill>
            <w14:solidFill>
              <w14:schemeClr w14:val="tx1"/>
            </w14:solidFill>
          </w14:textFill>
        </w:rPr>
        <w:t>一般行政管理事务（2100102项）指用于</w:t>
      </w:r>
      <w:r>
        <w:rPr>
          <w:rStyle w:val="15"/>
          <w:rFonts w:hint="eastAsia" w:ascii="方正仿宋简体" w:hAnsi="方正仿宋简体" w:eastAsia="方正仿宋简体" w:cs="方正仿宋简体"/>
          <w:b w:val="0"/>
          <w:color w:val="000000" w:themeColor="text1"/>
          <w:sz w:val="32"/>
          <w:szCs w:val="32"/>
          <w:lang w:eastAsia="zh-CN"/>
          <w14:textFill>
            <w14:solidFill>
              <w14:schemeClr w14:val="tx1"/>
            </w14:solidFill>
          </w14:textFill>
        </w:rPr>
        <w:t>卫生健康</w:t>
      </w:r>
      <w:r>
        <w:rPr>
          <w:rStyle w:val="15"/>
          <w:rFonts w:hint="eastAsia" w:ascii="方正仿宋简体" w:hAnsi="方正仿宋简体" w:eastAsia="方正仿宋简体" w:cs="方正仿宋简体"/>
          <w:b w:val="0"/>
          <w:color w:val="000000" w:themeColor="text1"/>
          <w:sz w:val="32"/>
          <w:szCs w:val="32"/>
          <w14:textFill>
            <w14:solidFill>
              <w14:schemeClr w14:val="tx1"/>
            </w14:solidFill>
          </w14:textFill>
        </w:rPr>
        <w:t>管理事务方面的支出</w:t>
      </w:r>
      <w:r>
        <w:rPr>
          <w:rStyle w:val="15"/>
          <w:rFonts w:hint="eastAsia" w:ascii="方正仿宋简体" w:hAnsi="方正仿宋简体" w:eastAsia="方正仿宋简体" w:cs="方正仿宋简体"/>
          <w:b w:val="0"/>
          <w:color w:val="000000" w:themeColor="text1"/>
          <w:sz w:val="32"/>
          <w:szCs w:val="32"/>
          <w:lang w:eastAsia="zh-CN"/>
          <w14:textFill>
            <w14:solidFill>
              <w14:schemeClr w14:val="tx1"/>
            </w14:solidFill>
          </w14:textFill>
        </w:rPr>
        <w:t>，公共卫生</w:t>
      </w:r>
      <w:r>
        <w:rPr>
          <w:rStyle w:val="15"/>
          <w:rFonts w:hint="eastAsia" w:ascii="方正仿宋简体" w:hAnsi="方正仿宋简体" w:eastAsia="方正仿宋简体" w:cs="方正仿宋简体"/>
          <w:b w:val="0"/>
          <w:color w:val="000000" w:themeColor="text1"/>
          <w:sz w:val="32"/>
          <w:szCs w:val="32"/>
          <w14:textFill>
            <w14:solidFill>
              <w14:schemeClr w14:val="tx1"/>
            </w14:solidFill>
          </w14:textFill>
        </w:rPr>
        <w:t>（款）</w:t>
      </w:r>
      <w:r>
        <w:rPr>
          <w:rStyle w:val="15"/>
          <w:rFonts w:hint="eastAsia" w:ascii="方正仿宋简体" w:hAnsi="方正仿宋简体" w:eastAsia="方正仿宋简体" w:cs="方正仿宋简体"/>
          <w:b w:val="0"/>
          <w:color w:val="000000" w:themeColor="text1"/>
          <w:sz w:val="32"/>
          <w:szCs w:val="32"/>
          <w:lang w:eastAsia="zh-CN"/>
          <w14:textFill>
            <w14:solidFill>
              <w14:schemeClr w14:val="tx1"/>
            </w14:solidFill>
          </w14:textFill>
        </w:rPr>
        <w:t>卫生监督机构</w:t>
      </w:r>
      <w:r>
        <w:rPr>
          <w:rStyle w:val="15"/>
          <w:rFonts w:hint="eastAsia" w:ascii="方正仿宋简体" w:hAnsi="方正仿宋简体" w:eastAsia="方正仿宋简体" w:cs="方正仿宋简体"/>
          <w:b w:val="0"/>
          <w:color w:val="000000" w:themeColor="text1"/>
          <w:sz w:val="32"/>
          <w:szCs w:val="32"/>
          <w14:textFill>
            <w14:solidFill>
              <w14:schemeClr w14:val="tx1"/>
            </w14:solidFill>
          </w14:textFill>
        </w:rPr>
        <w:t>（项）指</w:t>
      </w:r>
      <w:r>
        <w:rPr>
          <w:rStyle w:val="15"/>
          <w:rFonts w:hint="eastAsia" w:ascii="方正仿宋简体" w:hAnsi="方正仿宋简体" w:eastAsia="方正仿宋简体" w:cs="方正仿宋简体"/>
          <w:b w:val="0"/>
          <w:color w:val="000000" w:themeColor="text1"/>
          <w:sz w:val="32"/>
          <w:szCs w:val="32"/>
          <w:lang w:eastAsia="zh-CN"/>
          <w14:textFill>
            <w14:solidFill>
              <w14:schemeClr w14:val="tx1"/>
            </w14:solidFill>
          </w14:textFill>
        </w:rPr>
        <w:t>本单位</w:t>
      </w:r>
      <w:r>
        <w:rPr>
          <w:rStyle w:val="15"/>
          <w:rFonts w:hint="eastAsia" w:ascii="方正仿宋简体" w:hAnsi="方正仿宋简体" w:eastAsia="方正仿宋简体" w:cs="方正仿宋简体"/>
          <w:b w:val="0"/>
          <w:color w:val="000000" w:themeColor="text1"/>
          <w:sz w:val="32"/>
          <w:szCs w:val="32"/>
          <w14:textFill>
            <w14:solidFill>
              <w14:schemeClr w14:val="tx1"/>
            </w14:solidFill>
          </w14:textFill>
        </w:rPr>
        <w:t>的基本支出，基本公共卫生服务（项）指基本公共卫生服务的支出，重大公共卫生专项（项）指重大疾病预防控制方面的支出，行政事业单位医疗（款）</w:t>
      </w:r>
      <w:r>
        <w:rPr>
          <w:rStyle w:val="15"/>
          <w:rFonts w:hint="eastAsia" w:ascii="方正仿宋简体" w:hAnsi="方正仿宋简体" w:eastAsia="方正仿宋简体" w:cs="方正仿宋简体"/>
          <w:b w:val="0"/>
          <w:color w:val="000000" w:themeColor="text1"/>
          <w:sz w:val="32"/>
          <w:szCs w:val="32"/>
          <w:lang w:eastAsia="zh-CN"/>
          <w14:textFill>
            <w14:solidFill>
              <w14:schemeClr w14:val="tx1"/>
            </w14:solidFill>
          </w14:textFill>
        </w:rPr>
        <w:t>行政</w:t>
      </w:r>
      <w:r>
        <w:rPr>
          <w:rStyle w:val="15"/>
          <w:rFonts w:hint="eastAsia" w:ascii="方正仿宋简体" w:hAnsi="方正仿宋简体" w:eastAsia="方正仿宋简体" w:cs="方正仿宋简体"/>
          <w:b w:val="0"/>
          <w:color w:val="000000" w:themeColor="text1"/>
          <w:sz w:val="32"/>
          <w:szCs w:val="32"/>
          <w14:textFill>
            <w14:solidFill>
              <w14:schemeClr w14:val="tx1"/>
            </w14:solidFill>
          </w14:textFill>
        </w:rPr>
        <w:t>单位医疗（项）指财政安排的本单位基本医疗保险缴费支出。</w:t>
      </w:r>
    </w:p>
    <w:p>
      <w:pPr>
        <w:spacing w:line="600" w:lineRule="exact"/>
        <w:ind w:firstLine="640" w:firstLineChars="200"/>
        <w:rPr>
          <w:rStyle w:val="15"/>
          <w:rFonts w:hint="eastAsia" w:ascii="方正仿宋简体" w:hAnsi="方正仿宋简体" w:eastAsia="方正仿宋简体" w:cs="方正仿宋简体"/>
          <w:b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rPr>
        <w:t>.</w:t>
      </w:r>
      <w:r>
        <w:rPr>
          <w:rStyle w:val="15"/>
          <w:rFonts w:hint="eastAsia" w:ascii="方正仿宋简体" w:hAnsi="方正仿宋简体" w:eastAsia="方正仿宋简体" w:cs="方正仿宋简体"/>
          <w:b w:val="0"/>
          <w:color w:val="000000" w:themeColor="text1"/>
          <w:sz w:val="32"/>
          <w:szCs w:val="32"/>
          <w14:textFill>
            <w14:solidFill>
              <w14:schemeClr w14:val="tx1"/>
            </w14:solidFill>
          </w14:textFill>
        </w:rPr>
        <w:t>住房保障支出（221类）住房改革支出（22102款）住房公积金（2210201项）指财政按规定比例为职工缴纳的住房公积金支出。</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12</w:t>
      </w:r>
      <w:r>
        <w:rPr>
          <w:rFonts w:hint="eastAsia" w:ascii="方正仿宋简体" w:hAnsi="方正仿宋简体" w:eastAsia="方正仿宋简体" w:cs="方正仿宋简体"/>
          <w:color w:val="000000"/>
          <w:sz w:val="32"/>
          <w:szCs w:val="32"/>
        </w:rPr>
        <w:t>.基本支出：指为保障机构正常运转、完成日常工作任务而发生的人员支出和公用支出。</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13</w:t>
      </w:r>
      <w:r>
        <w:rPr>
          <w:rFonts w:hint="eastAsia" w:ascii="方正仿宋简体" w:hAnsi="方正仿宋简体" w:eastAsia="方正仿宋简体" w:cs="方正仿宋简体"/>
          <w:color w:val="000000"/>
          <w:sz w:val="32"/>
          <w:szCs w:val="32"/>
        </w:rPr>
        <w:t xml:space="preserve">.项目支出：指在基本支出之外为完成特定行政任务和事业发展目标所发生的支出。 </w:t>
      </w:r>
    </w:p>
    <w:p>
      <w:pPr>
        <w:pStyle w:val="2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0"/>
        <w:spacing w:line="560" w:lineRule="exact"/>
        <w:ind w:firstLine="643" w:firstLineChars="200"/>
        <w:rPr>
          <w:rFonts w:ascii="仿宋_GB2312" w:eastAsia="仿宋_GB2312"/>
          <w:sz w:val="32"/>
          <w:szCs w:val="32"/>
        </w:rPr>
      </w:pPr>
      <w:r>
        <w:rPr>
          <w:rFonts w:hint="eastAsia" w:ascii="方正仿宋简体" w:hAnsi="方正仿宋简体" w:eastAsia="方正仿宋简体" w:cs="方正仿宋简体"/>
          <w:b/>
          <w:color w:val="000000"/>
          <w:sz w:val="32"/>
          <w:szCs w:val="32"/>
        </w:rPr>
        <w:br w:type="page"/>
      </w:r>
    </w:p>
    <w:p>
      <w:pPr>
        <w:numPr>
          <w:ilvl w:val="0"/>
          <w:numId w:val="2"/>
        </w:numPr>
        <w:spacing w:line="576" w:lineRule="exact"/>
        <w:ind w:firstLine="3080" w:firstLineChars="700"/>
        <w:jc w:val="both"/>
        <w:rPr>
          <w:rStyle w:val="17"/>
          <w:rFonts w:hint="eastAsia" w:ascii="方正小标宋简体" w:hAnsi="方正小标宋简体" w:eastAsia="方正小标宋简体" w:cs="方正小标宋简体"/>
          <w:b w:val="0"/>
          <w:sz w:val="44"/>
          <w:szCs w:val="44"/>
        </w:rPr>
      </w:pPr>
      <w:bookmarkStart w:id="50" w:name="_Toc15396614"/>
      <w:bookmarkStart w:id="51" w:name="_Toc15377226"/>
      <w:r>
        <w:rPr>
          <w:rStyle w:val="17"/>
          <w:rFonts w:hint="eastAsia" w:ascii="方正小标宋简体" w:hAnsi="方正小标宋简体" w:eastAsia="方正小标宋简体" w:cs="方正小标宋简体"/>
          <w:b w:val="0"/>
          <w:sz w:val="44"/>
          <w:szCs w:val="44"/>
        </w:rPr>
        <w:t>附件</w:t>
      </w:r>
      <w:bookmarkEnd w:id="50"/>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spacing w:line="576"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pStyle w:val="6"/>
        <w:spacing w:line="576" w:lineRule="exact"/>
        <w:rPr>
          <w:sz w:val="32"/>
          <w:szCs w:val="32"/>
        </w:rPr>
      </w:pPr>
    </w:p>
    <w:p>
      <w:pPr>
        <w:spacing w:line="576"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 xml:space="preserve">广元市利州区卫生和计划生育监督执法大队        </w:t>
      </w:r>
    </w:p>
    <w:p>
      <w:pPr>
        <w:spacing w:line="576"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2020年部门</w:t>
      </w:r>
      <w:r>
        <w:rPr>
          <w:rFonts w:hint="eastAsia" w:ascii="方正小标宋简体" w:hAnsi="宋体" w:eastAsia="方正小标宋简体"/>
          <w:color w:val="000000"/>
          <w:kern w:val="0"/>
          <w:sz w:val="44"/>
          <w:szCs w:val="44"/>
          <w:lang w:val="zh-CN"/>
        </w:rPr>
        <w:t>整体支出绩效评价报告</w:t>
      </w:r>
    </w:p>
    <w:p>
      <w:pPr>
        <w:widowControl/>
        <w:adjustRightInd w:val="0"/>
        <w:snapToGrid w:val="0"/>
        <w:spacing w:line="576" w:lineRule="exact"/>
        <w:ind w:firstLine="883" w:firstLineChars="200"/>
        <w:contextualSpacing/>
        <w:rPr>
          <w:rFonts w:ascii="宋体" w:hAnsi="宋体" w:cs="宋体"/>
          <w:b/>
          <w:color w:val="000000"/>
          <w:kern w:val="0"/>
          <w:sz w:val="44"/>
          <w:szCs w:val="44"/>
          <w:shd w:val="clear" w:color="auto" w:fill="FFFFFF"/>
        </w:rPr>
      </w:pP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lang w:val="zh-CN"/>
        </w:rPr>
      </w:pPr>
      <w:r>
        <w:rPr>
          <w:rFonts w:hint="eastAsia" w:ascii="方正黑体简体" w:hAnsi="方正黑体简体" w:eastAsia="方正黑体简体" w:cs="方正黑体简体"/>
          <w:color w:val="000000"/>
          <w:kern w:val="0"/>
          <w:sz w:val="32"/>
          <w:szCs w:val="32"/>
          <w:shd w:val="clear" w:color="auto" w:fill="FFFFFF"/>
        </w:rPr>
        <w:t>一、</w:t>
      </w:r>
      <w:r>
        <w:rPr>
          <w:rFonts w:hint="eastAsia" w:ascii="方正黑体简体" w:hAnsi="方正黑体简体" w:eastAsia="方正黑体简体" w:cs="方正黑体简体"/>
          <w:color w:val="000000"/>
          <w:kern w:val="0"/>
          <w:sz w:val="32"/>
          <w:szCs w:val="32"/>
          <w:shd w:val="clear" w:color="auto" w:fill="FFFFFF"/>
          <w:lang w:val="zh-CN"/>
        </w:rPr>
        <w:t>部门（单位）概况</w:t>
      </w:r>
    </w:p>
    <w:p>
      <w:pPr>
        <w:widowControl/>
        <w:adjustRightInd w:val="0"/>
        <w:snapToGrid w:val="0"/>
        <w:spacing w:line="576" w:lineRule="exact"/>
        <w:ind w:firstLine="640" w:firstLineChars="200"/>
        <w:contextualSpacing/>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楷体简体" w:hAnsi="方正楷体简体" w:eastAsia="方正楷体简体" w:cs="方正楷体简体"/>
          <w:sz w:val="32"/>
          <w:szCs w:val="32"/>
          <w:lang w:val="zh-CN"/>
        </w:rPr>
        <w:t>（一）机构组成</w:t>
      </w:r>
      <w:r>
        <w:rPr>
          <w:rFonts w:hint="eastAsia" w:ascii="方正仿宋简体" w:hAnsi="方正仿宋简体" w:eastAsia="方正仿宋简体" w:cs="方正仿宋简体"/>
          <w:color w:val="000000"/>
          <w:kern w:val="0"/>
          <w:sz w:val="32"/>
          <w:szCs w:val="32"/>
          <w:shd w:val="clear" w:color="auto" w:fill="FFFFFF"/>
          <w:lang w:val="zh-CN"/>
        </w:rPr>
        <w:t>。</w:t>
      </w:r>
      <w:r>
        <w:rPr>
          <w:rFonts w:hint="eastAsia" w:ascii="方正仿宋简体" w:hAnsi="方正仿宋简体" w:eastAsia="方正仿宋简体" w:cs="方正仿宋简体"/>
          <w:sz w:val="32"/>
          <w:szCs w:val="32"/>
        </w:rPr>
        <w:t>本单位属卫健局</w:t>
      </w:r>
      <w:r>
        <w:rPr>
          <w:rFonts w:hint="eastAsia" w:ascii="方正仿宋简体" w:hAnsi="方正仿宋简体" w:eastAsia="方正仿宋简体" w:cs="方正仿宋简体"/>
          <w:sz w:val="32"/>
          <w:szCs w:val="32"/>
          <w:lang w:eastAsia="zh-CN"/>
        </w:rPr>
        <w:t>下属</w:t>
      </w:r>
      <w:bookmarkStart w:id="54" w:name="_GoBack"/>
      <w:bookmarkEnd w:id="54"/>
      <w:r>
        <w:rPr>
          <w:rFonts w:hint="eastAsia" w:ascii="方正仿宋简体" w:hAnsi="方正仿宋简体" w:eastAsia="方正仿宋简体" w:cs="方正仿宋简体"/>
          <w:sz w:val="32"/>
          <w:szCs w:val="32"/>
        </w:rPr>
        <w:t>二级预算单位，在编22人，内设股室5个。</w:t>
      </w:r>
    </w:p>
    <w:p>
      <w:pPr>
        <w:overflowPunct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（二）机构职能。</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一是负责广元市城区及城市规划区外的职业病防治、消毒产品、生活用水及饮用水卫生安全产品、公共场所、放射、学校卫生、传染病防治、医疗机构和采供血机构及其执业人员的执业活动等具体执法监督工作。</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二是为人民身体健康提供卫生执法监督。卫生许可证、医疗机构执业许可证审核、卫生许可现场审核、卫生法制宣传、卫生监督管理。</w:t>
      </w:r>
    </w:p>
    <w:p>
      <w:pPr>
        <w:widowControl/>
        <w:numPr>
          <w:ilvl w:val="0"/>
          <w:numId w:val="3"/>
        </w:numPr>
        <w:adjustRightInd w:val="0"/>
        <w:snapToGrid w:val="0"/>
        <w:spacing w:line="576" w:lineRule="exact"/>
        <w:ind w:firstLine="640" w:firstLineChars="200"/>
        <w:contextualSpacing/>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楷体简体" w:hAnsi="方正楷体简体" w:eastAsia="方正楷体简体" w:cs="方正楷体简体"/>
          <w:sz w:val="32"/>
          <w:szCs w:val="32"/>
          <w:lang w:val="zh-CN"/>
        </w:rPr>
        <w:t>人员概况。</w:t>
      </w:r>
      <w:r>
        <w:rPr>
          <w:rFonts w:hint="eastAsia" w:ascii="方正仿宋简体" w:hAnsi="方正仿宋简体" w:eastAsia="方正仿宋简体" w:cs="方正仿宋简体"/>
          <w:sz w:val="32"/>
          <w:szCs w:val="32"/>
        </w:rPr>
        <w:t>在职在编职工22人，退休5人，长期聘用人员1人。</w:t>
      </w: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二、部门财政资金收支情况</w:t>
      </w:r>
    </w:p>
    <w:p>
      <w:pPr>
        <w:widowControl/>
        <w:adjustRightInd w:val="0"/>
        <w:snapToGrid w:val="0"/>
        <w:spacing w:line="576" w:lineRule="exact"/>
        <w:ind w:firstLine="640" w:firstLineChars="200"/>
        <w:contextualSpacing/>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楷体简体" w:hAnsi="方正楷体简体" w:eastAsia="方正楷体简体" w:cs="方正楷体简体"/>
          <w:sz w:val="32"/>
          <w:szCs w:val="32"/>
          <w:lang w:val="zh-CN"/>
        </w:rPr>
        <w:t>（一）部门财政资金收入情况。</w:t>
      </w:r>
      <w:r>
        <w:rPr>
          <w:rFonts w:hint="eastAsia" w:ascii="方正仿宋简体" w:hAnsi="方正仿宋简体" w:eastAsia="方正仿宋简体" w:cs="方正仿宋简体"/>
          <w:color w:val="000000"/>
          <w:sz w:val="32"/>
          <w:szCs w:val="32"/>
        </w:rPr>
        <w:t>2020年本年收入合计367.82万元，其中：一般公共预算财政拨款收入367.82万元，占100%；</w:t>
      </w:r>
    </w:p>
    <w:p>
      <w:pPr>
        <w:widowControl/>
        <w:adjustRightInd w:val="0"/>
        <w:snapToGrid w:val="0"/>
        <w:spacing w:line="576" w:lineRule="exact"/>
        <w:ind w:firstLine="640" w:firstLineChars="200"/>
        <w:contextualSpacing/>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楷体简体" w:hAnsi="方正楷体简体" w:eastAsia="方正楷体简体" w:cs="方正楷体简体"/>
          <w:sz w:val="32"/>
          <w:szCs w:val="32"/>
          <w:lang w:val="zh-CN"/>
        </w:rPr>
        <w:t>（二）部门财政资金支出情况。</w:t>
      </w:r>
      <w:r>
        <w:rPr>
          <w:rFonts w:hint="eastAsia" w:ascii="方正仿宋简体" w:hAnsi="方正仿宋简体" w:eastAsia="方正仿宋简体" w:cs="方正仿宋简体"/>
          <w:color w:val="000000"/>
          <w:sz w:val="32"/>
          <w:szCs w:val="32"/>
        </w:rPr>
        <w:t>2020年本年支出合计371.32万元，其中：基本支出307.57万元，占83%；项目支出63.75万元，占17%。</w:t>
      </w: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三、部门整体预算绩效管理情况</w:t>
      </w:r>
    </w:p>
    <w:p>
      <w:pPr>
        <w:widowControl/>
        <w:adjustRightInd w:val="0"/>
        <w:snapToGrid w:val="0"/>
        <w:spacing w:line="576" w:lineRule="exact"/>
        <w:ind w:firstLine="640" w:firstLineChars="200"/>
        <w:contextualSpacing/>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楷体简体" w:hAnsi="方正楷体简体" w:eastAsia="方正楷体简体" w:cs="方正楷体简体"/>
          <w:sz w:val="32"/>
          <w:szCs w:val="32"/>
          <w:lang w:val="zh-CN"/>
        </w:rPr>
        <w:t>（一）部门预算管理。</w:t>
      </w:r>
      <w:r>
        <w:rPr>
          <w:rFonts w:hint="eastAsia" w:ascii="方正仿宋简体" w:hAnsi="方正仿宋简体" w:eastAsia="方正仿宋简体" w:cs="方正仿宋简体"/>
          <w:color w:val="000000"/>
          <w:sz w:val="32"/>
          <w:szCs w:val="32"/>
        </w:rPr>
        <w:t>2020年利州区卫生和计划生育监督执法大队部门整体支出资金绩效评价总体良好，主要体现在：预算编制及时，认真执行各项财经纪律，财务管理内控制度健全，资金使用规范，无乱发津补贴、奖金现象。</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sz w:val="32"/>
          <w:szCs w:val="32"/>
        </w:rPr>
        <w:t>（二）专项预算管理。</w:t>
      </w:r>
      <w:r>
        <w:rPr>
          <w:rFonts w:hint="eastAsia" w:ascii="方正仿宋简体" w:hAnsi="方正仿宋简体" w:eastAsia="方正仿宋简体" w:cs="方正仿宋简体"/>
          <w:color w:val="000000"/>
          <w:sz w:val="32"/>
          <w:szCs w:val="32"/>
        </w:rPr>
        <w:t>大队专项资金按照文件规定申请申报；所提交的文件、材料符合相关要求，事前经过了内部控制领导小组审核，分管财务领导审核、主任审批，并达到预期效果。同时，我大队严格按照上级部门及本级财政专项工作资金的相关规定办法进行开支，做到专款专用，无挪用、占用、套取的现象发生。</w:t>
      </w:r>
    </w:p>
    <w:p>
      <w:pPr>
        <w:widowControl/>
        <w:adjustRightInd w:val="0"/>
        <w:snapToGrid w:val="0"/>
        <w:spacing w:line="576" w:lineRule="exact"/>
        <w:ind w:firstLine="640" w:firstLineChars="200"/>
        <w:contextualSpacing/>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楷体简体" w:hAnsi="方正楷体简体" w:eastAsia="方正楷体简体" w:cs="方正楷体简体"/>
          <w:sz w:val="32"/>
          <w:szCs w:val="32"/>
          <w:lang w:val="zh-CN"/>
        </w:rPr>
        <w:t>（三）结果应用情况</w:t>
      </w:r>
      <w:r>
        <w:rPr>
          <w:rFonts w:hint="eastAsia" w:ascii="方正仿宋简体" w:hAnsi="方正仿宋简体" w:eastAsia="方正仿宋简体" w:cs="方正仿宋简体"/>
          <w:color w:val="000000"/>
          <w:kern w:val="0"/>
          <w:sz w:val="32"/>
          <w:szCs w:val="32"/>
          <w:shd w:val="clear" w:color="auto" w:fill="FFFFFF"/>
          <w:lang w:val="zh-CN"/>
        </w:rPr>
        <w:t>。</w:t>
      </w:r>
      <w:r>
        <w:rPr>
          <w:rFonts w:hint="eastAsia" w:ascii="方正仿宋简体" w:hAnsi="方正仿宋简体" w:eastAsia="方正仿宋简体" w:cs="方正仿宋简体"/>
          <w:color w:val="000000"/>
          <w:sz w:val="32"/>
          <w:szCs w:val="32"/>
        </w:rPr>
        <w:t>根据自评结果，2020年度部门整体预算绩效质量好，既保障了本大队职工正常办公和生活秩序，又顺利完成各项工作任务，严格履行法定职责，圆满完成了区委、区政府部署的工作任务，准确评价了各项指标的完成情况，群众满意度高。</w:t>
      </w: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lang w:val="zh-CN"/>
        </w:rPr>
      </w:pPr>
      <w:r>
        <w:rPr>
          <w:rFonts w:hint="eastAsia" w:ascii="方正黑体简体" w:hAnsi="方正黑体简体" w:eastAsia="方正黑体简体" w:cs="方正黑体简体"/>
          <w:color w:val="000000"/>
          <w:kern w:val="0"/>
          <w:sz w:val="32"/>
          <w:szCs w:val="32"/>
          <w:shd w:val="clear" w:color="auto" w:fill="FFFFFF"/>
          <w:lang w:val="zh-CN"/>
        </w:rPr>
        <w:t>四、评价结论及建议</w:t>
      </w:r>
    </w:p>
    <w:p>
      <w:pPr>
        <w:overflowPunct w:val="0"/>
        <w:spacing w:line="576" w:lineRule="exact"/>
        <w:ind w:firstLine="640" w:firstLineChars="200"/>
        <w:rPr>
          <w:rFonts w:hint="eastAsia" w:ascii="方正仿宋简体" w:hAnsi="方正仿宋简体" w:eastAsia="方正仿宋简体" w:cs="方正仿宋简体"/>
          <w:color w:val="000000"/>
          <w:kern w:val="0"/>
          <w:sz w:val="32"/>
          <w:szCs w:val="32"/>
          <w:shd w:val="clear" w:color="auto" w:fill="FFFFFF"/>
        </w:rPr>
      </w:pPr>
      <w:r>
        <w:rPr>
          <w:rFonts w:hint="eastAsia" w:ascii="方正楷体简体" w:hAnsi="方正楷体简体" w:eastAsia="方正楷体简体" w:cs="方正楷体简体"/>
          <w:sz w:val="32"/>
          <w:szCs w:val="32"/>
          <w:lang w:val="zh-CN"/>
        </w:rPr>
        <w:t>（一）评价结论</w:t>
      </w:r>
      <w:r>
        <w:rPr>
          <w:rFonts w:hint="eastAsia" w:ascii="方正仿宋简体" w:hAnsi="方正仿宋简体" w:eastAsia="方正仿宋简体" w:cs="方正仿宋简体"/>
          <w:color w:val="000000"/>
          <w:kern w:val="0"/>
          <w:sz w:val="32"/>
          <w:szCs w:val="32"/>
          <w:shd w:val="clear" w:color="auto" w:fill="FFFFFF"/>
          <w:lang w:val="zh-CN"/>
        </w:rPr>
        <w:t>。</w:t>
      </w:r>
      <w:r>
        <w:rPr>
          <w:rFonts w:hint="eastAsia" w:ascii="方正仿宋简体" w:hAnsi="方正仿宋简体" w:eastAsia="方正仿宋简体" w:cs="方正仿宋简体"/>
          <w:color w:val="000000"/>
          <w:sz w:val="32"/>
          <w:szCs w:val="32"/>
        </w:rPr>
        <w:t>及时、准确、优质地完成了预算编制；预算执行情况良好，支出管理规范，资金管理制度较为完善，会计核算和账务处理规范，会计资料完整。</w:t>
      </w:r>
    </w:p>
    <w:p>
      <w:pPr>
        <w:widowControl/>
        <w:adjustRightInd w:val="0"/>
        <w:snapToGrid w:val="0"/>
        <w:spacing w:line="576" w:lineRule="exact"/>
        <w:ind w:firstLine="640" w:firstLineChars="200"/>
        <w:contextualSpacing/>
        <w:jc w:val="left"/>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楷体简体" w:hAnsi="方正楷体简体" w:eastAsia="方正楷体简体" w:cs="方正楷体简体"/>
          <w:sz w:val="32"/>
          <w:szCs w:val="32"/>
          <w:lang w:val="zh-CN"/>
        </w:rPr>
        <w:t>（二）存在问题。</w:t>
      </w:r>
      <w:r>
        <w:rPr>
          <w:rFonts w:hint="eastAsia" w:ascii="方正仿宋简体" w:hAnsi="方正仿宋简体" w:eastAsia="方正仿宋简体" w:cs="方正仿宋简体"/>
          <w:sz w:val="32"/>
          <w:szCs w:val="32"/>
        </w:rPr>
        <w:t>在资金使用计划上有待进一步加强,要进一步细化预算编制,编制范围尽可能全面，不漏项。进一步提高预算编制的科学性、合理性、严谨性和可控性。</w:t>
      </w:r>
    </w:p>
    <w:p>
      <w:pPr>
        <w:widowControl/>
        <w:adjustRightInd w:val="0"/>
        <w:snapToGrid w:val="0"/>
        <w:spacing w:line="576" w:lineRule="exact"/>
        <w:ind w:firstLine="640" w:firstLineChars="200"/>
        <w:contextualSpacing/>
        <w:jc w:val="left"/>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楷体简体" w:hAnsi="方正楷体简体" w:eastAsia="方正楷体简体" w:cs="方正楷体简体"/>
          <w:sz w:val="32"/>
          <w:szCs w:val="32"/>
          <w:lang w:val="zh-CN"/>
        </w:rPr>
        <w:t>（三）改进建议。</w:t>
      </w:r>
      <w:r>
        <w:rPr>
          <w:rFonts w:hint="eastAsia" w:ascii="方正仿宋简体" w:hAnsi="方正仿宋简体" w:eastAsia="方正仿宋简体" w:cs="方正仿宋简体"/>
          <w:sz w:val="32"/>
          <w:szCs w:val="32"/>
        </w:rPr>
        <w:t>加强预算编制的前瞻性，进一步优化预算编制，避免项目支出与基本支出划分不准或预算支出与实际执行出现较大偏差的情况，执行中确需调剂预算的，按规定程序报经批。</w:t>
      </w:r>
    </w:p>
    <w:p>
      <w:pPr>
        <w:pStyle w:val="2"/>
        <w:spacing w:line="360" w:lineRule="auto"/>
        <w:ind w:firstLine="640"/>
        <w:rPr>
          <w:rFonts w:hint="eastAsia" w:ascii="方正仿宋简体" w:hAnsi="方正仿宋简体" w:eastAsia="方正仿宋简体" w:cs="方正仿宋简体"/>
          <w:color w:val="000000"/>
          <w:sz w:val="32"/>
          <w:szCs w:val="32"/>
        </w:rPr>
      </w:pPr>
    </w:p>
    <w:p>
      <w:pPr>
        <w:spacing w:line="360" w:lineRule="auto"/>
        <w:ind w:firstLine="640" w:firstLineChars="200"/>
        <w:rPr>
          <w:rFonts w:hint="eastAsia" w:ascii="方正仿宋简体" w:hAnsi="方正仿宋简体" w:eastAsia="方正仿宋简体" w:cs="方正仿宋简体"/>
          <w:sz w:val="32"/>
          <w:szCs w:val="32"/>
        </w:rPr>
      </w:pPr>
    </w:p>
    <w:p>
      <w:pPr>
        <w:spacing w:line="360" w:lineRule="auto"/>
        <w:ind w:firstLine="640" w:firstLineChars="200"/>
        <w:rPr>
          <w:rFonts w:hint="eastAsia" w:ascii="方正仿宋简体" w:hAnsi="方正仿宋简体" w:eastAsia="方正仿宋简体" w:cs="方正仿宋简体"/>
          <w:sz w:val="32"/>
          <w:szCs w:val="32"/>
        </w:rPr>
      </w:pPr>
    </w:p>
    <w:p>
      <w:pPr>
        <w:spacing w:line="360" w:lineRule="auto"/>
        <w:rPr>
          <w:rFonts w:hint="eastAsia" w:ascii="方正仿宋简体" w:hAnsi="方正仿宋简体" w:eastAsia="方正仿宋简体" w:cs="方正仿宋简体"/>
          <w:sz w:val="32"/>
          <w:szCs w:val="32"/>
        </w:rPr>
      </w:pPr>
    </w:p>
    <w:p>
      <w:pPr>
        <w:spacing w:line="360" w:lineRule="auto"/>
        <w:rPr>
          <w:rFonts w:hint="eastAsia" w:ascii="方正仿宋简体" w:hAnsi="方正仿宋简体" w:eastAsia="方正仿宋简体" w:cs="方正仿宋简体"/>
          <w:sz w:val="32"/>
          <w:szCs w:val="32"/>
        </w:rPr>
      </w:pPr>
    </w:p>
    <w:p>
      <w:pPr>
        <w:spacing w:line="360" w:lineRule="auto"/>
        <w:rPr>
          <w:rFonts w:hint="eastAsia" w:ascii="方正仿宋简体" w:hAnsi="方正仿宋简体" w:eastAsia="方正仿宋简体" w:cs="方正仿宋简体"/>
          <w:sz w:val="32"/>
          <w:szCs w:val="32"/>
        </w:rPr>
      </w:pPr>
    </w:p>
    <w:p>
      <w:pPr>
        <w:spacing w:line="360" w:lineRule="auto"/>
        <w:rPr>
          <w:rFonts w:hint="eastAsia" w:ascii="方正仿宋简体" w:hAnsi="方正仿宋简体" w:eastAsia="方正仿宋简体" w:cs="方正仿宋简体"/>
          <w:sz w:val="32"/>
          <w:szCs w:val="32"/>
        </w:rPr>
      </w:pPr>
    </w:p>
    <w:p>
      <w:pPr>
        <w:spacing w:line="360" w:lineRule="auto"/>
        <w:rPr>
          <w:rFonts w:hint="eastAsia" w:ascii="方正仿宋简体" w:hAnsi="方正仿宋简体" w:eastAsia="方正仿宋简体" w:cs="方正仿宋简体"/>
          <w:sz w:val="32"/>
          <w:szCs w:val="32"/>
        </w:rPr>
      </w:pPr>
    </w:p>
    <w:p>
      <w:pPr>
        <w:spacing w:line="360" w:lineRule="auto"/>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spacing w:line="360" w:lineRule="auto"/>
        <w:rPr>
          <w:rFonts w:hint="eastAsia" w:ascii="方正仿宋简体" w:hAnsi="方正仿宋简体" w:eastAsia="方正仿宋简体" w:cs="方正仿宋简体"/>
          <w:sz w:val="32"/>
          <w:szCs w:val="32"/>
        </w:rPr>
      </w:pPr>
    </w:p>
    <w:p>
      <w:pPr>
        <w:spacing w:line="360" w:lineRule="auto"/>
        <w:rPr>
          <w:rFonts w:hint="eastAsia" w:ascii="方正仿宋简体" w:hAnsi="方正仿宋简体" w:eastAsia="方正仿宋简体" w:cs="方正仿宋简体"/>
          <w:sz w:val="32"/>
          <w:szCs w:val="32"/>
        </w:rPr>
      </w:pPr>
    </w:p>
    <w:p>
      <w:pPr>
        <w:spacing w:line="576" w:lineRule="exact"/>
        <w:jc w:val="left"/>
        <w:outlineLvl w:val="0"/>
        <w:rPr>
          <w:rFonts w:hint="eastAsia" w:ascii="黑体" w:hAnsi="黑体" w:eastAsia="黑体" w:cs="黑体"/>
          <w:sz w:val="32"/>
          <w:szCs w:val="32"/>
        </w:rPr>
      </w:pPr>
      <w:r>
        <w:rPr>
          <w:rFonts w:hint="eastAsia" w:ascii="黑体" w:hAnsi="黑体" w:eastAsia="黑体" w:cs="黑体"/>
          <w:sz w:val="32"/>
          <w:szCs w:val="32"/>
        </w:rPr>
        <w:t>附件2-1</w:t>
      </w:r>
    </w:p>
    <w:p>
      <w:pPr>
        <w:pStyle w:val="2"/>
        <w:rPr>
          <w:rFonts w:hint="eastAsia"/>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2020年基本公共卫生服务项目支出</w:t>
      </w: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overflowPunct w:val="0"/>
        <w:spacing w:line="576" w:lineRule="exact"/>
        <w:ind w:firstLine="640" w:firstLineChars="200"/>
        <w:rPr>
          <w:rFonts w:hint="eastAsia" w:ascii="方正仿宋简体" w:hAnsi="方正仿宋简体" w:eastAsia="方正仿宋简体" w:cs="方正仿宋简体"/>
          <w:sz w:val="32"/>
          <w:szCs w:val="32"/>
        </w:rPr>
      </w:pP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一、评价工作开展及项目情况</w:t>
      </w:r>
    </w:p>
    <w:p>
      <w:pPr>
        <w:overflowPunct w:val="0"/>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overflowPunct w:val="0"/>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该项目资金总投入30万元。</w:t>
      </w:r>
      <w:r>
        <w:rPr>
          <w:rFonts w:hint="eastAsia" w:ascii="方正仿宋简体" w:hAnsi="方正仿宋简体" w:eastAsia="方正仿宋简体" w:cs="方正仿宋简体"/>
          <w:color w:val="000000"/>
          <w:sz w:val="32"/>
          <w:szCs w:val="32"/>
        </w:rPr>
        <w:t>主要用于开展医疗、学校、生活饮用水、职业危害防护、公共场所的监督检查，违法案件查处，督导和人员培训、宣传及信息收集报送等工作，提高群众满意度和知晓率。</w:t>
      </w: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二、评价结论及绩效分析</w:t>
      </w:r>
    </w:p>
    <w:p>
      <w:pPr>
        <w:overflowPunct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（一）评价结论。</w:t>
      </w:r>
      <w:r>
        <w:rPr>
          <w:rFonts w:hint="eastAsia" w:ascii="方正仿宋简体" w:hAnsi="方正仿宋简体" w:eastAsia="方正仿宋简体" w:cs="方正仿宋简体"/>
          <w:color w:val="000000"/>
          <w:sz w:val="32"/>
          <w:szCs w:val="32"/>
        </w:rPr>
        <w:t>该项目严格按照年初制定的工作计划，按时保质保量完成项目，通过项目实施，有力推进了基本公共卫生服务项目的全面开展，</w:t>
      </w:r>
      <w:r>
        <w:rPr>
          <w:rFonts w:hint="eastAsia" w:ascii="方正仿宋简体" w:hAnsi="方正仿宋简体" w:eastAsia="方正仿宋简体" w:cs="方正仿宋简体"/>
          <w:sz w:val="32"/>
          <w:szCs w:val="32"/>
        </w:rPr>
        <w:t>项目工作质量、规范性均有了进一步提高</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sz w:val="32"/>
          <w:szCs w:val="32"/>
        </w:rPr>
        <w:t>该经费资金到位及时，支出合理合规，设立依据充分，并且目标明确，符合大队要求。</w:t>
      </w:r>
    </w:p>
    <w:p>
      <w:pPr>
        <w:overflowPunct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（二）绩效分析</w:t>
      </w:r>
      <w:r>
        <w:rPr>
          <w:rFonts w:hint="eastAsia" w:ascii="方正仿宋简体" w:hAnsi="方正仿宋简体" w:eastAsia="方正仿宋简体" w:cs="方正仿宋简体"/>
          <w:sz w:val="32"/>
          <w:szCs w:val="32"/>
        </w:rPr>
        <w:t>。</w:t>
      </w:r>
    </w:p>
    <w:p>
      <w:pPr>
        <w:overflowPunct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项目决策。</w:t>
      </w:r>
      <w:r>
        <w:rPr>
          <w:rFonts w:hint="eastAsia" w:ascii="方正仿宋简体" w:hAnsi="方正仿宋简体" w:eastAsia="方正仿宋简体" w:cs="方正仿宋简体"/>
          <w:color w:val="000000"/>
          <w:sz w:val="32"/>
          <w:szCs w:val="32"/>
        </w:rPr>
        <w:t>依据《国家基本公共卫生服务规范（第三版）》和相关卫生法律法规的明确要求，充分发挥卫生监督机构的职能和技术优势，扎实开展各项工作，加强项目管理、业务培训、社</w:t>
      </w:r>
      <w:r>
        <w:rPr>
          <w:rFonts w:hint="eastAsia" w:ascii="方正仿宋简体" w:hAnsi="方正仿宋简体" w:eastAsia="方正仿宋简体" w:cs="方正仿宋简体"/>
          <w:sz w:val="32"/>
          <w:szCs w:val="32"/>
        </w:rPr>
        <w:t>会宣传，进一步提高全区卫生健康服务水平，进一步促进基本公共卫生服务均等化、合理化、科学化发展。</w:t>
      </w:r>
    </w:p>
    <w:p>
      <w:pPr>
        <w:spacing w:line="576" w:lineRule="exact"/>
        <w:ind w:firstLine="640" w:firstLineChars="200"/>
        <w:jc w:val="left"/>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项目管理。2020年基本公共卫生服务项目专项经费计划批复资金30万元，实际到位资金30万元，总共支出资金30万元，完成预算的100%。项目资金实行专账管理，专款专用。</w:t>
      </w:r>
    </w:p>
    <w:p>
      <w:pPr>
        <w:spacing w:line="576" w:lineRule="exact"/>
        <w:ind w:firstLine="640" w:firstLineChars="200"/>
        <w:jc w:val="left"/>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3.项目绩效。项目目标完成情况良好，数量指标、质量指标、时效指标、成本指标、社会效益指标、可持续影响指标、满意度指标，均已达标，项目取得了良好的社会效益，增加了居民获得感。</w:t>
      </w:r>
    </w:p>
    <w:p>
      <w:pPr>
        <w:spacing w:line="576" w:lineRule="exact"/>
        <w:jc w:val="left"/>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通过项目实施，提升了全区卫生健康服务能力，促进了全区基本公共卫生服务均等化水平，提高了群众知晓率和满意度。</w:t>
      </w: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三、存在主要问题</w:t>
      </w:r>
    </w:p>
    <w:p>
      <w:pPr>
        <w:spacing w:line="576" w:lineRule="exact"/>
        <w:ind w:firstLine="640" w:firstLineChars="200"/>
        <w:jc w:val="left"/>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一是协管监督体制还不够完善，基层协管人员流动性大。二是人员严重不足，监督服务能力和及时性欠缺。三是学习和培训力度不足导致专业水平低。</w:t>
      </w: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四、相关措施建议</w:t>
      </w:r>
    </w:p>
    <w:p>
      <w:pPr>
        <w:spacing w:line="576" w:lineRule="exact"/>
        <w:ind w:firstLine="640" w:firstLineChars="200"/>
        <w:jc w:val="left"/>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继续深化改革，落实责任，优化考核措施，有计划的加大人才引进和培训，全面提升基本公共卫生服务水平和能力。</w:t>
      </w:r>
    </w:p>
    <w:p>
      <w:pPr>
        <w:spacing w:line="576" w:lineRule="exact"/>
        <w:jc w:val="left"/>
        <w:outlineLvl w:val="0"/>
        <w:rPr>
          <w:rFonts w:hint="eastAsia" w:ascii="方正仿宋简体" w:hAnsi="方正仿宋简体" w:eastAsia="方正仿宋简体" w:cs="方正仿宋简体"/>
          <w:sz w:val="32"/>
          <w:szCs w:val="32"/>
        </w:rPr>
      </w:pPr>
    </w:p>
    <w:p>
      <w:pPr>
        <w:spacing w:line="576" w:lineRule="exact"/>
        <w:jc w:val="left"/>
        <w:outlineLvl w:val="0"/>
        <w:rPr>
          <w:rFonts w:hint="eastAsia" w:ascii="黑体" w:hAnsi="黑体" w:eastAsia="黑体" w:cs="黑体"/>
          <w:sz w:val="32"/>
          <w:szCs w:val="32"/>
        </w:rPr>
      </w:pPr>
    </w:p>
    <w:p>
      <w:pPr>
        <w:pStyle w:val="2"/>
        <w:rPr>
          <w:rFonts w:hint="eastAsia"/>
        </w:rPr>
      </w:pPr>
    </w:p>
    <w:p>
      <w:pPr>
        <w:spacing w:line="576" w:lineRule="exact"/>
        <w:jc w:val="left"/>
        <w:outlineLvl w:val="0"/>
        <w:rPr>
          <w:rFonts w:hint="eastAsia" w:ascii="黑体" w:hAnsi="黑体" w:eastAsia="黑体" w:cs="黑体"/>
          <w:sz w:val="32"/>
          <w:szCs w:val="32"/>
        </w:rPr>
      </w:pPr>
      <w:r>
        <w:rPr>
          <w:rFonts w:hint="eastAsia" w:ascii="黑体" w:hAnsi="黑体" w:eastAsia="黑体" w:cs="黑体"/>
          <w:sz w:val="32"/>
          <w:szCs w:val="32"/>
        </w:rPr>
        <w:t>附件2-2</w:t>
      </w:r>
    </w:p>
    <w:p>
      <w:pPr>
        <w:pStyle w:val="2"/>
        <w:rPr>
          <w:rFonts w:hint="eastAsia"/>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2020年卫生监督执法办案工作经费项目</w:t>
      </w:r>
    </w:p>
    <w:p>
      <w:pPr>
        <w:spacing w:line="576"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支出绩效评价报告</w:t>
      </w:r>
    </w:p>
    <w:p>
      <w:pPr>
        <w:overflowPunct w:val="0"/>
        <w:spacing w:line="576" w:lineRule="exact"/>
        <w:ind w:firstLine="640" w:firstLineChars="200"/>
        <w:rPr>
          <w:rFonts w:hint="eastAsia" w:ascii="方正仿宋简体" w:hAnsi="方正仿宋简体" w:eastAsia="方正仿宋简体" w:cs="方正仿宋简体"/>
          <w:sz w:val="32"/>
          <w:szCs w:val="32"/>
        </w:rPr>
      </w:pP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一、评价工作开展及项目情况</w:t>
      </w:r>
    </w:p>
    <w:p>
      <w:pPr>
        <w:overflowPunct w:val="0"/>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overflowPunct w:val="0"/>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该项目资金总投入33.75万元。</w:t>
      </w:r>
      <w:r>
        <w:rPr>
          <w:rFonts w:hint="eastAsia" w:ascii="方正仿宋简体" w:hAnsi="方正仿宋简体" w:eastAsia="方正仿宋简体" w:cs="方正仿宋简体"/>
          <w:color w:val="000000"/>
          <w:sz w:val="32"/>
          <w:szCs w:val="32"/>
        </w:rPr>
        <w:t>主要用于开展医疗、学校、生活饮用水、职业危害防护、公共场所的执法监督检查及违法案件查处工作经费。</w:t>
      </w: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二、评价结论及绩效分析</w:t>
      </w:r>
    </w:p>
    <w:p>
      <w:pPr>
        <w:overflowPunct w:val="0"/>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（一）评价结论</w:t>
      </w:r>
    </w:p>
    <w:p>
      <w:pPr>
        <w:overflowPunct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该项目严格按照年初制定的工作计划，按时保质保量完成项目，通过项目实施，有力推进了执法监督办案工作经费项目的全面开展，</w:t>
      </w:r>
      <w:r>
        <w:rPr>
          <w:rFonts w:hint="eastAsia" w:ascii="方正仿宋简体" w:hAnsi="方正仿宋简体" w:eastAsia="方正仿宋简体" w:cs="方正仿宋简体"/>
          <w:sz w:val="32"/>
          <w:szCs w:val="32"/>
        </w:rPr>
        <w:t>项目工作质量、规范性均有了进一步提高</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sz w:val="32"/>
          <w:szCs w:val="32"/>
        </w:rPr>
        <w:t>该经费资金到位及时，支出合理合规，设立依据充分，并且目标明确，符合大队要求。</w:t>
      </w:r>
    </w:p>
    <w:p>
      <w:pPr>
        <w:overflowPunct w:val="0"/>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（二）绩效分析</w:t>
      </w:r>
    </w:p>
    <w:p>
      <w:pPr>
        <w:widowControl/>
        <w:spacing w:line="576" w:lineRule="exact"/>
        <w:ind w:firstLine="936"/>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项目决策。</w:t>
      </w:r>
      <w:r>
        <w:rPr>
          <w:rFonts w:hint="eastAsia" w:ascii="方正仿宋简体" w:hAnsi="方正仿宋简体" w:eastAsia="方正仿宋简体" w:cs="方正仿宋简体"/>
          <w:color w:val="333333"/>
          <w:kern w:val="0"/>
          <w:sz w:val="32"/>
          <w:szCs w:val="32"/>
        </w:rPr>
        <w:t>根据卫生部印发《关于卫生监督体系建设的实施意见》卫监督发【2006】223号文件精神,按照财政部、国家计委、卫生部《关于卫生事业补助政策的意见》（财社〔2000〕17号）的有关规定，各级卫生部门应商同级财政部门，将卫生监督机构所需经费全额纳入同级财政预算安排。其中：卫生监督执法业务开展所需专项整治、查办案件、突发公共卫生事件应急处置、重大活动卫生监督、投诉举报奖励制装等专项经费，应商同级财政部门根据实际需要和财力可能统筹安排。</w:t>
      </w:r>
    </w:p>
    <w:p>
      <w:pPr>
        <w:overflowPunct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项目管理。2020年卫生监督执法办案工作经费</w:t>
      </w:r>
      <w:r>
        <w:rPr>
          <w:rFonts w:hint="eastAsia" w:ascii="方正仿宋简体" w:hAnsi="方正仿宋简体" w:eastAsia="方正仿宋简体" w:cs="方正仿宋简体"/>
          <w:color w:val="000000"/>
          <w:sz w:val="32"/>
          <w:szCs w:val="32"/>
        </w:rPr>
        <w:t>项目</w:t>
      </w:r>
      <w:r>
        <w:rPr>
          <w:rFonts w:hint="eastAsia" w:ascii="方正仿宋简体" w:hAnsi="方正仿宋简体" w:eastAsia="方正仿宋简体" w:cs="方正仿宋简体"/>
          <w:sz w:val="32"/>
          <w:szCs w:val="32"/>
        </w:rPr>
        <w:t>专项经费计划批复资金33.75万元，实际到位资金33.75万元，总共支出资金33.75万元，完成预算的100%。</w:t>
      </w:r>
      <w:r>
        <w:rPr>
          <w:rFonts w:hint="eastAsia" w:ascii="方正仿宋简体" w:hAnsi="方正仿宋简体" w:eastAsia="方正仿宋简体" w:cs="方正仿宋简体"/>
          <w:color w:val="000000"/>
          <w:sz w:val="32"/>
          <w:szCs w:val="32"/>
        </w:rPr>
        <w:t>项目资金实行专账管理，专款专用。</w:t>
      </w:r>
    </w:p>
    <w:p>
      <w:pPr>
        <w:overflowPunct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3.项目绩效。项目目标完成情况良好，数量指标、质量指标、时效指标、成本指标、社会效益指标、可持续影响指标、满意度指标，均已达标，项目取得了良好的社会效益，增加了居民获得感。</w:t>
      </w:r>
    </w:p>
    <w:p>
      <w:pPr>
        <w:overflowPunct w:val="0"/>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通过项目实施，保障了</w:t>
      </w:r>
      <w:r>
        <w:rPr>
          <w:rFonts w:hint="eastAsia" w:ascii="方正仿宋简体" w:hAnsi="方正仿宋简体" w:eastAsia="方正仿宋简体" w:cs="方正仿宋简体"/>
          <w:color w:val="333333"/>
          <w:kern w:val="0"/>
          <w:sz w:val="32"/>
          <w:szCs w:val="32"/>
        </w:rPr>
        <w:t>专项整治、查办案件、突发公共卫生事件应急处置、重大活动卫生监督、制装等卫生监督执法业务所需经费，维护了全区人民群众健康权益，促进了和谐社会建设。</w:t>
      </w: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三、存在主要问题</w:t>
      </w:r>
    </w:p>
    <w:p>
      <w:pPr>
        <w:widowControl/>
        <w:spacing w:line="576" w:lineRule="exact"/>
        <w:ind w:firstLine="721"/>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sz w:val="32"/>
          <w:szCs w:val="32"/>
        </w:rPr>
        <w:t>一是</w:t>
      </w:r>
      <w:r>
        <w:rPr>
          <w:rFonts w:hint="eastAsia" w:ascii="方正仿宋简体" w:hAnsi="方正仿宋简体" w:eastAsia="方正仿宋简体" w:cs="方正仿宋简体"/>
          <w:color w:val="333333"/>
          <w:kern w:val="0"/>
          <w:sz w:val="32"/>
          <w:szCs w:val="32"/>
        </w:rPr>
        <w:t>执法人员少，而管理对象相对较多，人均监管对象多、监管任务重，造成项目实施过程中出现比计划延迟的情况。二是</w:t>
      </w:r>
      <w:r>
        <w:rPr>
          <w:rFonts w:hint="eastAsia" w:ascii="方正仿宋简体" w:hAnsi="方正仿宋简体" w:eastAsia="方正仿宋简体" w:cs="方正仿宋简体"/>
          <w:color w:val="000000"/>
          <w:spacing w:val="-2"/>
          <w:kern w:val="0"/>
          <w:sz w:val="32"/>
          <w:szCs w:val="32"/>
          <w:shd w:val="clear" w:color="auto" w:fill="FFFFFF"/>
        </w:rPr>
        <w:t>对项目资金开支分类不够科学、规范，费用开支和绩效产出测得结果不够准确。</w:t>
      </w:r>
    </w:p>
    <w:p>
      <w:pPr>
        <w:widowControl/>
        <w:adjustRightInd w:val="0"/>
        <w:snapToGrid w:val="0"/>
        <w:spacing w:line="576" w:lineRule="exact"/>
        <w:ind w:firstLine="640" w:firstLineChars="200"/>
        <w:contextualSpacing/>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四、相关措施建议</w:t>
      </w:r>
    </w:p>
    <w:p>
      <w:pPr>
        <w:widowControl/>
        <w:spacing w:line="576" w:lineRule="exact"/>
        <w:ind w:firstLine="721"/>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sz w:val="32"/>
          <w:szCs w:val="32"/>
        </w:rPr>
        <w:t>一是</w:t>
      </w:r>
      <w:r>
        <w:rPr>
          <w:rFonts w:hint="eastAsia" w:ascii="方正仿宋简体" w:hAnsi="方正仿宋简体" w:eastAsia="方正仿宋简体" w:cs="方正仿宋简体"/>
          <w:color w:val="000000"/>
          <w:spacing w:val="-2"/>
          <w:kern w:val="0"/>
          <w:sz w:val="32"/>
          <w:szCs w:val="32"/>
          <w:shd w:val="clear" w:color="auto" w:fill="FFFFFF"/>
        </w:rPr>
        <w:t>做好单位项目评价、审计、考核工作，设计有效的管理指标。</w:t>
      </w:r>
      <w:r>
        <w:rPr>
          <w:rFonts w:hint="eastAsia" w:ascii="方正仿宋简体" w:hAnsi="方正仿宋简体" w:eastAsia="方正仿宋简体" w:cs="方正仿宋简体"/>
          <w:color w:val="000000"/>
          <w:spacing w:val="-2"/>
          <w:kern w:val="0"/>
          <w:sz w:val="32"/>
          <w:szCs w:val="32"/>
        </w:rPr>
        <w:t>二是做好绩效产出的跟踪，进行项目分类统计和成本分析。</w:t>
      </w:r>
    </w:p>
    <w:p>
      <w:pPr>
        <w:spacing w:line="360" w:lineRule="auto"/>
        <w:jc w:val="center"/>
        <w:rPr>
          <w:rFonts w:hint="eastAsia" w:ascii="方正仿宋简体" w:hAnsi="方正仿宋简体" w:eastAsia="方正仿宋简体" w:cs="方正仿宋简体"/>
          <w:b/>
          <w:color w:val="000000"/>
          <w:kern w:val="0"/>
          <w:sz w:val="32"/>
          <w:szCs w:val="32"/>
        </w:rPr>
      </w:pPr>
    </w:p>
    <w:p>
      <w:pPr>
        <w:pStyle w:val="6"/>
        <w:rPr>
          <w:rFonts w:hint="eastAsia" w:ascii="方正仿宋简体" w:hAnsi="方正仿宋简体" w:eastAsia="方正仿宋简体" w:cs="方正仿宋简体"/>
          <w:b/>
          <w:color w:val="000000"/>
          <w:kern w:val="0"/>
          <w:sz w:val="32"/>
          <w:szCs w:val="32"/>
        </w:rPr>
      </w:pPr>
    </w:p>
    <w:p>
      <w:pPr>
        <w:pStyle w:val="6"/>
        <w:rPr>
          <w:rFonts w:hint="eastAsia" w:ascii="方正仿宋简体" w:hAnsi="方正仿宋简体" w:eastAsia="方正仿宋简体" w:cs="方正仿宋简体"/>
          <w:b/>
          <w:color w:val="000000"/>
          <w:kern w:val="0"/>
          <w:sz w:val="32"/>
          <w:szCs w:val="32"/>
        </w:rPr>
      </w:pPr>
    </w:p>
    <w:p>
      <w:pPr>
        <w:widowControl/>
        <w:jc w:val="left"/>
        <w:rPr>
          <w:rStyle w:val="17"/>
          <w:rFonts w:hint="eastAsia" w:ascii="方正仿宋简体" w:hAnsi="方正仿宋简体" w:eastAsia="方正仿宋简体" w:cs="方正仿宋简体"/>
          <w:b w:val="0"/>
          <w:sz w:val="32"/>
          <w:szCs w:val="32"/>
        </w:rPr>
      </w:pPr>
    </w:p>
    <w:p>
      <w:pPr>
        <w:spacing w:line="600" w:lineRule="exact"/>
        <w:jc w:val="center"/>
        <w:outlineLvl w:val="0"/>
        <w:rPr>
          <w:rStyle w:val="17"/>
          <w:rFonts w:hint="eastAsia" w:ascii="方正仿宋简体" w:hAnsi="方正仿宋简体" w:eastAsia="方正仿宋简体" w:cs="方正仿宋简体"/>
          <w:b w:val="0"/>
          <w:sz w:val="32"/>
          <w:szCs w:val="32"/>
        </w:rPr>
      </w:pPr>
    </w:p>
    <w:p>
      <w:pPr>
        <w:spacing w:line="600" w:lineRule="exact"/>
        <w:jc w:val="center"/>
        <w:outlineLvl w:val="0"/>
        <w:rPr>
          <w:rFonts w:hint="eastAsia" w:ascii="方正仿宋简体" w:hAnsi="方正仿宋简体" w:eastAsia="方正仿宋简体" w:cs="方正仿宋简体"/>
          <w:color w:val="000000"/>
          <w:sz w:val="32"/>
          <w:szCs w:val="32"/>
        </w:rPr>
      </w:pPr>
      <w:bookmarkStart w:id="52" w:name="_Toc15396618"/>
    </w:p>
    <w:p>
      <w:pPr>
        <w:spacing w:line="600" w:lineRule="exact"/>
        <w:jc w:val="center"/>
        <w:outlineLvl w:val="0"/>
        <w:rPr>
          <w:rFonts w:hint="eastAsia" w:ascii="方正仿宋简体" w:hAnsi="方正仿宋简体" w:eastAsia="方正仿宋简体" w:cs="方正仿宋简体"/>
          <w:color w:val="000000"/>
          <w:sz w:val="32"/>
          <w:szCs w:val="32"/>
        </w:rPr>
      </w:pPr>
    </w:p>
    <w:p>
      <w:pPr>
        <w:spacing w:line="600" w:lineRule="exact"/>
        <w:jc w:val="center"/>
        <w:outlineLvl w:val="0"/>
        <w:rPr>
          <w:rFonts w:hint="eastAsia" w:ascii="方正仿宋简体" w:hAnsi="方正仿宋简体" w:eastAsia="方正仿宋简体" w:cs="方正仿宋简体"/>
          <w:color w:val="000000"/>
          <w:sz w:val="32"/>
          <w:szCs w:val="32"/>
        </w:rPr>
      </w:pPr>
    </w:p>
    <w:p>
      <w:pPr>
        <w:spacing w:line="600" w:lineRule="exact"/>
        <w:jc w:val="center"/>
        <w:outlineLvl w:val="0"/>
        <w:rPr>
          <w:rFonts w:hint="eastAsia" w:ascii="方正仿宋简体" w:hAnsi="方正仿宋简体" w:eastAsia="方正仿宋简体" w:cs="方正仿宋简体"/>
          <w:color w:val="000000"/>
          <w:sz w:val="32"/>
          <w:szCs w:val="32"/>
        </w:rPr>
      </w:pPr>
    </w:p>
    <w:p>
      <w:pPr>
        <w:spacing w:line="600" w:lineRule="exact"/>
        <w:jc w:val="center"/>
        <w:outlineLvl w:val="0"/>
        <w:rPr>
          <w:rFonts w:hint="eastAsia" w:ascii="方正仿宋简体" w:hAnsi="方正仿宋简体" w:eastAsia="方正仿宋简体" w:cs="方正仿宋简体"/>
          <w:color w:val="000000"/>
          <w:sz w:val="32"/>
          <w:szCs w:val="32"/>
        </w:rPr>
      </w:pPr>
    </w:p>
    <w:p>
      <w:pPr>
        <w:spacing w:line="600" w:lineRule="exact"/>
        <w:jc w:val="center"/>
        <w:outlineLvl w:val="0"/>
        <w:rPr>
          <w:rFonts w:hint="eastAsia" w:ascii="方正仿宋简体" w:hAnsi="方正仿宋简体" w:eastAsia="方正仿宋简体" w:cs="方正仿宋简体"/>
          <w:color w:val="000000"/>
          <w:sz w:val="32"/>
          <w:szCs w:val="32"/>
        </w:rPr>
      </w:pPr>
    </w:p>
    <w:p>
      <w:pPr>
        <w:spacing w:line="600" w:lineRule="exact"/>
        <w:jc w:val="center"/>
        <w:outlineLvl w:val="0"/>
        <w:rPr>
          <w:rFonts w:hint="eastAsia" w:ascii="方正仿宋简体" w:hAnsi="方正仿宋简体" w:eastAsia="方正仿宋简体" w:cs="方正仿宋简体"/>
          <w:color w:val="000000"/>
          <w:sz w:val="32"/>
          <w:szCs w:val="32"/>
        </w:rPr>
      </w:pPr>
    </w:p>
    <w:p>
      <w:pPr>
        <w:spacing w:line="600" w:lineRule="exact"/>
        <w:jc w:val="center"/>
        <w:outlineLvl w:val="0"/>
        <w:rPr>
          <w:rFonts w:hint="eastAsia" w:ascii="方正仿宋简体" w:hAnsi="方正仿宋简体" w:eastAsia="方正仿宋简体" w:cs="方正仿宋简体"/>
          <w:color w:val="000000"/>
          <w:sz w:val="32"/>
          <w:szCs w:val="32"/>
        </w:rPr>
      </w:pPr>
    </w:p>
    <w:p>
      <w:pPr>
        <w:spacing w:line="600" w:lineRule="exact"/>
        <w:jc w:val="center"/>
        <w:outlineLvl w:val="0"/>
        <w:rPr>
          <w:rFonts w:hint="eastAsia" w:ascii="方正仿宋简体" w:hAnsi="方正仿宋简体" w:eastAsia="方正仿宋简体" w:cs="方正仿宋简体"/>
          <w:color w:val="000000"/>
          <w:sz w:val="32"/>
          <w:szCs w:val="32"/>
        </w:rPr>
      </w:pPr>
    </w:p>
    <w:p>
      <w:pPr>
        <w:spacing w:line="600" w:lineRule="exact"/>
        <w:jc w:val="center"/>
        <w:outlineLvl w:val="0"/>
        <w:rPr>
          <w:rFonts w:hint="eastAsia" w:ascii="方正仿宋简体" w:hAnsi="方正仿宋简体" w:eastAsia="方正仿宋简体" w:cs="方正仿宋简体"/>
          <w:color w:val="000000"/>
          <w:sz w:val="32"/>
          <w:szCs w:val="32"/>
        </w:rPr>
      </w:pPr>
    </w:p>
    <w:p>
      <w:pPr>
        <w:spacing w:line="600" w:lineRule="exact"/>
        <w:jc w:val="center"/>
        <w:outlineLvl w:val="0"/>
        <w:rPr>
          <w:rFonts w:hint="eastAsia" w:ascii="方正仿宋简体" w:hAnsi="方正仿宋简体" w:eastAsia="方正仿宋简体" w:cs="方正仿宋简体"/>
          <w:color w:val="000000"/>
          <w:sz w:val="32"/>
          <w:szCs w:val="32"/>
        </w:rPr>
      </w:pPr>
    </w:p>
    <w:p>
      <w:pPr>
        <w:spacing w:line="600" w:lineRule="exact"/>
        <w:jc w:val="center"/>
        <w:outlineLvl w:val="0"/>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color w:val="000000"/>
          <w:sz w:val="44"/>
          <w:szCs w:val="44"/>
        </w:rPr>
        <w:t>第</w:t>
      </w:r>
      <w:r>
        <w:rPr>
          <w:rStyle w:val="17"/>
          <w:rFonts w:hint="eastAsia" w:ascii="方正小标宋简体" w:hAnsi="方正小标宋简体" w:eastAsia="方正小标宋简体" w:cs="方正小标宋简体"/>
          <w:b w:val="0"/>
          <w:sz w:val="44"/>
          <w:szCs w:val="44"/>
        </w:rPr>
        <w:t>五部分 附表</w:t>
      </w:r>
      <w:bookmarkEnd w:id="51"/>
      <w:bookmarkEnd w:id="52"/>
    </w:p>
    <w:p>
      <w:pPr>
        <w:pStyle w:val="5"/>
        <w:spacing w:before="0" w:after="0" w:line="576" w:lineRule="exact"/>
        <w:ind w:firstLine="640" w:firstLineChars="200"/>
        <w:rPr>
          <w:rFonts w:hint="eastAsia" w:ascii="方正仿宋简体" w:hAnsi="方正仿宋简体" w:eastAsia="方正仿宋简体" w:cs="方正仿宋简体"/>
          <w:b w:val="0"/>
          <w:color w:val="000000"/>
          <w:sz w:val="32"/>
          <w:szCs w:val="32"/>
        </w:rPr>
      </w:pPr>
      <w:bookmarkStart w:id="53" w:name="_Toc15396619"/>
    </w:p>
    <w:bookmarkEnd w:id="53"/>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color w:val="000000"/>
          <w:sz w:val="32"/>
          <w:szCs w:val="32"/>
        </w:rPr>
        <w:t>一、收</w:t>
      </w:r>
      <w:r>
        <w:rPr>
          <w:rStyle w:val="25"/>
          <w:rFonts w:hint="eastAsia" w:ascii="方正仿宋简体" w:hAnsi="方正仿宋简体" w:eastAsia="方正仿宋简体" w:cs="方正仿宋简体"/>
          <w:b w:val="0"/>
          <w:bCs w:val="0"/>
          <w:sz w:val="32"/>
          <w:szCs w:val="32"/>
        </w:rPr>
        <w:t>入支出决算总表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color w:val="000000"/>
          <w:sz w:val="32"/>
          <w:szCs w:val="32"/>
        </w:rPr>
        <w:t>二、收</w:t>
      </w:r>
      <w:r>
        <w:rPr>
          <w:rStyle w:val="25"/>
          <w:rFonts w:hint="eastAsia" w:ascii="方正仿宋简体" w:hAnsi="方正仿宋简体" w:eastAsia="方正仿宋简体" w:cs="方正仿宋简体"/>
          <w:b w:val="0"/>
          <w:bCs w:val="0"/>
          <w:sz w:val="32"/>
          <w:szCs w:val="32"/>
        </w:rPr>
        <w:t>入决算表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25"/>
          <w:rFonts w:hint="eastAsia" w:ascii="方正仿宋简体" w:hAnsi="方正仿宋简体" w:eastAsia="方正仿宋简体" w:cs="方正仿宋简体"/>
          <w:b w:val="0"/>
          <w:bCs w:val="0"/>
          <w:sz w:val="32"/>
          <w:szCs w:val="32"/>
        </w:rPr>
        <w:t>三、</w:t>
      </w:r>
      <w:r>
        <w:rPr>
          <w:rFonts w:hint="eastAsia" w:ascii="方正仿宋简体" w:hAnsi="方正仿宋简体" w:eastAsia="方正仿宋简体" w:cs="方正仿宋简体"/>
          <w:b w:val="0"/>
          <w:color w:val="000000"/>
          <w:sz w:val="32"/>
          <w:szCs w:val="32"/>
        </w:rPr>
        <w:t>支</w:t>
      </w:r>
      <w:r>
        <w:rPr>
          <w:rStyle w:val="25"/>
          <w:rFonts w:hint="eastAsia" w:ascii="方正仿宋简体" w:hAnsi="方正仿宋简体" w:eastAsia="方正仿宋简体" w:cs="方正仿宋简体"/>
          <w:b w:val="0"/>
          <w:bCs w:val="0"/>
          <w:sz w:val="32"/>
          <w:szCs w:val="32"/>
        </w:rPr>
        <w:t>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b w:val="0"/>
          <w:color w:val="000000"/>
          <w:sz w:val="32"/>
          <w:szCs w:val="32"/>
        </w:rPr>
      </w:pPr>
      <w:r>
        <w:rPr>
          <w:rStyle w:val="25"/>
          <w:rFonts w:hint="eastAsia" w:ascii="方正仿宋简体" w:hAnsi="方正仿宋简体" w:eastAsia="方正仿宋简体" w:cs="方正仿宋简体"/>
          <w:b w:val="0"/>
          <w:bCs w:val="0"/>
          <w:sz w:val="32"/>
          <w:szCs w:val="32"/>
        </w:rPr>
        <w:t>四、</w:t>
      </w:r>
      <w:r>
        <w:rPr>
          <w:rFonts w:hint="eastAsia" w:ascii="方正仿宋简体" w:hAnsi="方正仿宋简体" w:eastAsia="方正仿宋简体" w:cs="方正仿宋简体"/>
          <w:b w:val="0"/>
          <w:color w:val="000000"/>
          <w:sz w:val="32"/>
          <w:szCs w:val="32"/>
        </w:rPr>
        <w:t>财</w:t>
      </w:r>
      <w:r>
        <w:rPr>
          <w:rStyle w:val="25"/>
          <w:rFonts w:hint="eastAsia" w:ascii="方正仿宋简体" w:hAnsi="方正仿宋简体" w:eastAsia="方正仿宋简体" w:cs="方正仿宋简体"/>
          <w:b w:val="0"/>
          <w:bCs w:val="0"/>
          <w:sz w:val="32"/>
          <w:szCs w:val="32"/>
        </w:rPr>
        <w:t>政拨款收入支出决算总表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25"/>
          <w:rFonts w:hint="eastAsia" w:ascii="方正仿宋简体" w:hAnsi="方正仿宋简体" w:eastAsia="方正仿宋简体" w:cs="方正仿宋简体"/>
          <w:b w:val="0"/>
          <w:bCs w:val="0"/>
          <w:sz w:val="32"/>
          <w:szCs w:val="32"/>
        </w:rPr>
      </w:pPr>
      <w:r>
        <w:rPr>
          <w:rStyle w:val="25"/>
          <w:rFonts w:hint="eastAsia" w:ascii="方正仿宋简体" w:hAnsi="方正仿宋简体" w:eastAsia="方正仿宋简体" w:cs="方正仿宋简体"/>
          <w:b w:val="0"/>
          <w:bCs w:val="0"/>
          <w:sz w:val="32"/>
          <w:szCs w:val="32"/>
        </w:rPr>
        <w:t>五、</w:t>
      </w:r>
      <w:r>
        <w:rPr>
          <w:rFonts w:hint="eastAsia" w:ascii="方正仿宋简体" w:hAnsi="方正仿宋简体" w:eastAsia="方正仿宋简体" w:cs="方正仿宋简体"/>
          <w:b w:val="0"/>
          <w:color w:val="000000"/>
          <w:sz w:val="32"/>
          <w:szCs w:val="32"/>
        </w:rPr>
        <w:t>财</w:t>
      </w:r>
      <w:r>
        <w:rPr>
          <w:rStyle w:val="25"/>
          <w:rFonts w:hint="eastAsia" w:ascii="方正仿宋简体" w:hAnsi="方正仿宋简体" w:eastAsia="方正仿宋简体" w:cs="方正仿宋简体"/>
          <w:b w:val="0"/>
          <w:bCs w:val="0"/>
          <w:sz w:val="32"/>
          <w:szCs w:val="32"/>
        </w:rPr>
        <w:t>政拨款支出决算明细表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25"/>
          <w:rFonts w:hint="eastAsia" w:ascii="方正仿宋简体" w:hAnsi="方正仿宋简体" w:eastAsia="方正仿宋简体" w:cs="方正仿宋简体"/>
          <w:b w:val="0"/>
          <w:bCs w:val="0"/>
          <w:sz w:val="32"/>
          <w:szCs w:val="32"/>
        </w:rPr>
        <w:t>六、</w:t>
      </w:r>
      <w:r>
        <w:rPr>
          <w:rFonts w:hint="eastAsia" w:ascii="方正仿宋简体" w:hAnsi="方正仿宋简体" w:eastAsia="方正仿宋简体" w:cs="方正仿宋简体"/>
          <w:b w:val="0"/>
          <w:color w:val="000000"/>
          <w:sz w:val="32"/>
          <w:szCs w:val="32"/>
        </w:rPr>
        <w:t>一</w:t>
      </w:r>
      <w:r>
        <w:rPr>
          <w:rStyle w:val="25"/>
          <w:rFonts w:hint="eastAsia" w:ascii="方正仿宋简体" w:hAnsi="方正仿宋简体" w:eastAsia="方正仿宋简体" w:cs="方正仿宋简体"/>
          <w:b w:val="0"/>
          <w:bCs w:val="0"/>
          <w:sz w:val="32"/>
          <w:szCs w:val="32"/>
        </w:rPr>
        <w:t>般公共预算财政拨款支出决算表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25"/>
          <w:rFonts w:hint="eastAsia" w:ascii="方正仿宋简体" w:hAnsi="方正仿宋简体" w:eastAsia="方正仿宋简体" w:cs="方正仿宋简体"/>
          <w:b w:val="0"/>
          <w:bCs w:val="0"/>
          <w:sz w:val="32"/>
          <w:szCs w:val="32"/>
        </w:rPr>
        <w:t>七、</w:t>
      </w:r>
      <w:r>
        <w:rPr>
          <w:rFonts w:hint="eastAsia" w:ascii="方正仿宋简体" w:hAnsi="方正仿宋简体" w:eastAsia="方正仿宋简体" w:cs="方正仿宋简体"/>
          <w:b w:val="0"/>
          <w:color w:val="000000"/>
          <w:sz w:val="32"/>
          <w:szCs w:val="32"/>
        </w:rPr>
        <w:t>一</w:t>
      </w:r>
      <w:r>
        <w:rPr>
          <w:rStyle w:val="25"/>
          <w:rFonts w:hint="eastAsia" w:ascii="方正仿宋简体" w:hAnsi="方正仿宋简体" w:eastAsia="方正仿宋简体" w:cs="方正仿宋简体"/>
          <w:b w:val="0"/>
          <w:bCs w:val="0"/>
          <w:sz w:val="32"/>
          <w:szCs w:val="32"/>
        </w:rPr>
        <w:t>般公共预算财政拨款支出决算明细表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25"/>
          <w:rFonts w:hint="eastAsia" w:ascii="方正仿宋简体" w:hAnsi="方正仿宋简体" w:eastAsia="方正仿宋简体" w:cs="方正仿宋简体"/>
          <w:b w:val="0"/>
          <w:bCs w:val="0"/>
          <w:sz w:val="32"/>
          <w:szCs w:val="32"/>
        </w:rPr>
        <w:t>八、</w:t>
      </w:r>
      <w:r>
        <w:rPr>
          <w:rFonts w:hint="eastAsia" w:ascii="方正仿宋简体" w:hAnsi="方正仿宋简体" w:eastAsia="方正仿宋简体" w:cs="方正仿宋简体"/>
          <w:b w:val="0"/>
          <w:color w:val="000000"/>
          <w:sz w:val="32"/>
          <w:szCs w:val="32"/>
        </w:rPr>
        <w:t>一</w:t>
      </w:r>
      <w:r>
        <w:rPr>
          <w:rStyle w:val="25"/>
          <w:rFonts w:hint="eastAsia" w:ascii="方正仿宋简体" w:hAnsi="方正仿宋简体" w:eastAsia="方正仿宋简体" w:cs="方正仿宋简体"/>
          <w:b w:val="0"/>
          <w:bCs w:val="0"/>
          <w:sz w:val="32"/>
          <w:szCs w:val="32"/>
        </w:rPr>
        <w:t>般公共预算财政拨款基本支出决算表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25"/>
          <w:rFonts w:hint="eastAsia" w:ascii="方正仿宋简体" w:hAnsi="方正仿宋简体" w:eastAsia="方正仿宋简体" w:cs="方正仿宋简体"/>
          <w:b w:val="0"/>
          <w:bCs w:val="0"/>
          <w:sz w:val="32"/>
          <w:szCs w:val="32"/>
        </w:rPr>
        <w:t>九、</w:t>
      </w:r>
      <w:r>
        <w:rPr>
          <w:rFonts w:hint="eastAsia" w:ascii="方正仿宋简体" w:hAnsi="方正仿宋简体" w:eastAsia="方正仿宋简体" w:cs="方正仿宋简体"/>
          <w:b w:val="0"/>
          <w:color w:val="000000"/>
          <w:sz w:val="32"/>
          <w:szCs w:val="32"/>
        </w:rPr>
        <w:t>一</w:t>
      </w:r>
      <w:r>
        <w:rPr>
          <w:rStyle w:val="25"/>
          <w:rFonts w:hint="eastAsia" w:ascii="方正仿宋简体" w:hAnsi="方正仿宋简体" w:eastAsia="方正仿宋简体" w:cs="方正仿宋简体"/>
          <w:b w:val="0"/>
          <w:bCs w:val="0"/>
          <w:sz w:val="32"/>
          <w:szCs w:val="32"/>
        </w:rPr>
        <w:t>般公共预算财政拨款项目支出决算表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25"/>
          <w:rFonts w:hint="eastAsia" w:ascii="方正仿宋简体" w:hAnsi="方正仿宋简体" w:eastAsia="方正仿宋简体" w:cs="方正仿宋简体"/>
          <w:b w:val="0"/>
          <w:bCs w:val="0"/>
          <w:sz w:val="32"/>
          <w:szCs w:val="32"/>
        </w:rPr>
        <w:t>十、</w:t>
      </w:r>
      <w:r>
        <w:rPr>
          <w:rFonts w:hint="eastAsia" w:ascii="方正仿宋简体" w:hAnsi="方正仿宋简体" w:eastAsia="方正仿宋简体" w:cs="方正仿宋简体"/>
          <w:b w:val="0"/>
          <w:color w:val="000000"/>
          <w:sz w:val="32"/>
          <w:szCs w:val="32"/>
        </w:rPr>
        <w:t>一</w:t>
      </w:r>
      <w:r>
        <w:rPr>
          <w:rStyle w:val="25"/>
          <w:rFonts w:hint="eastAsia" w:ascii="方正仿宋简体" w:hAnsi="方正仿宋简体" w:eastAsia="方正仿宋简体" w:cs="方正仿宋简体"/>
          <w:b w:val="0"/>
          <w:bCs w:val="0"/>
          <w:sz w:val="32"/>
          <w:szCs w:val="32"/>
        </w:rPr>
        <w:t>般公共预算财政拨款“三公”经费支出决算表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25"/>
          <w:rFonts w:hint="eastAsia" w:ascii="方正仿宋简体" w:hAnsi="方正仿宋简体" w:eastAsia="方正仿宋简体" w:cs="方正仿宋简体"/>
          <w:b w:val="0"/>
          <w:bCs w:val="0"/>
          <w:sz w:val="32"/>
          <w:szCs w:val="32"/>
        </w:rPr>
        <w:t>十一、</w:t>
      </w:r>
      <w:r>
        <w:rPr>
          <w:rFonts w:hint="eastAsia" w:ascii="方正仿宋简体" w:hAnsi="方正仿宋简体" w:eastAsia="方正仿宋简体" w:cs="方正仿宋简体"/>
          <w:b w:val="0"/>
          <w:color w:val="000000"/>
          <w:sz w:val="32"/>
          <w:szCs w:val="32"/>
        </w:rPr>
        <w:t>政</w:t>
      </w:r>
      <w:r>
        <w:rPr>
          <w:rStyle w:val="25"/>
          <w:rFonts w:hint="eastAsia" w:ascii="方正仿宋简体" w:hAnsi="方正仿宋简体" w:eastAsia="方正仿宋简体" w:cs="方正仿宋简体"/>
          <w:b w:val="0"/>
          <w:bCs w:val="0"/>
          <w:sz w:val="32"/>
          <w:szCs w:val="32"/>
        </w:rPr>
        <w:t>府性基金预算财政拨款收入支出决算表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25"/>
          <w:rFonts w:hint="eastAsia" w:ascii="方正仿宋简体" w:hAnsi="方正仿宋简体" w:eastAsia="方正仿宋简体" w:cs="方正仿宋简体"/>
          <w:b w:val="0"/>
          <w:bCs w:val="0"/>
          <w:sz w:val="32"/>
          <w:szCs w:val="32"/>
        </w:rPr>
        <w:t>十二、</w:t>
      </w:r>
      <w:r>
        <w:rPr>
          <w:rFonts w:hint="eastAsia" w:ascii="方正仿宋简体" w:hAnsi="方正仿宋简体" w:eastAsia="方正仿宋简体" w:cs="方正仿宋简体"/>
          <w:b w:val="0"/>
          <w:color w:val="000000"/>
          <w:sz w:val="32"/>
          <w:szCs w:val="32"/>
        </w:rPr>
        <w:t>政</w:t>
      </w:r>
      <w:r>
        <w:rPr>
          <w:rStyle w:val="25"/>
          <w:rFonts w:hint="eastAsia" w:ascii="方正仿宋简体" w:hAnsi="方正仿宋简体" w:eastAsia="方正仿宋简体" w:cs="方正仿宋简体"/>
          <w:b w:val="0"/>
          <w:bCs w:val="0"/>
          <w:sz w:val="32"/>
          <w:szCs w:val="32"/>
        </w:rPr>
        <w:t>府性基金预算财政拨款“三公”经费支出决算表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26"/>
          <w:rFonts w:hint="eastAsia" w:ascii="方正仿宋简体" w:hAnsi="方正仿宋简体" w:eastAsia="方正仿宋简体" w:cs="方正仿宋简体"/>
          <w:b w:val="0"/>
          <w:bCs w:val="0"/>
          <w:sz w:val="32"/>
          <w:szCs w:val="32"/>
        </w:rPr>
      </w:pPr>
      <w:r>
        <w:rPr>
          <w:rStyle w:val="26"/>
          <w:rFonts w:hint="eastAsia" w:ascii="方正仿宋简体" w:hAnsi="方正仿宋简体" w:eastAsia="方正仿宋简体" w:cs="方正仿宋简体"/>
          <w:b w:val="0"/>
          <w:bCs w:val="0"/>
          <w:sz w:val="32"/>
          <w:szCs w:val="32"/>
        </w:rPr>
        <w:t>十三、</w:t>
      </w:r>
      <w:r>
        <w:rPr>
          <w:rFonts w:hint="eastAsia" w:ascii="方正仿宋简体" w:hAnsi="方正仿宋简体" w:eastAsia="方正仿宋简体" w:cs="方正仿宋简体"/>
          <w:b w:val="0"/>
          <w:color w:val="000000"/>
          <w:sz w:val="32"/>
          <w:szCs w:val="32"/>
        </w:rPr>
        <w:t>国</w:t>
      </w:r>
      <w:r>
        <w:rPr>
          <w:rStyle w:val="26"/>
          <w:rFonts w:hint="eastAsia" w:ascii="方正仿宋简体" w:hAnsi="方正仿宋简体" w:eastAsia="方正仿宋简体" w:cs="方正仿宋简体"/>
          <w:b w:val="0"/>
          <w:bCs w:val="0"/>
          <w:sz w:val="32"/>
          <w:szCs w:val="32"/>
        </w:rPr>
        <w:t>有资本经营预算财政拨款</w:t>
      </w:r>
      <w:r>
        <w:rPr>
          <w:rStyle w:val="26"/>
          <w:rFonts w:hint="eastAsia" w:ascii="方正仿宋简体" w:hAnsi="方正仿宋简体" w:eastAsia="方正仿宋简体" w:cs="方正仿宋简体"/>
          <w:b w:val="0"/>
          <w:bCs w:val="0"/>
          <w:sz w:val="32"/>
          <w:szCs w:val="32"/>
          <w:lang w:eastAsia="zh-CN"/>
        </w:rPr>
        <w:t>收入</w:t>
      </w:r>
      <w:r>
        <w:rPr>
          <w:rStyle w:val="26"/>
          <w:rFonts w:hint="eastAsia" w:ascii="方正仿宋简体" w:hAnsi="方正仿宋简体" w:eastAsia="方正仿宋简体" w:cs="方正仿宋简体"/>
          <w:b w:val="0"/>
          <w:bCs w:val="0"/>
          <w:sz w:val="32"/>
          <w:szCs w:val="32"/>
        </w:rPr>
        <w:t>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26"/>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color w:val="000000"/>
          <w:sz w:val="32"/>
          <w:szCs w:val="32"/>
          <w:lang w:eastAsia="zh-CN"/>
        </w:rPr>
        <w:t>十四、</w:t>
      </w:r>
      <w:r>
        <w:rPr>
          <w:rFonts w:hint="eastAsia" w:ascii="方正仿宋简体" w:hAnsi="方正仿宋简体" w:eastAsia="方正仿宋简体" w:cs="方正仿宋简体"/>
          <w:b w:val="0"/>
          <w:color w:val="000000"/>
          <w:sz w:val="32"/>
          <w:szCs w:val="32"/>
        </w:rPr>
        <w:t>国</w:t>
      </w:r>
      <w:r>
        <w:rPr>
          <w:rStyle w:val="26"/>
          <w:rFonts w:hint="eastAsia" w:ascii="方正仿宋简体" w:hAnsi="方正仿宋简体" w:eastAsia="方正仿宋简体" w:cs="方正仿宋简体"/>
          <w:b w:val="0"/>
          <w:bCs w:val="0"/>
          <w:sz w:val="32"/>
          <w:szCs w:val="32"/>
        </w:rPr>
        <w:t>有资本经营预算财政拨款支出决算表</w:t>
      </w:r>
    </w:p>
    <w:p>
      <w:pPr>
        <w:rPr>
          <w:rFonts w:hint="eastAsia" w:ascii="方正仿宋简体" w:hAnsi="方正仿宋简体" w:eastAsia="方正仿宋简体" w:cs="方正仿宋简体"/>
          <w:sz w:val="32"/>
          <w:szCs w:val="32"/>
        </w:rPr>
      </w:pPr>
    </w:p>
    <w:sectPr>
      <w:headerReference r:id="rId3" w:type="default"/>
      <w:footerReference r:id="rId4" w:type="default"/>
      <w:footerReference r:id="rId5" w:type="even"/>
      <w:pgSz w:w="11906" w:h="16838"/>
      <w:pgMar w:top="2098" w:right="1474" w:bottom="1985" w:left="1588" w:header="851" w:footer="141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23804"/>
      <w:docPartObj>
        <w:docPartGallery w:val="autotext"/>
      </w:docPartObj>
    </w:sdtPr>
    <w:sdtContent>
      <w:p>
        <w:pPr>
          <w:pStyle w:val="9"/>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23806"/>
      <w:docPartObj>
        <w:docPartGallery w:val="autotext"/>
      </w:docPartObj>
    </w:sdtPr>
    <w:sdtContent>
      <w:p>
        <w:pPr>
          <w:pStyle w:val="9"/>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27EC6"/>
    <w:multiLevelType w:val="singleLevel"/>
    <w:tmpl w:val="96027EC6"/>
    <w:lvl w:ilvl="0" w:tentative="0">
      <w:start w:val="4"/>
      <w:numFmt w:val="chineseCounting"/>
      <w:suff w:val="space"/>
      <w:lvlText w:val="第%1部分"/>
      <w:lvlJc w:val="left"/>
      <w:rPr>
        <w:rFonts w:hint="eastAsia"/>
      </w:rPr>
    </w:lvl>
  </w:abstractNum>
  <w:abstractNum w:abstractNumId="1">
    <w:nsid w:val="C64B5AE6"/>
    <w:multiLevelType w:val="singleLevel"/>
    <w:tmpl w:val="C64B5AE6"/>
    <w:lvl w:ilvl="0" w:tentative="0">
      <w:start w:val="1"/>
      <w:numFmt w:val="decimal"/>
      <w:lvlText w:val="%1."/>
      <w:lvlJc w:val="left"/>
      <w:pPr>
        <w:tabs>
          <w:tab w:val="left" w:pos="312"/>
        </w:tabs>
      </w:pPr>
    </w:lvl>
  </w:abstractNum>
  <w:abstractNum w:abstractNumId="2">
    <w:nsid w:val="5C1F55E4"/>
    <w:multiLevelType w:val="singleLevel"/>
    <w:tmpl w:val="5C1F55E4"/>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43B92"/>
    <w:rsid w:val="001F48AE"/>
    <w:rsid w:val="002D4A5E"/>
    <w:rsid w:val="00597336"/>
    <w:rsid w:val="008400A3"/>
    <w:rsid w:val="00902A7A"/>
    <w:rsid w:val="00E41D48"/>
    <w:rsid w:val="047B5B6A"/>
    <w:rsid w:val="04813E11"/>
    <w:rsid w:val="08E25413"/>
    <w:rsid w:val="0B5275C2"/>
    <w:rsid w:val="0CC766A5"/>
    <w:rsid w:val="126748E4"/>
    <w:rsid w:val="12936AE4"/>
    <w:rsid w:val="13DF76AC"/>
    <w:rsid w:val="151656BA"/>
    <w:rsid w:val="1B430F20"/>
    <w:rsid w:val="1C4F2322"/>
    <w:rsid w:val="232A5CA8"/>
    <w:rsid w:val="27804ADF"/>
    <w:rsid w:val="287D6800"/>
    <w:rsid w:val="289F0FDC"/>
    <w:rsid w:val="2F410AA1"/>
    <w:rsid w:val="35F97744"/>
    <w:rsid w:val="38147847"/>
    <w:rsid w:val="3DDE2942"/>
    <w:rsid w:val="3E7337FF"/>
    <w:rsid w:val="3EEE3628"/>
    <w:rsid w:val="454B5B82"/>
    <w:rsid w:val="47901471"/>
    <w:rsid w:val="4CC02E78"/>
    <w:rsid w:val="4F943B92"/>
    <w:rsid w:val="512F7B34"/>
    <w:rsid w:val="53860ED4"/>
    <w:rsid w:val="5FB930A8"/>
    <w:rsid w:val="60D505CF"/>
    <w:rsid w:val="62E41364"/>
    <w:rsid w:val="65D6174B"/>
    <w:rsid w:val="663A3968"/>
    <w:rsid w:val="6A112EA2"/>
    <w:rsid w:val="6BE50551"/>
    <w:rsid w:val="6EAA25B1"/>
    <w:rsid w:val="6EAB28E3"/>
    <w:rsid w:val="71816F2F"/>
    <w:rsid w:val="71C019BC"/>
    <w:rsid w:val="72C660B7"/>
    <w:rsid w:val="741D00C6"/>
    <w:rsid w:val="7B691F24"/>
    <w:rsid w:val="7C6E5403"/>
    <w:rsid w:val="7CC5748E"/>
    <w:rsid w:val="7CF24530"/>
    <w:rsid w:val="7D3B3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6">
    <w:name w:val="Salutation"/>
    <w:basedOn w:val="1"/>
    <w:next w:val="1"/>
    <w:qFormat/>
    <w:uiPriority w:val="0"/>
  </w:style>
  <w:style w:type="paragraph" w:styleId="7">
    <w:name w:val="Body Text"/>
    <w:basedOn w:val="1"/>
    <w:qFormat/>
    <w:uiPriority w:val="99"/>
    <w:pPr>
      <w:spacing w:beforeLines="30"/>
    </w:pPr>
    <w:rPr>
      <w:rFonts w:ascii="仿宋_GB2312" w:eastAsia="仿宋_GB2312"/>
      <w:kern w:val="0"/>
      <w:sz w:val="24"/>
      <w:szCs w:val="20"/>
    </w:r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rFonts w:cs="Times New Roman"/>
      <w:b/>
    </w:rPr>
  </w:style>
  <w:style w:type="character" w:styleId="16">
    <w:name w:val="Hyperlink"/>
    <w:basedOn w:val="14"/>
    <w:unhideWhenUsed/>
    <w:qFormat/>
    <w:uiPriority w:val="99"/>
    <w:rPr>
      <w:rFonts w:cs="Times New Roman"/>
      <w:color w:val="0000FF"/>
      <w:u w:val="single"/>
    </w:rPr>
  </w:style>
  <w:style w:type="character" w:customStyle="1" w:styleId="17">
    <w:name w:val="Char Char6"/>
    <w:basedOn w:val="14"/>
    <w:link w:val="4"/>
    <w:qFormat/>
    <w:locked/>
    <w:uiPriority w:val="9"/>
    <w:rPr>
      <w:b/>
      <w:bCs/>
      <w:kern w:val="44"/>
      <w:sz w:val="44"/>
      <w:szCs w:val="44"/>
    </w:rPr>
  </w:style>
  <w:style w:type="character" w:customStyle="1" w:styleId="18">
    <w:name w:val="标题 2 Char"/>
    <w:basedOn w:val="14"/>
    <w:link w:val="5"/>
    <w:qFormat/>
    <w:locked/>
    <w:uiPriority w:val="9"/>
    <w:rPr>
      <w:rFonts w:ascii="Cambria" w:hAnsi="Cambria"/>
      <w:b/>
      <w:bCs/>
      <w:sz w:val="32"/>
      <w:szCs w:val="32"/>
    </w:rPr>
  </w:style>
  <w:style w:type="paragraph" w:customStyle="1" w:styleId="19">
    <w:name w:val="列出段落1"/>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标题 1 Char"/>
    <w:basedOn w:val="14"/>
    <w:link w:val="4"/>
    <w:qFormat/>
    <w:uiPriority w:val="9"/>
    <w:rPr>
      <w:rFonts w:ascii="Times New Roman" w:hAnsi="Times New Roman"/>
      <w:b/>
      <w:bCs/>
      <w:kern w:val="44"/>
      <w:sz w:val="44"/>
      <w:szCs w:val="44"/>
    </w:rPr>
  </w:style>
  <w:style w:type="character" w:customStyle="1" w:styleId="22">
    <w:name w:val="批注框文本 Char"/>
    <w:basedOn w:val="14"/>
    <w:link w:val="8"/>
    <w:qFormat/>
    <w:uiPriority w:val="0"/>
    <w:rPr>
      <w:rFonts w:ascii="Times New Roman" w:hAnsi="Times New Roman" w:eastAsia="宋体" w:cs="Times New Roman"/>
      <w:kern w:val="2"/>
      <w:sz w:val="18"/>
      <w:szCs w:val="18"/>
    </w:rPr>
  </w:style>
  <w:style w:type="character" w:customStyle="1" w:styleId="23">
    <w:name w:val="页脚 Char"/>
    <w:basedOn w:val="14"/>
    <w:link w:val="9"/>
    <w:qFormat/>
    <w:uiPriority w:val="99"/>
    <w:rPr>
      <w:rFonts w:ascii="Calibri" w:hAnsi="Calibri" w:eastAsia="宋体" w:cs="Times New Roman"/>
      <w:sz w:val="18"/>
    </w:rPr>
  </w:style>
  <w:style w:type="character" w:customStyle="1" w:styleId="24">
    <w:name w:val="18"/>
    <w:basedOn w:val="14"/>
    <w:qFormat/>
    <w:uiPriority w:val="0"/>
    <w:rPr>
      <w:rFonts w:hint="default" w:ascii="Times New Roman" w:hAnsi="Times New Roman" w:cs="Times New Roman"/>
      <w:b/>
    </w:rPr>
  </w:style>
  <w:style w:type="character" w:customStyle="1" w:styleId="25">
    <w:name w:val="标题 2 Char Char"/>
    <w:basedOn w:val="14"/>
    <w:link w:val="5"/>
    <w:qFormat/>
    <w:uiPriority w:val="0"/>
    <w:rPr>
      <w:rFonts w:ascii="Cambria" w:hAnsi="Cambria" w:eastAsia="宋体" w:cs="黑体"/>
      <w:b/>
      <w:bCs/>
      <w:kern w:val="2"/>
      <w:sz w:val="32"/>
      <w:szCs w:val="32"/>
    </w:rPr>
  </w:style>
  <w:style w:type="character" w:customStyle="1" w:styleId="26">
    <w:name w:val="15"/>
    <w:basedOn w:val="14"/>
    <w:qFormat/>
    <w:uiPriority w:val="0"/>
    <w:rPr>
      <w:rFonts w:hint="default"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425"/>
          <c:y val="0.005"/>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20825"/>
          <c:y val="0.005"/>
          <c:w val="0.927925"/>
          <c:h val="0.716566666666667"/>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367.82</c:v>
                </c:pt>
                <c:pt idx="1">
                  <c:v>371.32</c:v>
                </c:pt>
              </c:numCache>
            </c:numRef>
          </c:val>
        </c:ser>
        <c:ser>
          <c:idx val="1"/>
          <c:order val="1"/>
          <c:tx>
            <c:strRef>
              <c:f>Sheet1!$A$3</c:f>
              <c:strCache>
                <c:ptCount val="1"/>
                <c:pt idx="0">
                  <c:v>支出</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355.94</c:v>
                </c:pt>
                <c:pt idx="1">
                  <c:v>372.56</c:v>
                </c:pt>
              </c:numCache>
            </c:numRef>
          </c:val>
        </c:ser>
        <c:dLbls>
          <c:showLegendKey val="0"/>
          <c:showVal val="0"/>
          <c:showCatName val="0"/>
          <c:showSerName val="0"/>
          <c:showPercent val="0"/>
          <c:showBubbleSize val="0"/>
        </c:dLbls>
        <c:gapWidth val="219"/>
        <c:overlap val="-27"/>
        <c:axId val="96705920"/>
        <c:axId val="97965568"/>
      </c:barChart>
      <c:catAx>
        <c:axId val="96705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65568"/>
        <c:crosses val="autoZero"/>
        <c:auto val="1"/>
        <c:lblAlgn val="ctr"/>
        <c:lblOffset val="100"/>
        <c:noMultiLvlLbl val="0"/>
      </c:catAx>
      <c:valAx>
        <c:axId val="97965568"/>
        <c:scaling>
          <c:orientation val="minMax"/>
          <c:max val="370"/>
          <c:min val="3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7059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Lbls>
            <c:dLbl>
              <c:idx val="0"/>
              <c:layout>
                <c:manualLayout>
                  <c:x val="0.0166658579966251"/>
                  <c:y val="-0.238814764575619"/>
                </c:manualLayout>
              </c:layout>
              <c:tx>
                <c:rich>
                  <a:bodyPr rot="0" spcFirstLastPara="0" vertOverflow="ellipsis" vert="horz" wrap="square" lIns="38100" tIns="19050" rIns="38100" bIns="19050" anchor="ctr" anchorCtr="1"/>
                  <a:lstStyle/>
                  <a:p>
                    <a:pPr defTabSz="914400">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rPr lang="en-US" altLang="zh-CN" sz="1400" b="1" u="none" strike="noStrike" cap="none" normalizeH="0">
                        <a:solidFill>
                          <a:schemeClr val="tx1">
                            <a:lumMod val="75000"/>
                            <a:lumOff val="25000"/>
                          </a:schemeClr>
                        </a:solidFill>
                        <a:uFill>
                          <a:solidFill>
                            <a:schemeClr val="tx1">
                              <a:lumMod val="75000"/>
                              <a:lumOff val="25000"/>
                            </a:schemeClr>
                          </a:solidFill>
                        </a:uFill>
                      </a:rPr>
                      <a:t>100%</a:t>
                    </a:r>
                    <a:endParaRPr lang="en-US" altLang="zh-CN" sz="1400" b="1" u="none" strike="noStrike" cap="none" normalizeH="0">
                      <a:solidFill>
                        <a:schemeClr val="tx1">
                          <a:lumMod val="75000"/>
                          <a:lumOff val="25000"/>
                        </a:schemeClr>
                      </a:solidFill>
                      <a:uFill>
                        <a:solidFill>
                          <a:schemeClr val="tx1">
                            <a:lumMod val="75000"/>
                            <a:lumOff val="25000"/>
                          </a:schemeClr>
                        </a:solidFill>
                      </a:u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31066666666667"/>
                      <c:h val="0.07022691705790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367.82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支出决算结构图</a:t>
            </a:r>
            <a:endParaRPr altLang="en-US"/>
          </a:p>
        </c:rich>
      </c:tx>
      <c:layout>
        <c:manualLayout>
          <c:xMode val="edge"/>
          <c:yMode val="edge"/>
          <c:x val="0.362890745899102"/>
          <c:y val="0.0304125903870693"/>
        </c:manualLayout>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04059766474165"/>
                  <c:y val="-0.1382071040068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sz="1400" b="1">
                        <a:solidFill>
                          <a:schemeClr val="tx1">
                            <a:lumMod val="75000"/>
                            <a:lumOff val="25000"/>
                          </a:schemeClr>
                        </a:solidFill>
                        <a:uFillTx/>
                      </a:rPr>
                      <a:t>83%</a:t>
                    </a:r>
                    <a:endParaRPr lang="en-US" altLang="zh-CN" sz="1400" b="1">
                      <a:solidFill>
                        <a:schemeClr val="tx1">
                          <a:lumMod val="75000"/>
                          <a:lumOff val="25000"/>
                        </a:schemeClr>
                      </a:solidFill>
                      <a:uFillTx/>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04898828541"/>
                      <c:h val="0.0584795321637427"/>
                    </c:manualLayout>
                  </c15:layout>
                </c:ext>
              </c:extLst>
            </c:dLbl>
            <c:dLbl>
              <c:idx val="1"/>
              <c:layout/>
              <c:tx>
                <c:rich>
                  <a:bodyPr rot="0" spcFirstLastPara="0" vertOverflow="ellipsis" vert="horz" wrap="square" lIns="38100" tIns="19050" rIns="38100" bIns="19050" anchor="ctr" anchorCtr="1"/>
                  <a:lstStyle/>
                  <a:p>
                    <a:pPr defTabSz="914400">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rPr lang="en-US" altLang="zh-CN" sz="1400" b="1" u="none" strike="noStrike" cap="none" normalizeH="0">
                        <a:solidFill>
                          <a:schemeClr val="tx1">
                            <a:lumMod val="75000"/>
                            <a:lumOff val="25000"/>
                          </a:schemeClr>
                        </a:solidFill>
                        <a:uFill>
                          <a:solidFill>
                            <a:schemeClr val="tx1">
                              <a:lumMod val="75000"/>
                              <a:lumOff val="25000"/>
                            </a:schemeClr>
                          </a:solidFill>
                        </a:uFill>
                      </a:rPr>
                      <a:t>17%</a:t>
                    </a:r>
                    <a:endParaRPr lang="en-US" altLang="zh-CN" sz="1400" b="1" u="none" strike="noStrike" cap="none" normalizeH="0">
                      <a:solidFill>
                        <a:schemeClr val="tx1">
                          <a:lumMod val="75000"/>
                          <a:lumOff val="25000"/>
                        </a:schemeClr>
                      </a:solidFill>
                      <a:uFill>
                        <a:solidFill>
                          <a:schemeClr val="tx1">
                            <a:lumMod val="75000"/>
                            <a:lumOff val="25000"/>
                          </a:schemeClr>
                        </a:solidFill>
                      </a:u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0867944621938232"/>
                      <c:h val="0.05806182121971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307.57</c:v>
                </c:pt>
                <c:pt idx="1">
                  <c:v>63.57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367.82</c:v>
                </c:pt>
                <c:pt idx="1">
                  <c:v>371.32</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335.94</c:v>
                </c:pt>
                <c:pt idx="1">
                  <c:v>372.56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455104"/>
        <c:axId val="73456640"/>
      </c:barChart>
      <c:catAx>
        <c:axId val="73455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56640"/>
        <c:crosses val="autoZero"/>
        <c:auto val="1"/>
        <c:lblAlgn val="ctr"/>
        <c:lblOffset val="100"/>
        <c:noMultiLvlLbl val="0"/>
      </c:catAx>
      <c:valAx>
        <c:axId val="7345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5510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c:f>
              <c:strCache>
                <c:ptCount val="1"/>
                <c:pt idx="0">
                  <c:v>支出</c:v>
                </c:pt>
              </c:strCache>
            </c:strRef>
          </c:cat>
          <c:val>
            <c:numRef>
              <c:f>Sheet1!$B$2</c:f>
              <c:numCache>
                <c:formatCode>General</c:formatCode>
                <c:ptCount val="1"/>
                <c:pt idx="0">
                  <c:v>372.56</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c:f>
              <c:strCache>
                <c:ptCount val="1"/>
                <c:pt idx="0">
                  <c:v>支出</c:v>
                </c:pt>
              </c:strCache>
            </c:strRef>
          </c:cat>
          <c:val>
            <c:numRef>
              <c:f>Sheet1!$C$2</c:f>
              <c:numCache>
                <c:formatCode>General</c:formatCode>
                <c:ptCount val="1"/>
                <c:pt idx="0">
                  <c:v>371.32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7092736"/>
        <c:axId val="97094272"/>
      </c:barChart>
      <c:catAx>
        <c:axId val="970927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94272"/>
        <c:crosses val="autoZero"/>
        <c:auto val="1"/>
        <c:lblAlgn val="ctr"/>
        <c:lblOffset val="100"/>
        <c:noMultiLvlLbl val="0"/>
      </c:catAx>
      <c:valAx>
        <c:axId val="97094272"/>
        <c:scaling>
          <c:orientation val="minMax"/>
          <c:min val="3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9273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230349019640838"/>
                  <c:y val="0.1385807641950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sz="1400" b="1"/>
                      <a:t>6%</a:t>
                    </a:r>
                    <a:endParaRPr lang="en-US" altLang="zh-CN" sz="1400" b="1"/>
                  </a:p>
                </c:rich>
              </c:tx>
              <c:dLblPos val="bestFit"/>
              <c:showLegendKey val="0"/>
              <c:showVal val="1"/>
              <c:showCatName val="0"/>
              <c:showSerName val="0"/>
              <c:showPercent val="0"/>
              <c:showBubbleSize val="0"/>
              <c:extLst>
                <c:ext xmlns:c15="http://schemas.microsoft.com/office/drawing/2012/chart" uri="{CE6537A1-D6FC-4f65-9D91-7224C49458BB}">
                  <c15:layout>
                    <c:manualLayout>
                      <c:w val="0.1225"/>
                      <c:h val="0.0541666666666667"/>
                    </c:manualLayout>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sz="1500" b="1"/>
                      <a:t>90%</a:t>
                    </a:r>
                    <a:endParaRPr lang="en-US" altLang="zh-CN" sz="1500" b="1"/>
                  </a:p>
                </c:rich>
              </c:tx>
              <c:dLblPos val="bestFit"/>
              <c:showLegendKey val="0"/>
              <c:showVal val="1"/>
              <c:showCatName val="0"/>
              <c:showSerName val="0"/>
              <c:showPercent val="0"/>
              <c:showBubbleSize val="0"/>
              <c:extLst>
                <c:ext xmlns:c15="http://schemas.microsoft.com/office/drawing/2012/chart" uri="{CE6537A1-D6FC-4f65-9D91-7224C49458BB}">
                  <c15:layout>
                    <c:manualLayout>
                      <c:w val="0.128125"/>
                      <c:h val="0.0628333333333333"/>
                    </c:manualLayout>
                  </c15:layout>
                </c:ext>
              </c:extLst>
            </c:dLbl>
            <c:dLbl>
              <c:idx val="2"/>
              <c:layout>
                <c:manualLayout>
                  <c:x val="0.0131521340924445"/>
                  <c:y val="0.0619037289528792"/>
                </c:manualLayout>
              </c:layout>
              <c:tx>
                <c:rich>
                  <a:bodyPr rot="0" spcFirstLastPara="0" vertOverflow="ellipsis" vert="horz" wrap="square" lIns="38100" tIns="19050" rIns="38100" bIns="19050" anchor="ctr" anchorCtr="1"/>
                  <a:lstStyle/>
                  <a:p>
                    <a:pPr defTabSz="914400">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rPr lang="en-US" altLang="zh-CN" sz="1400" b="1" u="none" strike="noStrike" cap="none" normalizeH="0">
                        <a:solidFill>
                          <a:schemeClr val="tx1">
                            <a:lumMod val="75000"/>
                            <a:lumOff val="25000"/>
                          </a:schemeClr>
                        </a:solidFill>
                        <a:uFill>
                          <a:solidFill>
                            <a:schemeClr val="tx1">
                              <a:lumMod val="75000"/>
                              <a:lumOff val="25000"/>
                            </a:schemeClr>
                          </a:solidFill>
                        </a:uFill>
                      </a:rPr>
                      <a:t>4%</a:t>
                    </a:r>
                    <a:endParaRPr lang="en-US" altLang="zh-CN" sz="1400" b="1" u="none" strike="noStrike" cap="none" normalizeH="0">
                      <a:solidFill>
                        <a:schemeClr val="tx1">
                          <a:lumMod val="75000"/>
                          <a:lumOff val="25000"/>
                        </a:schemeClr>
                      </a:solidFill>
                      <a:uFill>
                        <a:solidFill>
                          <a:schemeClr val="tx1">
                            <a:lumMod val="75000"/>
                            <a:lumOff val="25000"/>
                          </a:schemeClr>
                        </a:solidFill>
                      </a:u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23125"/>
                      <c:h val="0.04666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c:v>
                </c:pt>
                <c:pt idx="1">
                  <c:v>卫生健康支出</c:v>
                </c:pt>
                <c:pt idx="2">
                  <c:v>住房保障支出</c:v>
                </c:pt>
              </c:strCache>
            </c:strRef>
          </c:cat>
          <c:val>
            <c:numRef>
              <c:f>Sheet1!$B$2:$B$4</c:f>
              <c:numCache>
                <c:formatCode>General</c:formatCode>
                <c:ptCount val="3"/>
                <c:pt idx="0">
                  <c:v>23.54</c:v>
                </c:pt>
                <c:pt idx="1">
                  <c:v>331.65</c:v>
                </c:pt>
                <c:pt idx="2">
                  <c:v>16.14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385"/>
          <c:y val="0.9245"/>
          <c:w val="0.589875"/>
          <c:h val="0.055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Lbls>
            <c:dLbl>
              <c:idx val="0"/>
              <c:layout>
                <c:manualLayout>
                  <c:x val="-0.00521465537389894"/>
                  <c:y val="-0.173218013883716"/>
                </c:manualLayout>
              </c:layout>
              <c:tx>
                <c:rich>
                  <a:bodyPr rot="0" spcFirstLastPara="0" vertOverflow="ellipsis" vert="horz" wrap="square" lIns="38100" tIns="19050" rIns="38100" bIns="19050" anchor="ctr" anchorCtr="1"/>
                  <a:lstStyle/>
                  <a:p>
                    <a:pPr defTabSz="914400">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rPr lang="en-US" altLang="zh-CN" sz="1400" b="1" u="none" strike="noStrike" cap="none" normalizeH="0">
                        <a:solidFill>
                          <a:schemeClr val="tx1">
                            <a:lumMod val="75000"/>
                            <a:lumOff val="25000"/>
                          </a:schemeClr>
                        </a:solidFill>
                        <a:uFill>
                          <a:solidFill>
                            <a:schemeClr val="tx1">
                              <a:lumMod val="75000"/>
                              <a:lumOff val="25000"/>
                            </a:schemeClr>
                          </a:solidFill>
                        </a:uFill>
                      </a:rPr>
                      <a:t>100%</a:t>
                    </a:r>
                    <a:endParaRPr lang="en-US" altLang="zh-CN" sz="1400" b="1" u="none" strike="noStrike" cap="none" normalizeH="0">
                      <a:solidFill>
                        <a:schemeClr val="tx1">
                          <a:lumMod val="75000"/>
                          <a:lumOff val="25000"/>
                        </a:schemeClr>
                      </a:solidFill>
                      <a:uFill>
                        <a:solidFill>
                          <a:schemeClr val="tx1">
                            <a:lumMod val="75000"/>
                            <a:lumOff val="25000"/>
                          </a:schemeClr>
                        </a:solidFill>
                      </a:u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19374313940724"/>
                      <c:h val="0.06303030303030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c:v>
                </c:pt>
              </c:strCache>
            </c:strRef>
          </c:cat>
          <c:val>
            <c:numRef>
              <c:f>Sheet1!$B$2</c:f>
              <c:numCache>
                <c:formatCode>General</c:formatCode>
                <c:ptCount val="1"/>
                <c:pt idx="0">
                  <c:v>0.09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10305</Words>
  <Characters>1128</Characters>
  <Lines>9</Lines>
  <Paragraphs>22</Paragraphs>
  <TotalTime>46</TotalTime>
  <ScaleCrop>false</ScaleCrop>
  <LinksUpToDate>false</LinksUpToDate>
  <CharactersWithSpaces>11411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2021-09-23T08:18:00Z</dcterms:created>
  <dc:creator>Administrator</dc:creator>
  <cp:lastModifiedBy>伍哥</cp:lastModifiedBy>
  <dcterms:modified xsi:type="dcterms:W3CDTF">2021-10-15T03:53:52Z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A527AFF96AB6441091B5D30077516D69</vt:lpwstr>
  </property>
  <property fmtid="{D5CDD505-2E9C-101B-9397-08002B2CF9AE}" pid="4" name="KSOSaveFontToCloudKey">
    <vt:lpwstr>659783407_cloud</vt:lpwstr>
  </property>
</Properties>
</file>