
<file path=[Content_Types].xml><?xml version="1.0" encoding="utf-8"?>
<Types xmlns="http://schemas.openxmlformats.org/package/2006/content-types">
  <Default Extension="xml" ContentType="application/xml"/>
  <Default Extension="wmf" ContentType="image/x-wmf"/>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0" w:name="_Toc15396475"/>
      <w:bookmarkStart w:id="1" w:name="_Toc15377193"/>
      <w:bookmarkStart w:id="2" w:name="_Toc15396597"/>
      <w:bookmarkStart w:id="3" w:name="_Toc15378441"/>
      <w:bookmarkStart w:id="4" w:name="_Toc15377425"/>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2023年度</w:t>
      </w:r>
      <w:bookmarkEnd w:id="0"/>
      <w:bookmarkEnd w:id="1"/>
      <w:bookmarkEnd w:id="2"/>
      <w:bookmarkEnd w:id="3"/>
      <w:bookmarkEnd w:id="4"/>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5" w:name="_Toc15377426"/>
      <w:bookmarkStart w:id="6" w:name="_Toc15377194"/>
      <w:bookmarkStart w:id="7" w:name="_Toc15396476"/>
      <w:bookmarkStart w:id="8" w:name="_Toc15396598"/>
      <w:bookmarkStart w:id="9" w:name="_Toc15378442"/>
      <w:r>
        <w:rPr>
          <w:rFonts w:hint="eastAsia" w:ascii="方正小标宋简体" w:hAnsi="方正小标宋简体" w:eastAsia="方正小标宋简体" w:cs="方正小标宋简体"/>
          <w:sz w:val="72"/>
          <w:szCs w:val="72"/>
        </w:rPr>
        <w:t>四川省</w:t>
      </w:r>
      <w:bookmarkStart w:id="10" w:name="_Toc15306268"/>
      <w:r>
        <w:rPr>
          <w:rFonts w:hint="eastAsia" w:ascii="方正小标宋简体" w:hAnsi="方正小标宋简体" w:eastAsia="方正小标宋简体" w:cs="方正小标宋简体"/>
          <w:sz w:val="72"/>
          <w:szCs w:val="72"/>
        </w:rPr>
        <w:t>广元市利州区三堆镇卫生院</w:t>
      </w:r>
      <w:r>
        <w:rPr>
          <w:rFonts w:hint="eastAsia" w:ascii="方正小标宋简体" w:hAnsi="方正小标宋简体" w:eastAsia="方正小标宋简体" w:cs="方正小标宋简体"/>
          <w:sz w:val="72"/>
          <w:szCs w:val="72"/>
          <w:lang w:eastAsia="zh-CN"/>
        </w:rPr>
        <w:t>单位</w:t>
      </w:r>
      <w:r>
        <w:rPr>
          <w:rFonts w:hint="eastAsia" w:ascii="方正小标宋简体" w:hAnsi="方正小标宋简体" w:eastAsia="方正小标宋简体" w:cs="方正小标宋简体"/>
          <w:sz w:val="72"/>
          <w:szCs w:val="72"/>
        </w:rPr>
        <w:t>决算</w:t>
      </w:r>
      <w:bookmarkEnd w:id="5"/>
      <w:bookmarkEnd w:id="6"/>
      <w:bookmarkEnd w:id="7"/>
      <w:bookmarkEnd w:id="8"/>
      <w:bookmarkEnd w:id="9"/>
      <w:bookmarkEnd w:id="10"/>
    </w:p>
    <w:p>
      <w:pPr>
        <w:widowControl/>
        <w:jc w:val="center"/>
        <w:rPr>
          <w:rFonts w:ascii="黑体" w:hAnsi="黑体" w:eastAsia="黑体"/>
          <w:sz w:val="44"/>
          <w:szCs w:val="44"/>
        </w:rPr>
      </w:pPr>
      <w:r>
        <w:rPr>
          <w:rFonts w:ascii="方正小标宋简体" w:hAnsi="宋体" w:eastAsia="方正小标宋简体"/>
          <w:sz w:val="36"/>
          <w:szCs w:val="36"/>
        </w:rPr>
        <w:br w:type="page"/>
      </w:r>
      <w:r>
        <w:rPr>
          <w:rFonts w:hint="eastAsia" w:ascii="黑体" w:hAnsi="黑体" w:eastAsia="黑体"/>
          <w:sz w:val="44"/>
          <w:szCs w:val="44"/>
        </w:rPr>
        <w:t>目    录</w:t>
      </w:r>
    </w:p>
    <w:p>
      <w:pPr>
        <w:widowControl/>
        <w:jc w:val="center"/>
        <w:rPr>
          <w:rFonts w:ascii="黑体" w:hAnsi="黑体" w:eastAsia="黑体" w:cstheme="minorBidi"/>
          <w:sz w:val="28"/>
          <w:szCs w:val="28"/>
        </w:rPr>
      </w:pPr>
    </w:p>
    <w:p>
      <w:pPr>
        <w:pStyle w:val="10"/>
      </w:pPr>
      <w:r>
        <w:rPr>
          <w:rFonts w:hint="eastAsia"/>
        </w:rPr>
        <w:t>公开时间：2024年9月</w:t>
      </w:r>
      <w:r>
        <w:rPr>
          <w:rFonts w:hint="eastAsia"/>
          <w:lang w:val="en-US" w:eastAsia="zh-CN"/>
        </w:rPr>
        <w:t>29</w:t>
      </w:r>
      <w:bookmarkStart w:id="30" w:name="_GoBack"/>
      <w:bookmarkEnd w:id="30"/>
      <w:r>
        <w:rPr>
          <w:rFonts w:hint="eastAsia"/>
        </w:rPr>
        <w:t>日</w:t>
      </w:r>
    </w:p>
    <w:p/>
    <w:p>
      <w:pPr>
        <w:pStyle w:val="10"/>
        <w:adjustRightInd w:val="0"/>
        <w:snapToGrid w:val="0"/>
        <w:spacing w:before="0" w:line="440" w:lineRule="exact"/>
        <w:jc w:val="left"/>
        <w:rPr>
          <w:rFonts w:ascii="黑体" w:hAnsi="黑体" w:eastAsia="黑体" w:cstheme="minorBidi"/>
          <w:sz w:val="24"/>
          <w:szCs w:val="24"/>
        </w:rPr>
      </w:pPr>
      <w:r>
        <w:rPr>
          <w:rFonts w:hint="eastAsia" w:ascii="黑体" w:hAnsi="黑体" w:eastAsia="黑体"/>
          <w:sz w:val="24"/>
        </w:rPr>
        <w:t>第一部分</w:t>
      </w:r>
      <w:r>
        <w:rPr>
          <w:rFonts w:ascii="黑体" w:hAnsi="黑体" w:eastAsia="黑体"/>
          <w:sz w:val="24"/>
        </w:rPr>
        <w:t xml:space="preserve"> </w:t>
      </w:r>
      <w:r>
        <w:rPr>
          <w:rFonts w:hint="eastAsia" w:ascii="黑体" w:hAnsi="黑体" w:eastAsia="黑体"/>
          <w:sz w:val="24"/>
        </w:rPr>
        <w:t>单位概况…………………………………………………………………1</w:t>
      </w:r>
    </w:p>
    <w:p>
      <w:pPr>
        <w:pStyle w:val="13"/>
        <w:adjustRightInd w:val="0"/>
        <w:snapToGrid w:val="0"/>
        <w:spacing w:line="440" w:lineRule="exact"/>
        <w:jc w:val="left"/>
        <w:rPr>
          <w:sz w:val="24"/>
        </w:rPr>
      </w:pPr>
      <w:r>
        <w:rPr>
          <w:rFonts w:hint="eastAsia"/>
          <w:sz w:val="24"/>
        </w:rPr>
        <w:t>一、主要职责</w:t>
      </w:r>
      <w:r>
        <w:rPr>
          <w:rFonts w:hint="eastAsia" w:ascii="黑体" w:hAnsi="黑体" w:eastAsia="黑体"/>
          <w:sz w:val="24"/>
        </w:rPr>
        <w:t>……………………………………………………………………1</w:t>
      </w:r>
    </w:p>
    <w:p>
      <w:pPr>
        <w:pStyle w:val="13"/>
        <w:adjustRightInd w:val="0"/>
        <w:snapToGrid w:val="0"/>
        <w:spacing w:line="440" w:lineRule="exact"/>
        <w:jc w:val="left"/>
      </w:pPr>
      <w:r>
        <w:rPr>
          <w:rFonts w:hint="eastAsia"/>
          <w:sz w:val="24"/>
        </w:rPr>
        <w:t>二、机构设置</w:t>
      </w:r>
      <w:r>
        <w:rPr>
          <w:rFonts w:hint="eastAsia" w:ascii="黑体" w:hAnsi="黑体" w:eastAsia="黑体"/>
          <w:sz w:val="24"/>
        </w:rPr>
        <w:t>……………………………………………………………………1</w:t>
      </w:r>
    </w:p>
    <w:p>
      <w:pPr>
        <w:pStyle w:val="10"/>
        <w:adjustRightInd w:val="0"/>
        <w:snapToGrid w:val="0"/>
        <w:spacing w:before="0" w:line="440" w:lineRule="exact"/>
        <w:jc w:val="left"/>
        <w:rPr>
          <w:rFonts w:ascii="黑体" w:hAnsi="黑体" w:eastAsia="黑体"/>
          <w:sz w:val="24"/>
        </w:rPr>
      </w:pPr>
      <w:r>
        <w:rPr>
          <w:rFonts w:hint="eastAsia" w:ascii="黑体" w:hAnsi="黑体" w:eastAsia="黑体"/>
          <w:sz w:val="24"/>
        </w:rPr>
        <w:t>第二部分 2023年度单位决算情况说明……………………………………………2</w:t>
      </w:r>
    </w:p>
    <w:p>
      <w:pPr>
        <w:pStyle w:val="13"/>
        <w:adjustRightInd w:val="0"/>
        <w:snapToGrid w:val="0"/>
        <w:spacing w:line="440" w:lineRule="exact"/>
        <w:jc w:val="left"/>
        <w:rPr>
          <w:rFonts w:hint="eastAsia" w:ascii="仿宋" w:hAnsi="仿宋" w:cstheme="minorBidi"/>
          <w:sz w:val="24"/>
        </w:rPr>
      </w:pPr>
      <w:r>
        <w:rPr>
          <w:rFonts w:hint="eastAsia"/>
          <w:sz w:val="24"/>
        </w:rPr>
        <w:t>一、收入支出决算总体情况说明</w:t>
      </w:r>
      <w:r>
        <w:rPr>
          <w:rFonts w:hint="eastAsia" w:ascii="黑体" w:hAnsi="黑体" w:eastAsia="黑体"/>
          <w:sz w:val="24"/>
        </w:rPr>
        <w:t>………………………………………………2</w:t>
      </w:r>
    </w:p>
    <w:p>
      <w:pPr>
        <w:pStyle w:val="13"/>
        <w:adjustRightInd w:val="0"/>
        <w:snapToGrid w:val="0"/>
        <w:spacing w:line="440" w:lineRule="exact"/>
        <w:jc w:val="left"/>
        <w:rPr>
          <w:rFonts w:hint="eastAsia" w:ascii="仿宋" w:hAnsi="仿宋" w:cstheme="minorBidi"/>
          <w:sz w:val="24"/>
        </w:rPr>
      </w:pPr>
      <w:r>
        <w:rPr>
          <w:rFonts w:hint="eastAsia"/>
          <w:sz w:val="24"/>
        </w:rPr>
        <w:t>二、收入决算情况说明</w:t>
      </w:r>
      <w:r>
        <w:rPr>
          <w:rFonts w:hint="eastAsia" w:ascii="黑体" w:hAnsi="黑体" w:eastAsia="黑体"/>
          <w:sz w:val="24"/>
        </w:rPr>
        <w:t>…………………………………………………………2</w:t>
      </w:r>
    </w:p>
    <w:p>
      <w:pPr>
        <w:pStyle w:val="13"/>
        <w:adjustRightInd w:val="0"/>
        <w:snapToGrid w:val="0"/>
        <w:spacing w:line="440" w:lineRule="exact"/>
        <w:jc w:val="left"/>
        <w:rPr>
          <w:rFonts w:hint="eastAsia" w:ascii="仿宋" w:hAnsi="仿宋" w:cstheme="minorBidi"/>
          <w:sz w:val="24"/>
        </w:rPr>
      </w:pPr>
      <w:r>
        <w:rPr>
          <w:rFonts w:hint="eastAsia"/>
          <w:sz w:val="24"/>
        </w:rPr>
        <w:t>三、支出决算情况说明</w:t>
      </w:r>
      <w:r>
        <w:rPr>
          <w:rFonts w:hint="eastAsia" w:ascii="黑体" w:hAnsi="黑体" w:eastAsia="黑体"/>
          <w:sz w:val="24"/>
        </w:rPr>
        <w:t>…………………………………………………………3</w:t>
      </w:r>
    </w:p>
    <w:p>
      <w:pPr>
        <w:pStyle w:val="13"/>
        <w:adjustRightInd w:val="0"/>
        <w:snapToGrid w:val="0"/>
        <w:spacing w:line="440" w:lineRule="exact"/>
        <w:jc w:val="left"/>
        <w:rPr>
          <w:rFonts w:hint="eastAsia" w:ascii="仿宋" w:hAnsi="仿宋" w:cstheme="minorBidi"/>
          <w:sz w:val="24"/>
        </w:rPr>
      </w:pPr>
      <w:r>
        <w:rPr>
          <w:rFonts w:hint="eastAsia"/>
          <w:sz w:val="24"/>
        </w:rPr>
        <w:t>四、财政拨款收入支出决算总体情况说明</w:t>
      </w:r>
      <w:r>
        <w:rPr>
          <w:rFonts w:hint="eastAsia" w:ascii="黑体" w:hAnsi="黑体" w:eastAsia="黑体"/>
          <w:sz w:val="24"/>
        </w:rPr>
        <w:t>……………………………………3</w:t>
      </w:r>
    </w:p>
    <w:p>
      <w:pPr>
        <w:pStyle w:val="13"/>
        <w:adjustRightInd w:val="0"/>
        <w:snapToGrid w:val="0"/>
        <w:spacing w:line="440" w:lineRule="exact"/>
        <w:jc w:val="left"/>
        <w:rPr>
          <w:rFonts w:hint="eastAsia" w:ascii="仿宋" w:hAnsi="仿宋" w:cstheme="minorBidi"/>
          <w:sz w:val="24"/>
        </w:rPr>
      </w:pPr>
      <w:r>
        <w:rPr>
          <w:rFonts w:hint="eastAsia"/>
          <w:sz w:val="24"/>
        </w:rPr>
        <w:t>五、一般公共预算财政拨款支出决算情况说明</w:t>
      </w:r>
      <w:r>
        <w:rPr>
          <w:rFonts w:hint="eastAsia" w:ascii="黑体" w:hAnsi="黑体" w:eastAsia="黑体"/>
          <w:sz w:val="24"/>
        </w:rPr>
        <w:t>………………………………4</w:t>
      </w:r>
    </w:p>
    <w:p>
      <w:pPr>
        <w:pStyle w:val="13"/>
        <w:adjustRightInd w:val="0"/>
        <w:snapToGrid w:val="0"/>
        <w:spacing w:line="440" w:lineRule="exact"/>
        <w:jc w:val="left"/>
        <w:rPr>
          <w:rFonts w:hint="eastAsia" w:ascii="仿宋" w:hAnsi="仿宋" w:cstheme="minorBidi"/>
          <w:sz w:val="24"/>
        </w:rPr>
      </w:pPr>
      <w:r>
        <w:rPr>
          <w:rFonts w:hint="eastAsia"/>
          <w:sz w:val="24"/>
        </w:rPr>
        <w:t>六、一般公共预算财政拨款基本支出决算情况说明</w:t>
      </w:r>
      <w:r>
        <w:rPr>
          <w:rFonts w:hint="eastAsia" w:ascii="黑体" w:hAnsi="黑体" w:eastAsia="黑体"/>
          <w:sz w:val="24"/>
        </w:rPr>
        <w:t>…………………………6</w:t>
      </w:r>
    </w:p>
    <w:p>
      <w:pPr>
        <w:pStyle w:val="13"/>
        <w:adjustRightInd w:val="0"/>
        <w:snapToGrid w:val="0"/>
        <w:spacing w:line="440" w:lineRule="exact"/>
        <w:jc w:val="left"/>
        <w:rPr>
          <w:rFonts w:hint="eastAsia" w:ascii="仿宋" w:hAnsi="仿宋" w:cstheme="minorBidi"/>
          <w:sz w:val="24"/>
        </w:rPr>
      </w:pPr>
      <w:r>
        <w:rPr>
          <w:rFonts w:hint="eastAsia"/>
          <w:sz w:val="24"/>
        </w:rPr>
        <w:t>七、财政拨款“三公”经费支出决算情况说明</w:t>
      </w:r>
      <w:r>
        <w:rPr>
          <w:rFonts w:hint="eastAsia" w:ascii="黑体" w:hAnsi="黑体" w:eastAsia="黑体"/>
          <w:sz w:val="24"/>
        </w:rPr>
        <w:t>………………………………7</w:t>
      </w:r>
    </w:p>
    <w:p>
      <w:pPr>
        <w:pStyle w:val="13"/>
        <w:adjustRightInd w:val="0"/>
        <w:snapToGrid w:val="0"/>
        <w:spacing w:line="440" w:lineRule="exact"/>
        <w:jc w:val="left"/>
        <w:rPr>
          <w:rFonts w:hint="eastAsia" w:ascii="仿宋" w:hAnsi="仿宋" w:cstheme="minorBidi"/>
          <w:sz w:val="24"/>
        </w:rPr>
      </w:pPr>
      <w:r>
        <w:rPr>
          <w:rFonts w:hint="eastAsia"/>
          <w:sz w:val="24"/>
        </w:rPr>
        <w:t>八、政府性基金预算支出决算情况说明</w:t>
      </w:r>
      <w:r>
        <w:rPr>
          <w:rFonts w:hint="eastAsia" w:ascii="黑体" w:hAnsi="黑体" w:eastAsia="黑体"/>
          <w:sz w:val="24"/>
        </w:rPr>
        <w:t>………………………………………8</w:t>
      </w:r>
    </w:p>
    <w:p>
      <w:pPr>
        <w:pStyle w:val="13"/>
        <w:adjustRightInd w:val="0"/>
        <w:snapToGrid w:val="0"/>
        <w:spacing w:line="440" w:lineRule="exact"/>
        <w:jc w:val="left"/>
        <w:rPr>
          <w:sz w:val="24"/>
        </w:rPr>
      </w:pPr>
      <w:r>
        <w:rPr>
          <w:rFonts w:hint="eastAsia"/>
          <w:sz w:val="24"/>
        </w:rPr>
        <w:t>九、国有资本经营预算支出决算情况说明</w:t>
      </w:r>
      <w:r>
        <w:rPr>
          <w:rFonts w:hint="eastAsia" w:ascii="黑体" w:hAnsi="黑体" w:eastAsia="黑体"/>
          <w:sz w:val="24"/>
        </w:rPr>
        <w:t>……………………………………8</w:t>
      </w:r>
    </w:p>
    <w:p>
      <w:pPr>
        <w:pStyle w:val="13"/>
        <w:adjustRightInd w:val="0"/>
        <w:snapToGrid w:val="0"/>
        <w:spacing w:line="440" w:lineRule="exact"/>
        <w:jc w:val="left"/>
        <w:rPr>
          <w:sz w:val="24"/>
        </w:rPr>
      </w:pPr>
      <w:r>
        <w:rPr>
          <w:rFonts w:hint="eastAsia"/>
          <w:sz w:val="24"/>
        </w:rPr>
        <w:t>十、其他重要事项的情况说明</w:t>
      </w:r>
      <w:r>
        <w:rPr>
          <w:rFonts w:hint="eastAsia" w:ascii="黑体" w:hAnsi="黑体" w:eastAsia="黑体"/>
          <w:sz w:val="24"/>
        </w:rPr>
        <w:t>…………………………………………………8</w:t>
      </w:r>
    </w:p>
    <w:p>
      <w:pPr>
        <w:pStyle w:val="10"/>
        <w:adjustRightInd w:val="0"/>
        <w:snapToGrid w:val="0"/>
        <w:spacing w:before="0" w:line="440" w:lineRule="exact"/>
        <w:jc w:val="left"/>
        <w:rPr>
          <w:rFonts w:cstheme="minorBidi"/>
          <w:sz w:val="24"/>
          <w:szCs w:val="24"/>
        </w:rPr>
      </w:pPr>
      <w:r>
        <w:rPr>
          <w:rFonts w:hint="eastAsia" w:ascii="黑体" w:hAnsi="黑体" w:eastAsia="黑体"/>
          <w:sz w:val="24"/>
        </w:rPr>
        <w:t>第三部分</w:t>
      </w:r>
      <w:r>
        <w:rPr>
          <w:rFonts w:ascii="黑体" w:hAnsi="黑体" w:eastAsia="黑体"/>
          <w:sz w:val="24"/>
        </w:rPr>
        <w:t xml:space="preserve"> </w:t>
      </w:r>
      <w:r>
        <w:rPr>
          <w:rFonts w:hint="eastAsia" w:ascii="黑体" w:hAnsi="黑体" w:eastAsia="黑体"/>
          <w:sz w:val="24"/>
        </w:rPr>
        <w:t>名词解释…………………………………………………………………10</w:t>
      </w:r>
    </w:p>
    <w:p>
      <w:pPr>
        <w:pStyle w:val="10"/>
        <w:adjustRightInd w:val="0"/>
        <w:snapToGrid w:val="0"/>
        <w:spacing w:before="0" w:line="440" w:lineRule="exact"/>
        <w:jc w:val="left"/>
        <w:rPr>
          <w:rFonts w:cstheme="minorBidi"/>
          <w:sz w:val="24"/>
          <w:szCs w:val="24"/>
        </w:rPr>
      </w:pPr>
      <w:r>
        <w:rPr>
          <w:rFonts w:hint="eastAsia" w:ascii="黑体" w:hAnsi="黑体" w:eastAsia="黑体"/>
          <w:sz w:val="24"/>
        </w:rPr>
        <w:t>第四部分</w:t>
      </w:r>
      <w:r>
        <w:rPr>
          <w:rFonts w:ascii="黑体" w:hAnsi="黑体" w:eastAsia="黑体"/>
          <w:sz w:val="24"/>
        </w:rPr>
        <w:t xml:space="preserve"> </w:t>
      </w:r>
      <w:r>
        <w:rPr>
          <w:rFonts w:hint="eastAsia" w:ascii="黑体" w:hAnsi="黑体" w:eastAsia="黑体"/>
          <w:sz w:val="24"/>
        </w:rPr>
        <w:t>附件………………………………………………………………………12</w:t>
      </w:r>
    </w:p>
    <w:p>
      <w:pPr>
        <w:pStyle w:val="10"/>
        <w:adjustRightInd w:val="0"/>
        <w:snapToGrid w:val="0"/>
        <w:spacing w:before="0" w:line="440" w:lineRule="exact"/>
        <w:jc w:val="left"/>
        <w:rPr>
          <w:rFonts w:cstheme="minorBidi"/>
          <w:sz w:val="24"/>
          <w:szCs w:val="24"/>
        </w:rPr>
      </w:pPr>
      <w:r>
        <w:rPr>
          <w:rFonts w:hint="eastAsia" w:ascii="黑体" w:hAnsi="黑体" w:eastAsia="黑体"/>
          <w:sz w:val="24"/>
        </w:rPr>
        <w:t>第五部分</w:t>
      </w:r>
      <w:r>
        <w:rPr>
          <w:rFonts w:ascii="黑体" w:hAnsi="黑体" w:eastAsia="黑体"/>
          <w:sz w:val="24"/>
        </w:rPr>
        <w:t xml:space="preserve"> </w:t>
      </w:r>
      <w:r>
        <w:rPr>
          <w:rFonts w:hint="eastAsia" w:ascii="黑体" w:hAnsi="黑体" w:eastAsia="黑体"/>
          <w:sz w:val="24"/>
        </w:rPr>
        <w:t>附表………………………………………………………………………23</w:t>
      </w:r>
    </w:p>
    <w:p>
      <w:pPr>
        <w:pStyle w:val="13"/>
        <w:adjustRightInd w:val="0"/>
        <w:snapToGrid w:val="0"/>
        <w:spacing w:line="440" w:lineRule="exact"/>
        <w:jc w:val="left"/>
        <w:rPr>
          <w:sz w:val="24"/>
        </w:rPr>
      </w:pPr>
      <w:r>
        <w:rPr>
          <w:rFonts w:hint="eastAsia"/>
          <w:sz w:val="24"/>
        </w:rPr>
        <w:t>一、收入支出决算总表</w:t>
      </w:r>
      <w:r>
        <w:rPr>
          <w:rFonts w:hint="eastAsia" w:ascii="黑体" w:hAnsi="黑体" w:eastAsia="黑体"/>
          <w:sz w:val="24"/>
        </w:rPr>
        <w:t>…………………………………………………………23</w:t>
      </w:r>
    </w:p>
    <w:p>
      <w:pPr>
        <w:pStyle w:val="13"/>
        <w:adjustRightInd w:val="0"/>
        <w:snapToGrid w:val="0"/>
        <w:spacing w:line="440" w:lineRule="exact"/>
        <w:jc w:val="left"/>
        <w:rPr>
          <w:sz w:val="24"/>
        </w:rPr>
      </w:pPr>
      <w:r>
        <w:rPr>
          <w:rFonts w:hint="eastAsia"/>
          <w:sz w:val="24"/>
        </w:rPr>
        <w:t>二、收入决算表</w:t>
      </w:r>
      <w:r>
        <w:rPr>
          <w:rFonts w:hint="eastAsia" w:ascii="黑体" w:hAnsi="黑体" w:eastAsia="黑体"/>
          <w:sz w:val="24"/>
        </w:rPr>
        <w:t>…………………………………………………………………23</w:t>
      </w:r>
    </w:p>
    <w:p>
      <w:pPr>
        <w:pStyle w:val="13"/>
        <w:adjustRightInd w:val="0"/>
        <w:snapToGrid w:val="0"/>
        <w:spacing w:line="440" w:lineRule="exact"/>
        <w:jc w:val="left"/>
        <w:rPr>
          <w:sz w:val="24"/>
        </w:rPr>
      </w:pPr>
      <w:r>
        <w:rPr>
          <w:rFonts w:hint="eastAsia"/>
          <w:sz w:val="24"/>
        </w:rPr>
        <w:t>三、支出决算表</w:t>
      </w:r>
      <w:r>
        <w:rPr>
          <w:rFonts w:hint="eastAsia" w:ascii="黑体" w:hAnsi="黑体" w:eastAsia="黑体"/>
          <w:sz w:val="24"/>
        </w:rPr>
        <w:t>…………………………………………………………………23</w:t>
      </w:r>
    </w:p>
    <w:p>
      <w:pPr>
        <w:pStyle w:val="13"/>
        <w:adjustRightInd w:val="0"/>
        <w:snapToGrid w:val="0"/>
        <w:spacing w:line="440" w:lineRule="exact"/>
        <w:jc w:val="left"/>
        <w:rPr>
          <w:sz w:val="24"/>
        </w:rPr>
      </w:pPr>
      <w:r>
        <w:rPr>
          <w:rFonts w:hint="eastAsia"/>
          <w:sz w:val="24"/>
        </w:rPr>
        <w:t>四、财政拨款收入支出决算总表</w:t>
      </w:r>
      <w:r>
        <w:rPr>
          <w:rFonts w:hint="eastAsia" w:ascii="黑体" w:hAnsi="黑体" w:eastAsia="黑体"/>
          <w:sz w:val="24"/>
        </w:rPr>
        <w:t>………………………………………………23</w:t>
      </w:r>
    </w:p>
    <w:p>
      <w:pPr>
        <w:pStyle w:val="13"/>
        <w:adjustRightInd w:val="0"/>
        <w:snapToGrid w:val="0"/>
        <w:spacing w:line="440" w:lineRule="exact"/>
        <w:jc w:val="left"/>
        <w:rPr>
          <w:sz w:val="24"/>
        </w:rPr>
      </w:pPr>
      <w:r>
        <w:rPr>
          <w:rFonts w:hint="eastAsia"/>
          <w:sz w:val="24"/>
        </w:rPr>
        <w:t>五、财政拨款支出决算明细表</w:t>
      </w:r>
      <w:r>
        <w:rPr>
          <w:rFonts w:hint="eastAsia" w:ascii="黑体" w:hAnsi="黑体" w:eastAsia="黑体"/>
          <w:sz w:val="24"/>
        </w:rPr>
        <w:t>…………………………………………………23</w:t>
      </w:r>
    </w:p>
    <w:p>
      <w:pPr>
        <w:pStyle w:val="13"/>
        <w:adjustRightInd w:val="0"/>
        <w:snapToGrid w:val="0"/>
        <w:spacing w:line="440" w:lineRule="exact"/>
        <w:jc w:val="left"/>
        <w:rPr>
          <w:sz w:val="24"/>
        </w:rPr>
      </w:pPr>
      <w:r>
        <w:rPr>
          <w:rFonts w:hint="eastAsia"/>
          <w:sz w:val="24"/>
        </w:rPr>
        <w:t>六、一般公共预算财政拨款支出决算表</w:t>
      </w:r>
      <w:r>
        <w:rPr>
          <w:rFonts w:hint="eastAsia" w:ascii="黑体" w:hAnsi="黑体" w:eastAsia="黑体"/>
          <w:sz w:val="24"/>
        </w:rPr>
        <w:t>………………………………………23</w:t>
      </w:r>
    </w:p>
    <w:p>
      <w:pPr>
        <w:pStyle w:val="13"/>
        <w:adjustRightInd w:val="0"/>
        <w:snapToGrid w:val="0"/>
        <w:spacing w:line="440" w:lineRule="exact"/>
        <w:jc w:val="left"/>
        <w:rPr>
          <w:sz w:val="24"/>
        </w:rPr>
      </w:pPr>
      <w:r>
        <w:rPr>
          <w:rFonts w:hint="eastAsia"/>
          <w:sz w:val="24"/>
        </w:rPr>
        <w:t>七、一般公共预算财政拨款支出决算明细表</w:t>
      </w:r>
      <w:r>
        <w:rPr>
          <w:rFonts w:hint="eastAsia" w:ascii="黑体" w:hAnsi="黑体" w:eastAsia="黑体"/>
          <w:sz w:val="24"/>
        </w:rPr>
        <w:t>…………………………………23</w:t>
      </w:r>
    </w:p>
    <w:p>
      <w:pPr>
        <w:pStyle w:val="13"/>
        <w:adjustRightInd w:val="0"/>
        <w:snapToGrid w:val="0"/>
        <w:spacing w:line="440" w:lineRule="exact"/>
        <w:jc w:val="left"/>
        <w:rPr>
          <w:sz w:val="24"/>
        </w:rPr>
      </w:pPr>
      <w:r>
        <w:rPr>
          <w:rFonts w:hint="eastAsia"/>
          <w:sz w:val="24"/>
        </w:rPr>
        <w:t>八、一般公共预算财政拨款基本支出决算明细表</w:t>
      </w:r>
      <w:r>
        <w:rPr>
          <w:rFonts w:hint="eastAsia" w:ascii="黑体" w:hAnsi="黑体" w:eastAsia="黑体"/>
          <w:sz w:val="24"/>
        </w:rPr>
        <w:t>……………………………23</w:t>
      </w:r>
    </w:p>
    <w:p>
      <w:pPr>
        <w:pStyle w:val="13"/>
        <w:adjustRightInd w:val="0"/>
        <w:snapToGrid w:val="0"/>
        <w:spacing w:line="440" w:lineRule="exact"/>
        <w:jc w:val="left"/>
        <w:rPr>
          <w:sz w:val="24"/>
        </w:rPr>
      </w:pPr>
      <w:r>
        <w:rPr>
          <w:rFonts w:hint="eastAsia"/>
          <w:sz w:val="24"/>
        </w:rPr>
        <w:t>九、一般公共预算财政拨款项目支出决算表</w:t>
      </w:r>
      <w:r>
        <w:rPr>
          <w:rFonts w:hint="eastAsia" w:ascii="黑体" w:hAnsi="黑体" w:eastAsia="黑体"/>
          <w:sz w:val="24"/>
        </w:rPr>
        <w:t>…………………………………23</w:t>
      </w:r>
    </w:p>
    <w:p>
      <w:pPr>
        <w:pStyle w:val="13"/>
        <w:adjustRightInd w:val="0"/>
        <w:snapToGrid w:val="0"/>
        <w:spacing w:line="440" w:lineRule="exact"/>
        <w:jc w:val="left"/>
        <w:rPr>
          <w:sz w:val="24"/>
        </w:rPr>
      </w:pPr>
    </w:p>
    <w:p>
      <w:pPr>
        <w:pStyle w:val="13"/>
        <w:adjustRightInd w:val="0"/>
        <w:snapToGrid w:val="0"/>
        <w:spacing w:line="440" w:lineRule="exact"/>
        <w:jc w:val="left"/>
        <w:rPr>
          <w:sz w:val="24"/>
        </w:rPr>
      </w:pPr>
      <w:r>
        <w:rPr>
          <w:rFonts w:hint="eastAsia"/>
          <w:sz w:val="24"/>
        </w:rPr>
        <w:t>十、政府性基金预算财政拨款收入支出决算表</w:t>
      </w:r>
      <w:r>
        <w:rPr>
          <w:rFonts w:hint="eastAsia" w:ascii="黑体" w:hAnsi="黑体" w:eastAsia="黑体"/>
          <w:sz w:val="24"/>
        </w:rPr>
        <w:t>………………………………23</w:t>
      </w:r>
    </w:p>
    <w:p>
      <w:pPr>
        <w:pStyle w:val="13"/>
        <w:adjustRightInd w:val="0"/>
        <w:snapToGrid w:val="0"/>
        <w:spacing w:line="440" w:lineRule="exact"/>
        <w:jc w:val="left"/>
        <w:rPr>
          <w:sz w:val="24"/>
        </w:rPr>
      </w:pPr>
      <w:r>
        <w:rPr>
          <w:rFonts w:hint="eastAsia"/>
          <w:sz w:val="24"/>
        </w:rPr>
        <w:t>十一、国有资本经营预算财政拨款收入支出决算表</w:t>
      </w:r>
      <w:r>
        <w:rPr>
          <w:rFonts w:hint="eastAsia" w:ascii="黑体" w:hAnsi="黑体" w:eastAsia="黑体"/>
          <w:sz w:val="24"/>
        </w:rPr>
        <w:t>…………………………23</w:t>
      </w:r>
    </w:p>
    <w:p>
      <w:pPr>
        <w:pStyle w:val="13"/>
        <w:adjustRightInd w:val="0"/>
        <w:snapToGrid w:val="0"/>
        <w:spacing w:line="440" w:lineRule="exact"/>
        <w:jc w:val="left"/>
        <w:rPr>
          <w:sz w:val="24"/>
        </w:rPr>
      </w:pPr>
      <w:r>
        <w:rPr>
          <w:rFonts w:hint="eastAsia"/>
          <w:sz w:val="24"/>
        </w:rPr>
        <w:t>十二、国有资本经营预算财政拨款支出决算表</w:t>
      </w:r>
      <w:r>
        <w:rPr>
          <w:rFonts w:hint="eastAsia" w:ascii="黑体" w:hAnsi="黑体" w:eastAsia="黑体"/>
          <w:sz w:val="24"/>
        </w:rPr>
        <w:t>………………………………23</w:t>
      </w:r>
    </w:p>
    <w:p>
      <w:pPr>
        <w:pStyle w:val="13"/>
        <w:adjustRightInd w:val="0"/>
        <w:snapToGrid w:val="0"/>
        <w:spacing w:line="440" w:lineRule="exact"/>
        <w:jc w:val="left"/>
        <w:rPr>
          <w:sz w:val="24"/>
        </w:rPr>
        <w:sectPr>
          <w:pgSz w:w="11906" w:h="16838"/>
          <w:pgMar w:top="1440" w:right="1800" w:bottom="1440" w:left="1800" w:header="851" w:footer="992" w:gutter="0"/>
          <w:cols w:space="425" w:num="1"/>
          <w:docGrid w:type="lines" w:linePitch="312" w:charSpace="0"/>
        </w:sectPr>
      </w:pPr>
      <w:r>
        <w:rPr>
          <w:rFonts w:hint="eastAsia"/>
          <w:sz w:val="24"/>
        </w:rPr>
        <w:t>十三、财政拨款“三公”经费支出决算表</w:t>
      </w:r>
      <w:r>
        <w:rPr>
          <w:rFonts w:hint="eastAsia" w:ascii="黑体" w:hAnsi="黑体" w:eastAsia="黑体"/>
          <w:sz w:val="24"/>
        </w:rPr>
        <w:t>……………………………………23</w:t>
      </w:r>
    </w:p>
    <w:p>
      <w:pPr>
        <w:pStyle w:val="2"/>
        <w:jc w:val="center"/>
        <w:rPr>
          <w:rFonts w:ascii="黑体" w:eastAsia="黑体"/>
          <w:sz w:val="32"/>
          <w:szCs w:val="32"/>
        </w:rPr>
      </w:pPr>
      <w:r>
        <w:rPr>
          <w:rFonts w:hint="eastAsia" w:ascii="黑体" w:hAnsi="黑体" w:eastAsia="黑体"/>
          <w:b w:val="0"/>
        </w:rPr>
        <w:t>第一部分 单位</w:t>
      </w:r>
      <w:r>
        <w:rPr>
          <w:rStyle w:val="18"/>
          <w:rFonts w:hint="eastAsia" w:ascii="黑体" w:hAnsi="黑体" w:eastAsia="黑体"/>
          <w:b w:val="0"/>
          <w:bCs w:val="0"/>
        </w:rPr>
        <w:t>概况</w:t>
      </w:r>
    </w:p>
    <w:p>
      <w:pPr>
        <w:pStyle w:val="3"/>
        <w:numPr>
          <w:ilvl w:val="0"/>
          <w:numId w:val="1"/>
        </w:numPr>
        <w:rPr>
          <w:rStyle w:val="19"/>
          <w:rFonts w:ascii="黑体" w:hAnsi="黑体" w:eastAsia="黑体"/>
          <w:b w:val="0"/>
          <w:bCs w:val="0"/>
        </w:rPr>
      </w:pPr>
      <w:r>
        <w:rPr>
          <w:rStyle w:val="19"/>
          <w:rFonts w:hint="eastAsia" w:ascii="黑体" w:hAnsi="黑体" w:eastAsia="黑体"/>
          <w:b w:val="0"/>
          <w:bCs w:val="0"/>
        </w:rPr>
        <w:t>主要职责</w:t>
      </w:r>
    </w:p>
    <w:p>
      <w:pPr>
        <w:ind w:firstLine="640" w:firstLineChars="200"/>
        <w:rPr>
          <w:rFonts w:ascii="仿宋" w:hAnsi="仿宋" w:eastAsia="仿宋" w:cs="仿宋"/>
          <w:sz w:val="32"/>
          <w:szCs w:val="32"/>
        </w:rPr>
      </w:pPr>
      <w:r>
        <w:rPr>
          <w:rFonts w:hint="eastAsia" w:ascii="仿宋" w:hAnsi="仿宋" w:eastAsia="仿宋" w:cs="仿宋"/>
          <w:sz w:val="32"/>
          <w:szCs w:val="32"/>
        </w:rPr>
        <w:t>广元市利州区三堆镇卫生院是一所财政全额预算拨款的一级甲等乡镇卫生院。</w:t>
      </w:r>
      <w:r>
        <w:rPr>
          <w:rFonts w:hint="eastAsia" w:ascii="仿宋" w:hAnsi="仿宋" w:eastAsia="仿宋" w:cs="仿宋"/>
          <w:color w:val="000000" w:themeColor="text1"/>
          <w:sz w:val="32"/>
          <w:szCs w:val="32"/>
        </w:rPr>
        <w:t>医院始终坚持以“精质量、优服务、重关怀”的服务理念，以“以人为本   关爱生命  呵护健康  奉献社会”的办院宗旨，为辖区群众提供优质、高效、便捷的医疗服务。</w:t>
      </w:r>
      <w:r>
        <w:rPr>
          <w:rFonts w:hint="eastAsia" w:ascii="仿宋" w:hAnsi="仿宋" w:eastAsia="仿宋" w:cs="仿宋"/>
          <w:sz w:val="32"/>
          <w:szCs w:val="32"/>
        </w:rPr>
        <w:t>年末编制人数37人，在职职工人数32人，年末全院在职职工50人。</w:t>
      </w:r>
    </w:p>
    <w:p>
      <w:pPr>
        <w:pStyle w:val="3"/>
        <w:rPr>
          <w:rFonts w:ascii="黑体" w:hAnsi="黑体" w:eastAsia="黑体"/>
          <w:b w:val="0"/>
        </w:rPr>
      </w:pPr>
      <w:r>
        <w:rPr>
          <w:rFonts w:hint="eastAsia" w:ascii="黑体" w:hAnsi="黑体" w:eastAsia="黑体"/>
          <w:b w:val="0"/>
        </w:rPr>
        <w:t>二、机构设置</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广元市利州区三堆镇卫生院是广元市利州区卫生健康局下属二级预算单位。</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目前我院设有门诊、辅检、公共卫生及后勤四大部门。门诊部开设内科、外科、中医科等科室；设有检验科、放射科、特检科、多个辅检科室。能提供基本医疗、基本公共卫生服务工作。</w:t>
      </w:r>
    </w:p>
    <w:p>
      <w:pPr>
        <w:widowControl/>
        <w:jc w:val="left"/>
        <w:rPr>
          <w:rFonts w:ascii="仿宋" w:hAnsi="仿宋" w:eastAsia="仿宋"/>
          <w:kern w:val="0"/>
          <w:sz w:val="32"/>
          <w:szCs w:val="32"/>
        </w:rPr>
      </w:pPr>
      <w:r>
        <w:rPr>
          <w:rFonts w:ascii="仿宋" w:hAnsi="仿宋" w:eastAsia="仿宋"/>
          <w:sz w:val="32"/>
          <w:szCs w:val="32"/>
        </w:rPr>
        <w:br w:type="page"/>
      </w:r>
    </w:p>
    <w:p>
      <w:pPr>
        <w:pStyle w:val="2"/>
        <w:ind w:right="440"/>
        <w:jc w:val="center"/>
        <w:rPr>
          <w:rStyle w:val="18"/>
          <w:rFonts w:ascii="黑体" w:hAnsi="黑体" w:eastAsia="黑体"/>
          <w:b w:val="0"/>
          <w:bCs/>
        </w:rPr>
      </w:pPr>
      <w:r>
        <w:rPr>
          <w:rFonts w:hint="eastAsia" w:ascii="黑体" w:hAnsi="黑体" w:eastAsia="黑体"/>
          <w:b w:val="0"/>
        </w:rPr>
        <w:t>第二部分 2023年度</w:t>
      </w:r>
      <w:r>
        <w:rPr>
          <w:rStyle w:val="18"/>
          <w:rFonts w:hint="eastAsia" w:ascii="黑体" w:hAnsi="黑体" w:eastAsia="黑体"/>
          <w:b w:val="0"/>
          <w:bCs/>
        </w:rPr>
        <w:t>单位决算情况说明</w:t>
      </w:r>
    </w:p>
    <w:p/>
    <w:p>
      <w:pPr>
        <w:pStyle w:val="20"/>
        <w:spacing w:line="600" w:lineRule="exact"/>
        <w:ind w:left="640" w:firstLine="0" w:firstLineChars="0"/>
        <w:outlineLvl w:val="1"/>
        <w:rPr>
          <w:rStyle w:val="19"/>
          <w:rFonts w:ascii="黑体" w:hAnsi="黑体" w:eastAsia="黑体"/>
          <w:b w:val="0"/>
        </w:rPr>
      </w:pPr>
      <w:r>
        <w:rPr>
          <w:rFonts w:hint="eastAsia" w:ascii="黑体" w:hAnsi="黑体" w:eastAsia="黑体"/>
          <w:sz w:val="32"/>
          <w:szCs w:val="32"/>
        </w:rPr>
        <w:t>一、收</w:t>
      </w:r>
      <w:r>
        <w:rPr>
          <w:rStyle w:val="19"/>
          <w:rFonts w:hint="eastAsia" w:ascii="黑体" w:hAnsi="黑体" w:eastAsia="黑体"/>
          <w:b w:val="0"/>
        </w:rPr>
        <w:t>入支出决算总体情况说明</w:t>
      </w:r>
    </w:p>
    <w:p>
      <w:pPr>
        <w:spacing w:line="600" w:lineRule="exact"/>
        <w:ind w:firstLine="640" w:firstLineChars="200"/>
        <w:rPr>
          <w:rFonts w:ascii="仿宋" w:hAnsi="仿宋" w:eastAsia="仿宋" w:cs="仿宋"/>
          <w:color w:val="000000"/>
          <w:sz w:val="32"/>
          <w:szCs w:val="32"/>
        </w:rPr>
      </w:pPr>
      <w:r>
        <w:rPr>
          <w:rFonts w:hint="eastAsia" w:ascii="仿宋" w:hAnsi="仿宋" w:eastAsia="仿宋"/>
          <w:sz w:val="32"/>
          <w:szCs w:val="32"/>
        </w:rPr>
        <w:t>2023年度</w:t>
      </w:r>
      <w:r>
        <w:rPr>
          <w:rFonts w:hint="eastAsia" w:ascii="仿宋" w:hAnsi="仿宋" w:eastAsia="仿宋" w:cs="仿宋"/>
          <w:color w:val="000000"/>
          <w:sz w:val="32"/>
          <w:szCs w:val="32"/>
        </w:rPr>
        <w:t>收、支总计均为1283.70万元，与2022年度（952.39万元）相比增长331.31万元，增长34.79%。主要变动原因是：本年非财政拨款结转结余352.98万元，2022年度无非财政拨款结转结余产生。</w:t>
      </w:r>
    </w:p>
    <w:p>
      <w:pPr>
        <w:pStyle w:val="12"/>
        <w:ind w:left="420" w:firstLine="640"/>
        <w:rPr>
          <w:rFonts w:ascii="仿宋" w:hAnsi="仿宋" w:eastAsia="仿宋" w:cs="仿宋"/>
          <w:color w:val="000000"/>
          <w:sz w:val="32"/>
        </w:rPr>
      </w:pPr>
      <w:r>
        <w:rPr>
          <w:rFonts w:hint="eastAsia" w:ascii="仿宋" w:hAnsi="仿宋" w:eastAsia="仿宋"/>
          <w:sz w:val="32"/>
        </w:rPr>
        <w:drawing>
          <wp:anchor distT="0" distB="0" distL="114300" distR="114300" simplePos="0" relativeHeight="251659264" behindDoc="0" locked="0" layoutInCell="1" allowOverlap="1">
            <wp:simplePos x="0" y="0"/>
            <wp:positionH relativeFrom="column">
              <wp:posOffset>993775</wp:posOffset>
            </wp:positionH>
            <wp:positionV relativeFrom="paragraph">
              <wp:posOffset>231775</wp:posOffset>
            </wp:positionV>
            <wp:extent cx="3240405" cy="2144395"/>
            <wp:effectExtent l="4445" t="4445" r="12700" b="2286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pStyle w:val="12"/>
        <w:ind w:left="420" w:firstLine="640"/>
        <w:rPr>
          <w:rFonts w:ascii="仿宋" w:hAnsi="仿宋" w:eastAsia="仿宋" w:cs="仿宋"/>
          <w:color w:val="000000"/>
          <w:sz w:val="32"/>
        </w:rPr>
      </w:pPr>
    </w:p>
    <w:p>
      <w:pPr>
        <w:pStyle w:val="12"/>
        <w:ind w:left="420" w:firstLine="640"/>
        <w:rPr>
          <w:rFonts w:ascii="仿宋" w:hAnsi="仿宋" w:eastAsia="仿宋" w:cs="仿宋"/>
          <w:color w:val="000000"/>
          <w:sz w:val="32"/>
        </w:rPr>
      </w:pPr>
    </w:p>
    <w:p>
      <w:pPr>
        <w:pStyle w:val="12"/>
        <w:ind w:left="420" w:firstLine="640"/>
        <w:rPr>
          <w:rFonts w:ascii="仿宋" w:hAnsi="仿宋" w:eastAsia="仿宋" w:cs="仿宋"/>
          <w:color w:val="000000"/>
          <w:sz w:val="32"/>
        </w:rPr>
      </w:pPr>
    </w:p>
    <w:p>
      <w:pPr>
        <w:pStyle w:val="12"/>
        <w:ind w:left="420" w:firstLine="640"/>
        <w:rPr>
          <w:rFonts w:ascii="仿宋" w:hAnsi="仿宋" w:eastAsia="仿宋" w:cs="仿宋"/>
          <w:color w:val="000000"/>
          <w:sz w:val="32"/>
        </w:rPr>
      </w:pPr>
    </w:p>
    <w:p>
      <w:pPr>
        <w:pStyle w:val="12"/>
        <w:ind w:left="420"/>
      </w:pPr>
    </w:p>
    <w:p>
      <w:pPr>
        <w:spacing w:line="600" w:lineRule="exact"/>
        <w:ind w:firstLine="640" w:firstLineChars="200"/>
        <w:rPr>
          <w:rFonts w:ascii="仿宋_GB2312" w:eastAsia="仿宋_GB2312"/>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0"/>
        <w:spacing w:line="600" w:lineRule="exact"/>
        <w:ind w:left="640" w:firstLine="0" w:firstLineChars="0"/>
        <w:outlineLvl w:val="1"/>
        <w:rPr>
          <w:rStyle w:val="19"/>
          <w:rFonts w:ascii="黑体" w:hAnsi="黑体" w:eastAsia="黑体"/>
          <w:b w:val="0"/>
        </w:rPr>
      </w:pPr>
      <w:r>
        <w:rPr>
          <w:rFonts w:hint="eastAsia" w:ascii="黑体" w:hAnsi="黑体" w:eastAsia="黑体"/>
          <w:sz w:val="32"/>
          <w:szCs w:val="32"/>
        </w:rPr>
        <w:t>二、收</w:t>
      </w:r>
      <w:r>
        <w:rPr>
          <w:rStyle w:val="19"/>
          <w:rFonts w:hint="eastAsia" w:ascii="黑体" w:hAnsi="黑体" w:eastAsia="黑体"/>
          <w:b w:val="0"/>
        </w:rPr>
        <w:t>入决算情况说明</w:t>
      </w:r>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23年度本年收入合计</w:t>
      </w:r>
      <w:r>
        <w:rPr>
          <w:rFonts w:hint="eastAsia" w:ascii="仿宋" w:hAnsi="仿宋" w:eastAsia="仿宋" w:cs="仿宋"/>
          <w:sz w:val="32"/>
          <w:szCs w:val="32"/>
        </w:rPr>
        <w:t>930.72</w:t>
      </w:r>
      <w:r>
        <w:rPr>
          <w:rFonts w:hint="eastAsia" w:ascii="仿宋" w:hAnsi="仿宋" w:eastAsia="仿宋"/>
          <w:sz w:val="32"/>
          <w:szCs w:val="32"/>
        </w:rPr>
        <w:t>万元，其中：一般公共预算财政拨款收入</w:t>
      </w:r>
      <w:r>
        <w:rPr>
          <w:rFonts w:hint="eastAsia" w:ascii="仿宋" w:hAnsi="仿宋" w:eastAsia="仿宋" w:cs="仿宋"/>
          <w:sz w:val="32"/>
          <w:szCs w:val="32"/>
        </w:rPr>
        <w:t>595.83</w:t>
      </w:r>
      <w:r>
        <w:rPr>
          <w:rFonts w:hint="eastAsia" w:ascii="仿宋" w:hAnsi="仿宋" w:eastAsia="仿宋"/>
          <w:sz w:val="32"/>
          <w:szCs w:val="32"/>
        </w:rPr>
        <w:t>万元，占</w:t>
      </w:r>
      <w:r>
        <w:rPr>
          <w:rFonts w:hint="eastAsia" w:ascii="仿宋" w:hAnsi="仿宋" w:eastAsia="仿宋" w:cs="仿宋"/>
          <w:sz w:val="32"/>
          <w:szCs w:val="32"/>
        </w:rPr>
        <w:t>64.02</w:t>
      </w:r>
      <w:r>
        <w:rPr>
          <w:rFonts w:ascii="仿宋" w:hAnsi="仿宋" w:eastAsia="仿宋"/>
          <w:sz w:val="32"/>
          <w:szCs w:val="32"/>
        </w:rPr>
        <w:t>%</w:t>
      </w:r>
      <w:r>
        <w:rPr>
          <w:rFonts w:hint="eastAsia" w:ascii="仿宋" w:hAnsi="仿宋" w:eastAsia="仿宋"/>
          <w:sz w:val="32"/>
          <w:szCs w:val="32"/>
        </w:rPr>
        <w:t>；事业收入</w:t>
      </w:r>
      <w:r>
        <w:rPr>
          <w:rFonts w:hint="eastAsia" w:ascii="仿宋" w:hAnsi="仿宋" w:eastAsia="仿宋" w:cs="仿宋"/>
          <w:sz w:val="32"/>
          <w:szCs w:val="32"/>
        </w:rPr>
        <w:t>287.47</w:t>
      </w:r>
      <w:r>
        <w:rPr>
          <w:rFonts w:hint="eastAsia" w:ascii="仿宋" w:hAnsi="仿宋" w:eastAsia="仿宋"/>
          <w:sz w:val="32"/>
          <w:szCs w:val="32"/>
        </w:rPr>
        <w:t>万元，占</w:t>
      </w:r>
      <w:r>
        <w:rPr>
          <w:rFonts w:hint="eastAsia" w:ascii="仿宋" w:hAnsi="仿宋" w:eastAsia="仿宋" w:cs="仿宋"/>
          <w:sz w:val="32"/>
          <w:szCs w:val="32"/>
        </w:rPr>
        <w:t>30.89</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cs="仿宋"/>
          <w:sz w:val="32"/>
          <w:szCs w:val="32"/>
        </w:rPr>
        <w:t>47.42</w:t>
      </w:r>
      <w:r>
        <w:rPr>
          <w:rFonts w:hint="eastAsia" w:ascii="仿宋" w:hAnsi="仿宋" w:eastAsia="仿宋"/>
          <w:sz w:val="32"/>
          <w:szCs w:val="32"/>
        </w:rPr>
        <w:t>万元，占</w:t>
      </w:r>
      <w:r>
        <w:rPr>
          <w:rFonts w:hint="eastAsia" w:ascii="仿宋" w:hAnsi="仿宋" w:eastAsia="仿宋" w:cs="仿宋"/>
          <w:sz w:val="32"/>
          <w:szCs w:val="32"/>
        </w:rPr>
        <w:t>5.10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01表）</w:t>
      </w:r>
    </w:p>
    <w:p>
      <w:pPr>
        <w:pStyle w:val="12"/>
        <w:ind w:left="420" w:firstLine="640"/>
        <w:rPr>
          <w:rFonts w:ascii="仿宋" w:hAnsi="仿宋" w:eastAsia="仿宋"/>
          <w:b/>
          <w:sz w:val="32"/>
        </w:rPr>
      </w:pPr>
      <w:r>
        <w:rPr>
          <w:rFonts w:hint="eastAsia" w:ascii="仿宋" w:hAnsi="仿宋" w:eastAsia="仿宋"/>
          <w:sz w:val="32"/>
        </w:rPr>
        <w:drawing>
          <wp:inline distT="0" distB="0" distL="114300" distR="114300">
            <wp:extent cx="3181350" cy="1722120"/>
            <wp:effectExtent l="4445" t="5080" r="14605" b="635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0"/>
        <w:spacing w:line="600" w:lineRule="exact"/>
        <w:ind w:left="640" w:firstLine="0" w:firstLineChars="0"/>
        <w:outlineLvl w:val="1"/>
        <w:rPr>
          <w:rFonts w:ascii="仿宋" w:hAnsi="仿宋" w:eastAsia="仿宋"/>
          <w:sz w:val="32"/>
          <w:szCs w:val="32"/>
        </w:rPr>
      </w:pPr>
      <w:r>
        <w:rPr>
          <w:rFonts w:hint="eastAsia" w:ascii="仿宋" w:hAnsi="仿宋" w:eastAsia="仿宋"/>
          <w:sz w:val="32"/>
          <w:szCs w:val="32"/>
        </w:rPr>
        <w:t>（图2：收入决算结构图）</w:t>
      </w:r>
    </w:p>
    <w:p>
      <w:pPr>
        <w:pStyle w:val="20"/>
        <w:spacing w:line="600" w:lineRule="exact"/>
        <w:ind w:left="640" w:firstLine="0" w:firstLineChars="0"/>
        <w:outlineLvl w:val="1"/>
        <w:rPr>
          <w:rStyle w:val="19"/>
          <w:rFonts w:ascii="黑体" w:hAnsi="黑体" w:eastAsia="黑体"/>
          <w:b w:val="0"/>
        </w:rPr>
      </w:pPr>
      <w:r>
        <w:rPr>
          <w:rFonts w:hint="eastAsia" w:ascii="黑体" w:hAnsi="黑体" w:eastAsia="黑体"/>
          <w:sz w:val="32"/>
          <w:szCs w:val="32"/>
        </w:rPr>
        <w:t>三、支</w:t>
      </w:r>
      <w:r>
        <w:rPr>
          <w:rStyle w:val="19"/>
          <w:rFonts w:hint="eastAsia" w:ascii="黑体" w:hAnsi="黑体" w:eastAsia="黑体"/>
          <w:b w:val="0"/>
        </w:rPr>
        <w:t>出决算情况说明</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2023年度本年支出合计1036.45万元，其中：基本支出796.73万元，占76.88</w:t>
      </w:r>
      <w:r>
        <w:rPr>
          <w:rFonts w:ascii="仿宋" w:hAnsi="仿宋" w:eastAsia="仿宋"/>
          <w:sz w:val="32"/>
          <w:szCs w:val="32"/>
        </w:rPr>
        <w:t>%</w:t>
      </w:r>
      <w:r>
        <w:rPr>
          <w:rFonts w:hint="eastAsia" w:ascii="仿宋" w:hAnsi="仿宋" w:eastAsia="仿宋"/>
          <w:sz w:val="32"/>
          <w:szCs w:val="32"/>
        </w:rPr>
        <w:t>；项目支出239.72万元，占23.13</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w:t>
      </w:r>
    </w:p>
    <w:p>
      <w:pPr>
        <w:pStyle w:val="12"/>
        <w:ind w:left="420"/>
      </w:pPr>
    </w:p>
    <w:p>
      <w:pPr>
        <w:pStyle w:val="12"/>
        <w:ind w:left="420" w:firstLine="640"/>
        <w:rPr>
          <w:rFonts w:ascii="仿宋" w:hAnsi="仿宋" w:eastAsia="仿宋"/>
          <w:sz w:val="32"/>
          <w:shd w:val="pct10" w:color="auto" w:fill="FFFFFF"/>
        </w:rPr>
      </w:pPr>
      <w:r>
        <w:rPr>
          <w:rFonts w:hint="eastAsia" w:ascii="仿宋" w:hAnsi="仿宋" w:eastAsia="仿宋"/>
          <w:sz w:val="32"/>
          <w:shd w:val="pct10" w:color="auto" w:fill="FFFFFF"/>
        </w:rPr>
        <w:drawing>
          <wp:inline distT="0" distB="0" distL="114300" distR="114300">
            <wp:extent cx="3183890" cy="1783715"/>
            <wp:effectExtent l="4445" t="4445" r="12065" b="2159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12"/>
        <w:ind w:left="420" w:firstLine="640"/>
        <w:rPr>
          <w:rFonts w:ascii="仿宋" w:hAnsi="仿宋" w:eastAsia="仿宋"/>
          <w:sz w:val="32"/>
        </w:rPr>
      </w:pPr>
      <w:r>
        <w:rPr>
          <w:rFonts w:hint="eastAsia" w:ascii="仿宋" w:hAnsi="仿宋" w:eastAsia="仿宋"/>
          <w:sz w:val="32"/>
        </w:rPr>
        <w:t>（图3：支出决算结构图）</w:t>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19"/>
          <w:rFonts w:ascii="黑体" w:hAnsi="黑体" w:eastAsia="黑体"/>
          <w:b w:val="0"/>
        </w:rPr>
      </w:pPr>
      <w:r>
        <w:rPr>
          <w:rFonts w:hint="eastAsia" w:ascii="黑体" w:hAnsi="黑体" w:eastAsia="黑体"/>
          <w:sz w:val="32"/>
          <w:szCs w:val="32"/>
        </w:rPr>
        <w:t>四、财</w:t>
      </w:r>
      <w:r>
        <w:rPr>
          <w:rStyle w:val="19"/>
          <w:rFonts w:hint="eastAsia" w:ascii="黑体" w:hAnsi="黑体" w:eastAsia="黑体"/>
          <w:b w:val="0"/>
        </w:rPr>
        <w:t>政拨款收入支出决算总体情况说明</w:t>
      </w:r>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财政拨款收入总计595.83万元，支出总计595.83万元。与2022年财政拨款收入714.59万元相比减少118.76万元，下降16.62%。主要变动原因是：本年财政拨款项目收入较2022年度减少102.17万元。与2022年财政拨款支出714.59万元相比减少118.76万元，下降16.62%。主要变动原因是：本年财政拨款项目支出较2022年度减少102.17万元。</w:t>
      </w:r>
    </w:p>
    <w:p>
      <w:pPr>
        <w:spacing w:line="600" w:lineRule="exact"/>
        <w:ind w:firstLine="1610" w:firstLineChars="503"/>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pPr>
        <w:spacing w:line="600" w:lineRule="exact"/>
        <w:rPr>
          <w:rFonts w:ascii="仿宋" w:hAnsi="仿宋" w:eastAsia="仿宋"/>
          <w:sz w:val="32"/>
          <w:szCs w:val="32"/>
        </w:rPr>
      </w:pPr>
      <w:r>
        <w:rPr>
          <w:rFonts w:hint="eastAsia" w:ascii="仿宋" w:hAnsi="仿宋" w:eastAsia="仿宋"/>
          <w:sz w:val="32"/>
          <w:szCs w:val="32"/>
        </w:rPr>
        <w:t xml:space="preserve">   </w:t>
      </w:r>
    </w:p>
    <w:p>
      <w:pPr>
        <w:pStyle w:val="12"/>
        <w:ind w:left="420" w:firstLine="643"/>
        <w:rPr>
          <w:rFonts w:ascii="仿宋" w:hAnsi="仿宋" w:eastAsia="仿宋"/>
          <w:sz w:val="32"/>
        </w:rPr>
      </w:pPr>
      <w:r>
        <w:rPr>
          <w:rFonts w:hint="eastAsia" w:ascii="仿宋" w:hAnsi="仿宋" w:eastAsia="仿宋"/>
          <w:b/>
          <w:sz w:val="32"/>
        </w:rPr>
        <w:drawing>
          <wp:inline distT="0" distB="0" distL="114300" distR="114300">
            <wp:extent cx="3796665" cy="2228215"/>
            <wp:effectExtent l="4445" t="4445" r="8890" b="1524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jc w:val="center"/>
        <w:outlineLvl w:val="1"/>
        <w:rPr>
          <w:rStyle w:val="19"/>
          <w:rFonts w:ascii="黑体" w:hAnsi="黑体" w:eastAsia="黑体"/>
          <w:b w:val="0"/>
        </w:rPr>
      </w:pPr>
      <w:r>
        <w:rPr>
          <w:rFonts w:hint="eastAsia" w:ascii="仿宋" w:hAnsi="仿宋" w:eastAsia="仿宋"/>
          <w:sz w:val="32"/>
          <w:szCs w:val="32"/>
        </w:rPr>
        <w:t>（图4：财政拨款收、支决算总计变动情况）</w:t>
      </w:r>
    </w:p>
    <w:p>
      <w:pPr>
        <w:numPr>
          <w:ilvl w:val="0"/>
          <w:numId w:val="2"/>
        </w:numPr>
        <w:spacing w:line="600" w:lineRule="exact"/>
        <w:ind w:firstLine="643" w:firstLineChars="200"/>
        <w:outlineLvl w:val="1"/>
        <w:rPr>
          <w:rStyle w:val="19"/>
          <w:rFonts w:ascii="黑体" w:hAnsi="黑体" w:eastAsia="黑体"/>
          <w:b w:val="0"/>
        </w:rPr>
      </w:pPr>
      <w:r>
        <w:rPr>
          <w:rFonts w:hint="eastAsia" w:ascii="黑体" w:hAnsi="黑体" w:eastAsia="黑体"/>
          <w:b/>
          <w:sz w:val="32"/>
          <w:szCs w:val="32"/>
        </w:rPr>
        <w:t>一</w:t>
      </w:r>
      <w:r>
        <w:rPr>
          <w:rStyle w:val="19"/>
          <w:rFonts w:hint="eastAsia" w:ascii="黑体" w:hAnsi="黑体" w:eastAsia="黑体"/>
          <w:b w:val="0"/>
        </w:rPr>
        <w:t>般公共预算财政拨款支出决算情况说明</w:t>
      </w:r>
    </w:p>
    <w:p>
      <w:pPr>
        <w:pStyle w:val="12"/>
        <w:ind w:left="840" w:leftChars="400" w:firstLine="0" w:firstLineChars="0"/>
      </w:pPr>
    </w:p>
    <w:p>
      <w:pPr>
        <w:spacing w:line="600" w:lineRule="exact"/>
        <w:ind w:firstLine="640" w:firstLineChars="200"/>
        <w:outlineLvl w:val="2"/>
        <w:rPr>
          <w:rFonts w:ascii="仿宋" w:hAnsi="仿宋" w:eastAsia="仿宋"/>
          <w:b/>
          <w:sz w:val="32"/>
          <w:szCs w:val="32"/>
        </w:rPr>
      </w:pPr>
      <w:r>
        <w:rPr>
          <w:rFonts w:hint="eastAsia" w:ascii="仿宋" w:hAnsi="仿宋" w:eastAsia="仿宋"/>
          <w:b/>
          <w:sz w:val="32"/>
          <w:szCs w:val="32"/>
        </w:rPr>
        <w:t>（一）一般公共预算财政拨款支出决算总体情况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2023年度一般公共预算财政拨款支出595.83万元，占本年支出合计的57.49</w:t>
      </w:r>
      <w:r>
        <w:rPr>
          <w:rFonts w:ascii="仿宋" w:hAnsi="仿宋" w:eastAsia="仿宋"/>
          <w:sz w:val="32"/>
          <w:szCs w:val="32"/>
        </w:rPr>
        <w:t>%</w:t>
      </w:r>
      <w:r>
        <w:rPr>
          <w:rFonts w:hint="eastAsia" w:ascii="仿宋" w:hAnsi="仿宋" w:eastAsia="仿宋"/>
          <w:sz w:val="32"/>
          <w:szCs w:val="32"/>
        </w:rPr>
        <w:t>。与2022年度相比，一般公共预算财政拨款支出减少118.76万元，下降16.62</w:t>
      </w:r>
      <w:r>
        <w:rPr>
          <w:rFonts w:ascii="仿宋" w:hAnsi="仿宋" w:eastAsia="仿宋"/>
          <w:sz w:val="32"/>
          <w:szCs w:val="32"/>
        </w:rPr>
        <w:t>%</w:t>
      </w:r>
      <w:r>
        <w:rPr>
          <w:rFonts w:hint="eastAsia" w:ascii="仿宋" w:hAnsi="仿宋" w:eastAsia="仿宋"/>
          <w:sz w:val="32"/>
          <w:szCs w:val="32"/>
        </w:rPr>
        <w:t>。主要变动原因是：本年财政拨款项目支出较2022年度减少102.17万元。</w:t>
      </w:r>
    </w:p>
    <w:p>
      <w:pPr>
        <w:spacing w:line="600" w:lineRule="exact"/>
        <w:ind w:firstLine="640" w:firstLineChars="200"/>
        <w:rPr>
          <w:rFonts w:ascii="仿宋" w:hAnsi="仿宋" w:eastAsia="仿宋"/>
          <w:sz w:val="32"/>
          <w:szCs w:val="32"/>
        </w:rPr>
      </w:pPr>
    </w:p>
    <w:p>
      <w:pPr>
        <w:pStyle w:val="12"/>
        <w:ind w:left="420" w:firstLine="640"/>
        <w:rPr>
          <w:rFonts w:ascii="仿宋" w:hAnsi="仿宋" w:eastAsia="仿宋"/>
          <w:sz w:val="32"/>
        </w:rPr>
      </w:pPr>
    </w:p>
    <w:p>
      <w:pPr>
        <w:pStyle w:val="12"/>
        <w:ind w:left="420" w:firstLine="640"/>
        <w:rPr>
          <w:rFonts w:ascii="仿宋" w:hAnsi="仿宋" w:eastAsia="仿宋"/>
          <w:sz w:val="32"/>
        </w:rPr>
      </w:pPr>
      <w:r>
        <w:rPr>
          <w:rFonts w:hint="eastAsia" w:ascii="仿宋" w:hAnsi="仿宋" w:eastAsia="仿宋"/>
          <w:sz w:val="32"/>
        </w:rPr>
        <w:drawing>
          <wp:anchor distT="0" distB="0" distL="114300" distR="114300" simplePos="0" relativeHeight="251660288" behindDoc="0" locked="0" layoutInCell="1" allowOverlap="1">
            <wp:simplePos x="0" y="0"/>
            <wp:positionH relativeFrom="column">
              <wp:posOffset>1374140</wp:posOffset>
            </wp:positionH>
            <wp:positionV relativeFrom="paragraph">
              <wp:posOffset>-240665</wp:posOffset>
            </wp:positionV>
            <wp:extent cx="3044190" cy="1732280"/>
            <wp:effectExtent l="4445" t="4445" r="18415" b="1587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12"/>
        <w:ind w:left="420" w:firstLine="640"/>
        <w:rPr>
          <w:rFonts w:ascii="仿宋" w:hAnsi="仿宋" w:eastAsia="仿宋"/>
          <w:sz w:val="32"/>
        </w:rPr>
      </w:pPr>
    </w:p>
    <w:p>
      <w:pPr>
        <w:pStyle w:val="12"/>
        <w:ind w:left="420" w:firstLine="640"/>
        <w:rPr>
          <w:rFonts w:ascii="仿宋" w:hAnsi="仿宋" w:eastAsia="仿宋"/>
          <w:sz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sz w:val="32"/>
          <w:szCs w:val="32"/>
        </w:rPr>
        <w:t>（图5：一般公共预算财政拨款支出决算变动情况）</w:t>
      </w:r>
    </w:p>
    <w:p>
      <w:pPr>
        <w:spacing w:line="600" w:lineRule="exact"/>
        <w:ind w:firstLine="640" w:firstLineChars="200"/>
        <w:rPr>
          <w:rFonts w:ascii="仿宋" w:hAnsi="仿宋" w:eastAsia="仿宋"/>
          <w:sz w:val="32"/>
          <w:szCs w:val="32"/>
        </w:rPr>
      </w:pPr>
    </w:p>
    <w:p>
      <w:pPr>
        <w:spacing w:line="600" w:lineRule="exact"/>
        <w:ind w:firstLine="640" w:firstLineChars="200"/>
        <w:outlineLvl w:val="2"/>
        <w:rPr>
          <w:rFonts w:ascii="仿宋" w:hAnsi="仿宋" w:eastAsia="仿宋"/>
          <w:b/>
          <w:sz w:val="32"/>
          <w:szCs w:val="32"/>
        </w:rPr>
      </w:pPr>
      <w:r>
        <w:rPr>
          <w:rFonts w:hint="eastAsia" w:ascii="仿宋" w:hAnsi="仿宋" w:eastAsia="仿宋"/>
          <w:b/>
          <w:sz w:val="32"/>
          <w:szCs w:val="32"/>
        </w:rPr>
        <w:t>（二）一般公共预算财政拨款支出决算结构情况</w:t>
      </w:r>
    </w:p>
    <w:p>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2023年度一般公共预算财政拨款支出595.83万元，主要用于以下方面</w:t>
      </w:r>
      <w:r>
        <w:rPr>
          <w:rFonts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40.49万元，占6.80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526.93万元，占88.44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28.41万元，占4.77</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（注：数据来源于财决01-1表）</w:t>
      </w:r>
    </w:p>
    <w:p>
      <w:pPr>
        <w:pStyle w:val="12"/>
        <w:ind w:left="420" w:firstLine="640"/>
        <w:rPr>
          <w:rFonts w:ascii="仿宋" w:hAnsi="仿宋" w:eastAsia="仿宋"/>
          <w:b/>
          <w:sz w:val="32"/>
        </w:rPr>
      </w:pPr>
      <w:r>
        <w:rPr>
          <w:rFonts w:hint="eastAsia" w:ascii="仿宋" w:hAnsi="仿宋" w:eastAsia="仿宋"/>
          <w:sz w:val="32"/>
        </w:rPr>
        <w:drawing>
          <wp:inline distT="0" distB="0" distL="114300" distR="114300">
            <wp:extent cx="3104515" cy="2019300"/>
            <wp:effectExtent l="4445" t="5080" r="15240" b="1397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pPr>
        <w:spacing w:line="600" w:lineRule="exact"/>
        <w:ind w:firstLine="640" w:firstLineChars="200"/>
        <w:rPr>
          <w:rFonts w:ascii="仿宋" w:hAnsi="仿宋" w:eastAsia="仿宋"/>
          <w:sz w:val="32"/>
          <w:szCs w:val="32"/>
        </w:rPr>
      </w:pPr>
    </w:p>
    <w:p>
      <w:pPr>
        <w:spacing w:line="600" w:lineRule="exact"/>
        <w:ind w:firstLine="640" w:firstLineChars="200"/>
        <w:outlineLvl w:val="2"/>
        <w:rPr>
          <w:rFonts w:ascii="仿宋" w:hAnsi="仿宋" w:eastAsia="仿宋"/>
          <w:b/>
          <w:sz w:val="32"/>
          <w:szCs w:val="32"/>
        </w:rPr>
      </w:pPr>
      <w:r>
        <w:rPr>
          <w:rFonts w:hint="eastAsia" w:ascii="仿宋" w:hAnsi="仿宋" w:eastAsia="仿宋"/>
          <w:b/>
          <w:sz w:val="32"/>
          <w:szCs w:val="32"/>
        </w:rPr>
        <w:t>（三）一般公共预算财政拨款支出决算具体情况</w:t>
      </w:r>
    </w:p>
    <w:p>
      <w:pPr>
        <w:spacing w:line="600" w:lineRule="exact"/>
        <w:ind w:firstLine="640" w:firstLineChars="200"/>
        <w:outlineLvl w:val="2"/>
        <w:rPr>
          <w:rFonts w:ascii="仿宋" w:hAnsi="仿宋" w:eastAsia="仿宋"/>
          <w:sz w:val="32"/>
          <w:szCs w:val="32"/>
        </w:rPr>
      </w:pPr>
      <w:r>
        <w:rPr>
          <w:rFonts w:hint="eastAsia" w:ascii="仿宋" w:hAnsi="仿宋" w:eastAsia="仿宋"/>
          <w:b/>
          <w:sz w:val="32"/>
          <w:szCs w:val="32"/>
        </w:rPr>
        <w:t>2023年度一般公共预算支出决算数为595.83万元</w:t>
      </w:r>
      <w:r>
        <w:rPr>
          <w:rFonts w:hint="eastAsia" w:ascii="仿宋" w:hAnsi="仿宋" w:eastAsia="仿宋"/>
          <w:sz w:val="32"/>
          <w:szCs w:val="32"/>
        </w:rPr>
        <w:t>，</w:t>
      </w:r>
      <w:r>
        <w:rPr>
          <w:rStyle w:val="16"/>
          <w:rFonts w:hint="eastAsia" w:ascii="仿宋" w:hAnsi="仿宋" w:eastAsia="仿宋"/>
          <w:bCs/>
          <w:sz w:val="32"/>
          <w:szCs w:val="32"/>
        </w:rPr>
        <w:t>完成预算100</w:t>
      </w:r>
      <w:r>
        <w:rPr>
          <w:rStyle w:val="16"/>
          <w:rFonts w:ascii="仿宋" w:hAnsi="仿宋" w:eastAsia="仿宋"/>
          <w:bCs/>
          <w:sz w:val="32"/>
          <w:szCs w:val="32"/>
        </w:rPr>
        <w:t>%</w:t>
      </w:r>
      <w:r>
        <w:rPr>
          <w:rStyle w:val="16"/>
          <w:rFonts w:hint="eastAsia" w:ascii="仿宋" w:hAnsi="仿宋" w:eastAsia="仿宋"/>
          <w:bCs/>
          <w:sz w:val="32"/>
          <w:szCs w:val="32"/>
        </w:rPr>
        <w:t>。其中：</w:t>
      </w:r>
    </w:p>
    <w:p>
      <w:pPr>
        <w:numPr>
          <w:ilvl w:val="0"/>
          <w:numId w:val="3"/>
        </w:numPr>
        <w:spacing w:line="600" w:lineRule="exact"/>
        <w:ind w:firstLine="640" w:firstLineChars="200"/>
        <w:rPr>
          <w:rStyle w:val="16"/>
          <w:rFonts w:ascii="仿宋" w:hAnsi="仿宋" w:eastAsia="仿宋"/>
          <w:b w:val="0"/>
          <w:bCs/>
          <w:sz w:val="32"/>
          <w:szCs w:val="32"/>
        </w:rPr>
      </w:pPr>
      <w:r>
        <w:rPr>
          <w:rStyle w:val="16"/>
          <w:rFonts w:hint="eastAsia" w:ascii="仿宋" w:hAnsi="仿宋" w:eastAsia="仿宋"/>
          <w:bCs/>
          <w:sz w:val="32"/>
          <w:szCs w:val="32"/>
        </w:rPr>
        <w:t>社会保障和就业（类）</w:t>
      </w:r>
      <w:r>
        <w:rPr>
          <w:rStyle w:val="16"/>
          <w:rFonts w:hint="eastAsia" w:ascii="仿宋" w:hAnsi="仿宋" w:eastAsia="仿宋" w:cstheme="minorBidi"/>
          <w:bCs/>
          <w:sz w:val="32"/>
          <w:szCs w:val="32"/>
        </w:rPr>
        <w:t>行政事业单位养老支出（款）机关事业单位基本养老保险缴费支出（项）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支出决算为37.89万元，完成预算100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numPr>
          <w:ilvl w:val="0"/>
          <w:numId w:val="3"/>
        </w:numPr>
        <w:spacing w:line="600" w:lineRule="exact"/>
        <w:ind w:firstLine="640" w:firstLineChars="200"/>
        <w:rPr>
          <w:rStyle w:val="16"/>
          <w:rFonts w:ascii="仿宋" w:hAnsi="仿宋" w:eastAsia="仿宋"/>
          <w:b w:val="0"/>
          <w:bCs/>
          <w:sz w:val="32"/>
          <w:szCs w:val="32"/>
        </w:rPr>
      </w:pPr>
      <w:r>
        <w:rPr>
          <w:rStyle w:val="16"/>
          <w:rFonts w:hint="eastAsia" w:ascii="仿宋" w:hAnsi="仿宋" w:eastAsia="仿宋"/>
          <w:bCs/>
          <w:sz w:val="32"/>
          <w:szCs w:val="32"/>
        </w:rPr>
        <w:t>社会保障和就业（类）</w:t>
      </w:r>
      <w:r>
        <w:rPr>
          <w:rStyle w:val="16"/>
          <w:rFonts w:hint="eastAsia" w:ascii="仿宋" w:hAnsi="仿宋" w:eastAsia="仿宋"/>
          <w:b w:val="0"/>
          <w:bCs/>
          <w:sz w:val="32"/>
          <w:szCs w:val="32"/>
        </w:rPr>
        <w:t>其他社会保障和就业支出</w:t>
      </w:r>
      <w:r>
        <w:rPr>
          <w:rStyle w:val="16"/>
          <w:rFonts w:hint="eastAsia" w:ascii="仿宋" w:hAnsi="仿宋" w:eastAsia="仿宋" w:cstheme="minorBidi"/>
          <w:bCs/>
          <w:sz w:val="32"/>
          <w:szCs w:val="32"/>
        </w:rPr>
        <w:t>（款）</w:t>
      </w:r>
      <w:r>
        <w:rPr>
          <w:rStyle w:val="16"/>
          <w:rFonts w:hint="eastAsia" w:ascii="仿宋" w:hAnsi="仿宋" w:eastAsia="仿宋"/>
          <w:b w:val="0"/>
          <w:bCs/>
          <w:sz w:val="32"/>
          <w:szCs w:val="32"/>
        </w:rPr>
        <w:t>其他社会保障和就业支出</w:t>
      </w:r>
      <w:r>
        <w:rPr>
          <w:rStyle w:val="16"/>
          <w:rFonts w:hint="eastAsia" w:ascii="仿宋" w:hAnsi="仿宋" w:eastAsia="仿宋" w:cstheme="minorBidi"/>
          <w:bCs/>
          <w:sz w:val="32"/>
          <w:szCs w:val="32"/>
        </w:rPr>
        <w:t>（项）</w:t>
      </w:r>
      <w:r>
        <w:rPr>
          <w:rStyle w:val="16"/>
          <w:rFonts w:hint="eastAsia" w:ascii="仿宋" w:hAnsi="仿宋" w:eastAsia="仿宋"/>
          <w:b w:val="0"/>
          <w:bCs/>
          <w:sz w:val="32"/>
          <w:szCs w:val="32"/>
        </w:rPr>
        <w:t>支出决算为2.60万元，完成预算100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0" w:firstLineChars="200"/>
        <w:rPr>
          <w:rStyle w:val="16"/>
          <w:rFonts w:ascii="仿宋" w:hAnsi="仿宋" w:eastAsia="仿宋"/>
          <w:b w:val="0"/>
          <w:bCs/>
          <w:sz w:val="32"/>
          <w:szCs w:val="32"/>
        </w:rPr>
      </w:pPr>
      <w:r>
        <w:rPr>
          <w:rStyle w:val="16"/>
          <w:rFonts w:hint="eastAsia" w:ascii="仿宋" w:hAnsi="仿宋" w:eastAsia="仿宋"/>
          <w:bCs/>
          <w:sz w:val="32"/>
          <w:szCs w:val="32"/>
        </w:rPr>
        <w:t>3</w:t>
      </w:r>
      <w:r>
        <w:rPr>
          <w:rStyle w:val="16"/>
          <w:rFonts w:ascii="仿宋" w:hAnsi="仿宋" w:eastAsia="仿宋"/>
          <w:bCs/>
          <w:sz w:val="32"/>
          <w:szCs w:val="32"/>
        </w:rPr>
        <w:t>.</w:t>
      </w:r>
      <w:r>
        <w:rPr>
          <w:rFonts w:hint="eastAsia" w:ascii="仿宋" w:hAnsi="仿宋" w:eastAsia="仿宋"/>
          <w:b/>
          <w:bCs/>
          <w:sz w:val="32"/>
          <w:szCs w:val="32"/>
        </w:rPr>
        <w:t>卫生健康</w:t>
      </w:r>
      <w:r>
        <w:rPr>
          <w:rStyle w:val="16"/>
          <w:rFonts w:hint="eastAsia" w:ascii="仿宋" w:hAnsi="仿宋" w:eastAsia="仿宋"/>
          <w:bCs/>
          <w:sz w:val="32"/>
          <w:szCs w:val="32"/>
        </w:rPr>
        <w:t>（类）</w:t>
      </w:r>
      <w:r>
        <w:rPr>
          <w:rFonts w:hint="eastAsia" w:ascii="仿宋" w:hAnsi="仿宋" w:eastAsia="仿宋"/>
          <w:b/>
          <w:bCs/>
          <w:sz w:val="32"/>
          <w:szCs w:val="32"/>
        </w:rPr>
        <w:t>基层医疗卫生机构（款</w:t>
      </w:r>
      <w:r>
        <w:rPr>
          <w:rStyle w:val="16"/>
          <w:rFonts w:hint="eastAsia" w:ascii="仿宋" w:hAnsi="仿宋" w:eastAsia="仿宋"/>
          <w:bCs/>
          <w:sz w:val="32"/>
          <w:szCs w:val="32"/>
        </w:rPr>
        <w:t>）</w:t>
      </w:r>
      <w:r>
        <w:rPr>
          <w:rFonts w:hint="eastAsia" w:ascii="仿宋" w:hAnsi="仿宋" w:eastAsia="仿宋"/>
          <w:b/>
          <w:bCs/>
          <w:sz w:val="32"/>
          <w:szCs w:val="32"/>
        </w:rPr>
        <w:t>乡镇卫生院（项）:</w:t>
      </w:r>
      <w:r>
        <w:rPr>
          <w:rStyle w:val="16"/>
          <w:rFonts w:hint="eastAsia" w:ascii="仿宋" w:hAnsi="仿宋" w:eastAsia="仿宋"/>
          <w:b w:val="0"/>
          <w:bCs/>
          <w:sz w:val="32"/>
          <w:szCs w:val="32"/>
        </w:rPr>
        <w:t>支出决算为268.28万元，完成预算100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0" w:firstLineChars="200"/>
        <w:rPr>
          <w:rStyle w:val="16"/>
          <w:rFonts w:ascii="仿宋" w:hAnsi="仿宋" w:eastAsia="仿宋"/>
          <w:b w:val="0"/>
          <w:bCs/>
          <w:sz w:val="32"/>
          <w:szCs w:val="32"/>
        </w:rPr>
      </w:pPr>
      <w:r>
        <w:rPr>
          <w:rFonts w:hint="eastAsia" w:ascii="仿宋" w:hAnsi="仿宋" w:eastAsia="仿宋"/>
          <w:b/>
          <w:bCs/>
          <w:sz w:val="32"/>
          <w:szCs w:val="32"/>
        </w:rPr>
        <w:t>4.卫生健康</w:t>
      </w:r>
      <w:r>
        <w:rPr>
          <w:rStyle w:val="16"/>
          <w:rFonts w:hint="eastAsia" w:ascii="仿宋" w:hAnsi="仿宋" w:eastAsia="仿宋"/>
          <w:bCs/>
          <w:sz w:val="32"/>
          <w:szCs w:val="32"/>
        </w:rPr>
        <w:t>（类）基层医疗卫生机构（款）其他基层医疗卫生机构支出（项）</w:t>
      </w:r>
      <w:r>
        <w:rPr>
          <w:rStyle w:val="16"/>
          <w:rFonts w:ascii="仿宋" w:hAnsi="仿宋" w:eastAsia="仿宋"/>
          <w:bCs/>
          <w:sz w:val="32"/>
          <w:szCs w:val="32"/>
        </w:rPr>
        <w:t>:</w:t>
      </w:r>
      <w:r>
        <w:rPr>
          <w:rStyle w:val="16"/>
          <w:rFonts w:hint="eastAsia" w:ascii="仿宋" w:hAnsi="仿宋" w:eastAsia="仿宋"/>
          <w:b w:val="0"/>
          <w:bCs/>
          <w:sz w:val="32"/>
          <w:szCs w:val="32"/>
        </w:rPr>
        <w:t>支出决算为56.08万元，完成预算100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0" w:firstLineChars="200"/>
        <w:rPr>
          <w:rStyle w:val="16"/>
          <w:rFonts w:ascii="仿宋" w:hAnsi="仿宋" w:eastAsia="仿宋"/>
          <w:b w:val="0"/>
          <w:bCs/>
          <w:sz w:val="32"/>
          <w:szCs w:val="32"/>
        </w:rPr>
      </w:pPr>
      <w:r>
        <w:rPr>
          <w:rFonts w:hint="eastAsia" w:ascii="仿宋" w:hAnsi="仿宋" w:eastAsia="仿宋"/>
          <w:b/>
          <w:bCs/>
          <w:sz w:val="32"/>
          <w:szCs w:val="32"/>
        </w:rPr>
        <w:t>5.卫生健康</w:t>
      </w:r>
      <w:r>
        <w:rPr>
          <w:rStyle w:val="16"/>
          <w:rFonts w:hint="eastAsia" w:ascii="仿宋" w:hAnsi="仿宋" w:eastAsia="仿宋"/>
          <w:bCs/>
          <w:sz w:val="32"/>
          <w:szCs w:val="32"/>
        </w:rPr>
        <w:t>（类）公共卫生（款）基本公共卫生服务（项）</w:t>
      </w:r>
      <w:r>
        <w:rPr>
          <w:rStyle w:val="16"/>
          <w:rFonts w:ascii="仿宋" w:hAnsi="仿宋" w:eastAsia="仿宋"/>
          <w:bCs/>
          <w:sz w:val="32"/>
          <w:szCs w:val="32"/>
        </w:rPr>
        <w:t>:</w:t>
      </w:r>
      <w:r>
        <w:rPr>
          <w:rStyle w:val="16"/>
          <w:rFonts w:hint="eastAsia" w:ascii="仿宋" w:hAnsi="仿宋" w:eastAsia="仿宋"/>
          <w:b w:val="0"/>
          <w:bCs/>
          <w:sz w:val="32"/>
          <w:szCs w:val="32"/>
        </w:rPr>
        <w:t>支出决算为183.63万元，完成预算100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0" w:firstLineChars="200"/>
        <w:rPr>
          <w:rStyle w:val="16"/>
          <w:rFonts w:ascii="仿宋" w:hAnsi="仿宋" w:eastAsia="仿宋"/>
          <w:b w:val="0"/>
          <w:bCs/>
          <w:sz w:val="32"/>
          <w:szCs w:val="32"/>
        </w:rPr>
      </w:pPr>
      <w:r>
        <w:rPr>
          <w:rFonts w:hint="eastAsia" w:ascii="仿宋" w:hAnsi="仿宋" w:eastAsia="仿宋"/>
          <w:b/>
          <w:bCs/>
          <w:sz w:val="32"/>
          <w:szCs w:val="32"/>
        </w:rPr>
        <w:t>6.卫生健康</w:t>
      </w:r>
      <w:r>
        <w:rPr>
          <w:rStyle w:val="16"/>
          <w:rFonts w:hint="eastAsia" w:ascii="仿宋" w:hAnsi="仿宋" w:eastAsia="仿宋"/>
          <w:bCs/>
          <w:sz w:val="32"/>
          <w:szCs w:val="32"/>
        </w:rPr>
        <w:t>（类）行政事业单位医疗（款）事业单位医疗（项）</w:t>
      </w:r>
      <w:r>
        <w:rPr>
          <w:rStyle w:val="16"/>
          <w:rFonts w:ascii="仿宋" w:hAnsi="仿宋" w:eastAsia="仿宋"/>
          <w:bCs/>
          <w:sz w:val="32"/>
          <w:szCs w:val="32"/>
        </w:rPr>
        <w:t>:</w:t>
      </w:r>
      <w:r>
        <w:rPr>
          <w:rStyle w:val="16"/>
          <w:rFonts w:hint="eastAsia" w:ascii="仿宋" w:hAnsi="仿宋" w:eastAsia="仿宋"/>
          <w:b w:val="0"/>
          <w:bCs/>
          <w:sz w:val="32"/>
          <w:szCs w:val="32"/>
        </w:rPr>
        <w:t>支出决算为18.94万元，完成预算100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pStyle w:val="12"/>
        <w:ind w:left="0" w:leftChars="0" w:firstLine="643"/>
        <w:rPr>
          <w:rStyle w:val="16"/>
          <w:rFonts w:ascii="仿宋" w:hAnsi="仿宋" w:eastAsia="仿宋" w:cstheme="minorBidi"/>
          <w:b w:val="0"/>
          <w:bCs/>
          <w:sz w:val="32"/>
        </w:rPr>
      </w:pPr>
      <w:r>
        <w:rPr>
          <w:rStyle w:val="16"/>
          <w:rFonts w:hint="eastAsia" w:ascii="仿宋" w:hAnsi="仿宋" w:eastAsia="仿宋" w:cstheme="minorBidi"/>
          <w:bCs/>
          <w:sz w:val="32"/>
        </w:rPr>
        <w:t>7.</w:t>
      </w:r>
      <w:r>
        <w:rPr>
          <w:rFonts w:hint="eastAsia" w:ascii="仿宋" w:hAnsi="仿宋" w:eastAsia="仿宋"/>
          <w:b/>
          <w:bCs/>
          <w:sz w:val="32"/>
        </w:rPr>
        <w:t>住房保障(类）住房改革支出(款）住房公积金（项）：</w:t>
      </w:r>
      <w:r>
        <w:rPr>
          <w:rStyle w:val="16"/>
          <w:rFonts w:hint="eastAsia" w:ascii="仿宋" w:hAnsi="仿宋" w:eastAsia="仿宋" w:cstheme="minorBidi"/>
          <w:b w:val="0"/>
          <w:bCs/>
          <w:sz w:val="32"/>
        </w:rPr>
        <w:t>支出决算为28.41万元，完成预算100%。</w:t>
      </w:r>
    </w:p>
    <w:p>
      <w:pPr>
        <w:spacing w:line="600" w:lineRule="exact"/>
        <w:ind w:firstLine="640"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w:t>
      </w:r>
    </w:p>
    <w:p>
      <w:pPr>
        <w:tabs>
          <w:tab w:val="right" w:pos="8306"/>
        </w:tabs>
        <w:spacing w:line="600" w:lineRule="exact"/>
        <w:ind w:firstLine="640"/>
        <w:outlineLvl w:val="1"/>
        <w:rPr>
          <w:rStyle w:val="19"/>
        </w:rPr>
      </w:pPr>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19"/>
          <w:rFonts w:hint="eastAsia" w:ascii="黑体" w:hAnsi="黑体" w:eastAsia="黑体"/>
          <w:b w:val="0"/>
        </w:rPr>
        <w:t>般公共预算财政拨款基本支出决算情况说明</w:t>
      </w:r>
      <w:r>
        <w:rPr>
          <w:rStyle w:val="19"/>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2023年度一般公共预算财政拨款基本支出323.63万元，其中：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323.63万元，主要包括：基本工资、绩效工资、机关事业单位基本养老保险缴费、职工基本医疗保险缴费、其他社会保障缴费、住房公积金、生活补助、医疗费补助、奖励金、住房公积金、其他对个人和家庭的补助支出。</w:t>
      </w:r>
    </w:p>
    <w:p>
      <w:pPr>
        <w:spacing w:line="600" w:lineRule="exact"/>
        <w:ind w:firstLine="645"/>
        <w:rPr>
          <w:rFonts w:ascii="仿宋" w:hAnsi="仿宋" w:eastAsia="仿宋"/>
          <w:sz w:val="32"/>
          <w:szCs w:val="32"/>
        </w:rPr>
      </w:pPr>
      <w:r>
        <w:rPr>
          <w:rFonts w:hint="eastAsia" w:ascii="仿宋" w:hAnsi="仿宋" w:eastAsia="仿宋"/>
          <w:sz w:val="32"/>
          <w:szCs w:val="32"/>
        </w:rPr>
        <w:t>公用经费3.91万元，主要包括：工会经费、福利费、支出。</w:t>
      </w:r>
    </w:p>
    <w:p>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w:t>
      </w:r>
    </w:p>
    <w:p>
      <w:pPr>
        <w:spacing w:line="600" w:lineRule="exact"/>
        <w:ind w:firstLine="640"/>
        <w:outlineLvl w:val="1"/>
        <w:rPr>
          <w:rStyle w:val="19"/>
          <w:rFonts w:ascii="黑体" w:hAnsi="黑体" w:eastAsia="黑体"/>
          <w:b w:val="0"/>
        </w:rPr>
      </w:pPr>
      <w:r>
        <w:rPr>
          <w:rFonts w:hint="eastAsia" w:ascii="黑体" w:eastAsia="黑体"/>
          <w:sz w:val="32"/>
          <w:szCs w:val="32"/>
        </w:rPr>
        <w:t>七、</w:t>
      </w:r>
      <w:r>
        <w:rPr>
          <w:rStyle w:val="19"/>
          <w:rFonts w:hint="eastAsia" w:ascii="黑体" w:hAnsi="黑体" w:eastAsia="黑体"/>
          <w:b w:val="0"/>
        </w:rPr>
        <w:t>财政拨款</w:t>
      </w:r>
      <w:r>
        <w:rPr>
          <w:rStyle w:val="19"/>
          <w:rFonts w:hint="eastAsia" w:ascii="黑体" w:hAnsi="黑体" w:eastAsia="黑体"/>
        </w:rPr>
        <w:t>“</w:t>
      </w:r>
      <w:r>
        <w:rPr>
          <w:rStyle w:val="19"/>
          <w:rFonts w:hint="eastAsia" w:ascii="黑体" w:hAnsi="黑体" w:eastAsia="黑体"/>
          <w:b w:val="0"/>
        </w:rPr>
        <w:t>三公”经费支出决算情况说明</w:t>
      </w:r>
    </w:p>
    <w:p>
      <w:pPr>
        <w:spacing w:line="600" w:lineRule="exact"/>
        <w:ind w:firstLine="640"/>
        <w:outlineLvl w:val="2"/>
        <w:rPr>
          <w:rFonts w:ascii="仿宋" w:hAnsi="仿宋" w:eastAsia="仿宋"/>
          <w:b/>
          <w:sz w:val="32"/>
          <w:szCs w:val="32"/>
        </w:rPr>
      </w:pPr>
      <w:r>
        <w:rPr>
          <w:rFonts w:hint="eastAsia" w:ascii="仿宋" w:hAnsi="仿宋" w:eastAsia="仿宋"/>
          <w:b/>
          <w:sz w:val="32"/>
          <w:szCs w:val="32"/>
        </w:rPr>
        <w:t>（一）“三公”经费财政拨款支出决算总体情况说明</w:t>
      </w:r>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2023年度“三公”经费财政拨款支出决算为0万元。</w:t>
      </w:r>
    </w:p>
    <w:p>
      <w:pPr>
        <w:spacing w:line="600" w:lineRule="exact"/>
        <w:ind w:firstLine="640"/>
        <w:outlineLvl w:val="2"/>
        <w:rPr>
          <w:rFonts w:ascii="仿宋" w:hAnsi="仿宋" w:eastAsia="仿宋"/>
          <w:b/>
          <w:sz w:val="32"/>
          <w:szCs w:val="32"/>
        </w:rPr>
      </w:pPr>
      <w:r>
        <w:rPr>
          <w:rFonts w:hint="eastAsia" w:ascii="仿宋" w:hAnsi="仿宋" w:eastAsia="仿宋"/>
          <w:b/>
          <w:sz w:val="32"/>
          <w:szCs w:val="32"/>
        </w:rPr>
        <w:t>（二）“三公”经费财政拨款支出决算具体情况说明</w:t>
      </w:r>
    </w:p>
    <w:p>
      <w:pPr>
        <w:spacing w:line="600" w:lineRule="exact"/>
        <w:ind w:firstLine="640"/>
        <w:outlineLvl w:val="2"/>
        <w:rPr>
          <w:rFonts w:ascii="仿宋" w:hAnsi="仿宋" w:eastAsia="仿宋"/>
          <w:b/>
          <w:sz w:val="32"/>
          <w:szCs w:val="32"/>
        </w:rPr>
      </w:pPr>
      <w:r>
        <w:rPr>
          <w:rFonts w:hint="eastAsia" w:ascii="仿宋" w:hAnsi="仿宋" w:eastAsia="仿宋"/>
          <w:b/>
          <w:sz w:val="32"/>
          <w:szCs w:val="32"/>
        </w:rPr>
        <w:t>“三公”经费财政拨款支出决算具体情况说明</w:t>
      </w:r>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23年“三公”经费财政拨款支出决算中，因公出国（境）费支出决算0万元；公务用车购置及运行维护费支出决算0万元；公务接待费支出决算0万元。具体情况如下：</w:t>
      </w:r>
    </w:p>
    <w:p>
      <w:pPr>
        <w:spacing w:line="600" w:lineRule="exact"/>
        <w:ind w:firstLine="640"/>
        <w:rPr>
          <w:rFonts w:ascii="仿宋_GB2312" w:eastAsia="仿宋_GB2312"/>
          <w:sz w:val="32"/>
          <w:szCs w:val="32"/>
          <w:highlight w:val="yellow"/>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6"/>
          <w:rFonts w:hint="eastAsia" w:ascii="仿宋" w:hAnsi="仿宋" w:eastAsia="仿宋"/>
          <w:b w:val="0"/>
          <w:bCs/>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6"/>
          <w:rFonts w:hint="eastAsia" w:ascii="仿宋" w:hAnsi="仿宋" w:eastAsia="仿宋"/>
          <w:b w:val="0"/>
          <w:bCs/>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0万元。截至</w:t>
      </w:r>
      <w:r>
        <w:rPr>
          <w:rFonts w:ascii="仿宋_GB2312" w:eastAsia="仿宋_GB2312"/>
          <w:sz w:val="32"/>
          <w:szCs w:val="32"/>
        </w:rPr>
        <w:t>20</w:t>
      </w:r>
      <w:r>
        <w:rPr>
          <w:rFonts w:hint="eastAsia" w:ascii="仿宋_GB2312" w:eastAsia="仿宋_GB2312"/>
          <w:sz w:val="32"/>
          <w:szCs w:val="32"/>
        </w:rPr>
        <w:t>23年</w:t>
      </w:r>
      <w:r>
        <w:rPr>
          <w:rFonts w:ascii="仿宋_GB2312" w:eastAsia="仿宋_GB2312"/>
          <w:sz w:val="32"/>
          <w:szCs w:val="32"/>
        </w:rPr>
        <w:t>12</w:t>
      </w:r>
      <w:r>
        <w:rPr>
          <w:rFonts w:hint="eastAsia" w:ascii="仿宋_GB2312" w:eastAsia="仿宋_GB2312"/>
          <w:sz w:val="32"/>
          <w:szCs w:val="32"/>
        </w:rPr>
        <w:t>月底，单位共有公务用车0辆。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r>
        <w:rPr>
          <w:rStyle w:val="16"/>
          <w:rFonts w:hint="eastAsia" w:ascii="仿宋" w:hAnsi="仿宋" w:eastAsia="仿宋"/>
          <w:b w:val="0"/>
          <w:bCs/>
          <w:sz w:val="32"/>
          <w:szCs w:val="32"/>
        </w:rPr>
        <w:t>。</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w:t>
      </w:r>
    </w:p>
    <w:p>
      <w:pPr>
        <w:spacing w:line="600" w:lineRule="exact"/>
        <w:ind w:firstLine="640"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w:t>
      </w:r>
    </w:p>
    <w:p>
      <w:pPr>
        <w:spacing w:line="600" w:lineRule="exact"/>
        <w:ind w:firstLine="640"/>
        <w:outlineLvl w:val="1"/>
        <w:rPr>
          <w:rStyle w:val="19"/>
          <w:rFonts w:ascii="黑体" w:hAnsi="黑体" w:eastAsia="黑体"/>
        </w:rPr>
      </w:pPr>
      <w:r>
        <w:rPr>
          <w:rFonts w:hint="eastAsia" w:ascii="黑体" w:eastAsia="黑体"/>
          <w:sz w:val="32"/>
          <w:szCs w:val="32"/>
        </w:rPr>
        <w:t>八、</w:t>
      </w:r>
      <w:r>
        <w:rPr>
          <w:rStyle w:val="19"/>
          <w:rFonts w:hint="eastAsia" w:ascii="黑体" w:hAnsi="黑体" w:eastAsia="黑体"/>
          <w:b w:val="0"/>
        </w:rPr>
        <w:t>政府性基金预算支出决算情况说明</w:t>
      </w:r>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2023年度政府性基金预算财政拨款支出0万元。</w:t>
      </w:r>
    </w:p>
    <w:p>
      <w:pPr>
        <w:spacing w:line="600" w:lineRule="exact"/>
        <w:ind w:firstLine="640" w:firstLineChars="200"/>
        <w:outlineLvl w:val="1"/>
        <w:rPr>
          <w:rStyle w:val="19"/>
          <w:rFonts w:ascii="黑体" w:hAnsi="黑体" w:eastAsia="黑体"/>
          <w:b w:val="0"/>
        </w:rPr>
      </w:pPr>
      <w:r>
        <w:rPr>
          <w:rStyle w:val="19"/>
          <w:rFonts w:hint="eastAsia" w:ascii="黑体" w:hAnsi="黑体" w:eastAsia="黑体"/>
          <w:b w:val="0"/>
        </w:rPr>
        <w:t>九、国有资本经营预算支出决算情况说明</w:t>
      </w:r>
    </w:p>
    <w:p>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2023年度国有资本经营预算财政拨款支出0万元。</w:t>
      </w:r>
    </w:p>
    <w:p>
      <w:pPr>
        <w:spacing w:line="600" w:lineRule="exact"/>
        <w:ind w:firstLine="640" w:firstLineChars="200"/>
        <w:outlineLvl w:val="1"/>
        <w:rPr>
          <w:rStyle w:val="19"/>
          <w:rFonts w:ascii="黑体" w:hAnsi="黑体" w:eastAsia="黑体"/>
          <w:b w:val="0"/>
        </w:rPr>
      </w:pPr>
      <w:r>
        <w:rPr>
          <w:rStyle w:val="19"/>
          <w:rFonts w:hint="eastAsia" w:ascii="黑体" w:hAnsi="黑体" w:eastAsia="黑体"/>
          <w:b w:val="0"/>
        </w:rPr>
        <w:t>十、其他重要事项的情况说明</w:t>
      </w:r>
    </w:p>
    <w:p>
      <w:pPr>
        <w:spacing w:line="600" w:lineRule="exact"/>
        <w:ind w:firstLine="640" w:firstLineChars="200"/>
        <w:outlineLvl w:val="2"/>
        <w:rPr>
          <w:rFonts w:ascii="仿宋" w:hAnsi="仿宋" w:eastAsia="仿宋"/>
          <w:sz w:val="32"/>
          <w:szCs w:val="32"/>
        </w:rPr>
      </w:pPr>
      <w:r>
        <w:rPr>
          <w:rFonts w:hint="eastAsia" w:ascii="仿宋" w:hAnsi="仿宋" w:eastAsia="仿宋"/>
          <w:b/>
          <w:sz w:val="32"/>
          <w:szCs w:val="32"/>
        </w:rPr>
        <w:t>（一）机关运行经费支出情况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2023年度，广元市利州区三堆镇卫生院机关运行经费支出0万元。</w:t>
      </w:r>
    </w:p>
    <w:p>
      <w:pPr>
        <w:spacing w:line="600" w:lineRule="exact"/>
        <w:ind w:firstLine="640"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0" w:firstLineChars="200"/>
        <w:jc w:val="left"/>
        <w:outlineLvl w:val="2"/>
        <w:rPr>
          <w:rFonts w:ascii="仿宋" w:hAnsi="仿宋" w:eastAsia="仿宋"/>
          <w:b/>
          <w:sz w:val="32"/>
          <w:szCs w:val="32"/>
        </w:rPr>
      </w:pPr>
      <w:r>
        <w:rPr>
          <w:rFonts w:hint="eastAsia" w:ascii="仿宋" w:hAnsi="仿宋" w:eastAsia="仿宋"/>
          <w:b/>
          <w:sz w:val="32"/>
          <w:szCs w:val="32"/>
        </w:rPr>
        <w:t>（二）政府采购支出情况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2023年度，广元市利州区三堆镇卫生院政府采购支出总额0万元。</w:t>
      </w:r>
    </w:p>
    <w:p>
      <w:pPr>
        <w:spacing w:line="600" w:lineRule="exact"/>
        <w:ind w:firstLine="640"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0" w:firstLineChars="200"/>
        <w:jc w:val="left"/>
        <w:outlineLvl w:val="2"/>
        <w:rPr>
          <w:rFonts w:ascii="仿宋" w:hAnsi="仿宋" w:eastAsia="仿宋"/>
          <w:b/>
          <w:sz w:val="32"/>
          <w:szCs w:val="32"/>
        </w:rPr>
      </w:pPr>
      <w:bookmarkStart w:id="11" w:name="_Toc15377224"/>
      <w:r>
        <w:rPr>
          <w:rFonts w:hint="eastAsia" w:ascii="仿宋" w:hAnsi="仿宋" w:eastAsia="仿宋"/>
          <w:b/>
          <w:sz w:val="32"/>
          <w:szCs w:val="32"/>
        </w:rPr>
        <w:t>（三）国有资产占有使用情况</w:t>
      </w:r>
      <w:bookmarkEnd w:id="11"/>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日，广元市利州区三堆镇卫生院共有车辆1辆，其中：其他用车1辆，其他用车主要是用于医疗负压救护车。单价</w:t>
      </w:r>
      <w:r>
        <w:rPr>
          <w:rFonts w:ascii="仿宋_GB2312" w:eastAsia="仿宋_GB2312"/>
          <w:sz w:val="32"/>
          <w:szCs w:val="32"/>
        </w:rPr>
        <w:t>100</w:t>
      </w:r>
      <w:r>
        <w:rPr>
          <w:rFonts w:hint="eastAsia" w:ascii="仿宋_GB2312" w:eastAsia="仿宋_GB2312"/>
          <w:sz w:val="32"/>
          <w:szCs w:val="32"/>
        </w:rPr>
        <w:t>万元以上专用设备1套。</w:t>
      </w:r>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0"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pStyle w:val="5"/>
        <w:ind w:firstLine="640" w:firstLineChars="200"/>
        <w:rPr>
          <w:highlight w:val="yellow"/>
        </w:rPr>
      </w:pPr>
      <w:r>
        <w:rPr>
          <w:rFonts w:hint="eastAsia" w:ascii="仿宋_GB2312" w:hAnsi="仿宋_GB2312" w:eastAsia="仿宋_GB2312" w:cs="仿宋_GB2312"/>
          <w:sz w:val="32"/>
          <w:szCs w:val="32"/>
        </w:rPr>
        <w:t>根据预算绩效管理要求，本单位在2023年度预算编制阶段，组织对</w:t>
      </w:r>
      <w:r>
        <w:rPr>
          <w:rFonts w:hint="eastAsia" w:hAnsi="仿宋_GB2312" w:cs="仿宋_GB2312"/>
          <w:sz w:val="32"/>
          <w:szCs w:val="32"/>
        </w:rPr>
        <w:t>基本公共卫生服务</w:t>
      </w:r>
      <w:r>
        <w:rPr>
          <w:rFonts w:hint="eastAsia" w:ascii="仿宋_GB2312" w:hAnsi="仿宋_GB2312" w:eastAsia="仿宋_GB2312" w:cs="仿宋_GB2312"/>
          <w:sz w:val="32"/>
          <w:szCs w:val="32"/>
        </w:rPr>
        <w:t>项目</w:t>
      </w:r>
      <w:r>
        <w:rPr>
          <w:rFonts w:hint="eastAsia" w:hAnsi="仿宋_GB2312" w:cs="仿宋_GB2312"/>
          <w:sz w:val="32"/>
          <w:szCs w:val="32"/>
        </w:rPr>
        <w:t>、基层医疗机构基本药物项目、基本药物制度村卫生室项目7</w:t>
      </w:r>
      <w:r>
        <w:rPr>
          <w:rFonts w:hint="eastAsia" w:ascii="仿宋_GB2312" w:hAnsi="仿宋_GB2312" w:eastAsia="仿宋_GB2312" w:cs="仿宋_GB2312"/>
          <w:sz w:val="32"/>
          <w:szCs w:val="32"/>
        </w:rPr>
        <w:t>个项目开展了预算事前绩效评估，对</w:t>
      </w:r>
      <w:r>
        <w:rPr>
          <w:rFonts w:hint="eastAsia" w:hAnsi="仿宋_GB2312" w:cs="仿宋_GB2312"/>
          <w:sz w:val="32"/>
          <w:szCs w:val="32"/>
        </w:rPr>
        <w:t>7</w:t>
      </w:r>
      <w:r>
        <w:rPr>
          <w:rFonts w:hint="eastAsia" w:ascii="仿宋_GB2312" w:hAnsi="仿宋_GB2312" w:eastAsia="仿宋_GB2312" w:cs="仿宋_GB2312"/>
          <w:sz w:val="32"/>
          <w:szCs w:val="32"/>
        </w:rPr>
        <w:t>个项目编制了绩效目标，预算执行过程中，选取</w:t>
      </w:r>
      <w:r>
        <w:rPr>
          <w:rFonts w:hint="eastAsia" w:hAnsi="仿宋_GB2312" w:cs="仿宋_GB2312"/>
          <w:sz w:val="32"/>
          <w:szCs w:val="32"/>
        </w:rPr>
        <w:t>7</w:t>
      </w:r>
      <w:r>
        <w:rPr>
          <w:rFonts w:hint="eastAsia" w:ascii="仿宋_GB2312" w:hAnsi="仿宋_GB2312" w:eastAsia="仿宋_GB2312" w:cs="仿宋_GB2312"/>
          <w:sz w:val="32"/>
          <w:szCs w:val="32"/>
        </w:rPr>
        <w:t>个项目开展绩效监控，组织对</w:t>
      </w:r>
      <w:r>
        <w:rPr>
          <w:rFonts w:hint="eastAsia" w:hAnsi="仿宋_GB2312" w:cs="仿宋_GB2312"/>
          <w:sz w:val="32"/>
          <w:szCs w:val="32"/>
        </w:rPr>
        <w:t>7</w:t>
      </w:r>
      <w:r>
        <w:rPr>
          <w:rFonts w:hint="eastAsia" w:ascii="仿宋_GB2312" w:hAnsi="仿宋_GB2312" w:eastAsia="仿宋_GB2312" w:cs="仿宋_GB2312"/>
          <w:sz w:val="32"/>
          <w:szCs w:val="32"/>
        </w:rPr>
        <w:t>个项目开展绩效自评，绩效自评表详见第四部分附件。</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18"/>
          <w:rFonts w:ascii="黑体" w:hAnsi="黑体" w:eastAsia="黑体"/>
          <w:b w:val="0"/>
        </w:rPr>
      </w:pPr>
      <w:bookmarkStart w:id="12" w:name="_Toc15377225"/>
      <w:bookmarkStart w:id="13" w:name="_Toc15396613"/>
      <w:r>
        <w:rPr>
          <w:rFonts w:hint="eastAsia" w:ascii="黑体" w:hAnsi="黑体" w:eastAsia="黑体"/>
          <w:sz w:val="44"/>
          <w:szCs w:val="44"/>
        </w:rPr>
        <w:t>名</w:t>
      </w:r>
      <w:r>
        <w:rPr>
          <w:rStyle w:val="18"/>
          <w:rFonts w:hint="eastAsia" w:ascii="黑体" w:hAnsi="黑体" w:eastAsia="黑体"/>
          <w:b w:val="0"/>
        </w:rPr>
        <w:t>词解释</w:t>
      </w:r>
      <w:bookmarkEnd w:id="12"/>
      <w:bookmarkEnd w:id="13"/>
    </w:p>
    <w:p>
      <w:pPr>
        <w:spacing w:line="600" w:lineRule="exact"/>
        <w:jc w:val="left"/>
        <w:rPr>
          <w:rFonts w:ascii="宋体"/>
          <w:b/>
          <w:sz w:val="44"/>
          <w:szCs w:val="44"/>
        </w:rPr>
      </w:pPr>
    </w:p>
    <w:p>
      <w:pPr>
        <w:pStyle w:val="21"/>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1"/>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事业收入：指事业单位开展专业业务活动及辅助活动取得的收入，如医疗收入等。</w:t>
      </w:r>
    </w:p>
    <w:p>
      <w:pPr>
        <w:pStyle w:val="21"/>
        <w:spacing w:line="560" w:lineRule="exact"/>
        <w:ind w:left="638" w:leftChars="304"/>
        <w:rPr>
          <w:rFonts w:ascii="仿宋_GB2312" w:eastAsia="仿宋_GB2312"/>
          <w:color w:val="auto"/>
          <w:sz w:val="32"/>
          <w:szCs w:val="32"/>
        </w:rPr>
      </w:pPr>
      <w:r>
        <w:rPr>
          <w:rFonts w:hint="eastAsia" w:ascii="仿宋_GB2312" w:eastAsia="仿宋_GB2312"/>
          <w:color w:val="auto"/>
          <w:sz w:val="32"/>
          <w:szCs w:val="32"/>
        </w:rPr>
        <w:t>3.其他收入：指单位取得的除上述收入以外的各项收入主要是利息收入等。</w:t>
      </w:r>
    </w:p>
    <w:p>
      <w:pPr>
        <w:pStyle w:val="21"/>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1"/>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w:t>
      </w:r>
      <w:r>
        <w:rPr>
          <w:rFonts w:ascii="仿宋_GB2312" w:eastAsia="仿宋_GB2312"/>
          <w:color w:val="auto"/>
          <w:sz w:val="32"/>
          <w:szCs w:val="32"/>
        </w:rPr>
        <w:t>.</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1"/>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6.年末结转和结余：指单位按有关规定结转到下年或以后年度继续使用的资金。</w:t>
      </w:r>
    </w:p>
    <w:p>
      <w:pPr>
        <w:ind w:firstLine="640" w:firstLineChars="200"/>
        <w:rPr>
          <w:rFonts w:ascii="仿宋_GB2312" w:eastAsia="仿宋_GB2312" w:cs="仿宋"/>
          <w:kern w:val="0"/>
          <w:sz w:val="32"/>
          <w:szCs w:val="32"/>
        </w:rPr>
      </w:pPr>
      <w:r>
        <w:rPr>
          <w:rFonts w:hint="eastAsia" w:ascii="仿宋_GB2312" w:eastAsia="仿宋_GB2312"/>
          <w:sz w:val="32"/>
          <w:szCs w:val="32"/>
        </w:rPr>
        <w:t>7</w:t>
      </w:r>
      <w:r>
        <w:rPr>
          <w:rFonts w:hint="eastAsia" w:ascii="仿宋_GB2312" w:eastAsia="仿宋_GB2312" w:cs="仿宋"/>
          <w:kern w:val="0"/>
          <w:sz w:val="32"/>
          <w:szCs w:val="32"/>
        </w:rPr>
        <w:t>.社会保障和就业（类）行政事业养老支出（款）机关事业单位基本养老保险缴费支出（项）：指养老保险制度改革后由单位缴纳的基本养老保险费支出。</w:t>
      </w:r>
    </w:p>
    <w:p>
      <w:pPr>
        <w:ind w:firstLine="640" w:firstLineChars="200"/>
        <w:rPr>
          <w:rFonts w:ascii="仿宋_GB2312" w:eastAsia="仿宋_GB2312"/>
          <w:sz w:val="32"/>
          <w:szCs w:val="32"/>
        </w:rPr>
      </w:pPr>
      <w:r>
        <w:rPr>
          <w:rFonts w:hint="eastAsia" w:ascii="仿宋_GB2312" w:eastAsia="仿宋_GB2312"/>
          <w:sz w:val="32"/>
          <w:szCs w:val="32"/>
        </w:rPr>
        <w:t>8.社会保障和就业（类）行政事业单位养老支出（款）机关事业单位职业年金缴费支出（项）： 指由单位缴纳的职业年金保险费支出。</w:t>
      </w:r>
    </w:p>
    <w:p>
      <w:pPr>
        <w:ind w:firstLine="640" w:firstLineChars="200"/>
        <w:rPr>
          <w:rFonts w:ascii="仿宋_GB2312" w:eastAsia="仿宋_GB2312"/>
          <w:sz w:val="32"/>
          <w:szCs w:val="32"/>
        </w:rPr>
      </w:pPr>
      <w:r>
        <w:rPr>
          <w:rFonts w:hint="eastAsia" w:ascii="仿宋_GB2312" w:eastAsia="仿宋_GB2312"/>
          <w:sz w:val="32"/>
          <w:szCs w:val="32"/>
        </w:rPr>
        <w:t>9.社会保障和就业（类）其他社会保障和就业支出（款）其他社会保障和就业支出（项）指除机关养老保险、医疗保险以外的其他社会保险。</w:t>
      </w:r>
    </w:p>
    <w:p>
      <w:pPr>
        <w:ind w:firstLine="640" w:firstLineChars="200"/>
        <w:rPr>
          <w:rFonts w:ascii="仿宋_GB2312" w:eastAsia="仿宋_GB2312"/>
          <w:sz w:val="32"/>
          <w:szCs w:val="32"/>
        </w:rPr>
      </w:pPr>
      <w:r>
        <w:rPr>
          <w:rFonts w:hint="eastAsia" w:ascii="仿宋_GB2312" w:eastAsia="仿宋_GB2312"/>
          <w:sz w:val="32"/>
          <w:szCs w:val="32"/>
        </w:rPr>
        <w:t xml:space="preserve"> 10.卫生健康（类）基层医疗卫生机构（款）乡镇卫生院（项）指乡镇卫生院基本支出。</w:t>
      </w:r>
    </w:p>
    <w:p>
      <w:pPr>
        <w:ind w:firstLine="640" w:firstLineChars="200"/>
        <w:rPr>
          <w:rFonts w:ascii="仿宋_GB2312" w:eastAsia="仿宋_GB2312"/>
          <w:sz w:val="32"/>
          <w:szCs w:val="32"/>
        </w:rPr>
      </w:pPr>
      <w:r>
        <w:rPr>
          <w:rFonts w:hint="eastAsia" w:ascii="仿宋_GB2312" w:eastAsia="仿宋_GB2312"/>
          <w:sz w:val="32"/>
          <w:szCs w:val="32"/>
        </w:rPr>
        <w:t>11.卫生健康（类）基层医疗卫生机构（款）其他基层医疗卫生机构支出（项）指其他用于基层医疗卫生机构的项目支出。</w:t>
      </w:r>
    </w:p>
    <w:p>
      <w:pPr>
        <w:ind w:left="420" w:leftChars="200" w:firstLine="320" w:firstLineChars="100"/>
        <w:rPr>
          <w:rFonts w:ascii="仿宋_GB2312" w:eastAsia="仿宋_GB2312"/>
          <w:sz w:val="32"/>
          <w:szCs w:val="32"/>
        </w:rPr>
      </w:pPr>
      <w:r>
        <w:rPr>
          <w:rFonts w:hint="eastAsia" w:ascii="仿宋_GB2312" w:eastAsia="仿宋_GB2312"/>
          <w:sz w:val="32"/>
          <w:szCs w:val="32"/>
        </w:rPr>
        <w:t>12.</w:t>
      </w:r>
      <w:r>
        <w:rPr>
          <w:rFonts w:hint="eastAsia" w:ascii="仿宋_GB2312" w:hAnsi="Times New Roman" w:eastAsia="仿宋_GB2312"/>
          <w:sz w:val="32"/>
          <w:szCs w:val="32"/>
        </w:rPr>
        <w:t>卫生健康（类）公共卫生（款）基本公共卫生服务(项）：指基本公共卫生服务的支出</w:t>
      </w:r>
      <w:r>
        <w:rPr>
          <w:rFonts w:hint="eastAsia" w:ascii="仿宋_GB2312" w:eastAsia="仿宋_GB2312"/>
          <w:sz w:val="32"/>
          <w:szCs w:val="32"/>
        </w:rPr>
        <w:t>卫。</w:t>
      </w:r>
    </w:p>
    <w:p>
      <w:pPr>
        <w:spacing w:line="600" w:lineRule="exact"/>
        <w:ind w:firstLine="640" w:firstLineChars="200"/>
        <w:rPr>
          <w:rFonts w:ascii="仿宋_GB2312" w:hAnsi="Times New Roman" w:eastAsia="仿宋_GB2312"/>
          <w:sz w:val="32"/>
          <w:szCs w:val="32"/>
        </w:rPr>
      </w:pPr>
      <w:r>
        <w:rPr>
          <w:rFonts w:hint="eastAsia" w:ascii="仿宋_GB2312" w:eastAsia="仿宋_GB2312"/>
          <w:sz w:val="32"/>
          <w:szCs w:val="32"/>
        </w:rPr>
        <w:t>13</w:t>
      </w:r>
      <w:r>
        <w:rPr>
          <w:rFonts w:hint="eastAsia" w:ascii="仿宋_GB2312" w:hAnsi="Times New Roman" w:eastAsia="仿宋_GB2312"/>
          <w:sz w:val="32"/>
          <w:szCs w:val="32"/>
        </w:rPr>
        <w:t>.</w:t>
      </w:r>
      <w:r>
        <w:rPr>
          <w:rFonts w:hint="eastAsia" w:ascii="仿宋_GB2312" w:eastAsia="仿宋_GB2312"/>
          <w:sz w:val="32"/>
          <w:szCs w:val="32"/>
        </w:rPr>
        <w:t>卫生健康（类）</w:t>
      </w:r>
      <w:r>
        <w:rPr>
          <w:rFonts w:hint="eastAsia" w:ascii="仿宋_GB2312" w:hAnsi="Times New Roman" w:eastAsia="仿宋_GB2312"/>
          <w:sz w:val="32"/>
          <w:szCs w:val="32"/>
        </w:rPr>
        <w:t>行政事业单位医疗（款）事业单位医疗（项）：财政安排的事业单位基本医疗保险缴费支出。</w:t>
      </w:r>
    </w:p>
    <w:p>
      <w:pPr>
        <w:ind w:firstLine="640" w:firstLineChars="200"/>
        <w:rPr>
          <w:rFonts w:ascii="仿宋_GB2312" w:eastAsia="仿宋_GB2312"/>
          <w:sz w:val="32"/>
          <w:szCs w:val="32"/>
        </w:rPr>
      </w:pPr>
      <w:r>
        <w:rPr>
          <w:rFonts w:hint="eastAsia" w:ascii="仿宋_GB2312" w:eastAsia="仿宋_GB2312"/>
          <w:sz w:val="32"/>
          <w:szCs w:val="32"/>
        </w:rPr>
        <w:t>14.住房保障（类）住房改革支出（款）住房公积金（项）：指财政按规定比例为职工缴纳的住房公积金支出。</w:t>
      </w:r>
    </w:p>
    <w:p>
      <w:pPr>
        <w:ind w:firstLine="640" w:firstLineChars="200"/>
        <w:rPr>
          <w:rFonts w:ascii="仿宋_GB2312" w:eastAsia="仿宋_GB2312"/>
          <w:sz w:val="32"/>
          <w:szCs w:val="32"/>
        </w:rPr>
      </w:pPr>
      <w:r>
        <w:rPr>
          <w:rFonts w:hint="eastAsia" w:ascii="仿宋_GB2312" w:eastAsia="仿宋_GB2312"/>
          <w:sz w:val="32"/>
          <w:szCs w:val="32"/>
        </w:rPr>
        <w:t>16</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17</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1"/>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18</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18"/>
          <w:rFonts w:hint="eastAsia" w:ascii="黑体" w:hAnsi="黑体" w:eastAsia="黑体"/>
          <w:b w:val="0"/>
        </w:rPr>
      </w:pPr>
      <w:bookmarkStart w:id="14" w:name="_Toc15377226"/>
      <w:r>
        <w:rPr>
          <w:rFonts w:ascii="宋体"/>
          <w:b/>
          <w:sz w:val="44"/>
          <w:szCs w:val="44"/>
        </w:rPr>
        <w:br w:type="page"/>
      </w:r>
      <w:bookmarkStart w:id="15" w:name="_Toc15396614"/>
      <w:r>
        <w:rPr>
          <w:rFonts w:hint="eastAsia" w:ascii="黑体" w:hAnsi="黑体" w:eastAsia="黑体"/>
          <w:sz w:val="44"/>
          <w:szCs w:val="44"/>
        </w:rPr>
        <w:t>第</w:t>
      </w:r>
      <w:r>
        <w:rPr>
          <w:rStyle w:val="18"/>
          <w:rFonts w:hint="eastAsia" w:ascii="黑体" w:hAnsi="黑体" w:eastAsia="黑体"/>
          <w:b w:val="0"/>
        </w:rPr>
        <w:t>四部分 附件</w:t>
      </w:r>
      <w:bookmarkEnd w:id="15"/>
      <w:bookmarkStart w:id="16" w:name="_Toc15396618"/>
    </w:p>
    <w:p>
      <w:pPr>
        <w:spacing w:line="600" w:lineRule="exact"/>
        <w:jc w:val="center"/>
        <w:outlineLvl w:val="0"/>
        <w:rPr>
          <w:rFonts w:ascii="仿宋_GB2312" w:eastAsia="仿宋_GB2312" w:cs="仿宋"/>
          <w:kern w:val="0"/>
          <w:sz w:val="32"/>
          <w:szCs w:val="32"/>
        </w:rPr>
      </w:pPr>
    </w:p>
    <w:tbl>
      <w:tblPr>
        <w:tblStyle w:val="14"/>
        <w:tblW w:w="10134" w:type="dxa"/>
        <w:jc w:val="center"/>
        <w:tblLayout w:type="autofit"/>
        <w:tblCellMar>
          <w:top w:w="0" w:type="dxa"/>
          <w:left w:w="108" w:type="dxa"/>
          <w:bottom w:w="0" w:type="dxa"/>
          <w:right w:w="108" w:type="dxa"/>
        </w:tblCellMar>
      </w:tblPr>
      <w:tblGrid>
        <w:gridCol w:w="766"/>
        <w:gridCol w:w="1022"/>
        <w:gridCol w:w="941"/>
        <w:gridCol w:w="1364"/>
        <w:gridCol w:w="647"/>
        <w:gridCol w:w="678"/>
        <w:gridCol w:w="665"/>
        <w:gridCol w:w="846"/>
        <w:gridCol w:w="687"/>
        <w:gridCol w:w="756"/>
        <w:gridCol w:w="1762"/>
      </w:tblGrid>
      <w:tr>
        <w:tblPrEx>
          <w:tblCellMar>
            <w:top w:w="0" w:type="dxa"/>
            <w:left w:w="108" w:type="dxa"/>
            <w:bottom w:w="0" w:type="dxa"/>
            <w:right w:w="108" w:type="dxa"/>
          </w:tblCellMar>
        </w:tblPrEx>
        <w:trPr>
          <w:jc w:val="center"/>
        </w:trPr>
        <w:tc>
          <w:tcPr>
            <w:tcW w:w="1013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tblPrEx>
          <w:tblCellMar>
            <w:top w:w="0" w:type="dxa"/>
            <w:left w:w="108" w:type="dxa"/>
            <w:bottom w:w="0" w:type="dxa"/>
            <w:right w:w="108" w:type="dxa"/>
          </w:tblCellMar>
        </w:tblPrEx>
        <w:trPr>
          <w:jc w:val="center"/>
        </w:trPr>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34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51080222T000007240277-2022年三堆镇卫生院基本药物制度中央补助资金</w:t>
            </w:r>
          </w:p>
        </w:tc>
      </w:tr>
      <w:tr>
        <w:tblPrEx>
          <w:tblCellMar>
            <w:top w:w="0" w:type="dxa"/>
            <w:left w:w="108" w:type="dxa"/>
            <w:bottom w:w="0" w:type="dxa"/>
            <w:right w:w="108" w:type="dxa"/>
          </w:tblCellMar>
        </w:tblPrEx>
        <w:trPr>
          <w:jc w:val="center"/>
        </w:trPr>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2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8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广元市利州区三堆镇卫生院</w:t>
            </w:r>
          </w:p>
        </w:tc>
      </w:tr>
      <w:tr>
        <w:trPr>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2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0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42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保障群众基本用药，减轻医药费用，缓解群众“看病难，看病贵”的问题，满足群众基本用药需求；规范医疗机构用药行为，提高基本医疗卫生服务能力。</w:t>
            </w:r>
          </w:p>
        </w:tc>
        <w:tc>
          <w:tcPr>
            <w:tcW w:w="40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保障群众基本用药，减轻医药费用，缓解群众“看病难，看病贵”的问题，满足群众基本用药需求；规范医疗机构用药行为，提高基本医疗卫生服务能力。</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34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执行国家基本药物的相关政策规定，实行药品零加成销售，落实财政补偿政策、基本药物监督管理，公开招标及配送,人才培养，储备后备力量等。</w:t>
            </w:r>
          </w:p>
        </w:tc>
      </w:tr>
      <w:tr>
        <w:tblPrEx>
          <w:tblCellMar>
            <w:top w:w="0" w:type="dxa"/>
            <w:left w:w="108" w:type="dxa"/>
            <w:bottom w:w="0" w:type="dxa"/>
            <w:right w:w="108" w:type="dxa"/>
          </w:tblCellMar>
        </w:tblPrEx>
        <w:trPr>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4.00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4.00</w:t>
            </w: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4.00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4.00</w:t>
            </w: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基层医疗卫生机构基本药物制度覆盖率</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临床合理用药</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95%</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19</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临床用药安全性</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95%</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19</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药品零差加销售</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患者满意度</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95%</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4.75</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职工满意度</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95%</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4.75</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692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97.5</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36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绩效评价指标体系总体得分97.50分，自评结果为“优”</w:t>
            </w:r>
          </w:p>
        </w:tc>
      </w:tr>
      <w:tr>
        <w:tblPrEx>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36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临床用药合理性、安全性有待提高，业财融合有待提高</w:t>
            </w:r>
          </w:p>
        </w:tc>
      </w:tr>
      <w:tr>
        <w:tblPrEx>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36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加强医疗业务能力提升，提高临床用药合理性、安全性；加强业财融合学习，持续提高</w:t>
            </w:r>
          </w:p>
        </w:tc>
      </w:tr>
      <w:tr>
        <w:tblPrEx>
          <w:tblCellMar>
            <w:top w:w="0" w:type="dxa"/>
            <w:left w:w="108" w:type="dxa"/>
            <w:bottom w:w="0" w:type="dxa"/>
            <w:right w:w="108" w:type="dxa"/>
          </w:tblCellMar>
        </w:tblPrEx>
        <w:trPr>
          <w:jc w:val="center"/>
        </w:trPr>
        <w:tc>
          <w:tcPr>
            <w:tcW w:w="4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项目负责人：曾梦琦</w:t>
            </w:r>
          </w:p>
        </w:tc>
        <w:tc>
          <w:tcPr>
            <w:tcW w:w="53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财务负责人：仇艳</w:t>
            </w:r>
          </w:p>
        </w:tc>
      </w:tr>
      <w:tr>
        <w:tblPrEx>
          <w:tblCellMar>
            <w:top w:w="0" w:type="dxa"/>
            <w:left w:w="108" w:type="dxa"/>
            <w:bottom w:w="0" w:type="dxa"/>
            <w:right w:w="108" w:type="dxa"/>
          </w:tblCellMar>
        </w:tblPrEx>
        <w:trPr>
          <w:jc w:val="center"/>
        </w:trPr>
        <w:tc>
          <w:tcPr>
            <w:tcW w:w="0" w:type="auto"/>
            <w:tcBorders>
              <w:top w:val="nil"/>
              <w:left w:val="nil"/>
              <w:bottom w:val="nil"/>
              <w:right w:val="nil"/>
            </w:tcBorders>
            <w:shd w:val="clear" w:color="auto" w:fill="auto"/>
            <w:vAlign w:val="center"/>
          </w:tcPr>
          <w:p>
            <w:pPr>
              <w:rPr>
                <w:rFonts w:ascii="宋体" w:hAnsi="宋体" w:cs="宋体"/>
                <w:color w:val="000000"/>
                <w:sz w:val="18"/>
                <w:szCs w:val="18"/>
              </w:rPr>
            </w:pPr>
          </w:p>
        </w:tc>
        <w:tc>
          <w:tcPr>
            <w:tcW w:w="102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4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6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64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0" w:type="auto"/>
            <w:tcBorders>
              <w:top w:val="nil"/>
              <w:left w:val="nil"/>
              <w:bottom w:val="nil"/>
              <w:right w:val="nil"/>
            </w:tcBorders>
            <w:shd w:val="clear" w:color="auto" w:fill="auto"/>
            <w:vAlign w:val="center"/>
          </w:tcPr>
          <w:p>
            <w:pPr>
              <w:rPr>
                <w:rFonts w:ascii="宋体" w:hAnsi="宋体" w:cs="宋体"/>
                <w:color w:val="000000"/>
                <w:sz w:val="18"/>
                <w:szCs w:val="18"/>
              </w:rPr>
            </w:pPr>
          </w:p>
        </w:tc>
        <w:tc>
          <w:tcPr>
            <w:tcW w:w="66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68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0" w:type="auto"/>
            <w:tcBorders>
              <w:top w:val="nil"/>
              <w:left w:val="nil"/>
              <w:bottom w:val="nil"/>
              <w:right w:val="nil"/>
            </w:tcBorders>
            <w:shd w:val="clear" w:color="auto" w:fill="auto"/>
            <w:vAlign w:val="center"/>
          </w:tcPr>
          <w:p>
            <w:pPr>
              <w:rPr>
                <w:rFonts w:ascii="宋体" w:hAnsi="宋体" w:cs="宋体"/>
                <w:color w:val="000000"/>
                <w:sz w:val="18"/>
                <w:szCs w:val="18"/>
              </w:rPr>
            </w:pPr>
          </w:p>
        </w:tc>
        <w:tc>
          <w:tcPr>
            <w:tcW w:w="1762"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jc w:val="center"/>
        </w:trPr>
        <w:tc>
          <w:tcPr>
            <w:tcW w:w="1013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tblPrEx>
          <w:tblCellMar>
            <w:top w:w="0" w:type="dxa"/>
            <w:left w:w="108" w:type="dxa"/>
            <w:bottom w:w="0" w:type="dxa"/>
            <w:right w:w="108" w:type="dxa"/>
          </w:tblCellMar>
        </w:tblPrEx>
        <w:trPr>
          <w:jc w:val="center"/>
        </w:trPr>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34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51080223T000008550504-2022年利州区三堆镇卫生院基本药物基层医疗机构市级补助资金</w:t>
            </w:r>
          </w:p>
        </w:tc>
      </w:tr>
      <w:tr>
        <w:tblPrEx>
          <w:tblCellMar>
            <w:top w:w="0" w:type="dxa"/>
            <w:left w:w="108" w:type="dxa"/>
            <w:bottom w:w="0" w:type="dxa"/>
            <w:right w:w="108" w:type="dxa"/>
          </w:tblCellMar>
        </w:tblPrEx>
        <w:trPr>
          <w:jc w:val="center"/>
        </w:trPr>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2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8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广元市利州区三堆镇卫生院</w:t>
            </w:r>
          </w:p>
        </w:tc>
      </w:tr>
      <w:tr>
        <w:tblPrEx>
          <w:tblCellMar>
            <w:top w:w="0" w:type="dxa"/>
            <w:left w:w="108" w:type="dxa"/>
            <w:bottom w:w="0" w:type="dxa"/>
            <w:right w:w="108" w:type="dxa"/>
          </w:tblCellMar>
        </w:tblPrEx>
        <w:trPr>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2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0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8"/>
                <w:szCs w:val="18"/>
              </w:rPr>
            </w:pPr>
          </w:p>
        </w:tc>
        <w:tc>
          <w:tcPr>
            <w:tcW w:w="42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color w:val="000000"/>
                <w:sz w:val="18"/>
                <w:szCs w:val="18"/>
              </w:rPr>
            </w:pPr>
            <w:r>
              <w:rPr>
                <w:rFonts w:ascii="宋体" w:hAnsi="宋体" w:cs="宋体"/>
                <w:color w:val="000000"/>
                <w:kern w:val="0"/>
                <w:sz w:val="18"/>
                <w:szCs w:val="18"/>
              </w:rPr>
              <w:t>保障群众基本用药，减轻医药费用，缓解全总“看病难，看病贵”的问题，满足群众基本用药需求；规范医疗机构用药行为，提高基本医疗卫生机构服务能力。</w:t>
            </w:r>
          </w:p>
        </w:tc>
        <w:tc>
          <w:tcPr>
            <w:tcW w:w="40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保障群众基本用药，减轻医药费用，缓解全总“看病难，看病贵”的问题，满足群众基本用药需求；规范医疗机构用药行为，提高基本医疗卫生机构服务能力。</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34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color w:val="000000"/>
                <w:sz w:val="18"/>
                <w:szCs w:val="18"/>
              </w:rPr>
            </w:pPr>
            <w:r>
              <w:rPr>
                <w:rFonts w:ascii="宋体" w:hAnsi="宋体" w:cs="宋体"/>
                <w:color w:val="000000"/>
                <w:kern w:val="0"/>
                <w:sz w:val="18"/>
                <w:szCs w:val="18"/>
              </w:rPr>
              <w:t>执行国家基本药物的相关政策规定，实行药品零加成销售，落实财政补偿政策、基本药物监督管理，公开招标及配送,人才培养，储备后备力量等。</w:t>
            </w:r>
          </w:p>
        </w:tc>
      </w:tr>
      <w:tr>
        <w:tblPrEx>
          <w:tblCellMar>
            <w:top w:w="0" w:type="dxa"/>
            <w:left w:w="108" w:type="dxa"/>
            <w:bottom w:w="0" w:type="dxa"/>
            <w:right w:w="108" w:type="dxa"/>
          </w:tblCellMar>
        </w:tblPrEx>
        <w:trPr>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7.00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7.00</w:t>
            </w: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7.00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7.00</w:t>
            </w: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基层医疗卫生架构基本药物制度覆盖率</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临床用药安全性</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95%</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19</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临床合理用药</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95%</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19</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药品零差价销售</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患者满意度</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95%</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4.75</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职工满意度</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95%</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4.75</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692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97.5</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36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绩效评价指标体系总体得分97.50分，自评结果为“优”</w:t>
            </w:r>
          </w:p>
        </w:tc>
      </w:tr>
      <w:tr>
        <w:tblPrEx>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36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临床用药合理性、安全性有待提高，业财融合有待提高</w:t>
            </w:r>
          </w:p>
        </w:tc>
      </w:tr>
      <w:tr>
        <w:tblPrEx>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36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加强医疗业务能力提升，提高临床用药合理性、安全性；加强业财融合学习，持续提高</w:t>
            </w:r>
          </w:p>
        </w:tc>
      </w:tr>
      <w:tr>
        <w:tblPrEx>
          <w:tblCellMar>
            <w:top w:w="0" w:type="dxa"/>
            <w:left w:w="108" w:type="dxa"/>
            <w:bottom w:w="0" w:type="dxa"/>
            <w:right w:w="108" w:type="dxa"/>
          </w:tblCellMar>
        </w:tblPrEx>
        <w:trPr>
          <w:jc w:val="center"/>
        </w:trPr>
        <w:tc>
          <w:tcPr>
            <w:tcW w:w="4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项目负责人：曾梦琦</w:t>
            </w:r>
          </w:p>
        </w:tc>
        <w:tc>
          <w:tcPr>
            <w:tcW w:w="53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财务负责人：仇艳</w:t>
            </w:r>
          </w:p>
        </w:tc>
      </w:tr>
      <w:tr>
        <w:tblPrEx>
          <w:tblCellMar>
            <w:top w:w="0" w:type="dxa"/>
            <w:left w:w="108" w:type="dxa"/>
            <w:bottom w:w="0" w:type="dxa"/>
            <w:right w:w="108" w:type="dxa"/>
          </w:tblCellMar>
        </w:tblPrEx>
        <w:trPr>
          <w:jc w:val="center"/>
        </w:trPr>
        <w:tc>
          <w:tcPr>
            <w:tcW w:w="0" w:type="auto"/>
            <w:tcBorders>
              <w:top w:val="nil"/>
              <w:left w:val="nil"/>
              <w:bottom w:val="nil"/>
              <w:right w:val="nil"/>
            </w:tcBorders>
            <w:shd w:val="clear" w:color="auto" w:fill="auto"/>
            <w:vAlign w:val="center"/>
          </w:tcPr>
          <w:p>
            <w:pPr>
              <w:rPr>
                <w:rFonts w:ascii="宋体" w:hAnsi="宋体" w:cs="宋体"/>
                <w:color w:val="000000"/>
                <w:sz w:val="18"/>
                <w:szCs w:val="18"/>
              </w:rPr>
            </w:pPr>
          </w:p>
        </w:tc>
        <w:tc>
          <w:tcPr>
            <w:tcW w:w="102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4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6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64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0" w:type="auto"/>
            <w:tcBorders>
              <w:top w:val="nil"/>
              <w:left w:val="nil"/>
              <w:bottom w:val="nil"/>
              <w:right w:val="nil"/>
            </w:tcBorders>
            <w:shd w:val="clear" w:color="auto" w:fill="auto"/>
            <w:vAlign w:val="center"/>
          </w:tcPr>
          <w:p>
            <w:pPr>
              <w:rPr>
                <w:rFonts w:ascii="宋体" w:hAnsi="宋体" w:cs="宋体"/>
                <w:color w:val="000000"/>
                <w:sz w:val="18"/>
                <w:szCs w:val="18"/>
              </w:rPr>
            </w:pPr>
          </w:p>
        </w:tc>
        <w:tc>
          <w:tcPr>
            <w:tcW w:w="66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68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0" w:type="auto"/>
            <w:tcBorders>
              <w:top w:val="nil"/>
              <w:left w:val="nil"/>
              <w:bottom w:val="nil"/>
              <w:right w:val="nil"/>
            </w:tcBorders>
            <w:shd w:val="clear" w:color="auto" w:fill="auto"/>
            <w:vAlign w:val="center"/>
          </w:tcPr>
          <w:p>
            <w:pPr>
              <w:rPr>
                <w:rFonts w:ascii="宋体" w:hAnsi="宋体" w:cs="宋体"/>
                <w:color w:val="000000"/>
                <w:sz w:val="18"/>
                <w:szCs w:val="18"/>
              </w:rPr>
            </w:pPr>
          </w:p>
        </w:tc>
        <w:tc>
          <w:tcPr>
            <w:tcW w:w="1762"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jc w:val="center"/>
        </w:trPr>
        <w:tc>
          <w:tcPr>
            <w:tcW w:w="1013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tblPrEx>
          <w:tblCellMar>
            <w:top w:w="0" w:type="dxa"/>
            <w:left w:w="108" w:type="dxa"/>
            <w:bottom w:w="0" w:type="dxa"/>
            <w:right w:w="108" w:type="dxa"/>
          </w:tblCellMar>
        </w:tblPrEx>
        <w:trPr>
          <w:jc w:val="center"/>
        </w:trPr>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34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51080223T000009531938-2023年区三堆镇卫生院基本公共卫生服务中央补助资金</w:t>
            </w:r>
          </w:p>
        </w:tc>
      </w:tr>
      <w:tr>
        <w:tblPrEx>
          <w:tblCellMar>
            <w:top w:w="0" w:type="dxa"/>
            <w:left w:w="108" w:type="dxa"/>
            <w:bottom w:w="0" w:type="dxa"/>
            <w:right w:w="108" w:type="dxa"/>
          </w:tblCellMar>
        </w:tblPrEx>
        <w:trPr>
          <w:jc w:val="center"/>
        </w:trPr>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2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8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广元市利州区三堆镇卫生院</w:t>
            </w:r>
          </w:p>
        </w:tc>
      </w:tr>
      <w:tr>
        <w:tblPrEx>
          <w:tblCellMar>
            <w:top w:w="0" w:type="dxa"/>
            <w:left w:w="108" w:type="dxa"/>
            <w:bottom w:w="0" w:type="dxa"/>
            <w:right w:w="108" w:type="dxa"/>
          </w:tblCellMar>
        </w:tblPrEx>
        <w:trPr>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2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0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42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促进基本公共卫生服务逐步均等化，增进人民健康；预防和控制主要传染病及慢性病，有效应对突发公共卫生事件，提高辖区人口健康素质；提高辖区居民的健康意识，树立居民自我健康管理的理念；提高卫生院公共卫生服务和突发公共卫生服务的应急处置能力。</w:t>
            </w:r>
          </w:p>
        </w:tc>
        <w:tc>
          <w:tcPr>
            <w:tcW w:w="40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促进基本公共卫生服务逐步均等化，增进人民健康；预防和控制主要传染病及慢性病，有效应对突发公共卫生事件，提高辖区人口健康素质；提高辖区居民的健康意识，树立居民自我健康管理的理念；提高卫生院公共卫生服务和突发公共卫生服务的应急处置能力。</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34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用于开展三堆镇辖区公共卫生服务支出。具体包括：“居民健康档案管理”、“健康教育”、“预防接种”、“0-6岁儿童健康管理”、“孕产妇健康管理”、“老年人健康管理”、“慢性病患者健康管理”、“ 严重精神障碍患者健康管理”、“结核病患者健康管理”、“传染病与突发公共卫生事件报告与处理”、“中医药健康管理”、“卫生监督协管”等12项服务。</w:t>
            </w:r>
          </w:p>
        </w:tc>
      </w:tr>
      <w:tr>
        <w:tblPrEx>
          <w:tblCellMar>
            <w:top w:w="0" w:type="dxa"/>
            <w:left w:w="108" w:type="dxa"/>
            <w:bottom w:w="0" w:type="dxa"/>
            <w:right w:w="108" w:type="dxa"/>
          </w:tblCellMar>
        </w:tblPrEx>
        <w:trPr>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163.98</w:t>
            </w: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163.98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163.98</w:t>
            </w: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163.98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 w:val="18"/>
                <w:szCs w:val="18"/>
              </w:rPr>
            </w:pPr>
            <w:r>
              <w:rPr>
                <w:rFonts w:ascii="宋体" w:hAnsi="宋体" w:cs="宋体"/>
                <w:color w:val="000000"/>
                <w:kern w:val="0"/>
                <w:sz w:val="18"/>
                <w:szCs w:val="18"/>
              </w:rPr>
              <w:t>发放健康教育宣传折页（册）</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30000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本</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 w:val="18"/>
                <w:szCs w:val="18"/>
              </w:rPr>
            </w:pPr>
            <w:r>
              <w:rPr>
                <w:rFonts w:ascii="宋体" w:hAnsi="宋体" w:cs="宋体"/>
                <w:color w:val="000000"/>
                <w:kern w:val="0"/>
                <w:sz w:val="18"/>
                <w:szCs w:val="18"/>
              </w:rPr>
              <w:t>居民健康档案完成数</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24000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 w:val="18"/>
                <w:szCs w:val="18"/>
              </w:rPr>
            </w:pPr>
            <w:r>
              <w:rPr>
                <w:rFonts w:ascii="宋体" w:hAnsi="宋体" w:cs="宋体"/>
                <w:color w:val="000000"/>
                <w:kern w:val="0"/>
                <w:sz w:val="18"/>
                <w:szCs w:val="18"/>
              </w:rPr>
              <w:t>慢性患者健康管理人数</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3000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 w:val="18"/>
                <w:szCs w:val="18"/>
              </w:rPr>
            </w:pPr>
            <w:r>
              <w:rPr>
                <w:rFonts w:ascii="宋体" w:hAnsi="宋体" w:cs="宋体"/>
                <w:color w:val="000000"/>
                <w:kern w:val="0"/>
                <w:sz w:val="18"/>
                <w:szCs w:val="18"/>
              </w:rPr>
              <w:t>严重精神障碍患者健康管理服务人数</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224</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 w:val="18"/>
                <w:szCs w:val="18"/>
              </w:rPr>
            </w:pPr>
            <w:r>
              <w:rPr>
                <w:rFonts w:ascii="宋体" w:hAnsi="宋体" w:cs="宋体"/>
                <w:color w:val="000000"/>
                <w:kern w:val="0"/>
                <w:sz w:val="18"/>
                <w:szCs w:val="18"/>
              </w:rPr>
              <w:t>预防接种服务人数</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1950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 w:val="18"/>
                <w:szCs w:val="18"/>
              </w:rPr>
            </w:pPr>
            <w:r>
              <w:rPr>
                <w:rFonts w:ascii="宋体" w:hAnsi="宋体" w:cs="宋体"/>
                <w:color w:val="000000"/>
                <w:kern w:val="0"/>
                <w:sz w:val="18"/>
                <w:szCs w:val="18"/>
              </w:rPr>
              <w:t>儿童健康管理人数</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1300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 w:val="18"/>
                <w:szCs w:val="18"/>
              </w:rPr>
            </w:pPr>
            <w:r>
              <w:rPr>
                <w:rFonts w:ascii="宋体" w:hAnsi="宋体" w:cs="宋体"/>
                <w:color w:val="000000"/>
                <w:kern w:val="0"/>
                <w:sz w:val="18"/>
                <w:szCs w:val="18"/>
              </w:rPr>
              <w:t>家庭医生签约率</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 w:val="18"/>
                <w:szCs w:val="18"/>
              </w:rPr>
            </w:pPr>
            <w:r>
              <w:rPr>
                <w:rFonts w:ascii="宋体" w:hAnsi="宋体" w:cs="宋体"/>
                <w:color w:val="000000"/>
                <w:kern w:val="0"/>
                <w:sz w:val="18"/>
                <w:szCs w:val="18"/>
              </w:rPr>
              <w:t>居民健康档案</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93</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 w:val="18"/>
                <w:szCs w:val="18"/>
              </w:rPr>
            </w:pPr>
            <w:r>
              <w:rPr>
                <w:rFonts w:ascii="宋体" w:hAnsi="宋体" w:cs="宋体"/>
                <w:color w:val="000000"/>
                <w:kern w:val="0"/>
                <w:sz w:val="18"/>
                <w:szCs w:val="18"/>
              </w:rPr>
              <w:t>中医药健康管理服务率</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 w:val="18"/>
                <w:szCs w:val="18"/>
              </w:rPr>
            </w:pPr>
            <w:r>
              <w:rPr>
                <w:rFonts w:ascii="宋体" w:hAnsi="宋体" w:cs="宋体"/>
                <w:color w:val="000000"/>
                <w:kern w:val="0"/>
                <w:sz w:val="18"/>
                <w:szCs w:val="18"/>
              </w:rPr>
              <w:t>严重精神障碍患者健康管理率</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 w:val="18"/>
                <w:szCs w:val="18"/>
              </w:rPr>
            </w:pPr>
            <w:r>
              <w:rPr>
                <w:rFonts w:ascii="宋体" w:hAnsi="宋体" w:cs="宋体"/>
                <w:color w:val="000000"/>
                <w:kern w:val="0"/>
                <w:sz w:val="18"/>
                <w:szCs w:val="18"/>
              </w:rPr>
              <w:t>老年人健康管理率</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90%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5.4</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 w:val="18"/>
                <w:szCs w:val="18"/>
              </w:rPr>
            </w:pPr>
            <w:r>
              <w:rPr>
                <w:rFonts w:ascii="宋体" w:hAnsi="宋体" w:cs="宋体"/>
                <w:color w:val="000000"/>
                <w:kern w:val="0"/>
                <w:sz w:val="18"/>
                <w:szCs w:val="18"/>
              </w:rPr>
              <w:t>慢病患者健康管理率</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80%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5.6</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 w:val="18"/>
                <w:szCs w:val="18"/>
              </w:rPr>
            </w:pPr>
            <w:r>
              <w:rPr>
                <w:rFonts w:ascii="宋体" w:hAnsi="宋体" w:cs="宋体"/>
                <w:color w:val="000000"/>
                <w:kern w:val="0"/>
                <w:sz w:val="18"/>
                <w:szCs w:val="18"/>
              </w:rPr>
              <w:t>健康教育</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 w:val="18"/>
                <w:szCs w:val="18"/>
              </w:rPr>
            </w:pPr>
            <w:r>
              <w:rPr>
                <w:rFonts w:ascii="宋体" w:hAnsi="宋体" w:cs="宋体"/>
                <w:color w:val="000000"/>
                <w:kern w:val="0"/>
                <w:sz w:val="18"/>
                <w:szCs w:val="18"/>
              </w:rPr>
              <w:t>预防接种服务</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 w:val="18"/>
                <w:szCs w:val="18"/>
              </w:rPr>
            </w:pPr>
            <w:r>
              <w:rPr>
                <w:rFonts w:ascii="宋体" w:hAnsi="宋体" w:cs="宋体"/>
                <w:color w:val="000000"/>
                <w:kern w:val="0"/>
                <w:sz w:val="18"/>
                <w:szCs w:val="18"/>
              </w:rPr>
              <w:t>传染病和突发公共卫生事件报告和处理工作</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 w:val="18"/>
                <w:szCs w:val="18"/>
              </w:rPr>
            </w:pPr>
            <w:r>
              <w:rPr>
                <w:rFonts w:ascii="宋体" w:hAnsi="宋体" w:cs="宋体"/>
                <w:color w:val="000000"/>
                <w:kern w:val="0"/>
                <w:sz w:val="18"/>
                <w:szCs w:val="18"/>
              </w:rPr>
              <w:t>孕产妇健康管理服务</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95%</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1.9</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 w:val="18"/>
                <w:szCs w:val="18"/>
              </w:rPr>
            </w:pPr>
            <w:r>
              <w:rPr>
                <w:rFonts w:ascii="宋体" w:hAnsi="宋体" w:cs="宋体"/>
                <w:color w:val="000000"/>
                <w:kern w:val="0"/>
                <w:sz w:val="18"/>
                <w:szCs w:val="18"/>
              </w:rPr>
              <w:t>儿童健康管理服务</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95%</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3.8</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 w:val="18"/>
                <w:szCs w:val="18"/>
              </w:rPr>
            </w:pPr>
            <w:r>
              <w:rPr>
                <w:rFonts w:ascii="宋体" w:hAnsi="宋体" w:cs="宋体"/>
                <w:color w:val="000000"/>
                <w:kern w:val="0"/>
                <w:sz w:val="18"/>
                <w:szCs w:val="18"/>
              </w:rPr>
              <w:t>卫生计生监管协管工作覆盖率</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 w:val="18"/>
                <w:szCs w:val="18"/>
              </w:rPr>
            </w:pPr>
            <w:r>
              <w:rPr>
                <w:rFonts w:ascii="宋体" w:hAnsi="宋体" w:cs="宋体"/>
                <w:color w:val="000000"/>
                <w:kern w:val="0"/>
                <w:sz w:val="18"/>
                <w:szCs w:val="18"/>
              </w:rPr>
              <w:t>肺结核患者健康管理率</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居民健康保健意识知晓率</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80%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5.6</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健康知识知晓率</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90%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2.7</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可持续影响指标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公共卫生均等化水平提高</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居民健康水平提高</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居民健康满意度</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692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96</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36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绩效评价指标体系总体得分96.00分，自评结果为“优”</w:t>
            </w:r>
          </w:p>
        </w:tc>
      </w:tr>
      <w:tr>
        <w:tblPrEx>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36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老年人健康管理率，慢病患者健康管理率，孕产妇健康管理服务，儿童健康管理服务，居民健康保健意识知晓率，健康知识知晓率有待提高</w:t>
            </w:r>
          </w:p>
        </w:tc>
      </w:tr>
      <w:tr>
        <w:tblPrEx>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36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加强基本公共卫生服务项目学习，提高基本公共服务项目管理人员业务能力和服务水平</w:t>
            </w:r>
          </w:p>
        </w:tc>
      </w:tr>
      <w:tr>
        <w:tblPrEx>
          <w:tblCellMar>
            <w:top w:w="0" w:type="dxa"/>
            <w:left w:w="108" w:type="dxa"/>
            <w:bottom w:w="0" w:type="dxa"/>
            <w:right w:w="108" w:type="dxa"/>
          </w:tblCellMar>
        </w:tblPrEx>
        <w:trPr>
          <w:jc w:val="center"/>
        </w:trPr>
        <w:tc>
          <w:tcPr>
            <w:tcW w:w="4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项目负责人：李德菊</w:t>
            </w:r>
          </w:p>
        </w:tc>
        <w:tc>
          <w:tcPr>
            <w:tcW w:w="53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财务负责人：仇艳</w:t>
            </w:r>
          </w:p>
        </w:tc>
      </w:tr>
      <w:tr>
        <w:tblPrEx>
          <w:tblCellMar>
            <w:top w:w="0" w:type="dxa"/>
            <w:left w:w="108" w:type="dxa"/>
            <w:bottom w:w="0" w:type="dxa"/>
            <w:right w:w="108" w:type="dxa"/>
          </w:tblCellMar>
        </w:tblPrEx>
        <w:trPr>
          <w:jc w:val="center"/>
        </w:trPr>
        <w:tc>
          <w:tcPr>
            <w:tcW w:w="0" w:type="auto"/>
            <w:tcBorders>
              <w:top w:val="nil"/>
              <w:left w:val="nil"/>
              <w:bottom w:val="nil"/>
              <w:right w:val="nil"/>
            </w:tcBorders>
            <w:shd w:val="clear" w:color="auto" w:fill="auto"/>
            <w:vAlign w:val="center"/>
          </w:tcPr>
          <w:p>
            <w:pPr>
              <w:rPr>
                <w:rFonts w:ascii="宋体" w:hAnsi="宋体" w:cs="宋体"/>
                <w:color w:val="000000"/>
                <w:sz w:val="18"/>
                <w:szCs w:val="18"/>
              </w:rPr>
            </w:pPr>
          </w:p>
        </w:tc>
        <w:tc>
          <w:tcPr>
            <w:tcW w:w="102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4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6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64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0" w:type="auto"/>
            <w:tcBorders>
              <w:top w:val="nil"/>
              <w:left w:val="nil"/>
              <w:bottom w:val="nil"/>
              <w:right w:val="nil"/>
            </w:tcBorders>
            <w:shd w:val="clear" w:color="auto" w:fill="auto"/>
            <w:vAlign w:val="center"/>
          </w:tcPr>
          <w:p>
            <w:pPr>
              <w:rPr>
                <w:rFonts w:ascii="宋体" w:hAnsi="宋体" w:cs="宋体"/>
                <w:color w:val="000000"/>
                <w:sz w:val="18"/>
                <w:szCs w:val="18"/>
              </w:rPr>
            </w:pPr>
          </w:p>
        </w:tc>
        <w:tc>
          <w:tcPr>
            <w:tcW w:w="66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68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0" w:type="auto"/>
            <w:tcBorders>
              <w:top w:val="nil"/>
              <w:left w:val="nil"/>
              <w:bottom w:val="nil"/>
              <w:right w:val="nil"/>
            </w:tcBorders>
            <w:shd w:val="clear" w:color="auto" w:fill="auto"/>
            <w:vAlign w:val="center"/>
          </w:tcPr>
          <w:p>
            <w:pPr>
              <w:rPr>
                <w:rFonts w:ascii="宋体" w:hAnsi="宋体" w:cs="宋体"/>
                <w:color w:val="000000"/>
                <w:sz w:val="18"/>
                <w:szCs w:val="18"/>
              </w:rPr>
            </w:pPr>
          </w:p>
        </w:tc>
        <w:tc>
          <w:tcPr>
            <w:tcW w:w="1762"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jc w:val="center"/>
        </w:trPr>
        <w:tc>
          <w:tcPr>
            <w:tcW w:w="1013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tblPrEx>
          <w:tblCellMar>
            <w:top w:w="0" w:type="dxa"/>
            <w:left w:w="108" w:type="dxa"/>
            <w:bottom w:w="0" w:type="dxa"/>
            <w:right w:w="108" w:type="dxa"/>
          </w:tblCellMar>
        </w:tblPrEx>
        <w:trPr>
          <w:jc w:val="center"/>
        </w:trPr>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34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51080223T000009532109-2023年区三堆镇卫生院基本公共卫生服务省级补助资金</w:t>
            </w:r>
          </w:p>
        </w:tc>
      </w:tr>
      <w:tr>
        <w:tblPrEx>
          <w:tblCellMar>
            <w:top w:w="0" w:type="dxa"/>
            <w:left w:w="108" w:type="dxa"/>
            <w:bottom w:w="0" w:type="dxa"/>
            <w:right w:w="108" w:type="dxa"/>
          </w:tblCellMar>
        </w:tblPrEx>
        <w:trPr>
          <w:jc w:val="center"/>
        </w:trPr>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2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8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广元市利州区三堆镇卫生院</w:t>
            </w:r>
          </w:p>
        </w:tc>
      </w:tr>
      <w:tr>
        <w:tblPrEx>
          <w:tblCellMar>
            <w:top w:w="0" w:type="dxa"/>
            <w:left w:w="108" w:type="dxa"/>
            <w:bottom w:w="0" w:type="dxa"/>
            <w:right w:w="108" w:type="dxa"/>
          </w:tblCellMar>
        </w:tblPrEx>
        <w:trPr>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2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0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42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color w:val="000000"/>
                <w:sz w:val="18"/>
                <w:szCs w:val="18"/>
              </w:rPr>
            </w:pPr>
            <w:r>
              <w:rPr>
                <w:rFonts w:ascii="宋体" w:hAnsi="宋体" w:cs="宋体"/>
                <w:color w:val="000000"/>
                <w:kern w:val="0"/>
                <w:sz w:val="18"/>
                <w:szCs w:val="18"/>
              </w:rPr>
              <w:t>促进基本公共卫生服务逐步均等化，增进人民健康；预防和控制主要传染病及慢性病，有效应对突发公共卫生事件，提高辖区人口健康素质；提高辖区居民的健康意识，树立居民自我健康管理的理念；提高卫生院公共卫生服务和突发公共卫生服务的应急处置能力。</w:t>
            </w:r>
          </w:p>
        </w:tc>
        <w:tc>
          <w:tcPr>
            <w:tcW w:w="40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促进基本公共卫生服务逐步均等化，增进人民健康；预防和控制主要传染病及慢性病，有效应对突发公共卫生事件，提高辖区人口健康素质；提高辖区居民的健康意识，树立居民自我健康管理的理念；提高卫生院公共卫生服务和突发公共卫生服务的应急处置能力。</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34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color w:val="000000"/>
                <w:sz w:val="18"/>
                <w:szCs w:val="18"/>
              </w:rPr>
            </w:pPr>
            <w:r>
              <w:rPr>
                <w:rFonts w:ascii="宋体" w:hAnsi="宋体" w:cs="宋体"/>
                <w:color w:val="000000"/>
                <w:kern w:val="0"/>
                <w:sz w:val="18"/>
                <w:szCs w:val="18"/>
              </w:rPr>
              <w:t>用于开展三堆镇辖区公共卫生服务支出。具体包括：“居民健康档案管理”、“健康教育”、“预防接种”、“0-6岁儿童健康管理”、“孕产妇健康管理”、“老年人健康管理”、“慢性病患者健康管理”、“ 严重精神障碍患者健康管理”、“结核病患者健康管理”、“传染病与突发公共卫生事件报告与处理”、“中医药健康管理”、“卫生监督协管”等12项服务。</w:t>
            </w:r>
          </w:p>
        </w:tc>
      </w:tr>
      <w:tr>
        <w:tblPrEx>
          <w:tblCellMar>
            <w:top w:w="0" w:type="dxa"/>
            <w:left w:w="108" w:type="dxa"/>
            <w:bottom w:w="0" w:type="dxa"/>
            <w:right w:w="108" w:type="dxa"/>
          </w:tblCellMar>
        </w:tblPrEx>
        <w:trPr>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14.71</w:t>
            </w: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14.71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14.71</w:t>
            </w: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14.71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居民健康档案完成数</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24000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预防接种服务人数</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1950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慢性患者健康管理人数</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3000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家庭医生签约率</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儿童健康管理人数</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1300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发放健康教育宣传折页（册）</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30000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本</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严重精神障碍患者健康管理服务人数</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224</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儿童健康管理服务</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居民健康档案</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93</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中医药健康管理服务率</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老年人健康管理率</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90%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5.4</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慢病患者健康管理率</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80%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5.6</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健康教育</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孕产妇健康管理服务</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肺结核患者健康管理率</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严重精神障碍患者健康管理率</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95%</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1.9</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预防接种服务</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95%</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3.8</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卫生计生监管协管工作覆盖率</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传染病和突发公共卫生事件报告和处理工作</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居民健康保健意识知晓率</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80%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5.6</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健康知识知晓率</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90%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2.7</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可持续发展指标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居民健康水平提高</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公共卫生均等化水平提高</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居民健康满意度</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692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96</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36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绩效评价指标体系总体得分96.00分，自评结果为“优”</w:t>
            </w:r>
          </w:p>
        </w:tc>
      </w:tr>
      <w:tr>
        <w:tblPrEx>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36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老年人健康管理率，慢病患者健康管理率，孕产妇健康管理服务，儿童健康管理服务，居民健康保健意识知晓率，健康知识知晓率有待提高</w:t>
            </w:r>
          </w:p>
        </w:tc>
      </w:tr>
      <w:tr>
        <w:tblPrEx>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36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加强基本公共卫生服务项目学习，提高基本公共服务项目管理人员业务能力和服务水平</w:t>
            </w:r>
          </w:p>
        </w:tc>
      </w:tr>
      <w:tr>
        <w:tblPrEx>
          <w:tblCellMar>
            <w:top w:w="0" w:type="dxa"/>
            <w:left w:w="108" w:type="dxa"/>
            <w:bottom w:w="0" w:type="dxa"/>
            <w:right w:w="108" w:type="dxa"/>
          </w:tblCellMar>
        </w:tblPrEx>
        <w:trPr>
          <w:jc w:val="center"/>
        </w:trPr>
        <w:tc>
          <w:tcPr>
            <w:tcW w:w="4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项目负责人：李德菊</w:t>
            </w:r>
          </w:p>
        </w:tc>
        <w:tc>
          <w:tcPr>
            <w:tcW w:w="53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财务负责人：仇艳</w:t>
            </w:r>
          </w:p>
        </w:tc>
      </w:tr>
      <w:tr>
        <w:tblPrEx>
          <w:tblCellMar>
            <w:top w:w="0" w:type="dxa"/>
            <w:left w:w="108" w:type="dxa"/>
            <w:bottom w:w="0" w:type="dxa"/>
            <w:right w:w="108" w:type="dxa"/>
          </w:tblCellMar>
        </w:tblPrEx>
        <w:trPr>
          <w:jc w:val="center"/>
        </w:trPr>
        <w:tc>
          <w:tcPr>
            <w:tcW w:w="0" w:type="auto"/>
            <w:tcBorders>
              <w:top w:val="nil"/>
              <w:left w:val="nil"/>
              <w:bottom w:val="nil"/>
              <w:right w:val="nil"/>
            </w:tcBorders>
            <w:shd w:val="clear" w:color="auto" w:fill="auto"/>
            <w:vAlign w:val="center"/>
          </w:tcPr>
          <w:p>
            <w:pPr>
              <w:rPr>
                <w:rFonts w:ascii="宋体" w:hAnsi="宋体" w:cs="宋体"/>
                <w:color w:val="000000"/>
                <w:sz w:val="18"/>
                <w:szCs w:val="18"/>
              </w:rPr>
            </w:pPr>
          </w:p>
        </w:tc>
        <w:tc>
          <w:tcPr>
            <w:tcW w:w="102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4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6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64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0" w:type="auto"/>
            <w:tcBorders>
              <w:top w:val="nil"/>
              <w:left w:val="nil"/>
              <w:bottom w:val="nil"/>
              <w:right w:val="nil"/>
            </w:tcBorders>
            <w:shd w:val="clear" w:color="auto" w:fill="auto"/>
            <w:vAlign w:val="center"/>
          </w:tcPr>
          <w:p>
            <w:pPr>
              <w:rPr>
                <w:rFonts w:ascii="宋体" w:hAnsi="宋体" w:cs="宋体"/>
                <w:color w:val="000000"/>
                <w:sz w:val="18"/>
                <w:szCs w:val="18"/>
              </w:rPr>
            </w:pPr>
          </w:p>
        </w:tc>
        <w:tc>
          <w:tcPr>
            <w:tcW w:w="66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68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0" w:type="auto"/>
            <w:tcBorders>
              <w:top w:val="nil"/>
              <w:left w:val="nil"/>
              <w:bottom w:val="nil"/>
              <w:right w:val="nil"/>
            </w:tcBorders>
            <w:shd w:val="clear" w:color="auto" w:fill="auto"/>
            <w:vAlign w:val="center"/>
          </w:tcPr>
          <w:p>
            <w:pPr>
              <w:rPr>
                <w:rFonts w:ascii="宋体" w:hAnsi="宋体" w:cs="宋体"/>
                <w:color w:val="000000"/>
                <w:sz w:val="18"/>
                <w:szCs w:val="18"/>
              </w:rPr>
            </w:pPr>
          </w:p>
        </w:tc>
        <w:tc>
          <w:tcPr>
            <w:tcW w:w="1762"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jc w:val="center"/>
        </w:trPr>
        <w:tc>
          <w:tcPr>
            <w:tcW w:w="1013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tblPrEx>
          <w:tblCellMar>
            <w:top w:w="0" w:type="dxa"/>
            <w:left w:w="108" w:type="dxa"/>
            <w:bottom w:w="0" w:type="dxa"/>
            <w:right w:w="108" w:type="dxa"/>
          </w:tblCellMar>
        </w:tblPrEx>
        <w:trPr>
          <w:jc w:val="center"/>
        </w:trPr>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34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51080223T000009532141-2023年区三堆镇卫生院基本药物制度中央补助资金</w:t>
            </w:r>
          </w:p>
        </w:tc>
      </w:tr>
      <w:tr>
        <w:tblPrEx>
          <w:tblCellMar>
            <w:top w:w="0" w:type="dxa"/>
            <w:left w:w="108" w:type="dxa"/>
            <w:bottom w:w="0" w:type="dxa"/>
            <w:right w:w="108" w:type="dxa"/>
          </w:tblCellMar>
        </w:tblPrEx>
        <w:trPr>
          <w:jc w:val="center"/>
        </w:trPr>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2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8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广元市利州区三堆镇卫生院</w:t>
            </w:r>
          </w:p>
        </w:tc>
      </w:tr>
      <w:tr>
        <w:tblPrEx>
          <w:tblCellMar>
            <w:top w:w="0" w:type="dxa"/>
            <w:left w:w="108" w:type="dxa"/>
            <w:bottom w:w="0" w:type="dxa"/>
            <w:right w:w="108" w:type="dxa"/>
          </w:tblCellMar>
        </w:tblPrEx>
        <w:trPr>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2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0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42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保障群众基本用药，减轻医药费用，缓解群众“看病难，看病贵”的问题，满足群众基本用药需求；规范医疗机构用药行为，提高基本医疗卫生服务能力。</w:t>
            </w:r>
          </w:p>
        </w:tc>
        <w:tc>
          <w:tcPr>
            <w:tcW w:w="40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保障群众基本用药，减轻医药费用，缓解群众“看病难，看病贵”的问题，满足群众基本用药需求；规范医疗机构用药行为，提高基本医疗卫生服务能力。</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34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执行国家基本药物的相关政策规定，实行药品零加成销售，落实财政补偿政策、基本药物监督管理，公开招标及配送,人才培养，储备后备力量等。</w:t>
            </w:r>
          </w:p>
        </w:tc>
      </w:tr>
      <w:tr>
        <w:tblPrEx>
          <w:tblCellMar>
            <w:top w:w="0" w:type="dxa"/>
            <w:left w:w="108" w:type="dxa"/>
            <w:bottom w:w="0" w:type="dxa"/>
            <w:right w:w="108" w:type="dxa"/>
          </w:tblCellMar>
        </w:tblPrEx>
        <w:trPr>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34.00</w:t>
            </w: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34.00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34.00</w:t>
            </w: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34.00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基层医疗卫生架构基本药物制度覆盖率</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临床用药安全性</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95%</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19</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临床合理用药</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95%</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19</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药品零差价销售</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患者满意度</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95%</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4.75</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职工满意度</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95%</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4.75</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692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97.5</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36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绩效评价指标体系总体得分97.50分，自评结果为“优”</w:t>
            </w:r>
          </w:p>
        </w:tc>
      </w:tr>
      <w:tr>
        <w:tblPrEx>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36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临床用药合理性、安全性有待提高，业财融合有待提高</w:t>
            </w:r>
          </w:p>
        </w:tc>
      </w:tr>
      <w:tr>
        <w:tblPrEx>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36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加强医疗业务能力提升，提高临床用药合理性、安全性；加强业财融合学习，持续提高</w:t>
            </w:r>
          </w:p>
        </w:tc>
      </w:tr>
      <w:tr>
        <w:tblPrEx>
          <w:tblCellMar>
            <w:top w:w="0" w:type="dxa"/>
            <w:left w:w="108" w:type="dxa"/>
            <w:bottom w:w="0" w:type="dxa"/>
            <w:right w:w="108" w:type="dxa"/>
          </w:tblCellMar>
        </w:tblPrEx>
        <w:trPr>
          <w:jc w:val="center"/>
        </w:trPr>
        <w:tc>
          <w:tcPr>
            <w:tcW w:w="4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项目负责人：曾梦琦</w:t>
            </w:r>
          </w:p>
        </w:tc>
        <w:tc>
          <w:tcPr>
            <w:tcW w:w="53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财务负责人：仇艳</w:t>
            </w:r>
          </w:p>
        </w:tc>
      </w:tr>
      <w:tr>
        <w:tblPrEx>
          <w:tblCellMar>
            <w:top w:w="0" w:type="dxa"/>
            <w:left w:w="108" w:type="dxa"/>
            <w:bottom w:w="0" w:type="dxa"/>
            <w:right w:w="108" w:type="dxa"/>
          </w:tblCellMar>
        </w:tblPrEx>
        <w:trPr>
          <w:jc w:val="center"/>
        </w:trPr>
        <w:tc>
          <w:tcPr>
            <w:tcW w:w="0" w:type="auto"/>
            <w:tcBorders>
              <w:top w:val="nil"/>
              <w:left w:val="nil"/>
              <w:bottom w:val="nil"/>
              <w:right w:val="nil"/>
            </w:tcBorders>
            <w:shd w:val="clear" w:color="auto" w:fill="auto"/>
            <w:vAlign w:val="center"/>
          </w:tcPr>
          <w:p>
            <w:pPr>
              <w:rPr>
                <w:rFonts w:ascii="宋体" w:hAnsi="宋体" w:cs="宋体"/>
                <w:color w:val="000000"/>
                <w:sz w:val="18"/>
                <w:szCs w:val="18"/>
              </w:rPr>
            </w:pPr>
          </w:p>
        </w:tc>
        <w:tc>
          <w:tcPr>
            <w:tcW w:w="102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4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6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64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0" w:type="auto"/>
            <w:tcBorders>
              <w:top w:val="nil"/>
              <w:left w:val="nil"/>
              <w:bottom w:val="nil"/>
              <w:right w:val="nil"/>
            </w:tcBorders>
            <w:shd w:val="clear" w:color="auto" w:fill="auto"/>
            <w:vAlign w:val="center"/>
          </w:tcPr>
          <w:p>
            <w:pPr>
              <w:rPr>
                <w:rFonts w:ascii="宋体" w:hAnsi="宋体" w:cs="宋体"/>
                <w:color w:val="000000"/>
                <w:sz w:val="18"/>
                <w:szCs w:val="18"/>
              </w:rPr>
            </w:pPr>
          </w:p>
        </w:tc>
        <w:tc>
          <w:tcPr>
            <w:tcW w:w="66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68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0" w:type="auto"/>
            <w:tcBorders>
              <w:top w:val="nil"/>
              <w:left w:val="nil"/>
              <w:bottom w:val="nil"/>
              <w:right w:val="nil"/>
            </w:tcBorders>
            <w:shd w:val="clear" w:color="auto" w:fill="auto"/>
            <w:vAlign w:val="center"/>
          </w:tcPr>
          <w:p>
            <w:pPr>
              <w:rPr>
                <w:rFonts w:ascii="宋体" w:hAnsi="宋体" w:cs="宋体"/>
                <w:color w:val="000000"/>
                <w:sz w:val="18"/>
                <w:szCs w:val="18"/>
              </w:rPr>
            </w:pPr>
          </w:p>
        </w:tc>
        <w:tc>
          <w:tcPr>
            <w:tcW w:w="1762"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jc w:val="center"/>
        </w:trPr>
        <w:tc>
          <w:tcPr>
            <w:tcW w:w="1013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tblPrEx>
          <w:tblCellMar>
            <w:top w:w="0" w:type="dxa"/>
            <w:left w:w="108" w:type="dxa"/>
            <w:bottom w:w="0" w:type="dxa"/>
            <w:right w:w="108" w:type="dxa"/>
          </w:tblCellMar>
        </w:tblPrEx>
        <w:trPr>
          <w:jc w:val="center"/>
        </w:trPr>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34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51080223T000009532340-2023年区三堆镇卫生院村卫生室中央补助资金</w:t>
            </w:r>
          </w:p>
        </w:tc>
      </w:tr>
      <w:tr>
        <w:tblPrEx>
          <w:tblCellMar>
            <w:top w:w="0" w:type="dxa"/>
            <w:left w:w="108" w:type="dxa"/>
            <w:bottom w:w="0" w:type="dxa"/>
            <w:right w:w="108" w:type="dxa"/>
          </w:tblCellMar>
        </w:tblPrEx>
        <w:trPr>
          <w:jc w:val="center"/>
        </w:trPr>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2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8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广元市利州区三堆镇卫生院</w:t>
            </w:r>
          </w:p>
        </w:tc>
      </w:tr>
      <w:tr>
        <w:tblPrEx>
          <w:tblCellMar>
            <w:top w:w="0" w:type="dxa"/>
            <w:left w:w="108" w:type="dxa"/>
            <w:bottom w:w="0" w:type="dxa"/>
            <w:right w:w="108" w:type="dxa"/>
          </w:tblCellMar>
        </w:tblPrEx>
        <w:trPr>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2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0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42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完善乡村医生补偿机制，健全培养培训制度，规范执业行为，强化管理指导，提高乡村医生服务水平，认真组织实施村卫生室基本药物制度，更好服务农村居民健康。</w:t>
            </w:r>
          </w:p>
        </w:tc>
        <w:tc>
          <w:tcPr>
            <w:tcW w:w="40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完善乡村医生补偿机制，健全培养培训制度，规范执业行为，强化管理指导，提高乡村医生服务水平，认真组织实施村卫生室基本药物制度，更好服务农村居民健康。</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34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执行国家基本药物的相关政策规定，实行药品零加成销售，落实财政补偿政策、基本药物监督管理，改善乡村医生执业环境,人才培养，储备后备力量等。</w:t>
            </w:r>
          </w:p>
        </w:tc>
      </w:tr>
      <w:tr>
        <w:tblPrEx>
          <w:tblCellMar>
            <w:top w:w="0" w:type="dxa"/>
            <w:left w:w="108" w:type="dxa"/>
            <w:bottom w:w="0" w:type="dxa"/>
            <w:right w:w="108" w:type="dxa"/>
          </w:tblCellMar>
        </w:tblPrEx>
        <w:trPr>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11.81</w:t>
            </w: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11.08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93.85%</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9.385</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11.81</w:t>
            </w: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11.08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93.85%</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基层医疗机构基本药物使用率</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临床合理用药</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90%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村卫生室药品集中采购统一配送率</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临床用药安全性</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90%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药品零差价销售</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患者满意度</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95%</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692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96.885</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36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绩效评价指标体系总体得分96.885分，自评结果为“优”</w:t>
            </w:r>
          </w:p>
        </w:tc>
      </w:tr>
      <w:tr>
        <w:tblPrEx>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36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乡村医生临床用药合理性、安全性有待提高，患者满意度有待提高</w:t>
            </w:r>
          </w:p>
        </w:tc>
      </w:tr>
      <w:tr>
        <w:tblPrEx>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36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加强学习，强化医疗服务能力；加大基本药物宣传力度，提升患者满意度。</w:t>
            </w:r>
          </w:p>
        </w:tc>
      </w:tr>
      <w:tr>
        <w:tblPrEx>
          <w:tblCellMar>
            <w:top w:w="0" w:type="dxa"/>
            <w:left w:w="108" w:type="dxa"/>
            <w:bottom w:w="0" w:type="dxa"/>
            <w:right w:w="108" w:type="dxa"/>
          </w:tblCellMar>
        </w:tblPrEx>
        <w:trPr>
          <w:jc w:val="center"/>
        </w:trPr>
        <w:tc>
          <w:tcPr>
            <w:tcW w:w="4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项目负责人：曾梦琦</w:t>
            </w:r>
          </w:p>
        </w:tc>
        <w:tc>
          <w:tcPr>
            <w:tcW w:w="53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财务负责人：仇艳</w:t>
            </w:r>
          </w:p>
        </w:tc>
      </w:tr>
      <w:tr>
        <w:tblPrEx>
          <w:tblCellMar>
            <w:top w:w="0" w:type="dxa"/>
            <w:left w:w="108" w:type="dxa"/>
            <w:bottom w:w="0" w:type="dxa"/>
            <w:right w:w="108" w:type="dxa"/>
          </w:tblCellMar>
        </w:tblPrEx>
        <w:trPr>
          <w:trHeight w:val="836" w:hRule="atLeast"/>
          <w:jc w:val="center"/>
        </w:trPr>
        <w:tc>
          <w:tcPr>
            <w:tcW w:w="0" w:type="auto"/>
            <w:tcBorders>
              <w:top w:val="nil"/>
              <w:left w:val="nil"/>
              <w:bottom w:val="nil"/>
              <w:right w:val="nil"/>
            </w:tcBorders>
            <w:shd w:val="clear" w:color="auto" w:fill="auto"/>
            <w:vAlign w:val="center"/>
          </w:tcPr>
          <w:p>
            <w:pPr>
              <w:rPr>
                <w:rFonts w:ascii="宋体" w:hAnsi="宋体" w:cs="宋体"/>
                <w:color w:val="000000"/>
                <w:sz w:val="18"/>
                <w:szCs w:val="18"/>
              </w:rPr>
            </w:pPr>
          </w:p>
        </w:tc>
        <w:tc>
          <w:tcPr>
            <w:tcW w:w="102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4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6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64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0" w:type="auto"/>
            <w:tcBorders>
              <w:top w:val="nil"/>
              <w:left w:val="nil"/>
              <w:bottom w:val="nil"/>
              <w:right w:val="nil"/>
            </w:tcBorders>
            <w:shd w:val="clear" w:color="auto" w:fill="auto"/>
            <w:vAlign w:val="center"/>
          </w:tcPr>
          <w:p>
            <w:pPr>
              <w:rPr>
                <w:rFonts w:ascii="宋体" w:hAnsi="宋体" w:cs="宋体"/>
                <w:color w:val="000000"/>
                <w:sz w:val="18"/>
                <w:szCs w:val="18"/>
              </w:rPr>
            </w:pPr>
          </w:p>
        </w:tc>
        <w:tc>
          <w:tcPr>
            <w:tcW w:w="66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68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0" w:type="auto"/>
            <w:tcBorders>
              <w:top w:val="nil"/>
              <w:left w:val="nil"/>
              <w:bottom w:val="nil"/>
              <w:right w:val="nil"/>
            </w:tcBorders>
            <w:shd w:val="clear" w:color="auto" w:fill="auto"/>
            <w:vAlign w:val="center"/>
          </w:tcPr>
          <w:p>
            <w:pPr>
              <w:rPr>
                <w:rFonts w:ascii="宋体" w:hAnsi="宋体" w:cs="宋体"/>
                <w:color w:val="000000"/>
                <w:sz w:val="18"/>
                <w:szCs w:val="18"/>
              </w:rPr>
            </w:pPr>
          </w:p>
        </w:tc>
        <w:tc>
          <w:tcPr>
            <w:tcW w:w="1762"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jc w:val="center"/>
        </w:trPr>
        <w:tc>
          <w:tcPr>
            <w:tcW w:w="1013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tblPrEx>
          <w:tblCellMar>
            <w:top w:w="0" w:type="dxa"/>
            <w:left w:w="108" w:type="dxa"/>
            <w:bottom w:w="0" w:type="dxa"/>
            <w:right w:w="108" w:type="dxa"/>
          </w:tblCellMar>
        </w:tblPrEx>
        <w:trPr>
          <w:jc w:val="center"/>
        </w:trPr>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34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51080223T000009532381-2023年区三堆镇卫生院公卫老年健康与医养结合服务中央补助资金</w:t>
            </w:r>
          </w:p>
        </w:tc>
      </w:tr>
      <w:tr>
        <w:tblPrEx>
          <w:tblCellMar>
            <w:top w:w="0" w:type="dxa"/>
            <w:left w:w="108" w:type="dxa"/>
            <w:bottom w:w="0" w:type="dxa"/>
            <w:right w:w="108" w:type="dxa"/>
          </w:tblCellMar>
        </w:tblPrEx>
        <w:trPr>
          <w:jc w:val="center"/>
        </w:trPr>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2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846"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广元市利州区三堆镇卫生院</w:t>
            </w:r>
          </w:p>
        </w:tc>
      </w:tr>
      <w:tr>
        <w:tblPrEx>
          <w:tblCellMar>
            <w:top w:w="0" w:type="dxa"/>
            <w:left w:w="108" w:type="dxa"/>
            <w:bottom w:w="0" w:type="dxa"/>
            <w:right w:w="108" w:type="dxa"/>
          </w:tblCellMar>
        </w:tblPrEx>
        <w:trPr>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2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0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42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为辖区内老年人提供医养结合服务及健康评估与健康服务</w:t>
            </w:r>
          </w:p>
        </w:tc>
        <w:tc>
          <w:tcPr>
            <w:tcW w:w="40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为辖区内老年人提供医养结合服务及健康评估与健康服务</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34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用于开展三堆镇辖区公共卫生服务支出。具体包括：“居民健康档案管理”、“健康教育”、“预防接种”、“0-6岁儿童健康管理”、“孕产妇健康管理”、“老年人健康管理”、“慢性病患者健康管理”、“ 严重精神障碍患者健康管理”、“结核病患者健康管理”、“传染病与突发公共卫生事件报告与处理”、“中医药健康管理”、“卫生监督协管”等12项服务。</w:t>
            </w:r>
          </w:p>
        </w:tc>
      </w:tr>
      <w:tr>
        <w:tblPrEx>
          <w:tblCellMar>
            <w:top w:w="0" w:type="dxa"/>
            <w:left w:w="108" w:type="dxa"/>
            <w:bottom w:w="0" w:type="dxa"/>
            <w:right w:w="108" w:type="dxa"/>
          </w:tblCellMar>
        </w:tblPrEx>
        <w:trPr>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4.94</w:t>
            </w: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4.94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4.94</w:t>
            </w: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4.94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失能老年人健康管理人数</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142</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老年人健康体检覆盖率</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25</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老人年健康档案质量合格率</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老年人健康管理服务</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老年人对健康知识知晓率</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可持续影响指标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老年人健康水平提高</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85%</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8.5</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老年人对医养结合满意度</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692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98.5</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36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绩效评价指标体系总体得分98.50分，自评结果为“优”</w:t>
            </w:r>
          </w:p>
        </w:tc>
      </w:tr>
      <w:tr>
        <w:tblPrEx>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36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老年人健康水平能力提升有待提高，业财融合有待提高。</w:t>
            </w:r>
          </w:p>
        </w:tc>
      </w:tr>
      <w:tr>
        <w:tblPrEx>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36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加强老年人健康宣传教育，提升老年人健康意识；加强业财融合学习，持续提高</w:t>
            </w:r>
          </w:p>
        </w:tc>
      </w:tr>
      <w:tr>
        <w:tblPrEx>
          <w:tblCellMar>
            <w:top w:w="0" w:type="dxa"/>
            <w:left w:w="108" w:type="dxa"/>
            <w:bottom w:w="0" w:type="dxa"/>
            <w:right w:w="108" w:type="dxa"/>
          </w:tblCellMar>
        </w:tblPrEx>
        <w:trPr>
          <w:jc w:val="center"/>
        </w:trPr>
        <w:tc>
          <w:tcPr>
            <w:tcW w:w="4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项目负责人：李德菊</w:t>
            </w:r>
          </w:p>
        </w:tc>
        <w:tc>
          <w:tcPr>
            <w:tcW w:w="53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财务负责人：仇艳</w:t>
            </w:r>
          </w:p>
        </w:tc>
      </w:tr>
      <w:tr>
        <w:tblPrEx>
          <w:tblCellMar>
            <w:top w:w="0" w:type="dxa"/>
            <w:left w:w="108" w:type="dxa"/>
            <w:bottom w:w="0" w:type="dxa"/>
            <w:right w:w="108" w:type="dxa"/>
          </w:tblCellMar>
        </w:tblPrEx>
        <w:trPr>
          <w:jc w:val="center"/>
        </w:trPr>
        <w:tc>
          <w:tcPr>
            <w:tcW w:w="0" w:type="auto"/>
            <w:tcBorders>
              <w:top w:val="nil"/>
              <w:left w:val="nil"/>
              <w:bottom w:val="nil"/>
              <w:right w:val="nil"/>
            </w:tcBorders>
            <w:shd w:val="clear" w:color="auto" w:fill="auto"/>
            <w:vAlign w:val="center"/>
          </w:tcPr>
          <w:p>
            <w:pPr>
              <w:rPr>
                <w:rFonts w:ascii="宋体" w:hAnsi="宋体" w:cs="宋体"/>
                <w:color w:val="000000"/>
                <w:sz w:val="18"/>
                <w:szCs w:val="18"/>
              </w:rPr>
            </w:pPr>
          </w:p>
        </w:tc>
        <w:tc>
          <w:tcPr>
            <w:tcW w:w="102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4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6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64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0" w:type="auto"/>
            <w:tcBorders>
              <w:top w:val="nil"/>
              <w:left w:val="nil"/>
              <w:bottom w:val="nil"/>
              <w:right w:val="nil"/>
            </w:tcBorders>
            <w:shd w:val="clear" w:color="auto" w:fill="auto"/>
            <w:vAlign w:val="center"/>
          </w:tcPr>
          <w:p>
            <w:pPr>
              <w:rPr>
                <w:rFonts w:ascii="宋体" w:hAnsi="宋体" w:cs="宋体"/>
                <w:color w:val="000000"/>
                <w:sz w:val="18"/>
                <w:szCs w:val="18"/>
              </w:rPr>
            </w:pPr>
          </w:p>
        </w:tc>
        <w:tc>
          <w:tcPr>
            <w:tcW w:w="66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68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0" w:type="auto"/>
            <w:tcBorders>
              <w:top w:val="nil"/>
              <w:left w:val="nil"/>
              <w:bottom w:val="nil"/>
              <w:right w:val="nil"/>
            </w:tcBorders>
            <w:shd w:val="clear" w:color="auto" w:fill="auto"/>
            <w:vAlign w:val="center"/>
          </w:tcPr>
          <w:p>
            <w:pPr>
              <w:rPr>
                <w:rFonts w:ascii="宋体" w:hAnsi="宋体" w:cs="宋体"/>
                <w:color w:val="000000"/>
                <w:sz w:val="18"/>
                <w:szCs w:val="18"/>
              </w:rPr>
            </w:pPr>
          </w:p>
        </w:tc>
        <w:tc>
          <w:tcPr>
            <w:tcW w:w="1762"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jc w:val="center"/>
        </w:trPr>
        <w:tc>
          <w:tcPr>
            <w:tcW w:w="0" w:type="auto"/>
            <w:tcBorders>
              <w:top w:val="nil"/>
              <w:left w:val="nil"/>
              <w:bottom w:val="nil"/>
              <w:right w:val="nil"/>
            </w:tcBorders>
            <w:shd w:val="clear" w:color="auto" w:fill="auto"/>
            <w:vAlign w:val="center"/>
          </w:tcPr>
          <w:p>
            <w:pPr>
              <w:rPr>
                <w:rFonts w:ascii="宋体" w:hAnsi="宋体" w:cs="宋体"/>
                <w:color w:val="000000"/>
                <w:sz w:val="18"/>
                <w:szCs w:val="18"/>
              </w:rPr>
            </w:pPr>
          </w:p>
        </w:tc>
        <w:tc>
          <w:tcPr>
            <w:tcW w:w="102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4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6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64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0" w:type="auto"/>
            <w:tcBorders>
              <w:top w:val="nil"/>
              <w:left w:val="nil"/>
              <w:bottom w:val="nil"/>
              <w:right w:val="nil"/>
            </w:tcBorders>
            <w:shd w:val="clear" w:color="auto" w:fill="auto"/>
            <w:vAlign w:val="center"/>
          </w:tcPr>
          <w:p>
            <w:pPr>
              <w:rPr>
                <w:rFonts w:ascii="宋体" w:hAnsi="宋体" w:cs="宋体"/>
                <w:color w:val="000000"/>
                <w:sz w:val="18"/>
                <w:szCs w:val="18"/>
              </w:rPr>
            </w:pPr>
          </w:p>
        </w:tc>
        <w:tc>
          <w:tcPr>
            <w:tcW w:w="66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68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0" w:type="auto"/>
            <w:tcBorders>
              <w:top w:val="nil"/>
              <w:left w:val="nil"/>
              <w:bottom w:val="nil"/>
              <w:right w:val="nil"/>
            </w:tcBorders>
            <w:shd w:val="clear" w:color="auto" w:fill="auto"/>
            <w:vAlign w:val="center"/>
          </w:tcPr>
          <w:p>
            <w:pPr>
              <w:rPr>
                <w:rFonts w:ascii="宋体" w:hAnsi="宋体" w:cs="宋体"/>
                <w:color w:val="000000"/>
                <w:sz w:val="18"/>
                <w:szCs w:val="18"/>
              </w:rPr>
            </w:pPr>
          </w:p>
        </w:tc>
        <w:tc>
          <w:tcPr>
            <w:tcW w:w="1762"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jc w:val="center"/>
        </w:trPr>
        <w:tc>
          <w:tcPr>
            <w:tcW w:w="0" w:type="auto"/>
            <w:tcBorders>
              <w:top w:val="nil"/>
              <w:left w:val="nil"/>
              <w:bottom w:val="nil"/>
              <w:right w:val="nil"/>
            </w:tcBorders>
            <w:shd w:val="clear" w:color="auto" w:fill="auto"/>
            <w:vAlign w:val="center"/>
          </w:tcPr>
          <w:p>
            <w:pPr>
              <w:rPr>
                <w:rFonts w:ascii="宋体" w:hAnsi="宋体" w:cs="宋体"/>
                <w:color w:val="000000"/>
                <w:sz w:val="18"/>
                <w:szCs w:val="18"/>
              </w:rPr>
            </w:pPr>
          </w:p>
        </w:tc>
        <w:tc>
          <w:tcPr>
            <w:tcW w:w="102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4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6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64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0" w:type="auto"/>
            <w:tcBorders>
              <w:top w:val="nil"/>
              <w:left w:val="nil"/>
              <w:bottom w:val="nil"/>
              <w:right w:val="nil"/>
            </w:tcBorders>
            <w:shd w:val="clear" w:color="auto" w:fill="auto"/>
            <w:vAlign w:val="center"/>
          </w:tcPr>
          <w:p>
            <w:pPr>
              <w:rPr>
                <w:rFonts w:ascii="宋体" w:hAnsi="宋体" w:cs="宋体"/>
                <w:color w:val="000000"/>
                <w:sz w:val="18"/>
                <w:szCs w:val="18"/>
              </w:rPr>
            </w:pPr>
          </w:p>
        </w:tc>
        <w:tc>
          <w:tcPr>
            <w:tcW w:w="66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4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68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0" w:type="auto"/>
            <w:tcBorders>
              <w:top w:val="nil"/>
              <w:left w:val="nil"/>
              <w:bottom w:val="nil"/>
              <w:right w:val="nil"/>
            </w:tcBorders>
            <w:shd w:val="clear" w:color="auto" w:fill="auto"/>
            <w:vAlign w:val="center"/>
          </w:tcPr>
          <w:p>
            <w:pPr>
              <w:rPr>
                <w:rFonts w:ascii="宋体" w:hAnsi="宋体" w:cs="宋体"/>
                <w:color w:val="000000"/>
                <w:sz w:val="18"/>
                <w:szCs w:val="18"/>
              </w:rPr>
            </w:pPr>
          </w:p>
        </w:tc>
        <w:tc>
          <w:tcPr>
            <w:tcW w:w="1762" w:type="dxa"/>
            <w:tcBorders>
              <w:top w:val="nil"/>
              <w:left w:val="nil"/>
              <w:bottom w:val="nil"/>
              <w:right w:val="nil"/>
            </w:tcBorders>
            <w:shd w:val="clear" w:color="auto" w:fill="auto"/>
            <w:vAlign w:val="center"/>
          </w:tcPr>
          <w:p>
            <w:pPr>
              <w:rPr>
                <w:rFonts w:ascii="宋体" w:hAnsi="宋体" w:cs="宋体"/>
                <w:color w:val="000000"/>
                <w:sz w:val="18"/>
                <w:szCs w:val="18"/>
              </w:rPr>
            </w:pPr>
          </w:p>
        </w:tc>
      </w:tr>
    </w:tbl>
    <w:p>
      <w:pPr>
        <w:spacing w:line="600" w:lineRule="exact"/>
        <w:jc w:val="center"/>
        <w:outlineLvl w:val="0"/>
        <w:rPr>
          <w:rFonts w:ascii="黑体" w:hAnsi="黑体" w:eastAsia="黑体"/>
          <w:sz w:val="44"/>
          <w:szCs w:val="44"/>
        </w:rPr>
      </w:pPr>
    </w:p>
    <w:p>
      <w:pPr>
        <w:spacing w:line="600" w:lineRule="exact"/>
        <w:outlineLvl w:val="0"/>
        <w:rPr>
          <w:rFonts w:ascii="黑体" w:hAnsi="黑体" w:eastAsia="黑体"/>
          <w:sz w:val="44"/>
          <w:szCs w:val="44"/>
        </w:rPr>
      </w:pPr>
    </w:p>
    <w:p>
      <w:pPr>
        <w:spacing w:line="600" w:lineRule="exact"/>
        <w:outlineLvl w:val="0"/>
        <w:rPr>
          <w:rFonts w:hint="eastAsia" w:ascii="黑体" w:hAnsi="黑体" w:eastAsia="黑体"/>
          <w:sz w:val="44"/>
          <w:szCs w:val="44"/>
        </w:rPr>
      </w:pPr>
    </w:p>
    <w:p>
      <w:pPr>
        <w:spacing w:line="600" w:lineRule="exact"/>
        <w:outlineLvl w:val="0"/>
        <w:rPr>
          <w:rFonts w:hint="eastAsia" w:ascii="黑体" w:hAnsi="黑体" w:eastAsia="黑体"/>
          <w:sz w:val="44"/>
          <w:szCs w:val="44"/>
        </w:rPr>
      </w:pPr>
    </w:p>
    <w:p>
      <w:pPr>
        <w:spacing w:line="600" w:lineRule="exact"/>
        <w:outlineLvl w:val="0"/>
        <w:rPr>
          <w:rFonts w:hint="eastAsia" w:ascii="黑体" w:hAnsi="黑体" w:eastAsia="黑体"/>
          <w:sz w:val="44"/>
          <w:szCs w:val="44"/>
        </w:rPr>
      </w:pPr>
    </w:p>
    <w:p>
      <w:pPr>
        <w:spacing w:line="600" w:lineRule="exact"/>
        <w:outlineLvl w:val="0"/>
        <w:rPr>
          <w:rFonts w:hint="eastAsia" w:ascii="黑体" w:hAnsi="黑体" w:eastAsia="黑体"/>
          <w:sz w:val="44"/>
          <w:szCs w:val="44"/>
        </w:rPr>
      </w:pPr>
    </w:p>
    <w:p>
      <w:pPr>
        <w:spacing w:line="600" w:lineRule="exact"/>
        <w:outlineLvl w:val="0"/>
        <w:rPr>
          <w:rFonts w:hint="eastAsia" w:ascii="黑体" w:hAnsi="黑体" w:eastAsia="黑体"/>
          <w:sz w:val="44"/>
          <w:szCs w:val="44"/>
        </w:rPr>
      </w:pPr>
    </w:p>
    <w:p>
      <w:pPr>
        <w:spacing w:line="600" w:lineRule="exact"/>
        <w:outlineLvl w:val="0"/>
        <w:rPr>
          <w:rFonts w:hint="eastAsia" w:ascii="黑体" w:hAnsi="黑体" w:eastAsia="黑体"/>
          <w:sz w:val="44"/>
          <w:szCs w:val="44"/>
        </w:rPr>
      </w:pPr>
    </w:p>
    <w:p>
      <w:pPr>
        <w:spacing w:line="600" w:lineRule="exact"/>
        <w:outlineLvl w:val="0"/>
        <w:rPr>
          <w:rFonts w:hint="eastAsia" w:ascii="黑体" w:hAnsi="黑体" w:eastAsia="黑体"/>
          <w:sz w:val="44"/>
          <w:szCs w:val="44"/>
        </w:rPr>
      </w:pPr>
    </w:p>
    <w:p>
      <w:pPr>
        <w:spacing w:line="600" w:lineRule="exact"/>
        <w:outlineLvl w:val="0"/>
        <w:rPr>
          <w:rFonts w:hint="eastAsia" w:ascii="黑体" w:hAnsi="黑体" w:eastAsia="黑体"/>
          <w:sz w:val="44"/>
          <w:szCs w:val="44"/>
        </w:rPr>
      </w:pPr>
    </w:p>
    <w:p>
      <w:pPr>
        <w:spacing w:line="600" w:lineRule="exact"/>
        <w:outlineLvl w:val="0"/>
        <w:rPr>
          <w:rFonts w:hint="eastAsia" w:ascii="黑体" w:hAnsi="黑体" w:eastAsia="黑体"/>
          <w:sz w:val="44"/>
          <w:szCs w:val="44"/>
        </w:rPr>
      </w:pPr>
    </w:p>
    <w:p>
      <w:pPr>
        <w:spacing w:line="600" w:lineRule="exact"/>
        <w:outlineLvl w:val="0"/>
        <w:rPr>
          <w:rFonts w:hint="eastAsia" w:ascii="黑体" w:hAnsi="黑体" w:eastAsia="黑体"/>
          <w:sz w:val="44"/>
          <w:szCs w:val="44"/>
        </w:rPr>
      </w:pPr>
    </w:p>
    <w:p>
      <w:pPr>
        <w:spacing w:line="600" w:lineRule="exact"/>
        <w:outlineLvl w:val="0"/>
        <w:rPr>
          <w:rFonts w:hint="eastAsia" w:ascii="黑体" w:hAnsi="黑体" w:eastAsia="黑体"/>
          <w:sz w:val="44"/>
          <w:szCs w:val="44"/>
        </w:rPr>
      </w:pPr>
    </w:p>
    <w:p>
      <w:pPr>
        <w:spacing w:line="600" w:lineRule="exact"/>
        <w:outlineLvl w:val="0"/>
        <w:rPr>
          <w:rFonts w:hint="eastAsia" w:ascii="黑体" w:hAnsi="黑体" w:eastAsia="黑体"/>
          <w:sz w:val="44"/>
          <w:szCs w:val="44"/>
        </w:rPr>
      </w:pPr>
    </w:p>
    <w:p>
      <w:pPr>
        <w:spacing w:line="600" w:lineRule="exact"/>
        <w:outlineLvl w:val="0"/>
        <w:rPr>
          <w:rFonts w:hint="eastAsia" w:ascii="黑体" w:hAnsi="黑体" w:eastAsia="黑体"/>
          <w:sz w:val="44"/>
          <w:szCs w:val="44"/>
        </w:rPr>
      </w:pPr>
    </w:p>
    <w:p>
      <w:pPr>
        <w:spacing w:line="600" w:lineRule="exact"/>
        <w:outlineLvl w:val="0"/>
        <w:rPr>
          <w:rFonts w:hint="eastAsia" w:ascii="黑体" w:hAnsi="黑体" w:eastAsia="黑体"/>
          <w:sz w:val="44"/>
          <w:szCs w:val="44"/>
        </w:rPr>
      </w:pPr>
    </w:p>
    <w:p>
      <w:pPr>
        <w:spacing w:line="600" w:lineRule="exact"/>
        <w:outlineLvl w:val="0"/>
        <w:rPr>
          <w:rFonts w:hint="eastAsia" w:ascii="黑体" w:hAnsi="黑体" w:eastAsia="黑体"/>
          <w:sz w:val="44"/>
          <w:szCs w:val="44"/>
        </w:rPr>
      </w:pPr>
    </w:p>
    <w:p>
      <w:pPr>
        <w:spacing w:line="600" w:lineRule="exact"/>
        <w:ind w:firstLine="2640" w:firstLineChars="600"/>
        <w:outlineLvl w:val="0"/>
        <w:rPr>
          <w:rStyle w:val="18"/>
          <w:rFonts w:ascii="黑体" w:hAnsi="黑体" w:eastAsia="黑体"/>
          <w:b w:val="0"/>
        </w:rPr>
      </w:pPr>
      <w:r>
        <w:rPr>
          <w:rFonts w:hint="eastAsia" w:ascii="黑体" w:hAnsi="黑体" w:eastAsia="黑体"/>
          <w:sz w:val="44"/>
          <w:szCs w:val="44"/>
        </w:rPr>
        <w:t>第</w:t>
      </w:r>
      <w:r>
        <w:rPr>
          <w:rStyle w:val="18"/>
          <w:rFonts w:hint="eastAsia" w:ascii="黑体" w:hAnsi="黑体" w:eastAsia="黑体"/>
          <w:b w:val="0"/>
        </w:rPr>
        <w:t>五部分 附表</w:t>
      </w:r>
      <w:bookmarkEnd w:id="14"/>
      <w:bookmarkEnd w:id="16"/>
      <w:bookmarkStart w:id="17" w:name="_Toc15396619"/>
    </w:p>
    <w:p>
      <w:pPr>
        <w:pStyle w:val="12"/>
        <w:ind w:left="420"/>
      </w:pPr>
    </w:p>
    <w:p>
      <w:pPr>
        <w:pStyle w:val="3"/>
        <w:rPr>
          <w:rFonts w:ascii="仿宋" w:hAnsi="仿宋" w:eastAsia="仿宋"/>
        </w:rPr>
      </w:pPr>
      <w:r>
        <w:rPr>
          <w:rFonts w:hint="eastAsia" w:ascii="仿宋" w:hAnsi="仿宋" w:eastAsia="仿宋"/>
          <w:b w:val="0"/>
        </w:rPr>
        <w:t>一、收</w:t>
      </w:r>
      <w:r>
        <w:rPr>
          <w:rStyle w:val="19"/>
          <w:rFonts w:hint="eastAsia" w:ascii="仿宋" w:hAnsi="仿宋" w:eastAsia="仿宋"/>
          <w:b w:val="0"/>
          <w:bCs w:val="0"/>
        </w:rPr>
        <w:t>入支出决算总表</w:t>
      </w:r>
      <w:bookmarkEnd w:id="17"/>
    </w:p>
    <w:p>
      <w:pPr>
        <w:pStyle w:val="3"/>
        <w:rPr>
          <w:rFonts w:ascii="仿宋" w:hAnsi="仿宋" w:eastAsia="仿宋"/>
        </w:rPr>
      </w:pPr>
      <w:bookmarkStart w:id="18" w:name="_Toc15396620"/>
      <w:r>
        <w:rPr>
          <w:rFonts w:hint="eastAsia" w:ascii="仿宋" w:hAnsi="仿宋" w:eastAsia="仿宋"/>
          <w:b w:val="0"/>
        </w:rPr>
        <w:t>二、收</w:t>
      </w:r>
      <w:r>
        <w:rPr>
          <w:rStyle w:val="19"/>
          <w:rFonts w:hint="eastAsia" w:ascii="仿宋" w:hAnsi="仿宋" w:eastAsia="仿宋"/>
          <w:b w:val="0"/>
          <w:bCs w:val="0"/>
        </w:rPr>
        <w:t>入决算表</w:t>
      </w:r>
      <w:bookmarkEnd w:id="18"/>
    </w:p>
    <w:p>
      <w:pPr>
        <w:pStyle w:val="3"/>
        <w:rPr>
          <w:rFonts w:ascii="仿宋" w:hAnsi="仿宋" w:eastAsia="仿宋"/>
        </w:rPr>
      </w:pPr>
      <w:bookmarkStart w:id="19" w:name="_Toc15396621"/>
      <w:r>
        <w:rPr>
          <w:rStyle w:val="19"/>
          <w:rFonts w:hint="eastAsia" w:ascii="仿宋" w:hAnsi="仿宋" w:eastAsia="仿宋"/>
          <w:b w:val="0"/>
          <w:bCs w:val="0"/>
        </w:rPr>
        <w:t>三、</w:t>
      </w:r>
      <w:r>
        <w:rPr>
          <w:rFonts w:hint="eastAsia" w:ascii="仿宋" w:hAnsi="仿宋" w:eastAsia="仿宋"/>
          <w:b w:val="0"/>
        </w:rPr>
        <w:t>支</w:t>
      </w:r>
      <w:r>
        <w:rPr>
          <w:rStyle w:val="19"/>
          <w:rFonts w:hint="eastAsia" w:ascii="仿宋" w:hAnsi="仿宋" w:eastAsia="仿宋"/>
          <w:b w:val="0"/>
          <w:bCs w:val="0"/>
        </w:rPr>
        <w:t>出决算表</w:t>
      </w:r>
      <w:bookmarkEnd w:id="19"/>
    </w:p>
    <w:p>
      <w:pPr>
        <w:pStyle w:val="3"/>
        <w:rPr>
          <w:rFonts w:ascii="仿宋" w:hAnsi="仿宋" w:eastAsia="仿宋"/>
          <w:b w:val="0"/>
        </w:rPr>
      </w:pPr>
      <w:bookmarkStart w:id="20" w:name="_Toc15396622"/>
      <w:r>
        <w:rPr>
          <w:rStyle w:val="19"/>
          <w:rFonts w:hint="eastAsia" w:ascii="仿宋" w:hAnsi="仿宋" w:eastAsia="仿宋"/>
          <w:b w:val="0"/>
          <w:bCs w:val="0"/>
        </w:rPr>
        <w:t>四、</w:t>
      </w:r>
      <w:r>
        <w:rPr>
          <w:rFonts w:hint="eastAsia" w:ascii="仿宋" w:hAnsi="仿宋" w:eastAsia="仿宋"/>
          <w:b w:val="0"/>
        </w:rPr>
        <w:t>财</w:t>
      </w:r>
      <w:r>
        <w:rPr>
          <w:rStyle w:val="19"/>
          <w:rFonts w:hint="eastAsia" w:ascii="仿宋" w:hAnsi="仿宋" w:eastAsia="仿宋"/>
          <w:b w:val="0"/>
          <w:bCs w:val="0"/>
        </w:rPr>
        <w:t>政拨款收入支出决算总表</w:t>
      </w:r>
      <w:bookmarkEnd w:id="20"/>
    </w:p>
    <w:p>
      <w:pPr>
        <w:pStyle w:val="3"/>
        <w:rPr>
          <w:rStyle w:val="19"/>
          <w:rFonts w:ascii="仿宋" w:hAnsi="仿宋" w:eastAsia="仿宋"/>
          <w:b w:val="0"/>
          <w:bCs w:val="0"/>
        </w:rPr>
      </w:pPr>
      <w:bookmarkStart w:id="21" w:name="_Toc15396623"/>
      <w:r>
        <w:rPr>
          <w:rStyle w:val="19"/>
          <w:rFonts w:hint="eastAsia" w:ascii="仿宋" w:hAnsi="仿宋" w:eastAsia="仿宋"/>
          <w:b w:val="0"/>
          <w:bCs w:val="0"/>
        </w:rPr>
        <w:t>五、</w:t>
      </w:r>
      <w:r>
        <w:rPr>
          <w:rFonts w:hint="eastAsia" w:ascii="仿宋" w:hAnsi="仿宋" w:eastAsia="仿宋"/>
          <w:b w:val="0"/>
        </w:rPr>
        <w:t>财</w:t>
      </w:r>
      <w:r>
        <w:rPr>
          <w:rStyle w:val="19"/>
          <w:rFonts w:hint="eastAsia" w:ascii="仿宋" w:hAnsi="仿宋" w:eastAsia="仿宋"/>
          <w:b w:val="0"/>
          <w:bCs w:val="0"/>
        </w:rPr>
        <w:t>政拨款支出决算明细表</w:t>
      </w:r>
      <w:bookmarkEnd w:id="21"/>
      <w:bookmarkStart w:id="22" w:name="_Toc15396624"/>
    </w:p>
    <w:p>
      <w:pPr>
        <w:pStyle w:val="3"/>
        <w:rPr>
          <w:rFonts w:ascii="仿宋" w:hAnsi="仿宋" w:eastAsia="仿宋"/>
        </w:rPr>
      </w:pPr>
      <w:r>
        <w:rPr>
          <w:rStyle w:val="19"/>
          <w:rFonts w:hint="eastAsia" w:ascii="仿宋" w:hAnsi="仿宋" w:eastAsia="仿宋"/>
          <w:b w:val="0"/>
          <w:bCs w:val="0"/>
        </w:rPr>
        <w:t>六、</w:t>
      </w:r>
      <w:r>
        <w:rPr>
          <w:rFonts w:hint="eastAsia" w:ascii="仿宋" w:hAnsi="仿宋" w:eastAsia="仿宋"/>
          <w:b w:val="0"/>
        </w:rPr>
        <w:t>一</w:t>
      </w:r>
      <w:r>
        <w:rPr>
          <w:rStyle w:val="19"/>
          <w:rFonts w:hint="eastAsia" w:ascii="仿宋" w:hAnsi="仿宋" w:eastAsia="仿宋"/>
          <w:b w:val="0"/>
          <w:bCs w:val="0"/>
        </w:rPr>
        <w:t>般公共预算财政拨款支出决算表</w:t>
      </w:r>
      <w:bookmarkEnd w:id="22"/>
    </w:p>
    <w:p>
      <w:pPr>
        <w:pStyle w:val="3"/>
        <w:rPr>
          <w:rFonts w:ascii="仿宋" w:hAnsi="仿宋" w:eastAsia="仿宋"/>
        </w:rPr>
      </w:pPr>
      <w:bookmarkStart w:id="23" w:name="_Toc15396625"/>
      <w:r>
        <w:rPr>
          <w:rStyle w:val="19"/>
          <w:rFonts w:hint="eastAsia" w:ascii="仿宋" w:hAnsi="仿宋" w:eastAsia="仿宋"/>
          <w:b w:val="0"/>
          <w:bCs w:val="0"/>
        </w:rPr>
        <w:t>七、</w:t>
      </w:r>
      <w:r>
        <w:rPr>
          <w:rFonts w:hint="eastAsia" w:ascii="仿宋" w:hAnsi="仿宋" w:eastAsia="仿宋"/>
          <w:b w:val="0"/>
        </w:rPr>
        <w:t>一</w:t>
      </w:r>
      <w:r>
        <w:rPr>
          <w:rStyle w:val="19"/>
          <w:rFonts w:hint="eastAsia" w:ascii="仿宋" w:hAnsi="仿宋" w:eastAsia="仿宋"/>
          <w:b w:val="0"/>
          <w:bCs w:val="0"/>
        </w:rPr>
        <w:t>般公共预算财政拨款支出决算明细表</w:t>
      </w:r>
      <w:bookmarkEnd w:id="23"/>
    </w:p>
    <w:p>
      <w:pPr>
        <w:pStyle w:val="3"/>
        <w:rPr>
          <w:rFonts w:ascii="仿宋" w:hAnsi="仿宋" w:eastAsia="仿宋"/>
        </w:rPr>
      </w:pPr>
      <w:bookmarkStart w:id="24" w:name="_Toc15396626"/>
      <w:r>
        <w:rPr>
          <w:rStyle w:val="19"/>
          <w:rFonts w:hint="eastAsia" w:ascii="仿宋" w:hAnsi="仿宋" w:eastAsia="仿宋"/>
          <w:b w:val="0"/>
          <w:bCs w:val="0"/>
        </w:rPr>
        <w:t>八、</w:t>
      </w:r>
      <w:r>
        <w:rPr>
          <w:rFonts w:hint="eastAsia" w:ascii="仿宋" w:hAnsi="仿宋" w:eastAsia="仿宋"/>
          <w:b w:val="0"/>
        </w:rPr>
        <w:t>一</w:t>
      </w:r>
      <w:r>
        <w:rPr>
          <w:rStyle w:val="19"/>
          <w:rFonts w:hint="eastAsia" w:ascii="仿宋" w:hAnsi="仿宋" w:eastAsia="仿宋"/>
          <w:b w:val="0"/>
          <w:bCs w:val="0"/>
        </w:rPr>
        <w:t>般公共预算财政拨款基本支出决算表</w:t>
      </w:r>
      <w:bookmarkEnd w:id="24"/>
    </w:p>
    <w:p>
      <w:pPr>
        <w:pStyle w:val="3"/>
        <w:rPr>
          <w:rFonts w:ascii="仿宋" w:hAnsi="仿宋" w:eastAsia="仿宋"/>
        </w:rPr>
      </w:pPr>
      <w:bookmarkStart w:id="25" w:name="_Toc15396627"/>
      <w:r>
        <w:rPr>
          <w:rStyle w:val="19"/>
          <w:rFonts w:hint="eastAsia" w:ascii="仿宋" w:hAnsi="仿宋" w:eastAsia="仿宋"/>
          <w:b w:val="0"/>
          <w:bCs w:val="0"/>
        </w:rPr>
        <w:t>九、</w:t>
      </w:r>
      <w:r>
        <w:rPr>
          <w:rFonts w:hint="eastAsia" w:ascii="仿宋" w:hAnsi="仿宋" w:eastAsia="仿宋"/>
          <w:b w:val="0"/>
        </w:rPr>
        <w:t>一</w:t>
      </w:r>
      <w:r>
        <w:rPr>
          <w:rStyle w:val="19"/>
          <w:rFonts w:hint="eastAsia" w:ascii="仿宋" w:hAnsi="仿宋" w:eastAsia="仿宋"/>
          <w:b w:val="0"/>
          <w:bCs w:val="0"/>
        </w:rPr>
        <w:t>般公共预算财政拨款项目支出决算表</w:t>
      </w:r>
      <w:bookmarkEnd w:id="25"/>
    </w:p>
    <w:p>
      <w:pPr>
        <w:pStyle w:val="3"/>
        <w:rPr>
          <w:rFonts w:ascii="仿宋" w:hAnsi="仿宋" w:eastAsia="仿宋"/>
        </w:rPr>
      </w:pPr>
      <w:bookmarkStart w:id="26" w:name="_Toc15396628"/>
      <w:r>
        <w:rPr>
          <w:rStyle w:val="19"/>
          <w:rFonts w:hint="eastAsia" w:ascii="仿宋" w:hAnsi="仿宋" w:eastAsia="仿宋"/>
          <w:b w:val="0"/>
          <w:bCs w:val="0"/>
        </w:rPr>
        <w:t>十、</w:t>
      </w:r>
      <w:bookmarkEnd w:id="26"/>
      <w:r>
        <w:rPr>
          <w:rFonts w:hint="eastAsia" w:ascii="仿宋" w:hAnsi="仿宋" w:eastAsia="仿宋"/>
          <w:b w:val="0"/>
        </w:rPr>
        <w:t>政</w:t>
      </w:r>
      <w:r>
        <w:rPr>
          <w:rStyle w:val="19"/>
          <w:rFonts w:hint="eastAsia" w:ascii="仿宋" w:hAnsi="仿宋" w:eastAsia="仿宋"/>
          <w:b w:val="0"/>
          <w:bCs w:val="0"/>
        </w:rPr>
        <w:t>府性基金预算财政拨款收入支出决算表</w:t>
      </w:r>
    </w:p>
    <w:p>
      <w:pPr>
        <w:pStyle w:val="3"/>
        <w:rPr>
          <w:rFonts w:ascii="仿宋" w:hAnsi="仿宋" w:eastAsia="仿宋"/>
        </w:rPr>
      </w:pPr>
      <w:bookmarkStart w:id="27" w:name="_Toc15396629"/>
      <w:r>
        <w:rPr>
          <w:rStyle w:val="19"/>
          <w:rFonts w:hint="eastAsia" w:ascii="仿宋" w:hAnsi="仿宋" w:eastAsia="仿宋"/>
          <w:b w:val="0"/>
          <w:bCs w:val="0"/>
        </w:rPr>
        <w:t>十一、</w:t>
      </w:r>
      <w:bookmarkEnd w:id="27"/>
      <w:r>
        <w:rPr>
          <w:rFonts w:hint="eastAsia" w:ascii="仿宋" w:hAnsi="仿宋" w:eastAsia="仿宋"/>
          <w:b w:val="0"/>
        </w:rPr>
        <w:t>国</w:t>
      </w:r>
      <w:r>
        <w:rPr>
          <w:rStyle w:val="19"/>
          <w:rFonts w:hint="eastAsia" w:ascii="仿宋" w:hAnsi="仿宋" w:eastAsia="仿宋"/>
          <w:b w:val="0"/>
          <w:bCs w:val="0"/>
        </w:rPr>
        <w:t>有资本经营预算财政拨款收入支出决算表</w:t>
      </w:r>
    </w:p>
    <w:p>
      <w:pPr>
        <w:pStyle w:val="3"/>
        <w:rPr>
          <w:rFonts w:ascii="仿宋" w:hAnsi="仿宋" w:eastAsia="仿宋"/>
        </w:rPr>
      </w:pPr>
      <w:bookmarkStart w:id="28" w:name="_Toc15396630"/>
      <w:r>
        <w:rPr>
          <w:rStyle w:val="19"/>
          <w:rFonts w:hint="eastAsia" w:ascii="仿宋" w:hAnsi="仿宋" w:eastAsia="仿宋"/>
          <w:b w:val="0"/>
          <w:bCs w:val="0"/>
        </w:rPr>
        <w:t>十二、</w:t>
      </w:r>
      <w:bookmarkEnd w:id="28"/>
      <w:r>
        <w:rPr>
          <w:rStyle w:val="19"/>
          <w:rFonts w:hint="eastAsia" w:ascii="仿宋" w:hAnsi="仿宋" w:eastAsia="仿宋"/>
          <w:b w:val="0"/>
          <w:bCs w:val="0"/>
        </w:rPr>
        <w:t>国有资本经营预算财政拨款支出决算表</w:t>
      </w:r>
    </w:p>
    <w:p>
      <w:pPr>
        <w:pStyle w:val="3"/>
        <w:rPr>
          <w:rFonts w:eastAsia="仿宋"/>
        </w:rPr>
      </w:pPr>
      <w:bookmarkStart w:id="29" w:name="_Toc15396631"/>
      <w:r>
        <w:rPr>
          <w:rStyle w:val="19"/>
          <w:rFonts w:hint="eastAsia" w:ascii="仿宋" w:hAnsi="仿宋" w:eastAsia="仿宋"/>
          <w:b w:val="0"/>
          <w:bCs w:val="0"/>
        </w:rPr>
        <w:t>十三、</w:t>
      </w:r>
      <w:bookmarkEnd w:id="29"/>
      <w:r>
        <w:rPr>
          <w:rStyle w:val="19"/>
          <w:rFonts w:hint="eastAsia" w:ascii="仿宋" w:hAnsi="仿宋" w:eastAsia="仿宋"/>
          <w:b w:val="0"/>
          <w:bCs w:val="0"/>
        </w:rPr>
        <w:t>财政拨款“三公”经费支出决算表</w:t>
      </w:r>
    </w:p>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w:panose1 w:val="020B0604020202020204"/>
    <w:charset w:val="00"/>
    <w:family w:val="swiss"/>
    <w:pitch w:val="default"/>
    <w:sig w:usb0="00007A87" w:usb1="80000000" w:usb2="00000008" w:usb3="00000000" w:csb0="400001FF" w:csb1="FFFF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8"/>
        <w:szCs w:val="28"/>
      </w:rPr>
    </w:pPr>
    <w:r>
      <w:rPr>
        <w:rFonts w:hint="eastAsia"/>
        <w:sz w:val="28"/>
        <w:szCs w:val="28"/>
      </w:rPr>
      <w:t>-</w:t>
    </w:r>
    <w:sdt>
      <w:sdtPr>
        <w:rPr>
          <w:sz w:val="28"/>
          <w:szCs w:val="28"/>
        </w:rPr>
        <w:id w:val="35965157"/>
        <w:docPartObj>
          <w:docPartGallery w:val="AutoText"/>
        </w:docPartObj>
      </w:sdtPr>
      <w:sdtEndPr>
        <w:rPr>
          <w:sz w:val="28"/>
          <w:szCs w:val="28"/>
        </w:r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rFonts w:hint="eastAsia"/>
            <w:sz w:val="28"/>
            <w:szCs w:val="28"/>
          </w:rPr>
          <w:t>-</w:t>
        </w:r>
      </w:sdtContent>
    </w:sdt>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A03D97"/>
    <w:multiLevelType w:val="singleLevel"/>
    <w:tmpl w:val="CBA03D97"/>
    <w:lvl w:ilvl="0" w:tentative="0">
      <w:start w:val="5"/>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3818A09A"/>
    <w:multiLevelType w:val="singleLevel"/>
    <w:tmpl w:val="3818A09A"/>
    <w:lvl w:ilvl="0" w:tentative="0">
      <w:start w:val="1"/>
      <w:numFmt w:val="chineseCounting"/>
      <w:suff w:val="nothing"/>
      <w:lvlText w:val="%1、"/>
      <w:lvlJc w:val="left"/>
      <w:rPr>
        <w:rFonts w:hint="eastAsia"/>
      </w:rPr>
    </w:lvl>
  </w:abstractNum>
  <w:abstractNum w:abstractNumId="3">
    <w:nsid w:val="3FFB5939"/>
    <w:multiLevelType w:val="singleLevel"/>
    <w:tmpl w:val="3FFB5939"/>
    <w:lvl w:ilvl="0" w:tentative="0">
      <w:start w:val="1"/>
      <w:numFmt w:val="decimal"/>
      <w:lvlText w:val="%1."/>
      <w:lvlJc w:val="left"/>
      <w:pPr>
        <w:tabs>
          <w:tab w:val="left" w:pos="312"/>
        </w:tabs>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Y5ZWI5NzMxYzAxOTcyN2ZkZWZjZTYxMmRkNTljNDQifQ=="/>
  </w:docVars>
  <w:rsids>
    <w:rsidRoot w:val="6E5C3A26"/>
    <w:rsid w:val="00162BBC"/>
    <w:rsid w:val="001D4FE2"/>
    <w:rsid w:val="002075FF"/>
    <w:rsid w:val="00346ECC"/>
    <w:rsid w:val="00433EB4"/>
    <w:rsid w:val="007D56E7"/>
    <w:rsid w:val="007E5C67"/>
    <w:rsid w:val="00885D42"/>
    <w:rsid w:val="009C4B73"/>
    <w:rsid w:val="00A51410"/>
    <w:rsid w:val="00B17735"/>
    <w:rsid w:val="00CE18C6"/>
    <w:rsid w:val="00D61C41"/>
    <w:rsid w:val="00DF3B9A"/>
    <w:rsid w:val="00E4710D"/>
    <w:rsid w:val="00F22C44"/>
    <w:rsid w:val="00F73009"/>
    <w:rsid w:val="0D124418"/>
    <w:rsid w:val="19A96B9D"/>
    <w:rsid w:val="1F936919"/>
    <w:rsid w:val="25C360BB"/>
    <w:rsid w:val="2AF6688D"/>
    <w:rsid w:val="2B630E82"/>
    <w:rsid w:val="2D726F1C"/>
    <w:rsid w:val="2ED86CA6"/>
    <w:rsid w:val="37E879A3"/>
    <w:rsid w:val="3BCD2FD0"/>
    <w:rsid w:val="42831588"/>
    <w:rsid w:val="457E617A"/>
    <w:rsid w:val="4AF15A73"/>
    <w:rsid w:val="50487630"/>
    <w:rsid w:val="575F65DE"/>
    <w:rsid w:val="5D5105F3"/>
    <w:rsid w:val="5DCE39F2"/>
    <w:rsid w:val="674E3DFE"/>
    <w:rsid w:val="69140A20"/>
    <w:rsid w:val="6E5C3A26"/>
    <w:rsid w:val="6F7E5808"/>
    <w:rsid w:val="73D53490"/>
    <w:rsid w:val="7D6C09D3"/>
    <w:rsid w:val="7F2F3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Cambria" w:hAnsi="Cambria"/>
      <w:b/>
      <w:bCs/>
      <w:sz w:val="32"/>
      <w:szCs w:val="32"/>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Salutation"/>
    <w:basedOn w:val="1"/>
    <w:next w:val="1"/>
    <w:qFormat/>
    <w:uiPriority w:val="0"/>
  </w:style>
  <w:style w:type="paragraph" w:styleId="5">
    <w:name w:val="Body Text"/>
    <w:basedOn w:val="1"/>
    <w:qFormat/>
    <w:uiPriority w:val="0"/>
    <w:pPr>
      <w:spacing w:after="140" w:line="276" w:lineRule="auto"/>
    </w:pPr>
  </w:style>
  <w:style w:type="paragraph" w:styleId="6">
    <w:name w:val="Body Text Indent"/>
    <w:basedOn w:val="1"/>
    <w:qFormat/>
    <w:uiPriority w:val="0"/>
    <w:pPr>
      <w:spacing w:after="120"/>
      <w:ind w:left="200" w:leftChars="200"/>
    </w:pPr>
    <w:rPr>
      <w:rFonts w:ascii="仿宋_GB2312"/>
      <w:szCs w:val="32"/>
    </w:rPr>
  </w:style>
  <w:style w:type="paragraph" w:styleId="7">
    <w:name w:val="Balloon Text"/>
    <w:basedOn w:val="1"/>
    <w:link w:val="22"/>
    <w:uiPriority w:val="0"/>
    <w:rPr>
      <w:sz w:val="18"/>
      <w:szCs w:val="18"/>
    </w:rPr>
  </w:style>
  <w:style w:type="paragraph" w:styleId="8">
    <w:name w:val="footer"/>
    <w:basedOn w:val="1"/>
    <w:link w:val="23"/>
    <w:qFormat/>
    <w:uiPriority w:val="99"/>
    <w:pPr>
      <w:tabs>
        <w:tab w:val="center" w:pos="4153"/>
        <w:tab w:val="right" w:pos="8306"/>
      </w:tabs>
      <w:snapToGrid w:val="0"/>
      <w:jc w:val="left"/>
    </w:pPr>
    <w:rPr>
      <w:kern w:val="0"/>
      <w:sz w:val="18"/>
      <w:szCs w:val="18"/>
    </w:rPr>
  </w:style>
  <w:style w:type="paragraph" w:styleId="9">
    <w:name w:val="header"/>
    <w:basedOn w:val="1"/>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footnote text"/>
    <w:basedOn w:val="1"/>
    <w:next w:val="12"/>
    <w:semiHidden/>
    <w:qFormat/>
    <w:uiPriority w:val="0"/>
    <w:pPr>
      <w:snapToGrid w:val="0"/>
      <w:jc w:val="left"/>
    </w:pPr>
    <w:rPr>
      <w:sz w:val="18"/>
      <w:szCs w:val="18"/>
    </w:rPr>
  </w:style>
  <w:style w:type="paragraph" w:styleId="12">
    <w:name w:val="Body Text First Indent 2"/>
    <w:basedOn w:val="6"/>
    <w:unhideWhenUsed/>
    <w:qFormat/>
    <w:uiPriority w:val="99"/>
    <w:pPr>
      <w:ind w:firstLine="420" w:firstLineChars="200"/>
    </w:pPr>
  </w:style>
  <w:style w:type="paragraph" w:styleId="13">
    <w:name w:val="toc 2"/>
    <w:basedOn w:val="1"/>
    <w:next w:val="1"/>
    <w:unhideWhenUsed/>
    <w:qFormat/>
    <w:uiPriority w:val="39"/>
    <w:pPr>
      <w:tabs>
        <w:tab w:val="right" w:leader="dot" w:pos="8296"/>
      </w:tabs>
      <w:ind w:left="420" w:leftChars="200"/>
    </w:pPr>
  </w:style>
  <w:style w:type="character" w:styleId="16">
    <w:name w:val="Strong"/>
    <w:basedOn w:val="15"/>
    <w:qFormat/>
    <w:uiPriority w:val="99"/>
    <w:rPr>
      <w:b/>
    </w:rPr>
  </w:style>
  <w:style w:type="paragraph" w:customStyle="1" w:styleId="17">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8">
    <w:name w:val="标题 1 Char"/>
    <w:basedOn w:val="15"/>
    <w:link w:val="2"/>
    <w:qFormat/>
    <w:uiPriority w:val="9"/>
    <w:rPr>
      <w:b/>
      <w:bCs/>
      <w:kern w:val="44"/>
      <w:sz w:val="44"/>
      <w:szCs w:val="44"/>
    </w:rPr>
  </w:style>
  <w:style w:type="character" w:customStyle="1" w:styleId="19">
    <w:name w:val="标题 2 Char"/>
    <w:basedOn w:val="15"/>
    <w:link w:val="3"/>
    <w:qFormat/>
    <w:uiPriority w:val="9"/>
    <w:rPr>
      <w:rFonts w:ascii="Cambria" w:hAnsi="Cambria" w:eastAsia="宋体" w:cs="Times New Roman"/>
      <w:b/>
      <w:bCs/>
      <w:sz w:val="32"/>
      <w:szCs w:val="32"/>
    </w:rPr>
  </w:style>
  <w:style w:type="paragraph" w:styleId="20">
    <w:name w:val="List Paragraph"/>
    <w:basedOn w:val="1"/>
    <w:qFormat/>
    <w:uiPriority w:val="34"/>
    <w:pPr>
      <w:ind w:firstLine="420" w:firstLineChars="200"/>
    </w:pPr>
  </w:style>
  <w:style w:type="paragraph" w:customStyle="1" w:styleId="21">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2">
    <w:name w:val="批注框文本 Char"/>
    <w:basedOn w:val="15"/>
    <w:link w:val="7"/>
    <w:uiPriority w:val="0"/>
    <w:rPr>
      <w:rFonts w:ascii="Calibri" w:hAnsi="Calibri" w:eastAsia="宋体" w:cs="Times New Roman"/>
      <w:kern w:val="2"/>
      <w:sz w:val="18"/>
      <w:szCs w:val="18"/>
    </w:rPr>
  </w:style>
  <w:style w:type="character" w:customStyle="1" w:styleId="23">
    <w:name w:val="页脚 Char"/>
    <w:basedOn w:val="15"/>
    <w:link w:val="8"/>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0"/>
      <c:spPr>
        <a:noFill/>
        <a:ln>
          <a:noFill/>
        </a:ln>
        <a:effectLst/>
      </c:spPr>
    </c:title>
    <c:autoTitleDeleted val="0"/>
    <c:plotArea>
      <c:layout>
        <c:manualLayout>
          <c:layoutTarget val="inner"/>
          <c:xMode val="edge"/>
          <c:yMode val="edge"/>
          <c:x val="0.08034489515971"/>
          <c:y val="0.416641989931892"/>
          <c:w val="0.913776210072506"/>
          <c:h val="0.497009179745336"/>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总收入</c:v>
                </c:pt>
                <c:pt idx="1">
                  <c:v>总支出</c:v>
                </c:pt>
              </c:strCache>
            </c:strRef>
          </c:cat>
          <c:val>
            <c:numRef>
              <c:f>Sheet1!$B$2:$B$3</c:f>
              <c:numCache>
                <c:formatCode>General</c:formatCode>
                <c:ptCount val="2"/>
                <c:pt idx="0">
                  <c:v>952.39</c:v>
                </c:pt>
                <c:pt idx="1">
                  <c:v>952.39</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总收入</c:v>
                </c:pt>
                <c:pt idx="1">
                  <c:v>总支出</c:v>
                </c:pt>
              </c:strCache>
            </c:strRef>
          </c:cat>
          <c:val>
            <c:numRef>
              <c:f>Sheet1!$C$2:$C$3</c:f>
              <c:numCache>
                <c:formatCode>General</c:formatCode>
                <c:ptCount val="2"/>
                <c:pt idx="0">
                  <c:v>1283.7</c:v>
                </c:pt>
                <c:pt idx="1">
                  <c:v>1283.7</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总收入</c:v>
                </c:pt>
                <c:pt idx="1">
                  <c:v>总支出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150"/>
        <c:overlap val="-25"/>
        <c:axId val="115626368"/>
        <c:axId val="115627904"/>
      </c:barChart>
      <c:catAx>
        <c:axId val="11562636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5627904"/>
        <c:crosses val="autoZero"/>
        <c:auto val="1"/>
        <c:lblAlgn val="ctr"/>
        <c:lblOffset val="100"/>
        <c:noMultiLvlLbl val="0"/>
      </c:catAx>
      <c:valAx>
        <c:axId val="115627904"/>
        <c:scaling>
          <c:orientation val="minMax"/>
        </c:scaling>
        <c:delete val="1"/>
        <c:axPos val="l"/>
        <c:numFmt formatCode="General" sourceLinked="1"/>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5626368"/>
        <c:crosses val="autoZero"/>
        <c:crossBetween val="between"/>
      </c:valAx>
      <c:spPr>
        <a:noFill/>
        <a:ln>
          <a:noFill/>
        </a:ln>
        <a:effectLst/>
      </c:spPr>
    </c:plotArea>
    <c:legend>
      <c:legendPos val="t"/>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总收入</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135393207210642"/>
                  <c:y val="-0.022075048753709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37692659672806"/>
                  <c:y val="0.026152531026683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202932195742047"/>
                  <c:y val="0.022183989532905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一般公共预算财政拨款收入</c:v>
                </c:pt>
                <c:pt idx="1">
                  <c:v>事业收入</c:v>
                </c:pt>
                <c:pt idx="2">
                  <c:v>其他收入</c:v>
                </c:pt>
              </c:strCache>
            </c:strRef>
          </c:cat>
          <c:val>
            <c:numRef>
              <c:f>Sheet1!$B$2:$B$4</c:f>
              <c:numCache>
                <c:formatCode>General</c:formatCode>
                <c:ptCount val="3"/>
                <c:pt idx="0">
                  <c:v>595.83</c:v>
                </c:pt>
                <c:pt idx="1">
                  <c:v>287.47</c:v>
                </c:pt>
                <c:pt idx="2">
                  <c:v>47.42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46381578947368"/>
          <c:y val="0.17552657973921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manualLayout>
          <c:xMode val="edge"/>
          <c:yMode val="edge"/>
          <c:x val="0.290558415922596"/>
          <c:y val="0.040569360389225"/>
        </c:manualLayout>
      </c:layout>
      <c:overlay val="0"/>
      <c:spPr>
        <a:noFill/>
        <a:ln>
          <a:noFill/>
        </a:ln>
        <a:effectLst/>
      </c:spPr>
    </c:title>
    <c:autoTitleDeleted val="0"/>
    <c:plotArea>
      <c:layout/>
      <c:pieChart>
        <c:varyColors val="1"/>
        <c:ser>
          <c:idx val="0"/>
          <c:order val="0"/>
          <c:tx>
            <c:strRef>
              <c:f>Sheet1!$B$1</c:f>
              <c:strCache>
                <c:ptCount val="1"/>
                <c:pt idx="0">
                  <c:v>总支出</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372438995728233"/>
                  <c:y val="-0.29910794983379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82686060919419"/>
                  <c:y val="0.0081395713163049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796.73</c:v>
                </c:pt>
                <c:pt idx="1">
                  <c:v>239.72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财政拨款收、支决算变动情况表</a:t>
            </a:r>
          </a:p>
        </c:rich>
      </c:tx>
      <c:layout/>
      <c:overlay val="0"/>
      <c:spPr>
        <a:noFill/>
        <a:ln>
          <a:noFill/>
        </a:ln>
        <a:effectLst/>
      </c:spPr>
    </c:title>
    <c:autoTitleDeleted val="0"/>
    <c:plotArea>
      <c:layout>
        <c:manualLayout>
          <c:layoutTarget val="inner"/>
          <c:xMode val="edge"/>
          <c:yMode val="edge"/>
          <c:x val="0.113315440027143"/>
          <c:y val="0.173441108545035"/>
          <c:w val="0.844878583165967"/>
          <c:h val="0.607713625866051"/>
        </c:manualLayout>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dLbl>
              <c:idx val="0"/>
              <c:layout>
                <c:manualLayout>
                  <c:x val="-0.0038841304497688"/>
                  <c:y val="0.017966301879198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029646723092031"/>
                  <c:y val="0.012957581478251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595.83</c:v>
                </c:pt>
                <c:pt idx="1">
                  <c:v>595.83</c:v>
                </c:pt>
              </c:numCache>
            </c:numRef>
          </c:val>
        </c:ser>
        <c:ser>
          <c:idx val="1"/>
          <c:order val="1"/>
          <c:tx>
            <c:strRef>
              <c:f>Sheet1!$C$1</c:f>
              <c:strCache>
                <c:ptCount val="1"/>
                <c:pt idx="0">
                  <c:v>2022年</c:v>
                </c:pt>
              </c:strCache>
            </c:strRef>
          </c:tx>
          <c:spPr>
            <a:solidFill>
              <a:schemeClr val="accent2"/>
            </a:solidFill>
            <a:ln>
              <a:noFill/>
            </a:ln>
            <a:effectLst/>
          </c:spPr>
          <c:invertIfNegative val="0"/>
          <c:dLbls>
            <c:dLbl>
              <c:idx val="0"/>
              <c:layout>
                <c:manualLayout>
                  <c:x val="0.012182132503476"/>
                  <c:y val="0.033949191685912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687156191994591"/>
                  <c:y val="0.023604136919877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714.59</c:v>
                </c:pt>
                <c:pt idx="1">
                  <c:v>714.59</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收入</c:v>
                </c:pt>
                <c:pt idx="1">
                  <c:v>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142087680"/>
        <c:axId val="162263040"/>
      </c:barChart>
      <c:catAx>
        <c:axId val="14208768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2263040"/>
        <c:crosses val="autoZero"/>
        <c:auto val="1"/>
        <c:lblAlgn val="ctr"/>
        <c:lblOffset val="100"/>
        <c:noMultiLvlLbl val="0"/>
      </c:catAx>
      <c:valAx>
        <c:axId val="16226304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1270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208768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sz="1000" b="1"/>
              <a:t>一般公共预算财政拨款支出决算变动情况</a:t>
            </a:r>
            <a:endParaRPr sz="1000" b="1"/>
          </a:p>
        </c:rich>
      </c:tx>
      <c:layout>
        <c:manualLayout>
          <c:xMode val="edge"/>
          <c:yMode val="edge"/>
          <c:x val="0.113238946249637"/>
          <c:y val="0.0109609061015711"/>
        </c:manualLayout>
      </c:layout>
      <c:overlay val="0"/>
      <c:spPr>
        <a:noFill/>
        <a:ln>
          <a:noFill/>
        </a:ln>
        <a:effectLst/>
      </c:spPr>
    </c:title>
    <c:autoTitleDeleted val="0"/>
    <c:plotArea>
      <c:layout>
        <c:manualLayout>
          <c:layoutTarget val="inner"/>
          <c:xMode val="edge"/>
          <c:yMode val="edge"/>
          <c:x val="0.103362779181951"/>
          <c:y val="0.250462550795838"/>
          <c:w val="0.890442713281398"/>
          <c:h val="0.636001712328767"/>
        </c:manualLayout>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dLbl>
              <c:idx val="0"/>
              <c:layout>
                <c:manualLayout>
                  <c:x val="-0.00702044187487095"/>
                  <c:y val="0.01075268817204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支出</c:v>
                </c:pt>
              </c:strCache>
            </c:strRef>
          </c:cat>
          <c:val>
            <c:numRef>
              <c:f>Sheet1!$B$2</c:f>
              <c:numCache>
                <c:formatCode>General</c:formatCode>
                <c:ptCount val="1"/>
                <c:pt idx="0">
                  <c:v>595.83</c:v>
                </c:pt>
              </c:numCache>
            </c:numRef>
          </c:val>
        </c:ser>
        <c:ser>
          <c:idx val="1"/>
          <c:order val="1"/>
          <c:tx>
            <c:strRef>
              <c:f>Sheet1!$C$1</c:f>
              <c:strCache>
                <c:ptCount val="1"/>
                <c:pt idx="0">
                  <c:v>2022年</c:v>
                </c:pt>
              </c:strCache>
            </c:strRef>
          </c:tx>
          <c:spPr>
            <a:solidFill>
              <a:schemeClr val="accent2"/>
            </a:solidFill>
            <a:ln>
              <a:noFill/>
            </a:ln>
            <a:effectLst/>
          </c:spPr>
          <c:invertIfNegative val="0"/>
          <c:dLbls>
            <c:dLbl>
              <c:idx val="0"/>
              <c:layout>
                <c:manualLayout>
                  <c:x val="0.000206483584555028"/>
                  <c:y val="0.014231499051233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支出</c:v>
                </c:pt>
              </c:strCache>
            </c:strRef>
          </c:cat>
          <c:val>
            <c:numRef>
              <c:f>Sheet1!$C$2</c:f>
              <c:numCache>
                <c:formatCode>General</c:formatCode>
                <c:ptCount val="1"/>
                <c:pt idx="0">
                  <c:v>714.59</c:v>
                </c:pt>
              </c:numCache>
            </c:numRef>
          </c:val>
        </c:ser>
        <c:dLbls>
          <c:showLegendKey val="0"/>
          <c:showVal val="1"/>
          <c:showCatName val="0"/>
          <c:showSerName val="0"/>
          <c:showPercent val="0"/>
          <c:showBubbleSize val="0"/>
        </c:dLbls>
        <c:gapWidth val="219"/>
        <c:overlap val="-27"/>
        <c:axId val="162564736"/>
        <c:axId val="162571776"/>
      </c:barChart>
      <c:catAx>
        <c:axId val="162564736"/>
        <c:scaling>
          <c:orientation val="minMax"/>
        </c:scaling>
        <c:delete val="1"/>
        <c:axPos val="b"/>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2571776"/>
        <c:crosses val="autoZero"/>
        <c:auto val="1"/>
        <c:lblAlgn val="ctr"/>
        <c:lblOffset val="100"/>
        <c:noMultiLvlLbl val="0"/>
      </c:catAx>
      <c:valAx>
        <c:axId val="1625717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1270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2564736"/>
        <c:crosses val="autoZero"/>
        <c:crossBetween val="between"/>
      </c:valAx>
      <c:spPr>
        <a:noFill/>
        <a:ln>
          <a:noFill/>
        </a:ln>
        <a:effectLst/>
      </c:spPr>
    </c:plotArea>
    <c:legend>
      <c:legendPos val="b"/>
      <c:layout>
        <c:manualLayout>
          <c:xMode val="edge"/>
          <c:yMode val="edge"/>
          <c:x val="0.357634543178974"/>
          <c:y val="0.86620234604105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1" i="0" u="none" strike="noStrike" kern="1200" spc="0" baseline="0">
                <a:solidFill>
                  <a:schemeClr val="tx1">
                    <a:lumMod val="65000"/>
                    <a:lumOff val="35000"/>
                  </a:schemeClr>
                </a:solidFill>
                <a:latin typeface="+mn-lt"/>
                <a:ea typeface="+mn-ea"/>
                <a:cs typeface="+mn-cs"/>
              </a:defRPr>
            </a:pPr>
            <a:r>
              <a:rPr sz="1200" b="1"/>
              <a:t>一般公共预算财政拨款支出</a:t>
            </a:r>
            <a:endParaRPr sz="1200" b="1"/>
          </a:p>
        </c:rich>
      </c:tx>
      <c:layout>
        <c:manualLayout>
          <c:xMode val="edge"/>
          <c:yMode val="edge"/>
          <c:x val="0.200648202710666"/>
          <c:y val="0.0301771871539313"/>
        </c:manualLayout>
      </c:layout>
      <c:overlay val="0"/>
      <c:spPr>
        <a:noFill/>
        <a:ln>
          <a:noFill/>
        </a:ln>
        <a:effectLst/>
      </c:spPr>
    </c:title>
    <c:autoTitleDeleted val="0"/>
    <c:plotArea>
      <c:layout/>
      <c:pieChart>
        <c:varyColors val="1"/>
        <c:ser>
          <c:idx val="0"/>
          <c:order val="0"/>
          <c:tx>
            <c:strRef>
              <c:f>Sheet1!$B$1</c:f>
              <c:strCache>
                <c:ptCount val="1"/>
                <c:pt idx="0">
                  <c:v>支出</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139471917773538"/>
                  <c:y val="0.017550668241407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54728028614451"/>
                  <c:y val="-0.17288938318773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18705327639949"/>
                  <c:y val="0.032394922670538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社会保障和就业</c:v>
                </c:pt>
                <c:pt idx="1">
                  <c:v>卫生健康</c:v>
                </c:pt>
                <c:pt idx="2">
                  <c:v>住房保障</c:v>
                </c:pt>
              </c:strCache>
            </c:strRef>
          </c:cat>
          <c:val>
            <c:numRef>
              <c:f>Sheet1!$B$2:$B$4</c:f>
              <c:numCache>
                <c:formatCode>General</c:formatCode>
                <c:ptCount val="3"/>
                <c:pt idx="0">
                  <c:v>40.49</c:v>
                </c:pt>
                <c:pt idx="1">
                  <c:v>526.93</c:v>
                </c:pt>
                <c:pt idx="2">
                  <c:v>28.41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26</Pages>
  <Words>2221</Words>
  <Characters>12662</Characters>
  <Lines>105</Lines>
  <Paragraphs>29</Paragraphs>
  <TotalTime>43</TotalTime>
  <ScaleCrop>false</ScaleCrop>
  <LinksUpToDate>false</LinksUpToDate>
  <CharactersWithSpaces>14854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2024-09-12T00:28:00Z</dcterms:created>
  <dc:creator>Ting</dc:creator>
  <cp:lastModifiedBy>伍哥</cp:lastModifiedBy>
  <dcterms:modified xsi:type="dcterms:W3CDTF">2024-09-29T01:04:08Z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FD28D978AC314E4FA592FEA0A6CCD6A1_13</vt:lpwstr>
  </property>
</Properties>
</file>