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06268"/>
      <w:bookmarkStart w:id="8" w:name="_Toc15377194"/>
      <w:bookmarkStart w:id="9" w:name="_Toc15377426"/>
      <w:bookmarkStart w:id="10" w:name="_Toc15396598"/>
      <w:bookmarkStart w:id="11" w:name="_Toc15378442"/>
      <w:r>
        <w:rPr>
          <w:rFonts w:hint="eastAsia" w:ascii="方正小标宋简体" w:hAnsi="方正小标宋简体" w:eastAsia="方正小标宋简体" w:cs="方正小标宋简体"/>
          <w:sz w:val="72"/>
          <w:szCs w:val="72"/>
        </w:rPr>
        <w:t>广元市利州区雪峰社区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卫生服务中心单位决算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3"/>
        <w:rPr>
          <w:sz w:val="32"/>
          <w:szCs w:val="32"/>
        </w:rPr>
      </w:pPr>
      <w:r>
        <w:rPr>
          <w:rFonts w:hint="eastAsia"/>
          <w:sz w:val="32"/>
          <w:szCs w:val="32"/>
        </w:rPr>
        <w:t>公开时间：2024年  9月</w:t>
      </w:r>
      <w:r>
        <w:rPr>
          <w:rFonts w:hint="eastAsia"/>
          <w:sz w:val="32"/>
          <w:szCs w:val="32"/>
          <w:lang w:val="en-US" w:eastAsia="zh-CN"/>
        </w:rPr>
        <w:t>29</w:t>
      </w:r>
      <w:bookmarkStart w:id="100" w:name="_GoBack"/>
      <w:bookmarkEnd w:id="100"/>
      <w:r>
        <w:rPr>
          <w:rFonts w:hint="eastAsia"/>
          <w:sz w:val="32"/>
          <w:szCs w:val="32"/>
        </w:rPr>
        <w:t xml:space="preserve"> 日</w:t>
      </w:r>
    </w:p>
    <w:p>
      <w:pPr>
        <w:rPr>
          <w:rFonts w:asciiTheme="majorEastAsia" w:hAnsiTheme="majorEastAsia" w:eastAsiaTheme="majorEastAsia"/>
          <w:sz w:val="24"/>
        </w:rPr>
      </w:pPr>
    </w:p>
    <w:p>
      <w:pPr>
        <w:pStyle w:val="13"/>
        <w:adjustRightInd w:val="0"/>
        <w:snapToGrid w:val="0"/>
        <w:spacing w:before="0" w:line="440" w:lineRule="exact"/>
        <w:jc w:val="distribute"/>
        <w:rPr>
          <w:rFonts w:asciiTheme="majorEastAsia" w:hAnsiTheme="majorEastAsia" w:eastAsiaTheme="majorEastAsia" w:cstheme="minorBidi"/>
          <w:sz w:val="24"/>
          <w:szCs w:val="24"/>
        </w:rPr>
      </w:pPr>
      <w:r>
        <w:rPr>
          <w:rFonts w:hint="eastAsia" w:ascii="黑体" w:hAnsi="黑体" w:eastAsia="黑体"/>
          <w:sz w:val="24"/>
          <w:szCs w:val="24"/>
        </w:rPr>
        <w:t>第一部分</w:t>
      </w:r>
      <w:r>
        <w:rPr>
          <w:rFonts w:ascii="黑体" w:hAnsi="黑体" w:eastAsia="黑体"/>
          <w:sz w:val="24"/>
          <w:szCs w:val="24"/>
        </w:rPr>
        <w:t xml:space="preserve"> </w:t>
      </w:r>
      <w:r>
        <w:rPr>
          <w:rFonts w:hint="eastAsia" w:ascii="黑体" w:hAnsi="黑体" w:eastAsia="黑体"/>
          <w:sz w:val="24"/>
          <w:szCs w:val="24"/>
        </w:rPr>
        <w:t>单位概况</w:t>
      </w:r>
      <w:r>
        <w:rPr>
          <w:rFonts w:asciiTheme="majorEastAsia" w:hAnsiTheme="majorEastAsia" w:eastAsiaTheme="majorEastAsia"/>
          <w:sz w:val="24"/>
          <w:szCs w:val="24"/>
        </w:rPr>
        <w:t>……………………………………………………………………</w:t>
      </w:r>
      <w:r>
        <w:rPr>
          <w:rFonts w:hint="eastAsia" w:asciiTheme="majorEastAsia" w:hAnsiTheme="majorEastAsia" w:eastAsiaTheme="majorEastAsia"/>
          <w:sz w:val="24"/>
          <w:szCs w:val="24"/>
        </w:rPr>
        <w:t>1</w:t>
      </w:r>
    </w:p>
    <w:p>
      <w:pPr>
        <w:pStyle w:val="15"/>
        <w:adjustRightInd w:val="0"/>
        <w:snapToGrid w:val="0"/>
        <w:spacing w:line="440" w:lineRule="exact"/>
        <w:ind w:left="0" w:leftChars="0"/>
        <w:jc w:val="distribute"/>
        <w:rPr>
          <w:rFonts w:asciiTheme="majorEastAsia" w:hAnsiTheme="majorEastAsia" w:eastAsiaTheme="majorEastAsia"/>
          <w:sz w:val="24"/>
        </w:rPr>
      </w:pPr>
      <w:r>
        <w:rPr>
          <w:rFonts w:hint="eastAsia" w:asciiTheme="majorEastAsia" w:hAnsiTheme="majorEastAsia" w:eastAsiaTheme="majorEastAsia"/>
          <w:sz w:val="24"/>
        </w:rPr>
        <w:t xml:space="preserve">    一、职能简介</w:t>
      </w:r>
      <w:r>
        <w:rPr>
          <w:rFonts w:asciiTheme="majorEastAsia" w:hAnsiTheme="majorEastAsia" w:eastAsiaTheme="majorEastAsia"/>
          <w:sz w:val="24"/>
        </w:rPr>
        <w:t>………………………………………………………………………</w:t>
      </w:r>
      <w:r>
        <w:rPr>
          <w:rFonts w:hint="eastAsia" w:asciiTheme="majorEastAsia" w:hAnsiTheme="majorEastAsia" w:eastAsiaTheme="majorEastAsia"/>
          <w:sz w:val="24"/>
        </w:rPr>
        <w:t>1</w:t>
      </w:r>
    </w:p>
    <w:p>
      <w:pPr>
        <w:pStyle w:val="15"/>
        <w:adjustRightInd w:val="0"/>
        <w:snapToGrid w:val="0"/>
        <w:spacing w:line="440" w:lineRule="exact"/>
        <w:ind w:left="0" w:leftChars="0"/>
        <w:jc w:val="distribute"/>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 xml:space="preserve">    二、机构设置</w:t>
      </w:r>
      <w:r>
        <w:rPr>
          <w:rFonts w:asciiTheme="majorEastAsia" w:hAnsiTheme="majorEastAsia" w:eastAsiaTheme="majorEastAsia" w:cstheme="minorEastAsia"/>
          <w:sz w:val="24"/>
        </w:rPr>
        <w:t>……………………………</w:t>
      </w:r>
      <w:r>
        <w:rPr>
          <w:rFonts w:asciiTheme="majorEastAsia" w:hAnsiTheme="majorEastAsia" w:eastAsiaTheme="majorEastAsia"/>
          <w:sz w:val="24"/>
        </w:rPr>
        <w:t>…………………………………………</w:t>
      </w:r>
      <w:r>
        <w:rPr>
          <w:rFonts w:hint="eastAsia" w:asciiTheme="majorEastAsia" w:hAnsiTheme="majorEastAsia" w:eastAsiaTheme="majorEastAsia" w:cstheme="minorEastAsia"/>
          <w:sz w:val="24"/>
        </w:rPr>
        <w:t xml:space="preserve"> 1</w:t>
      </w:r>
    </w:p>
    <w:p>
      <w:pPr>
        <w:pStyle w:val="15"/>
        <w:adjustRightInd w:val="0"/>
        <w:snapToGrid w:val="0"/>
        <w:spacing w:line="440" w:lineRule="exact"/>
        <w:ind w:left="0" w:leftChars="0"/>
        <w:jc w:val="distribute"/>
        <w:rPr>
          <w:rFonts w:asciiTheme="majorEastAsia" w:hAnsiTheme="majorEastAsia" w:eastAsiaTheme="majorEastAsia" w:cstheme="minorEastAsia"/>
          <w:sz w:val="24"/>
        </w:rPr>
      </w:pPr>
      <w:r>
        <w:rPr>
          <w:rFonts w:hint="eastAsia" w:ascii="黑体" w:hAnsi="黑体" w:eastAsia="黑体"/>
          <w:sz w:val="24"/>
        </w:rPr>
        <w:t>第二部分 2023年度单位决算情况说明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3</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一、收入支出决算总体情况说明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3</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二、收入决算情况说明</w:t>
      </w:r>
      <w:r>
        <w:rPr>
          <w:rFonts w:asciiTheme="majorEastAsia" w:hAnsiTheme="majorEastAsia" w:eastAsiaTheme="majorEastAsia"/>
          <w:sz w:val="24"/>
        </w:rPr>
        <w:t>……………………………………………………………</w:t>
      </w:r>
      <w:r>
        <w:rPr>
          <w:rFonts w:hint="eastAsia" w:asciiTheme="majorEastAsia" w:hAnsiTheme="majorEastAsia" w:eastAsiaTheme="majorEastAsia"/>
          <w:sz w:val="24"/>
        </w:rPr>
        <w:t>3</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三、支出决算情况说明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4</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四、财政拨款收入支出决算总体情况说明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5</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五、一般公共预算财政拨款支出决算情况说明</w:t>
      </w:r>
      <w:r>
        <w:rPr>
          <w:rFonts w:asciiTheme="majorEastAsia" w:hAnsiTheme="majorEastAsia" w:eastAsiaTheme="majorEastAsia"/>
          <w:sz w:val="24"/>
        </w:rPr>
        <w:t>………………………………</w:t>
      </w:r>
      <w:r>
        <w:rPr>
          <w:rFonts w:hint="eastAsia" w:asciiTheme="majorEastAsia" w:hAnsiTheme="majorEastAsia" w:eastAsiaTheme="majorEastAsia"/>
          <w:sz w:val="24"/>
        </w:rPr>
        <w:t>5</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六、一般公共预算财政拨款基本支出决算情况说明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8</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七、“三公”经费财政拨款支出决算情况说明</w:t>
      </w:r>
      <w:r>
        <w:rPr>
          <w:rFonts w:asciiTheme="majorEastAsia" w:hAnsiTheme="majorEastAsia" w:eastAsiaTheme="majorEastAsia"/>
          <w:sz w:val="24"/>
        </w:rPr>
        <w:t>…………………………………</w:t>
      </w:r>
      <w:r>
        <w:rPr>
          <w:rFonts w:hint="eastAsia" w:asciiTheme="majorEastAsia" w:hAnsiTheme="majorEastAsia" w:eastAsiaTheme="majorEastAsia"/>
          <w:sz w:val="24"/>
        </w:rPr>
        <w:t>8</w:t>
      </w:r>
    </w:p>
    <w:p>
      <w:pPr>
        <w:pStyle w:val="15"/>
        <w:adjustRightInd w:val="0"/>
        <w:snapToGrid w:val="0"/>
        <w:spacing w:line="440" w:lineRule="exact"/>
        <w:ind w:left="0" w:leftChars="0"/>
        <w:jc w:val="distribute"/>
        <w:rPr>
          <w:rFonts w:asciiTheme="majorEastAsia" w:hAnsiTheme="majorEastAsia" w:eastAsiaTheme="majorEastAsia" w:cstheme="minorBidi"/>
          <w:sz w:val="24"/>
        </w:rPr>
      </w:pPr>
      <w:r>
        <w:rPr>
          <w:rFonts w:hint="eastAsia" w:asciiTheme="majorEastAsia" w:hAnsiTheme="majorEastAsia" w:eastAsiaTheme="majorEastAsia"/>
          <w:sz w:val="24"/>
        </w:rPr>
        <w:t xml:space="preserve">    八、政府性基金预算支出决算情况说明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9</w:t>
      </w:r>
    </w:p>
    <w:p>
      <w:pPr>
        <w:pStyle w:val="15"/>
        <w:adjustRightInd w:val="0"/>
        <w:snapToGrid w:val="0"/>
        <w:spacing w:line="440" w:lineRule="exact"/>
        <w:ind w:left="0" w:leftChars="0"/>
        <w:jc w:val="distribute"/>
        <w:rPr>
          <w:rFonts w:asciiTheme="majorEastAsia" w:hAnsiTheme="majorEastAsia" w:eastAsiaTheme="majorEastAsia"/>
          <w:sz w:val="24"/>
        </w:rPr>
      </w:pPr>
      <w:r>
        <w:rPr>
          <w:rFonts w:hint="eastAsia" w:asciiTheme="majorEastAsia" w:hAnsiTheme="majorEastAsia" w:eastAsiaTheme="majorEastAsia"/>
          <w:sz w:val="24"/>
        </w:rPr>
        <w:t xml:space="preserve">    九、国有资本经营预算支出决算情况说明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9</w:t>
      </w:r>
    </w:p>
    <w:p>
      <w:pPr>
        <w:pStyle w:val="15"/>
        <w:adjustRightInd w:val="0"/>
        <w:snapToGrid w:val="0"/>
        <w:spacing w:line="440" w:lineRule="exact"/>
        <w:ind w:left="0" w:leftChars="0"/>
        <w:jc w:val="distribute"/>
        <w:rPr>
          <w:rFonts w:asciiTheme="majorEastAsia" w:hAnsiTheme="majorEastAsia" w:eastAsiaTheme="majorEastAsia"/>
          <w:sz w:val="24"/>
        </w:rPr>
      </w:pPr>
      <w:r>
        <w:rPr>
          <w:rFonts w:hint="eastAsia" w:asciiTheme="majorEastAsia" w:hAnsiTheme="majorEastAsia" w:eastAsiaTheme="majorEastAsia"/>
          <w:sz w:val="24"/>
        </w:rPr>
        <w:t xml:space="preserve">    十、其他重要事项的情况说明</w:t>
      </w:r>
      <w:r>
        <w:rPr>
          <w:rFonts w:asciiTheme="majorEastAsia" w:hAnsiTheme="majorEastAsia" w:eastAsiaTheme="majorEastAsia"/>
          <w:sz w:val="24"/>
        </w:rPr>
        <w:t>…………………………………………………</w:t>
      </w:r>
      <w:r>
        <w:rPr>
          <w:rFonts w:hint="eastAsia" w:asciiTheme="majorEastAsia" w:hAnsiTheme="majorEastAsia" w:eastAsiaTheme="majorEastAsia"/>
          <w:sz w:val="24"/>
        </w:rPr>
        <w:t xml:space="preserve"> 9</w:t>
      </w:r>
    </w:p>
    <w:p>
      <w:pPr>
        <w:pStyle w:val="13"/>
        <w:adjustRightInd w:val="0"/>
        <w:snapToGrid w:val="0"/>
        <w:spacing w:before="0" w:line="440" w:lineRule="exact"/>
        <w:jc w:val="distribute"/>
        <w:rPr>
          <w:rFonts w:asciiTheme="majorEastAsia" w:hAnsiTheme="majorEastAsia" w:eastAsiaTheme="majorEastAsia"/>
          <w:sz w:val="24"/>
          <w:szCs w:val="24"/>
        </w:rPr>
      </w:pPr>
      <w:r>
        <w:rPr>
          <w:rFonts w:hint="eastAsia" w:ascii="黑体" w:hAnsi="黑体" w:eastAsia="黑体"/>
          <w:sz w:val="24"/>
          <w:szCs w:val="24"/>
        </w:rPr>
        <w:t>第三部分</w:t>
      </w:r>
      <w:r>
        <w:rPr>
          <w:rFonts w:ascii="黑体" w:hAnsi="黑体" w:eastAsia="黑体"/>
          <w:sz w:val="24"/>
          <w:szCs w:val="24"/>
        </w:rPr>
        <w:t xml:space="preserve"> </w:t>
      </w:r>
      <w:r>
        <w:rPr>
          <w:rFonts w:hint="eastAsia" w:ascii="黑体" w:hAnsi="黑体" w:eastAsia="黑体"/>
          <w:sz w:val="24"/>
          <w:szCs w:val="24"/>
        </w:rPr>
        <w:t>名词解释</w:t>
      </w: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rPr>
        <w:t>………………………</w:t>
      </w:r>
      <w:r>
        <w:rPr>
          <w:rFonts w:hint="eastAsia" w:asciiTheme="majorEastAsia" w:hAnsiTheme="majorEastAsia" w:eastAsiaTheme="majorEastAsia"/>
          <w:sz w:val="24"/>
          <w:szCs w:val="24"/>
          <w:lang w:val="zh-CN"/>
        </w:rPr>
        <w:t xml:space="preserve">……… </w:t>
      </w:r>
      <w:r>
        <w:rPr>
          <w:rFonts w:hint="eastAsia" w:asciiTheme="majorEastAsia" w:hAnsiTheme="majorEastAsia" w:eastAsiaTheme="majorEastAsia"/>
          <w:sz w:val="24"/>
          <w:szCs w:val="24"/>
        </w:rPr>
        <w:t>11</w:t>
      </w:r>
    </w:p>
    <w:p>
      <w:pPr>
        <w:pStyle w:val="13"/>
        <w:adjustRightInd w:val="0"/>
        <w:snapToGrid w:val="0"/>
        <w:spacing w:before="0" w:line="440" w:lineRule="exact"/>
        <w:jc w:val="distribute"/>
        <w:rPr>
          <w:rFonts w:asciiTheme="majorEastAsia" w:hAnsiTheme="majorEastAsia" w:eastAsiaTheme="majorEastAsia"/>
          <w:sz w:val="24"/>
          <w:szCs w:val="24"/>
        </w:rPr>
      </w:pPr>
      <w:r>
        <w:rPr>
          <w:rFonts w:hint="eastAsia" w:ascii="黑体" w:hAnsi="黑体" w:eastAsia="黑体"/>
          <w:sz w:val="24"/>
          <w:szCs w:val="24"/>
        </w:rPr>
        <w:t>第四部分</w:t>
      </w:r>
      <w:r>
        <w:rPr>
          <w:rFonts w:ascii="黑体" w:hAnsi="黑体" w:eastAsia="黑体"/>
          <w:sz w:val="24"/>
          <w:szCs w:val="24"/>
        </w:rPr>
        <w:t xml:space="preserve"> </w:t>
      </w:r>
      <w:r>
        <w:rPr>
          <w:rFonts w:hint="eastAsia" w:ascii="黑体" w:hAnsi="黑体" w:eastAsia="黑体"/>
          <w:sz w:val="24"/>
          <w:szCs w:val="24"/>
        </w:rPr>
        <w:t>附件</w:t>
      </w:r>
      <w:r>
        <w:rPr>
          <w:rFonts w:hint="eastAsia" w:asciiTheme="majorEastAsia" w:hAnsiTheme="majorEastAsia" w:eastAsiaTheme="majorEastAsia"/>
          <w:sz w:val="24"/>
          <w:szCs w:val="24"/>
        </w:rPr>
        <w:t>………………………………</w:t>
      </w:r>
      <w:r>
        <w:rPr>
          <w:rFonts w:asciiTheme="majorEastAsia" w:hAnsiTheme="majorEastAsia" w:eastAsiaTheme="majorEastAsia"/>
          <w:sz w:val="24"/>
          <w:szCs w:val="24"/>
        </w:rPr>
        <w:t>………………………</w:t>
      </w:r>
      <w:r>
        <w:rPr>
          <w:rFonts w:hint="eastAsia" w:asciiTheme="majorEastAsia" w:hAnsiTheme="majorEastAsia" w:eastAsiaTheme="majorEastAsia"/>
          <w:sz w:val="24"/>
          <w:szCs w:val="24"/>
        </w:rPr>
        <w:t>……………</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 14</w:t>
      </w:r>
    </w:p>
    <w:p>
      <w:pPr>
        <w:pStyle w:val="13"/>
        <w:adjustRightInd w:val="0"/>
        <w:snapToGrid w:val="0"/>
        <w:spacing w:before="0" w:line="440" w:lineRule="exact"/>
        <w:jc w:val="distribute"/>
        <w:rPr>
          <w:rFonts w:asciiTheme="majorEastAsia" w:hAnsiTheme="majorEastAsia" w:eastAsiaTheme="majorEastAsia" w:cstheme="minorBidi"/>
          <w:sz w:val="24"/>
          <w:szCs w:val="24"/>
        </w:rPr>
      </w:pPr>
      <w:r>
        <w:rPr>
          <w:rFonts w:hint="eastAsia" w:ascii="黑体" w:hAnsi="黑体" w:eastAsia="黑体"/>
          <w:sz w:val="24"/>
          <w:szCs w:val="24"/>
        </w:rPr>
        <w:t>第五部分</w:t>
      </w:r>
      <w:r>
        <w:rPr>
          <w:rFonts w:ascii="黑体" w:hAnsi="黑体" w:eastAsia="黑体"/>
          <w:sz w:val="24"/>
          <w:szCs w:val="24"/>
        </w:rPr>
        <w:t xml:space="preserve"> </w:t>
      </w:r>
      <w:r>
        <w:rPr>
          <w:rFonts w:hint="eastAsia" w:ascii="黑体" w:hAnsi="黑体" w:eastAsia="黑体"/>
          <w:sz w:val="24"/>
          <w:szCs w:val="24"/>
        </w:rPr>
        <w:t>附表</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 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一、收入支出决决算表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二、收入决算表.</w:t>
      </w:r>
      <w:r>
        <w:rPr>
          <w:rFonts w:asciiTheme="majorEastAsia" w:hAnsiTheme="majorEastAsia" w:eastAsiaTheme="majorEastAsia"/>
          <w:sz w:val="24"/>
        </w:rPr>
        <w:t xml:space="preserve"> …………………………………………………………………</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三、支出决算表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四、财政拨款收入支出决算总表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numPr>
          <w:ilvl w:val="0"/>
          <w:numId w:val="1"/>
        </w:numPr>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财政拨款支出决算明细表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numPr>
          <w:ilvl w:val="0"/>
          <w:numId w:val="1"/>
        </w:numPr>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六、一般公共预算财政拨款支出决算表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七、一般公共预算财政拨款支出决算明细表..</w:t>
      </w:r>
      <w:r>
        <w:rPr>
          <w:rFonts w:asciiTheme="majorEastAsia" w:hAnsiTheme="majorEastAsia" w:eastAsiaTheme="majorEastAsia"/>
          <w:sz w:val="24"/>
        </w:rPr>
        <w:t xml:space="preserve"> ………………………………</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八、一般公共预算财政拨款基本支出决算明细表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九、一般公共预算财政拨款项目支出决算表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十、政府性基金预算财政拨款收入支出决算表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十一、国有资本经营预算财政拨款收入支出决算表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十二、国有资本经营预算财政拨款支出决算表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15"/>
        <w:adjustRightInd w:val="0"/>
        <w:snapToGrid w:val="0"/>
        <w:spacing w:line="440" w:lineRule="exact"/>
        <w:jc w:val="distribute"/>
        <w:rPr>
          <w:rFonts w:asciiTheme="majorEastAsia" w:hAnsiTheme="majorEastAsia" w:eastAsiaTheme="majorEastAsia"/>
          <w:sz w:val="24"/>
        </w:rPr>
      </w:pPr>
      <w:r>
        <w:rPr>
          <w:rFonts w:hint="eastAsia" w:asciiTheme="majorEastAsia" w:hAnsiTheme="majorEastAsia" w:eastAsiaTheme="majorEastAsia"/>
          <w:sz w:val="24"/>
        </w:rPr>
        <w:t>十三、财政拨款“三公”经费支出决算表</w:t>
      </w:r>
      <w:r>
        <w:rPr>
          <w:rFonts w:asciiTheme="majorEastAsia" w:hAnsiTheme="majorEastAsia" w:eastAsiaTheme="majorEastAsia"/>
          <w:sz w:val="24"/>
        </w:rPr>
        <w:t>…………………………………………</w:t>
      </w:r>
      <w:r>
        <w:rPr>
          <w:rFonts w:hint="eastAsia" w:asciiTheme="majorEastAsia" w:hAnsiTheme="majorEastAsia" w:eastAsiaTheme="majorEastAsia"/>
          <w:sz w:val="24"/>
        </w:rPr>
        <w:t>19</w:t>
      </w:r>
    </w:p>
    <w:p>
      <w:pPr>
        <w:pStyle w:val="4"/>
        <w:jc w:val="distribute"/>
        <w:rPr>
          <w:rFonts w:asciiTheme="majorEastAsia" w:hAnsiTheme="majorEastAsia" w:eastAsiaTheme="majorEastAsia"/>
          <w:b w:val="0"/>
          <w:sz w:val="24"/>
          <w:szCs w:val="24"/>
        </w:rPr>
      </w:pPr>
      <w:bookmarkStart w:id="12" w:name="_Toc15377196"/>
      <w:bookmarkStart w:id="13" w:name="_Toc15396599"/>
    </w:p>
    <w:p/>
    <w:p>
      <w:pPr>
        <w:pStyle w:val="4"/>
        <w:jc w:val="center"/>
        <w:rPr>
          <w:rFonts w:ascii="黑体" w:hAnsi="黑体" w:eastAsia="黑体"/>
          <w:b w:val="0"/>
        </w:rPr>
        <w:sectPr>
          <w:headerReference r:id="rId3" w:type="default"/>
          <w:pgSz w:w="11906" w:h="16838"/>
          <w:pgMar w:top="1440" w:right="1701" w:bottom="1440" w:left="1701" w:header="851" w:footer="992" w:gutter="0"/>
          <w:pgNumType w:start="1"/>
          <w:cols w:space="425" w:num="1"/>
          <w:titlePg/>
          <w:docGrid w:type="lines" w:linePitch="312" w:charSpace="0"/>
        </w:sectPr>
      </w:pPr>
    </w:p>
    <w:p>
      <w:pPr>
        <w:pStyle w:val="4"/>
        <w:spacing w:before="0" w:after="0" w:line="600" w:lineRule="exact"/>
        <w:jc w:val="center"/>
        <w:rPr>
          <w:rStyle w:val="31"/>
          <w:rFonts w:ascii="黑体" w:hAnsi="黑体" w:eastAsia="黑体"/>
          <w:b/>
          <w:bCs w:val="0"/>
        </w:rPr>
      </w:pPr>
      <w:r>
        <w:rPr>
          <w:rFonts w:hint="eastAsia" w:ascii="黑体" w:hAnsi="黑体" w:eastAsia="黑体"/>
          <w:b w:val="0"/>
        </w:rPr>
        <w:t>第一部分 单位</w:t>
      </w:r>
      <w:r>
        <w:rPr>
          <w:rStyle w:val="31"/>
          <w:rFonts w:hint="eastAsia" w:ascii="黑体" w:hAnsi="黑体" w:eastAsia="黑体"/>
          <w:b w:val="0"/>
          <w:bCs w:val="0"/>
        </w:rPr>
        <w:t>概况</w:t>
      </w:r>
      <w:bookmarkEnd w:id="12"/>
      <w:bookmarkEnd w:id="13"/>
    </w:p>
    <w:p>
      <w:pPr>
        <w:widowControl/>
        <w:spacing w:line="600" w:lineRule="exact"/>
        <w:jc w:val="left"/>
        <w:rPr>
          <w:rFonts w:ascii="黑体" w:eastAsia="黑体"/>
          <w:sz w:val="32"/>
          <w:szCs w:val="32"/>
        </w:rPr>
      </w:pPr>
    </w:p>
    <w:p>
      <w:pPr>
        <w:pStyle w:val="5"/>
        <w:numPr>
          <w:ilvl w:val="0"/>
          <w:numId w:val="2"/>
        </w:numPr>
        <w:spacing w:before="0" w:after="0" w:line="600" w:lineRule="exact"/>
        <w:ind w:left="0"/>
        <w:rPr>
          <w:rStyle w:val="32"/>
          <w:rFonts w:ascii="黑体" w:hAnsi="黑体" w:eastAsia="黑体"/>
          <w:b w:val="0"/>
          <w:bCs w:val="0"/>
        </w:rPr>
      </w:pPr>
      <w:bookmarkStart w:id="14" w:name="_Toc15396600"/>
      <w:bookmarkStart w:id="15" w:name="_Toc15377197"/>
      <w:r>
        <w:rPr>
          <w:rStyle w:val="32"/>
          <w:rFonts w:hint="eastAsia" w:ascii="黑体" w:hAnsi="黑体" w:eastAsia="黑体"/>
          <w:b w:val="0"/>
          <w:bCs w:val="0"/>
        </w:rPr>
        <w:t>职能简介</w:t>
      </w:r>
    </w:p>
    <w:p>
      <w:pPr>
        <w:pStyle w:val="8"/>
        <w:adjustRightInd w:val="0"/>
        <w:snapToGrid w:val="0"/>
        <w:spacing w:beforeLines="0" w:line="576" w:lineRule="exact"/>
        <w:ind w:firstLine="960" w:firstLineChars="300"/>
        <w:outlineLvl w:val="2"/>
        <w:rPr>
          <w:rFonts w:ascii="仿宋" w:hAnsi="仿宋" w:eastAsia="仿宋" w:cs="仿宋"/>
          <w:sz w:val="32"/>
          <w:szCs w:val="32"/>
        </w:rPr>
      </w:pPr>
      <w:r>
        <w:rPr>
          <w:rFonts w:hint="eastAsia" w:ascii="仿宋" w:hAnsi="仿宋" w:eastAsia="仿宋" w:cs="仿宋"/>
          <w:sz w:val="32"/>
          <w:szCs w:val="32"/>
        </w:rPr>
        <w:t>广元市利州区雪峰街道社区卫生服务中心是雪峰街道办事处辖区内唯一的公立、非营利性、综合性的基层医疗卫生机构，集医疗、教学、预防、保健、康复、职业病健康体检为一体，承担着雪峰辖区36.4平方公里，约10多万人的基本医疗和国家基本公共卫生服务。为辖区内的居民身体健康提供医疗与预防保健服务。医疗、常见多发病护理、恢复期病人康复治疗预防保健、卫生技术人员培训、卫生监督与卫生信息管理。</w:t>
      </w:r>
    </w:p>
    <w:p>
      <w:pPr>
        <w:pStyle w:val="8"/>
        <w:adjustRightInd w:val="0"/>
        <w:snapToGrid w:val="0"/>
        <w:spacing w:beforeLines="0" w:line="576" w:lineRule="exact"/>
        <w:outlineLvl w:val="2"/>
        <w:rPr>
          <w:rFonts w:ascii="仿宋" w:hAnsi="仿宋" w:eastAsia="仿宋" w:cs="仿宋"/>
        </w:rPr>
      </w:pPr>
    </w:p>
    <w:p>
      <w:pPr>
        <w:pStyle w:val="8"/>
        <w:adjustRightInd w:val="0"/>
        <w:snapToGrid w:val="0"/>
        <w:spacing w:beforeLines="0" w:line="576" w:lineRule="exact"/>
        <w:outlineLvl w:val="2"/>
        <w:rPr>
          <w:rFonts w:ascii="黑体" w:hAnsi="黑体" w:eastAsia="黑体"/>
        </w:rPr>
      </w:pPr>
      <w:r>
        <w:rPr>
          <w:rFonts w:hint="eastAsia" w:ascii="黑体" w:hAnsi="黑体" w:eastAsia="黑体"/>
        </w:rPr>
        <w:t>二、</w:t>
      </w:r>
      <w:bookmarkEnd w:id="14"/>
      <w:bookmarkEnd w:id="15"/>
      <w:bookmarkStart w:id="16" w:name="_Toc15396602"/>
      <w:bookmarkStart w:id="17" w:name="_Toc15377204"/>
      <w:r>
        <w:rPr>
          <w:rFonts w:hint="eastAsia" w:ascii="黑体" w:hAnsi="黑体" w:eastAsia="黑体"/>
        </w:rPr>
        <w:t>机构设置</w:t>
      </w:r>
    </w:p>
    <w:p>
      <w:pPr>
        <w:pStyle w:val="8"/>
        <w:adjustRightInd w:val="0"/>
        <w:snapToGrid w:val="0"/>
        <w:spacing w:beforeLines="0" w:line="576" w:lineRule="exact"/>
        <w:ind w:firstLine="960" w:firstLineChars="300"/>
        <w:outlineLvl w:val="2"/>
        <w:rPr>
          <w:rFonts w:ascii="仿宋" w:hAnsi="仿宋" w:eastAsia="仿宋" w:cs="仿宋"/>
          <w:sz w:val="32"/>
          <w:szCs w:val="32"/>
        </w:rPr>
      </w:pPr>
      <w:r>
        <w:rPr>
          <w:rFonts w:hint="eastAsia" w:ascii="仿宋" w:hAnsi="仿宋" w:eastAsia="仿宋" w:cs="仿宋"/>
          <w:sz w:val="32"/>
          <w:szCs w:val="32"/>
        </w:rPr>
        <w:t>医院占地面积4.83亩，建筑面积4300平方米，编制床位33张，实际开放床位50张。现有在职职工91人，其中，省级专家3人、高级职称6人，中级职称23人，硕士1名，是四川省首批社区医院、四川省职业病健康体检定点医疗机构。中心科室设置有:全科、内科、外科、中医科、妇产科、眼科、耳鼻咽喉科、口腔科、皮肤科、麻醉科、康复医学科、医学检验科、医学影像科、职业病体检中心等科室。目前中心拥有DR数字摄片系统、口腔CT、彩超、经颅多普勒、微量元素检测仪、全自动血球分析仪、全自动生化仪、全自动染色体系统、全自动麻醉机、红外线乳腺检查仪、利普刀治疗仪、电子阴道镜、儿童生长测评系统、全自动牵引床、康复治疗设备、超声治疗仪、电测听、数字化裂隙灯、视野计、深视力、暗视力等一大批先进的医疗设备。中心已基本形成了以门诊诊疗系统、健康体检管理系统、住院医生工作站、护士工作站、电子病历、检验LIS系统、区域影像PACS、区域心电系统为主线的临床诊疗中心</w:t>
      </w:r>
    </w:p>
    <w:p>
      <w:pPr>
        <w:pStyle w:val="8"/>
        <w:adjustRightInd w:val="0"/>
        <w:snapToGrid w:val="0"/>
        <w:spacing w:beforeLines="0" w:line="576" w:lineRule="exact"/>
        <w:jc w:val="center"/>
        <w:outlineLvl w:val="2"/>
        <w:rPr>
          <w:rFonts w:ascii="仿宋" w:hAnsi="仿宋" w:eastAsia="仿宋" w:cs="仿宋"/>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Fonts w:ascii="方正粗黑宋简体" w:hAnsi="方正粗黑宋简体" w:eastAsia="方正粗黑宋简体" w:cs="方正粗黑宋简体"/>
          <w:sz w:val="44"/>
          <w:szCs w:val="44"/>
        </w:rPr>
      </w:pPr>
    </w:p>
    <w:p>
      <w:pPr>
        <w:pStyle w:val="8"/>
        <w:adjustRightInd w:val="0"/>
        <w:snapToGrid w:val="0"/>
        <w:spacing w:beforeLines="0" w:line="576" w:lineRule="exact"/>
        <w:jc w:val="center"/>
        <w:outlineLvl w:val="2"/>
        <w:rPr>
          <w:rStyle w:val="31"/>
          <w:rFonts w:ascii="黑体" w:hAnsi="黑体" w:eastAsia="黑体" w:cs="黑体"/>
          <w:b w:val="0"/>
        </w:rPr>
      </w:pPr>
      <w:r>
        <w:rPr>
          <w:rFonts w:hint="eastAsia" w:ascii="黑体" w:hAnsi="黑体" w:eastAsia="黑体" w:cs="黑体"/>
          <w:sz w:val="44"/>
          <w:szCs w:val="44"/>
        </w:rPr>
        <w:t>第二部分 2023年度</w:t>
      </w:r>
      <w:r>
        <w:rPr>
          <w:rStyle w:val="31"/>
          <w:rFonts w:hint="eastAsia" w:ascii="黑体" w:hAnsi="黑体" w:eastAsia="黑体" w:cs="黑体"/>
          <w:b w:val="0"/>
        </w:rPr>
        <w:t>单位决算情况说明</w:t>
      </w:r>
      <w:bookmarkEnd w:id="16"/>
      <w:bookmarkEnd w:id="17"/>
    </w:p>
    <w:p>
      <w:pPr>
        <w:rPr>
          <w:rFonts w:ascii="黑体" w:hAnsi="黑体" w:eastAsia="黑体" w:cs="黑体"/>
        </w:rPr>
      </w:pPr>
    </w:p>
    <w:p>
      <w:pPr>
        <w:pStyle w:val="30"/>
        <w:numPr>
          <w:ilvl w:val="0"/>
          <w:numId w:val="3"/>
        </w:numPr>
        <w:spacing w:line="600" w:lineRule="exact"/>
        <w:ind w:firstLineChars="0"/>
        <w:outlineLvl w:val="1"/>
        <w:rPr>
          <w:rStyle w:val="32"/>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2023年度收入、支出总计分别是3008.74万元。与2022年（2392.23</w:t>
      </w:r>
      <w:r>
        <w:rPr>
          <w:rFonts w:hint="eastAsia" w:ascii="方正仿宋简体" w:hAnsi="方正仿宋简体" w:eastAsia="方正仿宋简体" w:cs="方正仿宋简体"/>
          <w:color w:val="000000"/>
          <w:sz w:val="32"/>
          <w:szCs w:val="32"/>
        </w:rPr>
        <w:t>万元</w:t>
      </w:r>
      <w:r>
        <w:rPr>
          <w:rFonts w:hint="eastAsia" w:ascii="仿宋" w:hAnsi="仿宋" w:eastAsia="仿宋"/>
          <w:sz w:val="32"/>
          <w:szCs w:val="32"/>
        </w:rPr>
        <w:t>）相比，收入增加616.51万元，增长25.77%，，主要增长原因为公卫工作经费增加。</w:t>
      </w:r>
    </w:p>
    <w:p>
      <w:pPr>
        <w:spacing w:line="600" w:lineRule="exact"/>
        <w:rPr>
          <w:szCs w:val="32"/>
        </w:rPr>
      </w:pPr>
      <w:r>
        <w:rPr>
          <w:rFonts w:hint="eastAsia" w:ascii="仿宋" w:hAnsi="仿宋" w:eastAsia="仿宋"/>
          <w:sz w:val="32"/>
          <w:szCs w:val="32"/>
        </w:rPr>
        <w:drawing>
          <wp:anchor distT="0" distB="0" distL="114300" distR="114300" simplePos="0" relativeHeight="251668480" behindDoc="0" locked="0" layoutInCell="1" allowOverlap="1">
            <wp:simplePos x="0" y="0"/>
            <wp:positionH relativeFrom="column">
              <wp:posOffset>187325</wp:posOffset>
            </wp:positionH>
            <wp:positionV relativeFrom="paragraph">
              <wp:posOffset>201295</wp:posOffset>
            </wp:positionV>
            <wp:extent cx="5256530" cy="2988310"/>
            <wp:effectExtent l="5080" t="4445" r="1524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jc w:val="left"/>
        <w:rPr>
          <w:rFonts w:ascii="仿宋_GB2312" w:eastAsia="仿宋_GB2312"/>
          <w:sz w:val="32"/>
          <w:szCs w:val="32"/>
        </w:rPr>
      </w:pPr>
    </w:p>
    <w:p>
      <w:pPr>
        <w:pStyle w:val="30"/>
        <w:numPr>
          <w:ilvl w:val="0"/>
          <w:numId w:val="3"/>
        </w:numPr>
        <w:spacing w:line="600" w:lineRule="exact"/>
        <w:ind w:firstLineChars="0"/>
        <w:outlineLvl w:val="1"/>
        <w:rPr>
          <w:rStyle w:val="32"/>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2"/>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23年本年收入3008.74万元，其中：一般公共预算财政拨款收入795.30万元，占总收入的26.43%；事业收入2147.08万元，占总收入的71.36%；其他收入66.36万元；占总收入的0.21%</w:t>
      </w:r>
    </w:p>
    <w:p>
      <w:pPr>
        <w:pStyle w:val="8"/>
        <w:spacing w:before="93"/>
        <w:rPr>
          <w:b/>
          <w:bCs/>
        </w:rPr>
      </w:pPr>
      <w:r>
        <w:rPr>
          <w:rFonts w:hint="eastAsia"/>
          <w:b/>
          <w:bCs/>
        </w:rPr>
        <w:t>（注：数据来源于财决01表。）</w:t>
      </w:r>
    </w:p>
    <w:p>
      <w:pPr>
        <w:pStyle w:val="8"/>
        <w:spacing w:before="93" w:line="500" w:lineRule="exact"/>
        <w:rPr>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-123190</wp:posOffset>
            </wp:positionH>
            <wp:positionV relativeFrom="paragraph">
              <wp:posOffset>94615</wp:posOffset>
            </wp:positionV>
            <wp:extent cx="5490845" cy="2745105"/>
            <wp:effectExtent l="19050" t="0" r="0" b="0"/>
            <wp:wrapSquare wrapText="bothSides"/>
            <wp:docPr id="12" name="图片 8"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Administrator\Desktop\图片1.png图片1"/>
                    <pic:cNvPicPr>
                      <a:picLocks noChangeAspect="1" noChangeArrowheads="1"/>
                    </pic:cNvPicPr>
                  </pic:nvPicPr>
                  <pic:blipFill>
                    <a:blip r:embed="rId8"/>
                    <a:srcRect t="199" b="199"/>
                    <a:stretch>
                      <a:fillRect/>
                    </a:stretch>
                  </pic:blipFill>
                  <pic:spPr>
                    <a:xfrm>
                      <a:off x="0" y="0"/>
                      <a:ext cx="5490845" cy="2745105"/>
                    </a:xfrm>
                    <a:prstGeom prst="rect">
                      <a:avLst/>
                    </a:prstGeom>
                    <a:noFill/>
                    <a:ln w="9525">
                      <a:noFill/>
                      <a:miter lim="800000"/>
                      <a:headEnd/>
                      <a:tailEnd/>
                    </a:ln>
                  </pic:spPr>
                </pic:pic>
              </a:graphicData>
            </a:graphic>
          </wp:anchor>
        </w:drawing>
      </w: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50165</wp:posOffset>
            </wp:positionH>
            <wp:positionV relativeFrom="paragraph">
              <wp:posOffset>198755</wp:posOffset>
            </wp:positionV>
            <wp:extent cx="3578860" cy="2552700"/>
            <wp:effectExtent l="0" t="0" r="2540" b="0"/>
            <wp:wrapNone/>
            <wp:docPr id="1" name="图片 1" descr="QQ截图2024092516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40925162651"/>
                    <pic:cNvPicPr>
                      <a:picLocks noChangeAspect="1"/>
                    </pic:cNvPicPr>
                  </pic:nvPicPr>
                  <pic:blipFill>
                    <a:blip r:embed="rId9"/>
                    <a:stretch>
                      <a:fillRect/>
                    </a:stretch>
                  </pic:blipFill>
                  <pic:spPr>
                    <a:xfrm>
                      <a:off x="0" y="0"/>
                      <a:ext cx="3578860" cy="2552700"/>
                    </a:xfrm>
                    <a:prstGeom prst="rect">
                      <a:avLst/>
                    </a:prstGeom>
                  </pic:spPr>
                </pic:pic>
              </a:graphicData>
            </a:graphic>
          </wp:anchor>
        </w:drawing>
      </w:r>
      <w:r>
        <w:rPr>
          <w:rFonts w:hint="eastAsia" w:ascii="仿宋" w:hAnsi="仿宋" w:eastAsia="仿宋"/>
          <w:sz w:val="32"/>
          <w:szCs w:val="32"/>
        </w:rPr>
        <w:t>（图2：收入决算结构图）</w:t>
      </w:r>
    </w:p>
    <w:p>
      <w:pPr>
        <w:pStyle w:val="30"/>
        <w:numPr>
          <w:ilvl w:val="0"/>
          <w:numId w:val="3"/>
        </w:numPr>
        <w:spacing w:line="500" w:lineRule="exact"/>
        <w:ind w:firstLineChars="0"/>
        <w:outlineLvl w:val="1"/>
        <w:rPr>
          <w:rStyle w:val="32"/>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2"/>
          <w:rFonts w:hint="eastAsia" w:ascii="黑体" w:hAnsi="黑体" w:eastAsia="黑体"/>
          <w:b w:val="0"/>
        </w:rPr>
        <w:t>出决算情况说明</w:t>
      </w:r>
      <w:bookmarkEnd w:id="22"/>
      <w:bookmarkEnd w:id="23"/>
    </w:p>
    <w:p>
      <w:pPr>
        <w:spacing w:line="5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23年本年支出合计3008.74万元，其中：基本支出2469.07万元，占82.06</w:t>
      </w:r>
      <w:r>
        <w:rPr>
          <w:rFonts w:ascii="仿宋" w:hAnsi="仿宋" w:eastAsia="仿宋"/>
          <w:sz w:val="32"/>
          <w:szCs w:val="32"/>
        </w:rPr>
        <w:t>%</w:t>
      </w:r>
      <w:r>
        <w:rPr>
          <w:rFonts w:hint="eastAsia" w:ascii="仿宋" w:hAnsi="仿宋" w:eastAsia="仿宋"/>
          <w:sz w:val="32"/>
          <w:szCs w:val="32"/>
        </w:rPr>
        <w:t>；项目支出539.67万元，占17.94</w:t>
      </w:r>
      <w:r>
        <w:rPr>
          <w:rFonts w:ascii="仿宋" w:hAnsi="仿宋" w:eastAsia="仿宋"/>
          <w:sz w:val="32"/>
          <w:szCs w:val="32"/>
        </w:rPr>
        <w:t>%</w:t>
      </w:r>
      <w:r>
        <w:rPr>
          <w:rFonts w:hint="eastAsia" w:ascii="仿宋" w:hAnsi="仿宋" w:eastAsia="仿宋"/>
          <w:sz w:val="32"/>
          <w:szCs w:val="32"/>
        </w:rPr>
        <w:t>；</w:t>
      </w:r>
    </w:p>
    <w:p>
      <w:pPr>
        <w:pStyle w:val="8"/>
        <w:spacing w:before="93" w:line="500" w:lineRule="exact"/>
        <w:rPr>
          <w:b/>
          <w:bCs/>
        </w:rPr>
      </w:pPr>
      <w:r>
        <w:rPr>
          <w:rFonts w:hint="eastAsia"/>
          <w:b/>
          <w:bCs/>
        </w:rPr>
        <w:t>（注：数据来源于财决04表。）</w:t>
      </w:r>
    </w:p>
    <w:p>
      <w:pPr>
        <w:pStyle w:val="8"/>
        <w:spacing w:before="93" w:line="500" w:lineRule="exact"/>
        <w:rPr>
          <w:rFonts w:hint="eastAsia" w:ascii="仿宋" w:hAnsi="仿宋" w:eastAsia="仿宋"/>
          <w:sz w:val="32"/>
          <w:szCs w:val="32"/>
        </w:rPr>
      </w:pPr>
      <w:r>
        <w:rPr>
          <w:rFonts w:hint="eastAsia" w:ascii="仿宋" w:hAnsi="仿宋" w:eastAsia="仿宋"/>
          <w:sz w:val="32"/>
          <w:szCs w:val="32"/>
        </w:rPr>
        <w:t>（图3：支出决算结构图）</w:t>
      </w:r>
      <w:bookmarkStart w:id="24" w:name="_Toc15377208"/>
      <w:bookmarkStart w:id="25" w:name="_Toc15396606"/>
      <w:r>
        <w:rPr>
          <w:sz w:val="32"/>
        </w:rPr>
        <w:drawing>
          <wp:anchor distT="0" distB="0" distL="114300" distR="114300" simplePos="0" relativeHeight="251659264" behindDoc="0" locked="0" layoutInCell="1" allowOverlap="1">
            <wp:simplePos x="0" y="0"/>
            <wp:positionH relativeFrom="column">
              <wp:posOffset>7620</wp:posOffset>
            </wp:positionH>
            <wp:positionV relativeFrom="paragraph">
              <wp:posOffset>404495</wp:posOffset>
            </wp:positionV>
            <wp:extent cx="5027930" cy="3167380"/>
            <wp:effectExtent l="19050" t="0" r="1270" b="0"/>
            <wp:wrapSquare wrapText="bothSides"/>
            <wp:docPr id="11" name="图片 7" descr="C:\Users\Administrator\Desktop\图片4.png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Administrator\Desktop\图片4.png图片4"/>
                    <pic:cNvPicPr>
                      <a:picLocks noChangeAspect="1" noChangeArrowheads="1"/>
                    </pic:cNvPicPr>
                  </pic:nvPicPr>
                  <pic:blipFill>
                    <a:blip r:embed="rId10"/>
                    <a:srcRect l="539" r="539"/>
                    <a:stretch>
                      <a:fillRect/>
                    </a:stretch>
                  </pic:blipFill>
                  <pic:spPr>
                    <a:xfrm>
                      <a:off x="0" y="0"/>
                      <a:ext cx="5027930" cy="3167380"/>
                    </a:xfrm>
                    <a:prstGeom prst="rect">
                      <a:avLst/>
                    </a:prstGeom>
                    <a:noFill/>
                    <a:ln w="9525">
                      <a:noFill/>
                      <a:miter lim="800000"/>
                      <a:headEnd/>
                      <a:tailEnd/>
                    </a:ln>
                  </pic:spPr>
                </pic:pic>
              </a:graphicData>
            </a:graphic>
          </wp:anchor>
        </w:drawing>
      </w:r>
      <w:r>
        <w:rPr>
          <w:rFonts w:ascii="Times New Roman" w:eastAsia="宋体"/>
          <w:sz w:val="32"/>
        </w:rPr>
        <w:pict>
          <v:shape id="文本框 7" o:spid="_x0000_s1026" o:spt="202" type="#_x0000_t202" style="position:absolute;left:0pt;margin-left:229.1pt;margin-top:117.4pt;height:16.9pt;width:45.25pt;z-index:251667456;mso-width-relative:page;mso-height-relative:page;" stroked="t" coordsize="21600,21600" o:gfxdata="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AfnMtoAAAALAQAA&#10;DwAAAAAAAAABACAAAAAiAAAAZHJzL2Rvd25yZXYueG1sUEsBAhQAFAAAAAgAh07iQDsBdIIXAgAA&#10;WgQAAA4AAAAAAAAAAQAgAAAAKQEAAGRycy9lMm9Eb2MueG1sUEsFBgAAAAAGAAYAWQEAALIFAAAA&#10;AA==&#10;">
            <v:path/>
            <v:fill focussize="0,0"/>
            <v:stroke color="#FFFFFF" joinstyle="miter"/>
            <v:imagedata o:title=""/>
            <o:lock v:ext="edit"/>
            <v:textbox inset="0mm,0mm,0mm,0mm">
              <w:txbxContent>
                <w:p>
                  <w:pPr>
                    <w:rPr>
                      <w:rFonts w:ascii="方正大黑简体" w:hAnsi="方正大黑简体" w:eastAsia="方正大黑简体" w:cs="方正大黑简体"/>
                      <w:szCs w:val="21"/>
                    </w:rPr>
                  </w:pPr>
                  <w:r>
                    <w:rPr>
                      <w:rFonts w:hint="eastAsia" w:ascii="方正大黑简体" w:hAnsi="方正大黑简体" w:eastAsia="方正大黑简体" w:cs="方正大黑简体"/>
                      <w:szCs w:val="21"/>
                    </w:rPr>
                    <w:t>2023年</w:t>
                  </w:r>
                </w:p>
              </w:txbxContent>
            </v:textbox>
          </v:shape>
        </w:pict>
      </w:r>
      <w:r>
        <w:rPr>
          <w:rFonts w:ascii="Times New Roman" w:eastAsia="宋体"/>
          <w:sz w:val="32"/>
        </w:rPr>
        <w:pict>
          <v:shape id="文本框 6" o:spid="_x0000_s2054" o:spt="202" type="#_x0000_t202" style="position:absolute;left:0pt;margin-left:73.65pt;margin-top:146.45pt;height:16.9pt;width:37.7pt;z-index:251666432;mso-width-relative:page;mso-height-relative:page;" stroked="t" coordsize="21600,21600" o:gfxdata="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7TBArZAAAACwEAAA8A&#10;AAAAAAAAAQAgAAAAIgAAAGRycy9kb3ducmV2LnhtbFBLAQIUABQAAAAIAIdO4kBut9rTFgIAAFoE&#10;AAAOAAAAAAAAAAEAIAAAACgBAABkcnMvZTJvRG9jLnhtbFBLBQYAAAAABgAGAFkBAACwBQAAAAA=&#10;">
            <v:path/>
            <v:fill focussize="0,0"/>
            <v:stroke color="#FFFFFF" joinstyle="miter"/>
            <v:imagedata o:title=""/>
            <o:lock v:ext="edit"/>
            <v:textbox inset="0mm,0mm,0mm,0mm">
              <w:txbxContent>
                <w:p>
                  <w:pPr>
                    <w:rPr>
                      <w:rFonts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82.06%</w:t>
                  </w:r>
                </w:p>
              </w:txbxContent>
            </v:textbox>
          </v:shape>
        </w:pict>
      </w:r>
      <w:r>
        <w:rPr>
          <w:rFonts w:ascii="Times New Roman" w:eastAsia="宋体"/>
          <w:sz w:val="32"/>
        </w:rPr>
        <w:pict>
          <v:shape id="文本框 5" o:spid="_x0000_s2053" o:spt="202" type="#_x0000_t202" style="position:absolute;left:0pt;margin-left:72.15pt;margin-top:131.35pt;height:16.9pt;width:58.35pt;z-index:251665408;mso-width-relative:page;mso-height-relative:page;" stroked="t" coordsize="21600,21600" o:gfxdata="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GDDJ/aAAAACwEAAA8A&#10;AAAAAAAAAQAgAAAAIgAAAGRycy9kb3ducmV2LnhtbFBLAQIUABQAAAAIAIdO4kCH8tAPFQIAAFkE&#10;AAAOAAAAAAAAAAEAIAAAACkBAABkcnMvZTJvRG9jLnhtbFBLBQYAAAAABgAGAFkBAACwBQAAAAA=&#10;">
            <v:path/>
            <v:fill focussize="0,0"/>
            <v:stroke color="#FFFFFF" joinstyle="miter"/>
            <v:imagedata o:title=""/>
            <o:lock v:ext="edit"/>
            <v:textbox inset="0mm,0mm,0mm,0mm">
              <w:txbxContent>
                <w:p>
                  <w:pPr>
                    <w:rPr>
                      <w:rFonts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2469.07万元</w:t>
                  </w:r>
                </w:p>
              </w:txbxContent>
            </v:textbox>
          </v:shape>
        </w:pict>
      </w:r>
      <w:r>
        <w:rPr>
          <w:rFonts w:ascii="Times New Roman" w:eastAsia="宋体"/>
          <w:sz w:val="32"/>
        </w:rPr>
        <w:pict>
          <v:shape id="文本框 4" o:spid="_x0000_s2052" o:spt="202" type="#_x0000_t202" style="position:absolute;left:0pt;margin-left:205.75pt;margin-top:207.55pt;height:16.9pt;width:74.85pt;z-index:251664384;mso-width-relative:page;mso-height-relative:page;" stroked="t" coordsize="21600,21600" o:gfxdata="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AxmK2QAAAAsBAAAPAAAA&#10;AAAAAAEAIAAAACIAAABkcnMvZG93bnJldi54bWxQSwECFAAUAAAACACHTuJArYOjrxQCAABZBAAA&#10;DgAAAAAAAAABACAAAAAoAQAAZHJzL2Uyb0RvYy54bWxQSwUGAAAAAAYABgBZAQAArgUAAAAA&#10;">
            <v:path/>
            <v:fill focussize="0,0"/>
            <v:stroke color="#FFFFFF" joinstyle="miter"/>
            <v:imagedata o:title=""/>
            <o:lock v:ext="edit"/>
            <v:textbox inset="0mm,0mm,0mm,0mm">
              <w:txbxContent>
                <w:p>
                  <w:pPr>
                    <w:rPr>
                      <w:rFonts w:ascii="方正大黑简体" w:hAnsi="方正大黑简体" w:eastAsia="方正大黑简体" w:cs="方正大黑简体"/>
                      <w:szCs w:val="21"/>
                    </w:rPr>
                  </w:pPr>
                  <w:r>
                    <w:rPr>
                      <w:rFonts w:hint="eastAsia" w:ascii="方正大黑简体" w:hAnsi="方正大黑简体" w:eastAsia="方正大黑简体" w:cs="方正大黑简体"/>
                      <w:szCs w:val="21"/>
                    </w:rPr>
                    <w:t>3008.74万元</w:t>
                  </w:r>
                </w:p>
              </w:txbxContent>
            </v:textbox>
          </v:shape>
        </w:pict>
      </w:r>
      <w:r>
        <w:rPr>
          <w:rFonts w:ascii="Times New Roman" w:eastAsia="宋体"/>
          <w:sz w:val="32"/>
        </w:rPr>
        <w:pict>
          <v:shape id="文本框 3" o:spid="_x0000_s2051" o:spt="202" type="#_x0000_t202" style="position:absolute;left:0pt;margin-left:141.05pt;margin-top:50.5pt;height:16.9pt;width:59.4pt;z-index:251663360;mso-width-relative:page;mso-height-relative:page;" stroked="t" coordsize="21600,21600" o:gfxdata="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V83azYAAAACwEAAA8A&#10;AAAAAAAAAQAgAAAAIgAAAGRycy9kb3ducmV2LnhtbFBLAQIUABQAAAAIAIdO4kBKxU9/FwIAAFkE&#10;AAAOAAAAAAAAAAEAIAAAACcBAABkcnMvZTJvRG9jLnhtbFBLBQYAAAAABgAGAFkBAACwBQAAAAA=&#10;">
            <v:path/>
            <v:fill focussize="0,0"/>
            <v:stroke color="#FFFFFF" joinstyle="miter"/>
            <v:imagedata o:title=""/>
            <o:lock v:ext="edit"/>
            <v:textbox inset="0mm,0mm,0mm,0mm">
              <w:txbxContent>
                <w:p>
                  <w:pPr>
                    <w:rPr>
                      <w:rFonts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17.94%</w:t>
                  </w:r>
                </w:p>
              </w:txbxContent>
            </v:textbox>
          </v:shape>
        </w:pict>
      </w:r>
      <w:r>
        <w:rPr>
          <w:rFonts w:ascii="Times New Roman" w:eastAsia="宋体"/>
          <w:sz w:val="32"/>
        </w:rPr>
        <w:pict>
          <v:shape id="文本框 2" o:spid="_x0000_s2050" o:spt="202" type="#_x0000_t202" style="position:absolute;left:0pt;margin-left:157.45pt;margin-top:31.4pt;height:16.9pt;width:59.4pt;z-index:251662336;mso-width-relative:page;mso-height-relative:page;" stroked="t" coordsize="21600,21600" o:gfxdata="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i2uo2QAAAAkBAAAP&#10;AAAAAAAAAAEAIAAAACIAAABkcnMvZG93bnJldi54bWxQSwECFAAUAAAACACHTuJAQbrDpRcCAABZ&#10;BAAADgAAAAAAAAABACAAAAAoAQAAZHJzL2Uyb0RvYy54bWxQSwUGAAAAAAYABgBZAQAAsQUAAAAA&#10;">
            <v:path/>
            <v:fill focussize="0,0"/>
            <v:stroke color="#FFFFFF" joinstyle="miter"/>
            <v:imagedata o:title=""/>
            <o:lock v:ext="edit"/>
            <v:textbox inset="0mm,0mm,0mm,0mm">
              <w:txbxContent>
                <w:p>
                  <w:pPr>
                    <w:rPr>
                      <w:rFonts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539.67万元</w:t>
                  </w:r>
                </w:p>
              </w:txbxContent>
            </v:textbox>
          </v:shape>
        </w:pict>
      </w:r>
      <w:bookmarkEnd w:id="24"/>
      <w:bookmarkEnd w:id="25"/>
      <w:r>
        <w:rPr>
          <w:rStyle w:val="32"/>
          <w:rFonts w:ascii="黑体" w:hAnsi="黑体" w:eastAsia="黑体"/>
          <w:b w:val="0"/>
        </w:rPr>
        <w:t xml:space="preserve"> </w: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hint="eastAsia" w:ascii="黑体" w:hAnsi="黑体" w:eastAsia="黑体"/>
          <w:sz w:val="32"/>
          <w:szCs w:val="32"/>
        </w:rPr>
        <w:t>四、财</w:t>
      </w:r>
      <w:r>
        <w:rPr>
          <w:rStyle w:val="32"/>
          <w:rFonts w:hint="eastAsia" w:ascii="黑体" w:hAnsi="黑体" w:eastAsia="黑体"/>
          <w:b w:val="0"/>
        </w:rPr>
        <w:t>政拨款收入支出决算总体情况说明</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23年财政拨款收入、支出总计分别是795.31万元。与</w:t>
      </w:r>
      <w:r>
        <w:rPr>
          <w:rFonts w:ascii="仿宋" w:hAnsi="仿宋" w:eastAsia="仿宋"/>
          <w:sz w:val="32"/>
          <w:szCs w:val="32"/>
        </w:rPr>
        <w:t>20</w:t>
      </w:r>
      <w:r>
        <w:rPr>
          <w:rFonts w:hint="eastAsia" w:ascii="仿宋" w:hAnsi="仿宋" w:eastAsia="仿宋"/>
          <w:sz w:val="32"/>
          <w:szCs w:val="32"/>
        </w:rPr>
        <w:t>22年（863.74万元）相比，财政拨款收、支总计各减少68.43万元，下降7.92</w:t>
      </w:r>
      <w:r>
        <w:rPr>
          <w:rFonts w:ascii="仿宋" w:hAnsi="仿宋" w:eastAsia="仿宋"/>
          <w:sz w:val="32"/>
          <w:szCs w:val="32"/>
        </w:rPr>
        <w:t>%</w:t>
      </w:r>
      <w:r>
        <w:rPr>
          <w:rFonts w:hint="eastAsia" w:ascii="仿宋" w:hAnsi="仿宋" w:eastAsia="仿宋"/>
          <w:sz w:val="32"/>
          <w:szCs w:val="32"/>
        </w:rPr>
        <w:t>，主要变动原因是公卫工作经费减少。</w:t>
      </w:r>
    </w:p>
    <w:p>
      <w:pPr>
        <w:spacing w:line="600" w:lineRule="exact"/>
        <w:rPr>
          <w:rFonts w:ascii="仿宋" w:hAnsi="仿宋" w:eastAsia="仿宋"/>
          <w:b/>
          <w:sz w:val="32"/>
          <w:szCs w:val="32"/>
        </w:rPr>
      </w:pPr>
      <w:r>
        <w:rPr>
          <w:rFonts w:hint="eastAsia" w:ascii="仿宋" w:hAnsi="仿宋" w:eastAsia="仿宋"/>
          <w:b/>
          <w:sz w:val="32"/>
          <w:szCs w:val="32"/>
        </w:rPr>
        <w:t>（注：数据来源于财决01-1表）</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9504" behindDoc="0" locked="0" layoutInCell="1" allowOverlap="1">
            <wp:simplePos x="0" y="0"/>
            <wp:positionH relativeFrom="column">
              <wp:posOffset>411480</wp:posOffset>
            </wp:positionH>
            <wp:positionV relativeFrom="paragraph">
              <wp:posOffset>-2700655</wp:posOffset>
            </wp:positionV>
            <wp:extent cx="5256530" cy="2988310"/>
            <wp:effectExtent l="5080" t="4445"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p>
    <w:p>
      <w:pPr>
        <w:spacing w:line="600" w:lineRule="exact"/>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2"/>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23年一般公共预算财政拨款支出795.31万元，占本年支出合计的26.43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22年863.74万元相比，一般公共预算财政拨款支出减少68.43万元，减少7.92</w:t>
      </w:r>
      <w:r>
        <w:rPr>
          <w:rFonts w:ascii="仿宋" w:hAnsi="仿宋" w:eastAsia="仿宋"/>
          <w:sz w:val="32"/>
          <w:szCs w:val="32"/>
        </w:rPr>
        <w:t>%</w:t>
      </w:r>
      <w:r>
        <w:rPr>
          <w:rFonts w:hint="eastAsia" w:ascii="仿宋" w:hAnsi="仿宋" w:eastAsia="仿宋"/>
          <w:sz w:val="32"/>
          <w:szCs w:val="32"/>
        </w:rPr>
        <w:t>。主要变动原因是项目经费减少。</w:t>
      </w:r>
    </w:p>
    <w:p>
      <w:pPr>
        <w:pStyle w:val="8"/>
        <w:spacing w:before="93"/>
      </w:pPr>
      <w:r>
        <w:rPr>
          <w:rFonts w:hint="eastAsia"/>
        </w:rPr>
        <w:drawing>
          <wp:inline distT="0" distB="0" distL="114300" distR="114300">
            <wp:extent cx="5394960" cy="2521585"/>
            <wp:effectExtent l="0" t="0" r="15240" b="1206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2"/>
                    <a:stretch>
                      <a:fillRect/>
                    </a:stretch>
                  </pic:blipFill>
                  <pic:spPr>
                    <a:xfrm>
                      <a:off x="0" y="0"/>
                      <a:ext cx="5394960" cy="2521585"/>
                    </a:xfrm>
                    <a:prstGeom prst="rect">
                      <a:avLst/>
                    </a:prstGeom>
                  </pic:spPr>
                </pic:pic>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23年一般公共预算财政拨款支出795.31万元，主要用于以下方面</w:t>
      </w:r>
      <w:r>
        <w:rPr>
          <w:rFonts w:ascii="仿宋" w:hAnsi="仿宋" w:eastAsia="仿宋"/>
          <w:sz w:val="32"/>
          <w:szCs w:val="32"/>
        </w:rPr>
        <w:t>:</w:t>
      </w:r>
      <w:r>
        <w:rPr>
          <w:rFonts w:hint="eastAsia" w:ascii="仿宋" w:hAnsi="仿宋" w:eastAsia="仿宋"/>
          <w:sz w:val="32"/>
          <w:szCs w:val="32"/>
        </w:rPr>
        <w:t>社会保障和就业（类）支出38.84万元，占4.88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卫生健康支出</w:t>
      </w:r>
      <w:r>
        <w:rPr>
          <w:rFonts w:hint="eastAsia" w:ascii="仿宋" w:hAnsi="仿宋" w:eastAsia="仿宋"/>
          <w:sz w:val="32"/>
          <w:szCs w:val="32"/>
        </w:rPr>
        <w:t>729.21万元，占91.69</w:t>
      </w:r>
      <w:r>
        <w:rPr>
          <w:rFonts w:ascii="仿宋" w:hAnsi="仿宋" w:eastAsia="仿宋"/>
          <w:sz w:val="32"/>
          <w:szCs w:val="32"/>
        </w:rPr>
        <w:t>%</w:t>
      </w:r>
      <w:r>
        <w:rPr>
          <w:rFonts w:hint="eastAsia" w:ascii="仿宋" w:hAnsi="仿宋" w:eastAsia="仿宋"/>
          <w:sz w:val="32"/>
          <w:szCs w:val="32"/>
        </w:rPr>
        <w:t>；住房保障支出27.26万元，占3.43</w:t>
      </w:r>
      <w:r>
        <w:rPr>
          <w:rFonts w:ascii="仿宋" w:hAnsi="仿宋" w:eastAsia="仿宋"/>
          <w:sz w:val="32"/>
          <w:szCs w:val="32"/>
        </w:rPr>
        <w:t>%</w:t>
      </w:r>
      <w:r>
        <w:rPr>
          <w:rFonts w:hint="eastAsia" w:ascii="仿宋" w:hAnsi="仿宋" w:eastAsia="仿宋"/>
          <w:sz w:val="32"/>
          <w:szCs w:val="32"/>
        </w:rPr>
        <w:t>。</w:t>
      </w:r>
    </w:p>
    <w:p>
      <w:pPr>
        <w:pStyle w:val="8"/>
        <w:spacing w:before="93"/>
        <w:rPr>
          <w:b/>
          <w:bCs/>
        </w:rPr>
      </w:pPr>
      <w:r>
        <w:rPr>
          <w:rFonts w:hint="eastAsia"/>
          <w:b/>
          <w:bCs/>
        </w:rPr>
        <w:t>（注：数据来源于财决01-1表。）</w:t>
      </w:r>
    </w:p>
    <w:p>
      <w:pPr>
        <w:pStyle w:val="8"/>
        <w:spacing w:before="93"/>
        <w:rPr>
          <w:b/>
          <w:bCs/>
        </w:rPr>
      </w:pPr>
      <w:r>
        <w:rPr>
          <w:rFonts w:hint="eastAsia"/>
          <w:b/>
          <w:bCs/>
        </w:rPr>
        <w:drawing>
          <wp:inline distT="0" distB="0" distL="114300" distR="114300">
            <wp:extent cx="4775200" cy="3094355"/>
            <wp:effectExtent l="0" t="0" r="6350" b="10795"/>
            <wp:docPr id="4" name="图片 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
                    <pic:cNvPicPr>
                      <a:picLocks noChangeAspect="1"/>
                    </pic:cNvPicPr>
                  </pic:nvPicPr>
                  <pic:blipFill>
                    <a:blip r:embed="rId13"/>
                    <a:stretch>
                      <a:fillRect/>
                    </a:stretch>
                  </pic:blipFill>
                  <pic:spPr>
                    <a:xfrm>
                      <a:off x="0" y="0"/>
                      <a:ext cx="4775200" cy="3094355"/>
                    </a:xfrm>
                    <a:prstGeom prst="rect">
                      <a:avLst/>
                    </a:prstGeom>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sz w:val="32"/>
          <w:szCs w:val="32"/>
        </w:rPr>
        <w:t>2023年一般公共预算支出决算数为</w:t>
      </w:r>
      <w:r>
        <w:rPr>
          <w:rFonts w:hint="eastAsia" w:ascii="仿宋" w:hAnsi="仿宋" w:eastAsia="仿宋"/>
          <w:bCs/>
          <w:sz w:val="32"/>
          <w:szCs w:val="32"/>
        </w:rPr>
        <w:t>795.31</w:t>
      </w:r>
      <w:r>
        <w:rPr>
          <w:rFonts w:hint="eastAsia" w:ascii="仿宋" w:hAnsi="仿宋" w:eastAsia="仿宋"/>
          <w:sz w:val="32"/>
          <w:szCs w:val="32"/>
        </w:rPr>
        <w:t>万元，</w:t>
      </w:r>
      <w:r>
        <w:rPr>
          <w:rStyle w:val="19"/>
          <w:rFonts w:hint="eastAsia" w:ascii="仿宋" w:hAnsi="仿宋" w:eastAsia="仿宋"/>
          <w:b w:val="0"/>
          <w:bCs/>
          <w:sz w:val="32"/>
          <w:szCs w:val="32"/>
        </w:rPr>
        <w:t>完成预算100</w:t>
      </w:r>
      <w:r>
        <w:rPr>
          <w:rStyle w:val="19"/>
          <w:rFonts w:ascii="仿宋" w:hAnsi="仿宋" w:eastAsia="仿宋"/>
          <w:b w:val="0"/>
          <w:bCs/>
          <w:sz w:val="32"/>
          <w:szCs w:val="32"/>
        </w:rPr>
        <w:t>%</w:t>
      </w:r>
      <w:r>
        <w:rPr>
          <w:rStyle w:val="19"/>
          <w:rFonts w:hint="eastAsia" w:ascii="仿宋" w:hAnsi="仿宋" w:eastAsia="仿宋"/>
          <w:b w:val="0"/>
          <w:bCs/>
          <w:sz w:val="32"/>
          <w:szCs w:val="32"/>
        </w:rPr>
        <w:t>。其中：</w:t>
      </w:r>
      <w:bookmarkEnd w:id="31"/>
      <w:bookmarkEnd w:id="32"/>
      <w:bookmarkEnd w:id="33"/>
    </w:p>
    <w:p>
      <w:pPr>
        <w:numPr>
          <w:ilvl w:val="0"/>
          <w:numId w:val="4"/>
        </w:numPr>
        <w:spacing w:line="600" w:lineRule="exact"/>
        <w:ind w:firstLine="640" w:firstLineChars="200"/>
        <w:rPr>
          <w:rStyle w:val="19"/>
          <w:rFonts w:ascii="仿宋" w:hAnsi="仿宋" w:eastAsia="仿宋"/>
          <w:b w:val="0"/>
          <w:bCs/>
          <w:sz w:val="32"/>
          <w:szCs w:val="32"/>
        </w:rPr>
      </w:pPr>
      <w:r>
        <w:rPr>
          <w:rStyle w:val="19"/>
          <w:rFonts w:hint="eastAsia" w:ascii="仿宋" w:hAnsi="仿宋" w:eastAsia="仿宋"/>
          <w:b w:val="0"/>
          <w:bCs/>
          <w:sz w:val="32"/>
          <w:szCs w:val="32"/>
        </w:rPr>
        <w:t>社会保障和就业（类）行政事业单位养老支出（款）机关事业单位基本养老保险缴费支出（项）</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支出决算为36.34万元，完成预算100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0" w:firstLineChars="200"/>
        <w:rPr>
          <w:rStyle w:val="19"/>
          <w:b w:val="0"/>
          <w:bCs/>
        </w:rPr>
      </w:pPr>
      <w:r>
        <w:rPr>
          <w:rStyle w:val="19"/>
          <w:rFonts w:hint="eastAsia" w:ascii="仿宋" w:hAnsi="仿宋" w:eastAsia="仿宋"/>
          <w:b w:val="0"/>
          <w:bCs/>
          <w:sz w:val="32"/>
          <w:szCs w:val="32"/>
        </w:rPr>
        <w:t>2.社会保障和就业（类）其他社会保障和就业支出（款）其他社会保障和就业支出（项）：支出决算为2.5万元，完成预算100%。</w:t>
      </w:r>
    </w:p>
    <w:p>
      <w:pPr>
        <w:spacing w:line="600" w:lineRule="exact"/>
        <w:ind w:firstLine="640" w:firstLineChars="200"/>
        <w:rPr>
          <w:rStyle w:val="19"/>
          <w:rFonts w:ascii="仿宋" w:hAnsi="仿宋" w:eastAsia="仿宋"/>
          <w:b w:val="0"/>
          <w:bCs/>
          <w:sz w:val="32"/>
          <w:szCs w:val="32"/>
        </w:rPr>
      </w:pPr>
      <w:r>
        <w:rPr>
          <w:rFonts w:hint="eastAsia" w:ascii="仿宋" w:hAnsi="仿宋" w:eastAsia="仿宋"/>
          <w:bCs/>
          <w:sz w:val="32"/>
          <w:szCs w:val="32"/>
        </w:rPr>
        <w:t>3.卫生健康支出</w:t>
      </w:r>
      <w:r>
        <w:rPr>
          <w:rStyle w:val="19"/>
          <w:rFonts w:hint="eastAsia" w:ascii="仿宋" w:hAnsi="仿宋" w:eastAsia="仿宋"/>
          <w:b w:val="0"/>
          <w:bCs/>
          <w:sz w:val="32"/>
          <w:szCs w:val="32"/>
        </w:rPr>
        <w:t>（类）基层医疗卫生机构（款）城市社区卫生机构（项）</w:t>
      </w:r>
      <w:r>
        <w:rPr>
          <w:rStyle w:val="19"/>
          <w:rFonts w:ascii="仿宋" w:hAnsi="仿宋" w:eastAsia="仿宋"/>
          <w:b w:val="0"/>
          <w:bCs/>
          <w:sz w:val="32"/>
          <w:szCs w:val="32"/>
        </w:rPr>
        <w:t>:</w:t>
      </w:r>
      <w:r>
        <w:rPr>
          <w:rStyle w:val="19"/>
          <w:rFonts w:hint="eastAsia" w:ascii="仿宋" w:hAnsi="仿宋" w:eastAsia="仿宋"/>
          <w:b w:val="0"/>
          <w:bCs/>
          <w:sz w:val="32"/>
          <w:szCs w:val="32"/>
        </w:rPr>
        <w:t>支出决算为231.29万元，完成预算100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960" w:firstLineChars="300"/>
        <w:rPr>
          <w:rFonts w:ascii="仿宋" w:hAnsi="仿宋" w:eastAsia="仿宋"/>
          <w:sz w:val="32"/>
          <w:szCs w:val="32"/>
        </w:rPr>
      </w:pPr>
      <w:r>
        <w:rPr>
          <w:rFonts w:hint="eastAsia" w:ascii="仿宋" w:hAnsi="仿宋" w:eastAsia="仿宋"/>
          <w:bCs/>
          <w:sz w:val="32"/>
          <w:szCs w:val="32"/>
        </w:rPr>
        <w:t>4.卫生健康支出</w:t>
      </w:r>
      <w:r>
        <w:rPr>
          <w:rStyle w:val="19"/>
          <w:rFonts w:hint="eastAsia" w:ascii="仿宋" w:hAnsi="仿宋" w:eastAsia="仿宋"/>
          <w:b w:val="0"/>
          <w:bCs/>
          <w:sz w:val="32"/>
          <w:szCs w:val="32"/>
        </w:rPr>
        <w:t>（类）基层医疗卫生机构（款）其他基层医疗卫生机构支出（项）</w:t>
      </w:r>
      <w:r>
        <w:rPr>
          <w:rStyle w:val="19"/>
          <w:rFonts w:ascii="仿宋" w:hAnsi="仿宋" w:eastAsia="仿宋"/>
          <w:b w:val="0"/>
          <w:bCs/>
          <w:sz w:val="32"/>
          <w:szCs w:val="32"/>
        </w:rPr>
        <w:t>:</w:t>
      </w:r>
      <w:r>
        <w:rPr>
          <w:rStyle w:val="19"/>
          <w:rFonts w:hint="eastAsia" w:ascii="仿宋" w:hAnsi="仿宋" w:eastAsia="仿宋"/>
          <w:b w:val="0"/>
          <w:bCs/>
          <w:sz w:val="32"/>
          <w:szCs w:val="32"/>
        </w:rPr>
        <w:t>支出决算为71.15万元，完成预算100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5卫生健康支出</w:t>
      </w:r>
      <w:r>
        <w:rPr>
          <w:rStyle w:val="19"/>
          <w:rFonts w:hint="eastAsia" w:ascii="仿宋" w:hAnsi="仿宋" w:eastAsia="仿宋"/>
          <w:b w:val="0"/>
          <w:bCs/>
          <w:sz w:val="32"/>
          <w:szCs w:val="32"/>
        </w:rPr>
        <w:t>（类）公共卫生（款）基本公共卫生服务（项）：支出决算为394.97万元，完成预算100%。</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6.卫生健康支出</w:t>
      </w:r>
      <w:r>
        <w:rPr>
          <w:rStyle w:val="19"/>
          <w:rFonts w:hint="eastAsia" w:ascii="仿宋" w:hAnsi="仿宋" w:eastAsia="仿宋"/>
          <w:b w:val="0"/>
          <w:bCs/>
          <w:sz w:val="32"/>
          <w:szCs w:val="32"/>
        </w:rPr>
        <w:t>（类）公共卫生（款）</w:t>
      </w:r>
      <w:r>
        <w:rPr>
          <w:rStyle w:val="19"/>
          <w:rFonts w:hint="eastAsia" w:ascii="仿宋" w:hAnsi="仿宋" w:eastAsia="仿宋"/>
          <w:b w:val="0"/>
          <w:sz w:val="32"/>
          <w:szCs w:val="32"/>
        </w:rPr>
        <w:t>突发公共卫生事件应急处理（项）：</w:t>
      </w:r>
      <w:r>
        <w:rPr>
          <w:rStyle w:val="19"/>
          <w:rFonts w:hint="eastAsia" w:ascii="仿宋" w:hAnsi="仿宋" w:eastAsia="仿宋"/>
          <w:b w:val="0"/>
          <w:bCs/>
          <w:sz w:val="32"/>
          <w:szCs w:val="32"/>
        </w:rPr>
        <w:t>支出决算为:6.90万元，完成预算100%。</w:t>
      </w:r>
      <w:r>
        <w:rPr>
          <w:rFonts w:hint="eastAsia" w:ascii="仿宋" w:hAnsi="仿宋" w:eastAsia="仿宋"/>
          <w:bCs/>
          <w:sz w:val="32"/>
          <w:szCs w:val="32"/>
        </w:rPr>
        <w:t>7.卫生健康支出</w:t>
      </w:r>
      <w:r>
        <w:rPr>
          <w:rStyle w:val="19"/>
          <w:rFonts w:hint="eastAsia" w:ascii="仿宋" w:hAnsi="仿宋" w:eastAsia="仿宋"/>
          <w:b w:val="0"/>
          <w:bCs/>
          <w:sz w:val="32"/>
          <w:szCs w:val="32"/>
        </w:rPr>
        <w:t>（类）行政事业单位医疗（款）事业单位医疗（项）：支出决算为18.17万元，完成预算100%。</w:t>
      </w:r>
    </w:p>
    <w:p>
      <w:pPr>
        <w:spacing w:line="600" w:lineRule="exact"/>
        <w:ind w:firstLine="640" w:firstLineChars="200"/>
        <w:rPr>
          <w:rFonts w:ascii="仿宋" w:hAnsi="仿宋" w:eastAsia="仿宋"/>
          <w:sz w:val="32"/>
          <w:szCs w:val="32"/>
        </w:rPr>
      </w:pPr>
      <w:r>
        <w:rPr>
          <w:rStyle w:val="19"/>
          <w:rFonts w:hint="eastAsia" w:ascii="仿宋" w:hAnsi="仿宋" w:eastAsia="仿宋" w:cs="方正仿宋简体"/>
          <w:b w:val="0"/>
          <w:color w:val="000000"/>
          <w:sz w:val="32"/>
          <w:szCs w:val="32"/>
        </w:rPr>
        <w:t>8.</w:t>
      </w:r>
      <w:r>
        <w:rPr>
          <w:rFonts w:hint="eastAsia" w:ascii="仿宋" w:hAnsi="仿宋" w:eastAsia="仿宋"/>
          <w:bCs/>
          <w:sz w:val="32"/>
          <w:szCs w:val="32"/>
        </w:rPr>
        <w:t>卫生健康支出</w:t>
      </w:r>
      <w:r>
        <w:rPr>
          <w:rStyle w:val="19"/>
          <w:rFonts w:hint="eastAsia" w:ascii="仿宋" w:hAnsi="仿宋" w:eastAsia="仿宋"/>
          <w:b w:val="0"/>
          <w:bCs/>
          <w:sz w:val="32"/>
          <w:szCs w:val="32"/>
        </w:rPr>
        <w:t>（类）其他卫生健康支出（款）其他卫生健康支出（项）：支出决算为6.73万元，完成预算100%。</w:t>
      </w:r>
    </w:p>
    <w:p>
      <w:pPr>
        <w:spacing w:line="576" w:lineRule="exact"/>
        <w:ind w:firstLine="640" w:firstLineChars="200"/>
        <w:rPr>
          <w:rStyle w:val="19"/>
          <w:rFonts w:ascii="仿宋" w:hAnsi="仿宋" w:eastAsia="仿宋" w:cs="方正仿宋简体"/>
          <w:b w:val="0"/>
          <w:bCs/>
          <w:color w:val="000000"/>
          <w:sz w:val="32"/>
          <w:szCs w:val="32"/>
        </w:rPr>
      </w:pPr>
      <w:r>
        <w:rPr>
          <w:rStyle w:val="19"/>
          <w:rFonts w:hint="eastAsia" w:ascii="仿宋" w:hAnsi="仿宋" w:eastAsia="仿宋" w:cs="方正仿宋简体"/>
          <w:b w:val="0"/>
          <w:bCs/>
          <w:color w:val="000000"/>
          <w:sz w:val="32"/>
          <w:szCs w:val="32"/>
        </w:rPr>
        <w:t xml:space="preserve"> </w:t>
      </w:r>
      <w:r>
        <w:rPr>
          <w:rStyle w:val="19"/>
          <w:rFonts w:hint="eastAsia" w:ascii="仿宋" w:hAnsi="仿宋" w:eastAsia="仿宋" w:cs="方正仿宋简体"/>
          <w:b w:val="0"/>
          <w:color w:val="000000"/>
          <w:sz w:val="32"/>
          <w:szCs w:val="32"/>
        </w:rPr>
        <w:t>9.</w:t>
      </w:r>
      <w:r>
        <w:rPr>
          <w:rStyle w:val="19"/>
          <w:rFonts w:hint="eastAsia" w:ascii="仿宋" w:hAnsi="仿宋" w:eastAsia="仿宋" w:cs="方正仿宋简体"/>
          <w:b w:val="0"/>
          <w:bCs/>
          <w:color w:val="000000"/>
          <w:sz w:val="32"/>
          <w:szCs w:val="32"/>
        </w:rPr>
        <w:t>住房保障支出（类）住房改革支出（款）住房公积金（项）：支出决算为27.26万元，完成预算100%。</w:t>
      </w:r>
    </w:p>
    <w:p>
      <w:pPr>
        <w:pStyle w:val="8"/>
        <w:spacing w:before="93"/>
        <w:ind w:firstLine="960" w:firstLineChars="300"/>
      </w:pPr>
      <w:r>
        <w:rPr>
          <w:rFonts w:hint="eastAsia" w:ascii="仿宋" w:hAnsi="仿宋" w:eastAsia="仿宋"/>
          <w:sz w:val="32"/>
          <w:szCs w:val="32"/>
        </w:rPr>
        <w:t>（注：数据来源于财决</w:t>
      </w:r>
      <w:r>
        <w:rPr>
          <w:rFonts w:ascii="仿宋" w:hAnsi="仿宋" w:eastAsia="仿宋"/>
          <w:sz w:val="32"/>
          <w:szCs w:val="32"/>
        </w:rPr>
        <w:t>0</w:t>
      </w:r>
      <w:r>
        <w:rPr>
          <w:rFonts w:hint="eastAsia" w:ascii="仿宋" w:hAnsi="仿宋" w:eastAsia="仿宋"/>
          <w:sz w:val="32"/>
          <w:szCs w:val="32"/>
        </w:rPr>
        <w:t>1-1表和财决08表。）</w:t>
      </w:r>
    </w:p>
    <w:p>
      <w:pPr>
        <w:tabs>
          <w:tab w:val="right" w:pos="8306"/>
        </w:tabs>
        <w:spacing w:line="600" w:lineRule="exact"/>
        <w:ind w:firstLine="640"/>
        <w:outlineLvl w:val="1"/>
        <w:rPr>
          <w:rStyle w:val="32"/>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4"/>
      <w:bookmarkEnd w:id="35"/>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23年一般公共预算财政拨款基本支出315.56万元，其中：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人员经费313.26万元，主要包括：基本工资、津贴补贴、奖金、绩效工资、机关事业单位基本养老保险缴费、其他社会保障缴费、其他工资福利支出、住房公积金、其他对个人和家庭的补助支出等。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公用经费2.30万元，主要包括：工会经费、福利费等。</w:t>
      </w:r>
    </w:p>
    <w:p>
      <w:pPr>
        <w:spacing w:line="600" w:lineRule="exact"/>
        <w:ind w:firstLine="640"/>
        <w:outlineLvl w:val="1"/>
        <w:rPr>
          <w:rStyle w:val="32"/>
          <w:rFonts w:ascii="黑体" w:hAnsi="黑体" w:eastAsia="黑体"/>
          <w:b w:val="0"/>
        </w:rPr>
      </w:pPr>
      <w:bookmarkStart w:id="36" w:name="_Toc15377215"/>
      <w:bookmarkStart w:id="37" w:name="_Toc15396609"/>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23年“三公”经费财政拨款支出决算为0万元。其中：因公出国（境）费支出决算0万元；公务用车购置及运行维护费支出决算0万元；公务接待费支出决算0万元。</w:t>
      </w:r>
    </w:p>
    <w:p>
      <w:pPr>
        <w:spacing w:line="600" w:lineRule="exact"/>
        <w:ind w:firstLine="640"/>
        <w:rPr>
          <w:rFonts w:ascii="仿宋" w:hAnsi="仿宋" w:eastAsia="仿宋"/>
          <w:sz w:val="32"/>
          <w:szCs w:val="32"/>
        </w:rPr>
      </w:pP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公务用车购置及运行维护费支出0万元。</w:t>
      </w:r>
    </w:p>
    <w:p>
      <w:pPr>
        <w:snapToGrid w:val="0"/>
        <w:spacing w:line="576" w:lineRule="exact"/>
        <w:ind w:left="420" w:leftChars="200" w:firstLine="320" w:firstLineChars="100"/>
        <w:rPr>
          <w:rFonts w:ascii="仿宋" w:hAnsi="仿宋" w:eastAsia="仿宋" w:cs="仿宋"/>
          <w:sz w:val="32"/>
          <w:szCs w:val="32"/>
        </w:rPr>
      </w:pPr>
      <w:r>
        <w:rPr>
          <w:rFonts w:hint="eastAsia" w:ascii="仿宋_GB2312" w:eastAsia="仿宋_GB2312"/>
          <w:sz w:val="32"/>
          <w:szCs w:val="32"/>
        </w:rPr>
        <w:t>其中：</w:t>
      </w:r>
      <w:r>
        <w:rPr>
          <w:rFonts w:hint="eastAsia" w:ascii="仿宋" w:hAnsi="仿宋" w:eastAsia="仿宋" w:cs="仿宋"/>
          <w:sz w:val="32"/>
          <w:szCs w:val="32"/>
        </w:rPr>
        <w:t>公务用车购置支出0万元。</w:t>
      </w:r>
    </w:p>
    <w:p>
      <w:pPr>
        <w:snapToGrid w:val="0"/>
        <w:spacing w:line="576" w:lineRule="exact"/>
        <w:ind w:firstLine="1280" w:firstLineChars="400"/>
        <w:rPr>
          <w:rFonts w:ascii="仿宋" w:hAnsi="仿宋" w:eastAsia="仿宋" w:cs="仿宋"/>
          <w:sz w:val="32"/>
          <w:szCs w:val="32"/>
        </w:rPr>
      </w:pPr>
      <w:r>
        <w:rPr>
          <w:rFonts w:hint="eastAsia" w:ascii="仿宋_GB2312" w:eastAsia="仿宋_GB2312"/>
          <w:sz w:val="32"/>
          <w:szCs w:val="32"/>
        </w:rPr>
        <w:t>公务用车运行维护费支出0万元。</w:t>
      </w:r>
      <w:r>
        <w:rPr>
          <w:rFonts w:hint="eastAsia" w:ascii="仿宋" w:hAnsi="仿宋" w:eastAsia="仿宋" w:cs="仿宋"/>
          <w:sz w:val="32"/>
          <w:szCs w:val="32"/>
        </w:rPr>
        <w:t>截至2023年12月底，单位共有公务用车0辆。</w:t>
      </w:r>
    </w:p>
    <w:p>
      <w:pPr>
        <w:numPr>
          <w:ilvl w:val="0"/>
          <w:numId w:val="4"/>
        </w:numPr>
        <w:spacing w:line="600" w:lineRule="exact"/>
        <w:ind w:firstLine="640" w:firstLineChars="200"/>
        <w:rPr>
          <w:rFonts w:ascii="仿宋" w:hAnsi="仿宋" w:eastAsia="仿宋"/>
          <w:sz w:val="32"/>
          <w:szCs w:val="32"/>
        </w:rPr>
      </w:pPr>
      <w:r>
        <w:rPr>
          <w:rFonts w:hint="eastAsia" w:ascii="仿宋" w:hAnsi="仿宋" w:eastAsia="仿宋"/>
          <w:sz w:val="32"/>
          <w:szCs w:val="32"/>
        </w:rPr>
        <w:t>公务接待费支出0万元。其中：</w:t>
      </w:r>
    </w:p>
    <w:p>
      <w:pPr>
        <w:spacing w:line="600" w:lineRule="exact"/>
        <w:ind w:left="420" w:leftChars="200" w:firstLine="320" w:firstLineChars="100"/>
        <w:rPr>
          <w:rFonts w:ascii="仿宋" w:hAnsi="仿宋" w:eastAsia="仿宋"/>
          <w:sz w:val="32"/>
          <w:szCs w:val="32"/>
        </w:rPr>
      </w:pPr>
      <w:r>
        <w:rPr>
          <w:rFonts w:hint="eastAsia" w:ascii="仿宋" w:hAnsi="仿宋" w:eastAsia="仿宋"/>
          <w:sz w:val="32"/>
          <w:szCs w:val="32"/>
        </w:rPr>
        <w:t>国内公务接待支出0万元。</w:t>
      </w:r>
    </w:p>
    <w:p>
      <w:pPr>
        <w:spacing w:line="600" w:lineRule="exact"/>
        <w:ind w:firstLine="640" w:firstLineChars="200"/>
        <w:rPr>
          <w:rFonts w:ascii="黑体" w:eastAsia="黑体"/>
          <w:sz w:val="32"/>
          <w:szCs w:val="32"/>
        </w:rPr>
      </w:pPr>
      <w:r>
        <w:rPr>
          <w:rFonts w:hint="eastAsia" w:ascii="仿宋" w:hAnsi="仿宋" w:eastAsia="仿宋"/>
          <w:sz w:val="32"/>
          <w:szCs w:val="32"/>
        </w:rPr>
        <w:t>外事接待支出0万元。</w:t>
      </w:r>
      <w:bookmarkStart w:id="40" w:name="_Toc15396610"/>
      <w:bookmarkStart w:id="41" w:name="_Toc15377218"/>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pPr>
        <w:numPr>
          <w:ilvl w:val="0"/>
          <w:numId w:val="5"/>
        </w:numPr>
        <w:spacing w:line="600" w:lineRule="exact"/>
        <w:ind w:firstLine="640"/>
        <w:outlineLvl w:val="1"/>
        <w:rPr>
          <w:rStyle w:val="32"/>
          <w:rFonts w:ascii="黑体" w:hAnsi="黑体" w:eastAsia="黑体"/>
          <w:b w:val="0"/>
        </w:rPr>
      </w:pPr>
      <w:bookmarkStart w:id="42" w:name="_Toc15377219"/>
      <w:bookmarkStart w:id="43" w:name="_Toc15396611"/>
      <w:r>
        <w:rPr>
          <w:rStyle w:val="32"/>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pPr>
        <w:spacing w:line="600" w:lineRule="exact"/>
        <w:ind w:firstLine="640" w:firstLineChars="200"/>
        <w:outlineLvl w:val="1"/>
        <w:rPr>
          <w:rStyle w:val="32"/>
          <w:rFonts w:ascii="黑体" w:hAnsi="黑体" w:eastAsia="黑体"/>
          <w:b w:val="0"/>
        </w:rPr>
      </w:pPr>
      <w:bookmarkStart w:id="44" w:name="_Toc15396612"/>
      <w:bookmarkStart w:id="45" w:name="_Toc15377221"/>
      <w:r>
        <w:rPr>
          <w:rStyle w:val="32"/>
          <w:rFonts w:hint="eastAsia" w:ascii="黑体" w:hAnsi="黑体" w:eastAsia="黑体"/>
          <w:b w:val="0"/>
        </w:rPr>
        <w:t>十、其他重要事项的情况说明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23年，广元市利州区雪峰社区卫生服务中心机关运行经费支出0万元。</w:t>
      </w:r>
    </w:p>
    <w:p>
      <w:pPr>
        <w:spacing w:line="600" w:lineRule="exact"/>
        <w:ind w:firstLine="643" w:firstLineChars="200"/>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23年，广元市利州区雪峰社区卫生服务中心政府采购支出总额0万元，其中：政府采购货物支出0万元、政府采购工程支出0万元、政府采购服务支出0万元。</w:t>
      </w:r>
    </w:p>
    <w:p>
      <w:pPr>
        <w:spacing w:line="600" w:lineRule="exact"/>
        <w:ind w:firstLine="643" w:firstLineChars="200"/>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23年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日，广元市利州区雪峰社区卫生服务</w:t>
      </w:r>
      <w:r>
        <w:rPr>
          <w:rFonts w:hint="eastAsia" w:ascii="仿宋_GB2312" w:eastAsia="仿宋_GB2312"/>
          <w:sz w:val="32"/>
          <w:szCs w:val="32"/>
        </w:rPr>
        <w:t>中</w:t>
      </w:r>
      <w:r>
        <w:rPr>
          <w:rFonts w:hint="eastAsia" w:ascii="仿宋" w:hAnsi="仿宋" w:eastAsia="仿宋"/>
          <w:sz w:val="32"/>
          <w:szCs w:val="32"/>
        </w:rPr>
        <w:t>心共有车辆3辆，其中：特种专业技术用车3辆，单价</w:t>
      </w:r>
      <w:r>
        <w:rPr>
          <w:rFonts w:ascii="仿宋" w:hAnsi="仿宋" w:eastAsia="仿宋"/>
          <w:sz w:val="32"/>
          <w:szCs w:val="32"/>
        </w:rPr>
        <w:t>100</w:t>
      </w:r>
      <w:r>
        <w:rPr>
          <w:rFonts w:hint="eastAsia" w:ascii="仿宋" w:hAnsi="仿宋" w:eastAsia="仿宋"/>
          <w:sz w:val="32"/>
          <w:szCs w:val="32"/>
        </w:rPr>
        <w:t>万元以上专用设备1台（套）。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pStyle w:val="8"/>
        <w:numPr>
          <w:ilvl w:val="0"/>
          <w:numId w:val="6"/>
        </w:numPr>
        <w:spacing w:before="93"/>
        <w:rPr>
          <w:rFonts w:ascii="仿宋" w:hAnsi="仿宋" w:eastAsia="仿宋"/>
          <w:b/>
          <w:sz w:val="32"/>
          <w:szCs w:val="32"/>
        </w:rPr>
      </w:pPr>
      <w:r>
        <w:rPr>
          <w:rFonts w:hint="eastAsia" w:ascii="仿宋" w:hAnsi="仿宋" w:eastAsia="仿宋"/>
          <w:b/>
          <w:sz w:val="32"/>
          <w:szCs w:val="32"/>
        </w:rPr>
        <w:t>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bCs/>
          <w:sz w:val="32"/>
          <w:szCs w:val="32"/>
        </w:rPr>
        <w:t xml:space="preserve">    </w:t>
      </w:r>
      <w:r>
        <w:rPr>
          <w:rFonts w:hint="eastAsia" w:ascii="仿宋" w:hAnsi="仿宋" w:eastAsia="仿宋" w:cs="仿宋_GB2312"/>
          <w:sz w:val="32"/>
          <w:szCs w:val="32"/>
        </w:rPr>
        <w:t>根据预算绩效管理要求，本单位在2023年度预算编制阶段，组织对基本公共卫生服务等项目开展了预算事前绩效评估，对3个项目编制了绩效目标，预算执行过程中，选取3个项目开展绩效监控，年终执行完毕后，对3个项目开展了绩效自评。</w:t>
      </w:r>
    </w:p>
    <w:p>
      <w:pPr>
        <w:widowControl/>
        <w:jc w:val="center"/>
        <w:rPr>
          <w:rFonts w:hint="eastAsia" w:ascii="黑体" w:hAnsi="黑体" w:eastAsia="黑体"/>
          <w:sz w:val="44"/>
          <w:szCs w:val="44"/>
        </w:rPr>
      </w:pPr>
      <w:bookmarkStart w:id="49" w:name="_Toc15396613"/>
      <w:bookmarkStart w:id="50" w:name="_Toc15377225"/>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widowControl/>
        <w:jc w:val="center"/>
        <w:rPr>
          <w:rFonts w:ascii="黑体" w:hAnsi="黑体" w:eastAsia="黑体"/>
          <w:sz w:val="44"/>
          <w:szCs w:val="44"/>
        </w:rPr>
      </w:pPr>
    </w:p>
    <w:p>
      <w:pPr>
        <w:widowControl/>
        <w:jc w:val="center"/>
        <w:rPr>
          <w:rStyle w:val="31"/>
          <w:rFonts w:ascii="黑体" w:hAnsi="黑体" w:eastAsia="黑体"/>
          <w:b w:val="0"/>
        </w:rPr>
      </w:pPr>
      <w:r>
        <w:rPr>
          <w:rFonts w:hint="eastAsia" w:ascii="黑体" w:hAnsi="黑体" w:eastAsia="黑体"/>
          <w:sz w:val="44"/>
          <w:szCs w:val="44"/>
        </w:rPr>
        <w:t>第三部分 名</w:t>
      </w:r>
      <w:r>
        <w:rPr>
          <w:rStyle w:val="31"/>
          <w:rFonts w:hint="eastAsia" w:ascii="黑体" w:hAnsi="黑体" w:eastAsia="黑体"/>
          <w:b w:val="0"/>
        </w:rPr>
        <w:t>词解释</w:t>
      </w:r>
      <w:bookmarkEnd w:id="49"/>
      <w:bookmarkEnd w:id="50"/>
    </w:p>
    <w:p>
      <w:pPr>
        <w:spacing w:line="600" w:lineRule="exact"/>
        <w:jc w:val="left"/>
        <w:rPr>
          <w:rFonts w:ascii="宋体"/>
          <w:b/>
          <w:sz w:val="44"/>
          <w:szCs w:val="44"/>
        </w:rPr>
      </w:pPr>
    </w:p>
    <w:p>
      <w:pPr>
        <w:pStyle w:val="29"/>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9"/>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pPr>
        <w:pStyle w:val="29"/>
        <w:spacing w:line="560" w:lineRule="exact"/>
        <w:ind w:firstLine="640" w:firstLineChars="200"/>
        <w:rPr>
          <w:rFonts w:hAnsi="仿宋"/>
          <w:color w:val="auto"/>
          <w:sz w:val="32"/>
          <w:szCs w:val="32"/>
        </w:rPr>
      </w:pPr>
      <w:r>
        <w:rPr>
          <w:rFonts w:hint="eastAsia" w:hAnsi="仿宋"/>
          <w:color w:val="auto"/>
          <w:sz w:val="32"/>
          <w:szCs w:val="32"/>
        </w:rPr>
        <w:t>3</w:t>
      </w:r>
      <w:r>
        <w:rPr>
          <w:rFonts w:hAnsi="仿宋"/>
          <w:color w:val="auto"/>
          <w:sz w:val="32"/>
          <w:szCs w:val="32"/>
        </w:rPr>
        <w:t>.</w:t>
      </w:r>
      <w:r>
        <w:rPr>
          <w:rFonts w:hint="eastAsia" w:hAnsi="仿宋"/>
          <w:color w:val="auto"/>
          <w:sz w:val="32"/>
          <w:szCs w:val="32"/>
        </w:rPr>
        <w:t>其他收入：指单位取得的除上述收入以外的各项收入。</w:t>
      </w:r>
      <w:r>
        <w:rPr>
          <w:rFonts w:hAnsi="仿宋"/>
          <w:color w:val="auto"/>
          <w:sz w:val="32"/>
          <w:szCs w:val="32"/>
        </w:rPr>
        <w:t xml:space="preserve"> </w:t>
      </w:r>
    </w:p>
    <w:p>
      <w:pPr>
        <w:pStyle w:val="29"/>
        <w:spacing w:line="560" w:lineRule="exact"/>
        <w:ind w:firstLine="640" w:firstLineChars="200"/>
        <w:rPr>
          <w:rFonts w:ascii="仿宋_GB2312" w:eastAsia="仿宋_GB2312"/>
          <w:color w:val="auto"/>
          <w:sz w:val="32"/>
          <w:szCs w:val="32"/>
        </w:rPr>
      </w:pPr>
      <w:bookmarkStart w:id="51" w:name="_Toc15396614"/>
      <w:bookmarkStart w:id="52" w:name="_Toc15377226"/>
      <w:r>
        <w:rPr>
          <w:rFonts w:ascii="仿宋_GB2312" w:eastAsia="仿宋_GB2312"/>
          <w:color w:val="auto"/>
          <w:sz w:val="32"/>
          <w:szCs w:val="32"/>
        </w:rPr>
        <w:t>4.</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方正仿宋简体" w:eastAsia="方正仿宋简体"/>
          <w:sz w:val="32"/>
          <w:szCs w:val="32"/>
        </w:rPr>
      </w:pPr>
      <w:r>
        <w:rPr>
          <w:rFonts w:ascii="仿宋_GB2312" w:eastAsia="仿宋_GB2312"/>
          <w:sz w:val="32"/>
          <w:szCs w:val="32"/>
        </w:rPr>
        <w:t>8.</w:t>
      </w:r>
      <w:r>
        <w:rPr>
          <w:rFonts w:hint="eastAsia" w:ascii="仿宋_GB2312" w:eastAsia="仿宋_GB2312"/>
          <w:sz w:val="32"/>
          <w:szCs w:val="32"/>
        </w:rPr>
        <w:t>社会保障和就业（类）</w:t>
      </w:r>
      <w:r>
        <w:rPr>
          <w:rFonts w:hint="eastAsia" w:ascii="方正仿宋简体" w:eastAsia="方正仿宋简体"/>
          <w:sz w:val="32"/>
          <w:szCs w:val="32"/>
        </w:rPr>
        <w:t>行政事业单位养老支出</w:t>
      </w:r>
      <w:r>
        <w:rPr>
          <w:rFonts w:hint="eastAsia" w:ascii="仿宋_GB2312" w:eastAsia="仿宋_GB2312"/>
          <w:sz w:val="32"/>
          <w:szCs w:val="32"/>
        </w:rPr>
        <w:t>（款）</w:t>
      </w:r>
      <w:r>
        <w:rPr>
          <w:rFonts w:hint="eastAsia" w:ascii="方正仿宋简体" w:eastAsia="方正仿宋简体"/>
          <w:sz w:val="32"/>
          <w:szCs w:val="32"/>
        </w:rPr>
        <w:t>机关事业单位基本养老保险缴费支出</w:t>
      </w:r>
      <w:r>
        <w:rPr>
          <w:rFonts w:hint="eastAsia" w:ascii="仿宋_GB2312" w:eastAsia="仿宋_GB2312"/>
          <w:sz w:val="32"/>
          <w:szCs w:val="32"/>
        </w:rPr>
        <w:t>（项）：</w:t>
      </w:r>
      <w:r>
        <w:rPr>
          <w:rFonts w:hint="eastAsia" w:ascii="方正仿宋简体" w:eastAsia="方正仿宋简体"/>
          <w:sz w:val="32"/>
          <w:szCs w:val="32"/>
        </w:rPr>
        <w:t>指养老保险制度改革后由单位缴纳的基本养老保险费支出；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9.社会保障和就业（类）</w:t>
      </w:r>
      <w:r>
        <w:rPr>
          <w:rFonts w:hint="eastAsia" w:ascii="方正仿宋简体" w:eastAsia="方正仿宋简体"/>
          <w:sz w:val="32"/>
          <w:szCs w:val="32"/>
        </w:rPr>
        <w:t>其他社会保障和就业支出（款）其他社会保障和就业支出（项）：指由单位缴纳的工伤、生育、失业保险缴费支出。</w:t>
      </w:r>
    </w:p>
    <w:p>
      <w:pPr>
        <w:ind w:firstLine="640" w:firstLineChars="200"/>
        <w:rPr>
          <w:rFonts w:ascii="方正仿宋简体" w:eastAsia="方正仿宋简体"/>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卫生健康</w:t>
      </w:r>
      <w:r>
        <w:rPr>
          <w:rFonts w:ascii="仿宋_GB2312" w:eastAsia="仿宋_GB2312"/>
          <w:sz w:val="32"/>
          <w:szCs w:val="32"/>
        </w:rPr>
        <w:t>支出</w:t>
      </w:r>
      <w:r>
        <w:rPr>
          <w:rFonts w:hint="eastAsia" w:ascii="仿宋_GB2312" w:eastAsia="仿宋_GB2312"/>
          <w:sz w:val="32"/>
          <w:szCs w:val="32"/>
        </w:rPr>
        <w:t>（类）</w:t>
      </w:r>
      <w:r>
        <w:rPr>
          <w:rFonts w:hint="eastAsia" w:ascii="方正仿宋简体" w:eastAsia="方正仿宋简体"/>
          <w:sz w:val="32"/>
          <w:szCs w:val="32"/>
        </w:rPr>
        <w:t>基层医疗卫生机构（款）城市社区卫生机构（项）是指城市社区卫生机构的支出；</w:t>
      </w:r>
    </w:p>
    <w:p>
      <w:pPr>
        <w:ind w:firstLine="640" w:firstLineChars="200"/>
        <w:rPr>
          <w:rFonts w:ascii="方正仿宋简体" w:eastAsia="方正仿宋简体"/>
          <w:sz w:val="32"/>
          <w:szCs w:val="32"/>
        </w:rPr>
      </w:pPr>
      <w:r>
        <w:rPr>
          <w:rFonts w:hint="eastAsia" w:ascii="仿宋_GB2312" w:eastAsia="仿宋_GB2312"/>
          <w:sz w:val="32"/>
          <w:szCs w:val="32"/>
        </w:rPr>
        <w:t>11.卫生健康</w:t>
      </w:r>
      <w:r>
        <w:rPr>
          <w:rFonts w:ascii="仿宋_GB2312" w:eastAsia="仿宋_GB2312"/>
          <w:sz w:val="32"/>
          <w:szCs w:val="32"/>
        </w:rPr>
        <w:t>支出</w:t>
      </w:r>
      <w:r>
        <w:rPr>
          <w:rFonts w:hint="eastAsia" w:ascii="仿宋_GB2312" w:eastAsia="仿宋_GB2312"/>
          <w:sz w:val="32"/>
          <w:szCs w:val="32"/>
        </w:rPr>
        <w:t>（类）</w:t>
      </w:r>
      <w:r>
        <w:rPr>
          <w:rFonts w:hint="eastAsia" w:ascii="方正仿宋简体" w:eastAsia="方正仿宋简体"/>
          <w:sz w:val="32"/>
          <w:szCs w:val="32"/>
        </w:rPr>
        <w:t>基层医疗卫生机构（款）其他基层医疗卫生机构支出（项）是指其他用于基层医疗卫生机构的基本药物制度项目支出；</w:t>
      </w:r>
    </w:p>
    <w:p>
      <w:pPr>
        <w:ind w:firstLine="640" w:firstLineChars="200"/>
        <w:rPr>
          <w:rFonts w:ascii="方正仿宋简体" w:eastAsia="方正仿宋简体"/>
          <w:sz w:val="32"/>
          <w:szCs w:val="32"/>
        </w:rPr>
      </w:pPr>
      <w:r>
        <w:rPr>
          <w:rFonts w:hint="eastAsia" w:ascii="仿宋_GB2312" w:eastAsia="仿宋_GB2312"/>
          <w:sz w:val="32"/>
          <w:szCs w:val="32"/>
        </w:rPr>
        <w:t>12.卫生健康</w:t>
      </w:r>
      <w:r>
        <w:rPr>
          <w:rFonts w:ascii="仿宋_GB2312" w:eastAsia="仿宋_GB2312"/>
          <w:sz w:val="32"/>
          <w:szCs w:val="32"/>
        </w:rPr>
        <w:t>支出</w:t>
      </w:r>
      <w:r>
        <w:rPr>
          <w:rFonts w:hint="eastAsia" w:ascii="仿宋_GB2312" w:eastAsia="仿宋_GB2312"/>
          <w:sz w:val="32"/>
          <w:szCs w:val="32"/>
        </w:rPr>
        <w:t>（类）</w:t>
      </w:r>
      <w:r>
        <w:rPr>
          <w:rFonts w:hint="eastAsia" w:ascii="方正仿宋简体" w:eastAsia="方正仿宋简体"/>
          <w:sz w:val="32"/>
          <w:szCs w:val="32"/>
        </w:rPr>
        <w:t>公共卫生（款）基本公共卫生服务（项）指国家基本公共卫生服务项目的支出；</w:t>
      </w:r>
    </w:p>
    <w:p>
      <w:pPr>
        <w:ind w:firstLine="640" w:firstLineChars="200"/>
        <w:rPr>
          <w:rFonts w:ascii="方正仿宋简体" w:eastAsia="方正仿宋简体"/>
          <w:sz w:val="32"/>
          <w:szCs w:val="32"/>
        </w:rPr>
      </w:pPr>
      <w:r>
        <w:rPr>
          <w:rFonts w:hint="eastAsia" w:ascii="仿宋_GB2312" w:eastAsia="仿宋_GB2312"/>
          <w:sz w:val="32"/>
          <w:szCs w:val="32"/>
        </w:rPr>
        <w:t>13.卫生健康</w:t>
      </w:r>
      <w:r>
        <w:rPr>
          <w:rFonts w:ascii="仿宋_GB2312" w:eastAsia="仿宋_GB2312"/>
          <w:sz w:val="32"/>
          <w:szCs w:val="32"/>
        </w:rPr>
        <w:t>支出</w:t>
      </w:r>
      <w:r>
        <w:rPr>
          <w:rFonts w:hint="eastAsia" w:ascii="仿宋_GB2312" w:eastAsia="仿宋_GB2312"/>
          <w:sz w:val="32"/>
          <w:szCs w:val="32"/>
        </w:rPr>
        <w:t>（类）</w:t>
      </w:r>
      <w:r>
        <w:rPr>
          <w:rFonts w:hint="eastAsia" w:ascii="方正仿宋简体" w:eastAsia="方正仿宋简体"/>
          <w:sz w:val="32"/>
          <w:szCs w:val="32"/>
        </w:rPr>
        <w:t>公共卫生（款）突发公共卫生事件应急</w:t>
      </w:r>
      <w:r>
        <w:rPr>
          <w:rFonts w:ascii="方正仿宋简体" w:eastAsia="方正仿宋简体"/>
          <w:sz w:val="32"/>
          <w:szCs w:val="32"/>
        </w:rPr>
        <w:t>处理</w:t>
      </w:r>
      <w:r>
        <w:rPr>
          <w:rFonts w:hint="eastAsia" w:ascii="方正仿宋简体" w:eastAsia="方正仿宋简体"/>
          <w:sz w:val="32"/>
          <w:szCs w:val="32"/>
        </w:rPr>
        <w:t>（项）指应对突发公共卫生事件有效保障疫情</w:t>
      </w:r>
      <w:r>
        <w:rPr>
          <w:rFonts w:ascii="方正仿宋简体" w:eastAsia="方正仿宋简体"/>
          <w:sz w:val="32"/>
          <w:szCs w:val="32"/>
        </w:rPr>
        <w:t>防控</w:t>
      </w:r>
      <w:r>
        <w:rPr>
          <w:rFonts w:hint="eastAsia" w:ascii="方正仿宋简体" w:eastAsia="方正仿宋简体"/>
          <w:sz w:val="32"/>
          <w:szCs w:val="32"/>
        </w:rPr>
        <w:t>的项目支出；</w:t>
      </w:r>
    </w:p>
    <w:p>
      <w:pPr>
        <w:ind w:firstLine="640" w:firstLineChars="200"/>
        <w:rPr>
          <w:rFonts w:ascii="方正仿宋简体" w:eastAsia="方正仿宋简体"/>
          <w:sz w:val="32"/>
          <w:szCs w:val="32"/>
        </w:rPr>
      </w:pPr>
      <w:r>
        <w:rPr>
          <w:rFonts w:hint="eastAsia" w:ascii="仿宋_GB2312" w:eastAsia="仿宋_GB2312"/>
          <w:sz w:val="32"/>
          <w:szCs w:val="32"/>
        </w:rPr>
        <w:t>14.卫生健康</w:t>
      </w:r>
      <w:r>
        <w:rPr>
          <w:rFonts w:ascii="仿宋_GB2312" w:eastAsia="仿宋_GB2312"/>
          <w:sz w:val="32"/>
          <w:szCs w:val="32"/>
        </w:rPr>
        <w:t>支出</w:t>
      </w:r>
      <w:r>
        <w:rPr>
          <w:rFonts w:hint="eastAsia" w:ascii="仿宋_GB2312" w:eastAsia="仿宋_GB2312"/>
          <w:sz w:val="32"/>
          <w:szCs w:val="32"/>
        </w:rPr>
        <w:t>（类）</w:t>
      </w:r>
      <w:r>
        <w:rPr>
          <w:rFonts w:hint="eastAsia" w:ascii="方正仿宋简体" w:eastAsia="方正仿宋简体"/>
          <w:sz w:val="32"/>
          <w:szCs w:val="32"/>
        </w:rPr>
        <w:t>行政</w:t>
      </w:r>
      <w:r>
        <w:rPr>
          <w:rFonts w:ascii="方正仿宋简体" w:eastAsia="方正仿宋简体"/>
          <w:sz w:val="32"/>
          <w:szCs w:val="32"/>
        </w:rPr>
        <w:t>事业单位医疗</w:t>
      </w:r>
      <w:r>
        <w:rPr>
          <w:rFonts w:hint="eastAsia" w:ascii="方正仿宋简体" w:eastAsia="方正仿宋简体"/>
          <w:sz w:val="32"/>
          <w:szCs w:val="32"/>
        </w:rPr>
        <w:t>（款）事业单位医疗（项）：是指按规定比例单位缴纳的医疗保险</w:t>
      </w:r>
      <w:r>
        <w:rPr>
          <w:rFonts w:ascii="方正仿宋简体" w:eastAsia="方正仿宋简体"/>
          <w:sz w:val="32"/>
          <w:szCs w:val="32"/>
        </w:rPr>
        <w:t>缴费</w:t>
      </w:r>
      <w:r>
        <w:rPr>
          <w:rFonts w:hint="eastAsia" w:ascii="方正仿宋简体" w:eastAsia="方正仿宋简体"/>
          <w:sz w:val="32"/>
          <w:szCs w:val="32"/>
        </w:rPr>
        <w:t>；</w:t>
      </w:r>
    </w:p>
    <w:p>
      <w:pPr>
        <w:ind w:firstLine="640" w:firstLineChars="200"/>
        <w:rPr>
          <w:rFonts w:ascii="仿宋" w:hAnsi="仿宋" w:eastAsia="仿宋"/>
          <w:b/>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住房保障（类）</w:t>
      </w:r>
      <w:r>
        <w:rPr>
          <w:rStyle w:val="19"/>
          <w:rFonts w:hint="eastAsia" w:ascii="仿宋" w:hAnsi="仿宋" w:eastAsia="仿宋"/>
          <w:bCs/>
          <w:color w:val="000000"/>
          <w:sz w:val="32"/>
          <w:szCs w:val="32"/>
        </w:rPr>
        <w:t>住房改革支出</w:t>
      </w:r>
      <w:r>
        <w:rPr>
          <w:rFonts w:hint="eastAsia" w:ascii="仿宋_GB2312" w:eastAsia="仿宋_GB2312"/>
          <w:sz w:val="32"/>
          <w:szCs w:val="32"/>
        </w:rPr>
        <w:t>（款）</w:t>
      </w:r>
      <w:r>
        <w:rPr>
          <w:rFonts w:hint="eastAsia" w:ascii="方正仿宋简体" w:eastAsia="方正仿宋简体"/>
          <w:sz w:val="32"/>
          <w:szCs w:val="32"/>
        </w:rPr>
        <w:t>住房</w:t>
      </w:r>
      <w:r>
        <w:rPr>
          <w:rFonts w:hint="eastAsia" w:ascii="仿宋_GB2312" w:eastAsia="仿宋_GB2312"/>
          <w:sz w:val="32"/>
          <w:szCs w:val="32"/>
        </w:rPr>
        <w:t>公积</w:t>
      </w:r>
      <w:r>
        <w:rPr>
          <w:rFonts w:ascii="仿宋_GB2312" w:eastAsia="仿宋_GB2312"/>
          <w:sz w:val="32"/>
          <w:szCs w:val="32"/>
        </w:rPr>
        <w:t>金</w:t>
      </w:r>
      <w:r>
        <w:rPr>
          <w:rFonts w:hint="eastAsia" w:ascii="仿宋_GB2312" w:eastAsia="仿宋_GB2312"/>
          <w:sz w:val="32"/>
          <w:szCs w:val="32"/>
        </w:rPr>
        <w:t>（项）：指事业</w:t>
      </w:r>
      <w:r>
        <w:rPr>
          <w:rFonts w:ascii="仿宋_GB2312" w:eastAsia="仿宋_GB2312"/>
          <w:sz w:val="32"/>
          <w:szCs w:val="32"/>
        </w:rPr>
        <w:t>单位为职工</w:t>
      </w:r>
      <w:r>
        <w:rPr>
          <w:rFonts w:hint="eastAsia" w:ascii="仿宋_GB2312" w:eastAsia="仿宋_GB2312"/>
          <w:sz w:val="32"/>
          <w:szCs w:val="32"/>
        </w:rPr>
        <w:t>缴纳的</w:t>
      </w:r>
      <w:r>
        <w:rPr>
          <w:rFonts w:ascii="仿宋_GB2312" w:eastAsia="仿宋_GB2312"/>
          <w:sz w:val="32"/>
          <w:szCs w:val="32"/>
        </w:rPr>
        <w:t>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rPr>
      </w:pPr>
    </w:p>
    <w:p>
      <w:pPr>
        <w:rPr>
          <w:rFonts w:hint="eastAsia"/>
        </w:rPr>
      </w:pPr>
    </w:p>
    <w:p>
      <w:pPr>
        <w:pStyle w:val="2"/>
        <w:rPr>
          <w:rFonts w:hint="eastAsia"/>
        </w:rPr>
      </w:pPr>
    </w:p>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numPr>
          <w:ilvl w:val="0"/>
          <w:numId w:val="7"/>
        </w:numPr>
        <w:spacing w:line="600" w:lineRule="exact"/>
        <w:jc w:val="center"/>
        <w:outlineLvl w:val="0"/>
        <w:rPr>
          <w:rStyle w:val="31"/>
          <w:rFonts w:hint="eastAsia" w:ascii="黑体" w:hAnsi="黑体" w:eastAsia="黑体"/>
          <w:b w:val="0"/>
        </w:rPr>
      </w:pPr>
      <w:r>
        <w:rPr>
          <w:rStyle w:val="31"/>
          <w:rFonts w:hint="eastAsia" w:ascii="黑体" w:hAnsi="黑体" w:eastAsia="黑体"/>
          <w:b w:val="0"/>
        </w:rPr>
        <w:t>附件</w:t>
      </w:r>
      <w:bookmarkEnd w:id="51"/>
    </w:p>
    <w:p>
      <w:pPr>
        <w:pStyle w:val="2"/>
      </w:pPr>
    </w:p>
    <w:tbl>
      <w:tblPr>
        <w:tblStyle w:val="17"/>
        <w:tblW w:w="5333"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805"/>
        <w:gridCol w:w="1037"/>
        <w:gridCol w:w="1421"/>
        <w:gridCol w:w="395"/>
        <w:gridCol w:w="858"/>
        <w:gridCol w:w="508"/>
        <w:gridCol w:w="662"/>
        <w:gridCol w:w="420"/>
        <w:gridCol w:w="7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092" w:type="dxa"/>
            <w:gridSpan w:val="11"/>
            <w:shd w:val="clear" w:color="auto" w:fill="auto"/>
            <w:tcMar>
              <w:top w:w="10" w:type="dxa"/>
              <w:left w:w="10" w:type="dxa"/>
              <w:right w:w="10" w:type="dxa"/>
            </w:tcMar>
            <w:vAlign w:val="center"/>
          </w:tcPr>
          <w:p>
            <w:pPr>
              <w:spacing w:line="600" w:lineRule="exact"/>
              <w:jc w:val="center"/>
              <w:outlineLvl w:val="0"/>
              <w:rPr>
                <w:rFonts w:cs="仿宋" w:asciiTheme="majorEastAsia" w:hAnsiTheme="majorEastAsia" w:eastAsiaTheme="majorEastAsia"/>
                <w:color w:val="000000"/>
                <w:sz w:val="18"/>
                <w:szCs w:val="18"/>
              </w:rPr>
            </w:pPr>
            <w:bookmarkStart w:id="53" w:name="_Toc28871"/>
            <w:bookmarkStart w:id="54" w:name="_Toc5018"/>
            <w:bookmarkStart w:id="55" w:name="_Toc10720"/>
            <w:bookmarkStart w:id="56" w:name="_Toc15396618"/>
            <w:r>
              <w:rPr>
                <w:rFonts w:hint="eastAsia"/>
                <w:b/>
                <w:sz w:val="32"/>
                <w:szCs w:val="32"/>
              </w:rPr>
              <w:t>部门预算项目支出绩效自评表（2023年度）</w:t>
            </w:r>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4" w:type="dxa"/>
            <w:gridSpan w:val="2"/>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项目名称</w:t>
            </w:r>
          </w:p>
        </w:tc>
        <w:tc>
          <w:tcPr>
            <w:tcW w:w="7818" w:type="dxa"/>
            <w:gridSpan w:val="9"/>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2023年利州区雪峰街道社区卫生服务中心国家基本公共卫生服务项目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274" w:type="dxa"/>
            <w:gridSpan w:val="2"/>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主管部门</w:t>
            </w:r>
          </w:p>
        </w:tc>
        <w:tc>
          <w:tcPr>
            <w:tcW w:w="4219" w:type="dxa"/>
            <w:gridSpan w:val="5"/>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广元市利州区卫生健康局部门</w:t>
            </w:r>
          </w:p>
        </w:tc>
        <w:tc>
          <w:tcPr>
            <w:tcW w:w="662"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实施单位 （盖章）</w:t>
            </w:r>
          </w:p>
        </w:tc>
        <w:tc>
          <w:tcPr>
            <w:tcW w:w="2937"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广元市利州区雪峰街道社区卫生服务中心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9" w:type="dxa"/>
            <w:vMerge w:val="restart"/>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项目基本情况</w:t>
            </w:r>
          </w:p>
        </w:tc>
        <w:tc>
          <w:tcPr>
            <w:tcW w:w="805" w:type="dxa"/>
            <w:vMerge w:val="restart"/>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1.项目年度目标完成情况</w:t>
            </w:r>
          </w:p>
        </w:tc>
        <w:tc>
          <w:tcPr>
            <w:tcW w:w="4219" w:type="dxa"/>
            <w:gridSpan w:val="5"/>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项目年度目标</w:t>
            </w:r>
          </w:p>
        </w:tc>
        <w:tc>
          <w:tcPr>
            <w:tcW w:w="3599" w:type="dxa"/>
            <w:gridSpan w:val="4"/>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年度目标完成情况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trPr>
        <w:tc>
          <w:tcPr>
            <w:tcW w:w="469" w:type="dxa"/>
            <w:vMerge w:val="continue"/>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c>
          <w:tcPr>
            <w:tcW w:w="805" w:type="dxa"/>
            <w:vMerge w:val="continue"/>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c>
          <w:tcPr>
            <w:tcW w:w="4219" w:type="dxa"/>
            <w:gridSpan w:val="5"/>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sz w:val="18"/>
                <w:szCs w:val="18"/>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r>
              <w:rPr>
                <w:rFonts w:hint="eastAsia" w:cs="仿宋" w:asciiTheme="majorEastAsia" w:hAnsiTheme="majorEastAsia" w:eastAsiaTheme="majorEastAsia"/>
                <w:sz w:val="18"/>
                <w:szCs w:val="18"/>
              </w:rPr>
              <w:tab/>
            </w:r>
            <w:r>
              <w:rPr>
                <w:rFonts w:hint="eastAsia" w:cs="仿宋" w:asciiTheme="majorEastAsia" w:hAnsiTheme="majorEastAsia" w:eastAsiaTheme="majorEastAsia"/>
                <w:sz w:val="18"/>
                <w:szCs w:val="18"/>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3599" w:type="dxa"/>
            <w:gridSpan w:val="4"/>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sz w:val="18"/>
                <w:szCs w:val="18"/>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r>
              <w:rPr>
                <w:rFonts w:hint="eastAsia" w:cs="仿宋" w:asciiTheme="majorEastAsia" w:hAnsiTheme="majorEastAsia" w:eastAsiaTheme="majorEastAsia"/>
                <w:sz w:val="18"/>
                <w:szCs w:val="18"/>
              </w:rPr>
              <w:tab/>
            </w:r>
            <w:r>
              <w:rPr>
                <w:rFonts w:hint="eastAsia" w:cs="仿宋" w:asciiTheme="majorEastAsia" w:hAnsiTheme="majorEastAsia" w:eastAsiaTheme="majorEastAsia"/>
                <w:sz w:val="18"/>
                <w:szCs w:val="18"/>
              </w:rPr>
              <w:t>提高基本公共卫生服务项目均等化水平，规范公共卫生服务行为，推进基本公共卫生服务项目开展，加强孕产妇健康管理和儿童健康管理，把孕产妇和婴儿死亡率控制在指标范围内，全面完成2022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469" w:type="dxa"/>
            <w:vMerge w:val="continue"/>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2.项目实施内容及过程概述</w:t>
            </w:r>
          </w:p>
        </w:tc>
        <w:tc>
          <w:tcPr>
            <w:tcW w:w="7818" w:type="dxa"/>
            <w:gridSpan w:val="9"/>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2023年我中心基本公共卫生服务项目工作按照利州区卫健局工作要求，为辖区居民提供国家基本公共卫生服务，开展职业病防治、法律法规、防治知识和职业人群健康管理宣传教育及健康促进工作。全面完成辖区内老龄健康服务各项工作任务；积极开展老年人健康宣传工作；积极开展医养结合工作。大力推进项目建设工作相关目标任务（中医康复理疗服务能力提升，社区医养结合服务能力提升，尘肺康复站建设达标）。深化医药卫生体制改革，实现基本公共卫生服务均等化，保障居民健康素养得到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469" w:type="dxa"/>
            <w:vMerge w:val="restart"/>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预算执行情况（10分）</w:t>
            </w: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年度预算数（万元）</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年初预算</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调整后预算数</w:t>
            </w:r>
          </w:p>
        </w:tc>
        <w:tc>
          <w:tcPr>
            <w:tcW w:w="1761"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预算执行数</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预算执行率</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权重</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自评</w:t>
            </w:r>
          </w:p>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得分</w:t>
            </w:r>
          </w:p>
        </w:tc>
        <w:tc>
          <w:tcPr>
            <w:tcW w:w="1809"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总额</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411.485</w:t>
            </w:r>
          </w:p>
        </w:tc>
        <w:tc>
          <w:tcPr>
            <w:tcW w:w="1761"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w:t>
            </w:r>
          </w:p>
        </w:tc>
        <w:tc>
          <w:tcPr>
            <w:tcW w:w="1809" w:type="dxa"/>
            <w:vMerge w:val="restart"/>
            <w:shd w:val="clear" w:color="auto" w:fill="auto"/>
            <w:tcMar>
              <w:top w:w="10" w:type="dxa"/>
              <w:left w:w="10" w:type="dxa"/>
              <w:right w:w="10" w:type="dxa"/>
            </w:tcMar>
            <w:vAlign w:val="center"/>
          </w:tcPr>
          <w:p>
            <w:pPr>
              <w:rPr>
                <w:rFonts w:cs="仿宋" w:asciiTheme="majorEastAsia" w:hAnsiTheme="majorEastAsia" w:eastAsiaTheme="majorEastAsia"/>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其中：财政资金</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w:t>
            </w:r>
          </w:p>
        </w:tc>
        <w:tc>
          <w:tcPr>
            <w:tcW w:w="1761"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411.48</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cs="仿宋" w:asciiTheme="majorEastAsia" w:hAnsiTheme="majorEastAsia" w:eastAsiaTheme="majorEastAsia"/>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财政专户管理资金</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1761"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cs="仿宋" w:asciiTheme="majorEastAsia" w:hAnsiTheme="majorEastAsia" w:eastAsiaTheme="majorEastAsia"/>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单位资金</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1761" w:type="dxa"/>
            <w:gridSpan w:val="3"/>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0.00%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cs="仿宋" w:asciiTheme="majorEastAsia" w:hAnsiTheme="majorEastAsia" w:eastAsiaTheme="majorEastAsia"/>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其他资金</w:t>
            </w:r>
          </w:p>
        </w:tc>
        <w:tc>
          <w:tcPr>
            <w:tcW w:w="1037" w:type="dxa"/>
            <w:shd w:val="clear" w:color="auto" w:fill="auto"/>
            <w:tcMar>
              <w:top w:w="10" w:type="dxa"/>
              <w:left w:w="10" w:type="dxa"/>
              <w:right w:w="10" w:type="dxa"/>
            </w:tcMar>
            <w:vAlign w:val="center"/>
          </w:tcPr>
          <w:p>
            <w:pPr>
              <w:jc w:val="center"/>
              <w:rPr>
                <w:rFonts w:cs="仿宋" w:asciiTheme="majorEastAsia" w:hAnsiTheme="majorEastAsia" w:eastAsiaTheme="majorEastAsia"/>
                <w:i/>
                <w:color w:val="000000"/>
                <w:sz w:val="18"/>
                <w:szCs w:val="18"/>
              </w:rPr>
            </w:pPr>
          </w:p>
        </w:tc>
        <w:tc>
          <w:tcPr>
            <w:tcW w:w="1421" w:type="dxa"/>
            <w:shd w:val="clear" w:color="auto" w:fill="auto"/>
            <w:tcMar>
              <w:top w:w="10" w:type="dxa"/>
              <w:left w:w="10" w:type="dxa"/>
              <w:right w:w="10" w:type="dxa"/>
            </w:tcMar>
            <w:vAlign w:val="center"/>
          </w:tcPr>
          <w:p>
            <w:pPr>
              <w:jc w:val="center"/>
              <w:rPr>
                <w:rFonts w:cs="仿宋" w:asciiTheme="majorEastAsia" w:hAnsiTheme="majorEastAsia" w:eastAsiaTheme="majorEastAsia"/>
                <w:i/>
                <w:color w:val="000000"/>
                <w:sz w:val="18"/>
                <w:szCs w:val="18"/>
              </w:rPr>
            </w:pPr>
          </w:p>
        </w:tc>
        <w:tc>
          <w:tcPr>
            <w:tcW w:w="1761" w:type="dxa"/>
            <w:gridSpan w:val="3"/>
            <w:shd w:val="clear" w:color="auto" w:fill="auto"/>
            <w:tcMar>
              <w:top w:w="10" w:type="dxa"/>
              <w:left w:w="10" w:type="dxa"/>
              <w:right w:w="10" w:type="dxa"/>
            </w:tcMar>
            <w:vAlign w:val="center"/>
          </w:tcPr>
          <w:p>
            <w:pPr>
              <w:jc w:val="center"/>
              <w:rPr>
                <w:rFonts w:cs="仿宋" w:asciiTheme="majorEastAsia" w:hAnsiTheme="majorEastAsia" w:eastAsiaTheme="majorEastAsia"/>
                <w:i/>
                <w:color w:val="000000"/>
                <w:sz w:val="18"/>
                <w:szCs w:val="18"/>
              </w:rPr>
            </w:pPr>
          </w:p>
        </w:tc>
        <w:tc>
          <w:tcPr>
            <w:tcW w:w="662" w:type="dxa"/>
            <w:shd w:val="clear" w:color="auto" w:fill="auto"/>
            <w:tcMar>
              <w:top w:w="10" w:type="dxa"/>
              <w:left w:w="10" w:type="dxa"/>
              <w:right w:w="10" w:type="dxa"/>
            </w:tcMar>
            <w:vAlign w:val="center"/>
          </w:tcPr>
          <w:p>
            <w:pPr>
              <w:jc w:val="center"/>
              <w:rPr>
                <w:rFonts w:cs="仿宋" w:asciiTheme="majorEastAsia" w:hAnsiTheme="majorEastAsia" w:eastAsiaTheme="majorEastAsia"/>
                <w:i/>
                <w:color w:val="000000"/>
                <w:sz w:val="18"/>
                <w:szCs w:val="18"/>
              </w:rPr>
            </w:pP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cs="仿宋" w:asciiTheme="majorEastAsia" w:hAnsiTheme="majorEastAsia" w:eastAsiaTheme="majorEastAsia"/>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9" w:type="dxa"/>
            <w:vMerge w:val="restart"/>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绩效指标（90分）</w:t>
            </w: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一级指标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二级指标</w:t>
            </w:r>
          </w:p>
        </w:tc>
        <w:tc>
          <w:tcPr>
            <w:tcW w:w="1421"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三级指标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指标性质</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指标值</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度量单位</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完成值</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权重</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kern w:val="0"/>
                <w:sz w:val="18"/>
                <w:szCs w:val="18"/>
              </w:rPr>
            </w:pPr>
            <w:r>
              <w:rPr>
                <w:rFonts w:hint="eastAsia" w:cs="仿宋" w:asciiTheme="majorEastAsia" w:hAnsiTheme="majorEastAsia" w:eastAsiaTheme="majorEastAsia"/>
                <w:color w:val="000000"/>
                <w:kern w:val="0"/>
                <w:sz w:val="18"/>
                <w:szCs w:val="18"/>
              </w:rPr>
              <w:t>自评</w:t>
            </w:r>
          </w:p>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得分</w:t>
            </w:r>
          </w:p>
        </w:tc>
        <w:tc>
          <w:tcPr>
            <w:tcW w:w="1809"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电子建档率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93</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99</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老年人健康管理率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70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72</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高血压患者健康管理率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70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89</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糖尿病患者健康管理率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 xml:space="preserve">      60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69</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left"/>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严重精神障碍患者管理率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95</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99.6</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left"/>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肺结核患者管理率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儿童中医药健康管理率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96</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预防接种管理率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95</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95.1</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卫生监督协管信息报告率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质量指标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孕产妇健康管理率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质量指标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传染病和突发公共卫生事件报告率、及时率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质量指标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65岁及以上失能老年人健康管理服务率</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80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3</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3</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时效指标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项目完成时间</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12</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月</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12</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4</w:t>
            </w:r>
          </w:p>
        </w:tc>
        <w:tc>
          <w:tcPr>
            <w:tcW w:w="1809"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成本指标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成本指标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资金管理</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390.495</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万元</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390.495</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3</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3</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效益指标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社会效益指标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城乡居民公共卫生服务差距</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定性</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优良中低差</w:t>
            </w:r>
          </w:p>
        </w:tc>
        <w:tc>
          <w:tcPr>
            <w:tcW w:w="508" w:type="dxa"/>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优</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效益指标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可持续影响指标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基本公共卫生服务水平</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定性</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不断提高</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效益指标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可持续发展指标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居民健康素养水平</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定性</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不断提高</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持续提升</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5</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69" w:type="dxa"/>
            <w:vMerge w:val="continue"/>
            <w:shd w:val="clear" w:color="auto" w:fill="auto"/>
            <w:tcMar>
              <w:top w:w="10" w:type="dxa"/>
              <w:left w:w="10" w:type="dxa"/>
              <w:right w:w="10" w:type="dxa"/>
            </w:tcMar>
            <w:vAlign w:val="center"/>
          </w:tcPr>
          <w:p>
            <w:pPr>
              <w:jc w:val="center"/>
              <w:rPr>
                <w:rFonts w:cs="仿宋" w:asciiTheme="majorEastAsia" w:hAnsiTheme="majorEastAsia" w:eastAsiaTheme="majorEastAsia"/>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满意度指标</w:t>
            </w:r>
          </w:p>
        </w:tc>
        <w:tc>
          <w:tcPr>
            <w:tcW w:w="1037"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服务满意度指标</w:t>
            </w:r>
          </w:p>
        </w:tc>
        <w:tc>
          <w:tcPr>
            <w:tcW w:w="1421" w:type="dxa"/>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服务对象满意度</w:t>
            </w:r>
          </w:p>
        </w:tc>
        <w:tc>
          <w:tcPr>
            <w:tcW w:w="395"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5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90</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155" w:type="dxa"/>
            <w:gridSpan w:val="8"/>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合计</w:t>
            </w:r>
          </w:p>
        </w:tc>
        <w:tc>
          <w:tcPr>
            <w:tcW w:w="420"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100</w:t>
            </w:r>
          </w:p>
        </w:tc>
        <w:tc>
          <w:tcPr>
            <w:tcW w:w="708"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97</w:t>
            </w:r>
          </w:p>
        </w:tc>
        <w:tc>
          <w:tcPr>
            <w:tcW w:w="1809" w:type="dxa"/>
            <w:shd w:val="clear" w:color="auto" w:fill="auto"/>
            <w:tcMar>
              <w:top w:w="10" w:type="dxa"/>
              <w:left w:w="10" w:type="dxa"/>
              <w:right w:w="10" w:type="dxa"/>
            </w:tcMar>
            <w:vAlign w:val="center"/>
          </w:tcPr>
          <w:p>
            <w:pPr>
              <w:rPr>
                <w:rFonts w:cs="仿宋"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469"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评价结论</w:t>
            </w:r>
          </w:p>
        </w:tc>
        <w:tc>
          <w:tcPr>
            <w:tcW w:w="8623" w:type="dxa"/>
            <w:gridSpan w:val="10"/>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通过健康教育宣传栏、音频播放、健康知识讲座及健康咨询活动等方式开展全民健康宣教，开展下乡居民健康体检，落实慢性病患者面对面随访及个体化健康指导等服务方式，使广大群众对基本公共卫生服务的认可有了很大的提升，居民知晓率、满意度、获得感达到90％以上。经对项目决策、项目管理、资金管理、任务完成情况、综合效益情况进行绩效评价，综合自评得分97分，评价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469"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存在问题</w:t>
            </w:r>
          </w:p>
        </w:tc>
        <w:tc>
          <w:tcPr>
            <w:tcW w:w="8623" w:type="dxa"/>
            <w:gridSpan w:val="10"/>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严重精神障碍患者管理难度大。主要是家属不够配合，基层单位没有专业精防人员。2．基层公共卫生整体服务能力较薄弱。公共卫生专业人员缺乏，各项目实施人员少，特别是村卫生室工作人员年龄普遍偏大、使用电子化信息技术办公能力严重不足，且集预防、医疗等多项职能于一身，工作质量不高。基础设施设备差，对公共卫生服务、突发公共卫生事件预防控制等方面的工作处置力量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trPr>
        <w:tc>
          <w:tcPr>
            <w:tcW w:w="469" w:type="dxa"/>
            <w:shd w:val="clear" w:color="auto" w:fill="auto"/>
            <w:tcMar>
              <w:top w:w="10" w:type="dxa"/>
              <w:left w:w="10" w:type="dxa"/>
              <w:right w:w="10" w:type="dxa"/>
            </w:tcMar>
            <w:vAlign w:val="center"/>
          </w:tcPr>
          <w:p>
            <w:pPr>
              <w:widowControl/>
              <w:jc w:val="center"/>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改进措施</w:t>
            </w:r>
          </w:p>
        </w:tc>
        <w:tc>
          <w:tcPr>
            <w:tcW w:w="8623" w:type="dxa"/>
            <w:gridSpan w:val="10"/>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1．积极参加上级组织的基本公共卫生服务能力提升培训，增加业务知识，提升服务能力。进一步加强村卫生室人员的业务培训，增强其责任心，调动其工作积极性，并严格加强督导考核。2．充实公共卫生人员队伍，配置必要的办公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4127" w:type="dxa"/>
            <w:gridSpan w:val="5"/>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项目负责人：田晔萍</w:t>
            </w:r>
          </w:p>
        </w:tc>
        <w:tc>
          <w:tcPr>
            <w:tcW w:w="4965" w:type="dxa"/>
            <w:gridSpan w:val="6"/>
            <w:shd w:val="clear" w:color="auto" w:fill="auto"/>
            <w:tcMar>
              <w:top w:w="10" w:type="dxa"/>
              <w:left w:w="10" w:type="dxa"/>
              <w:right w:w="10" w:type="dxa"/>
            </w:tcMar>
            <w:vAlign w:val="center"/>
          </w:tcPr>
          <w:p>
            <w:pPr>
              <w:widowControl/>
              <w:jc w:val="left"/>
              <w:textAlignment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kern w:val="0"/>
                <w:sz w:val="18"/>
                <w:szCs w:val="18"/>
              </w:rPr>
              <w:t>财务负责人：李文姗</w:t>
            </w:r>
          </w:p>
        </w:tc>
      </w:tr>
    </w:tbl>
    <w:p>
      <w:pPr>
        <w:spacing w:line="600" w:lineRule="exact"/>
        <w:jc w:val="left"/>
        <w:outlineLvl w:val="0"/>
        <w:rPr>
          <w:rFonts w:ascii="仿宋_GB2312" w:hAnsi="Calibri" w:eastAsia="仿宋_GB2312" w:cs="仿宋"/>
          <w:kern w:val="0"/>
          <w:sz w:val="24"/>
        </w:rPr>
      </w:pPr>
    </w:p>
    <w:tbl>
      <w:tblPr>
        <w:tblStyle w:val="17"/>
        <w:tblW w:w="5246"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805"/>
        <w:gridCol w:w="1036"/>
        <w:gridCol w:w="1418"/>
        <w:gridCol w:w="396"/>
        <w:gridCol w:w="858"/>
        <w:gridCol w:w="509"/>
        <w:gridCol w:w="662"/>
        <w:gridCol w:w="421"/>
        <w:gridCol w:w="56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944" w:type="dxa"/>
            <w:gridSpan w:val="11"/>
            <w:shd w:val="clear" w:color="auto" w:fill="auto"/>
            <w:tcMar>
              <w:top w:w="10" w:type="dxa"/>
              <w:left w:w="10" w:type="dxa"/>
              <w:right w:w="10" w:type="dxa"/>
            </w:tcMar>
            <w:vAlign w:val="center"/>
          </w:tcPr>
          <w:p>
            <w:pPr>
              <w:ind w:firstLine="2108" w:firstLineChars="700"/>
              <w:rPr>
                <w:rFonts w:ascii="宋体" w:hAnsi="宋体" w:cs="宋体"/>
                <w:b/>
                <w:color w:val="000000"/>
                <w:sz w:val="18"/>
                <w:szCs w:val="18"/>
              </w:rPr>
            </w:pPr>
            <w:r>
              <w:rPr>
                <w:rFonts w:hint="eastAsia" w:ascii="黑体" w:hAnsi="宋体" w:eastAsia="黑体" w:cs="黑体"/>
                <w:b/>
                <w:color w:val="000000"/>
                <w:kern w:val="0"/>
                <w:sz w:val="30"/>
                <w:szCs w:val="30"/>
              </w:rPr>
              <w:t>部门预算项目支出绩效自评表（2023年度）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6" w:type="dxa"/>
            <w:gridSpan w:val="2"/>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7668" w:type="dxa"/>
            <w:gridSpan w:val="9"/>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2023年利州区雪峰街道社区卫生服务中心国家基本药物制度补助项目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276" w:type="dxa"/>
            <w:gridSpan w:val="2"/>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4217" w:type="dxa"/>
            <w:gridSpan w:val="5"/>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广元市利州区卫生健康局部门</w:t>
            </w:r>
          </w:p>
        </w:tc>
        <w:tc>
          <w:tcPr>
            <w:tcW w:w="662"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 （盖章）</w:t>
            </w:r>
          </w:p>
        </w:tc>
        <w:tc>
          <w:tcPr>
            <w:tcW w:w="2789"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广元市利州区雪峰街道社区卫生服务中心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71" w:type="dxa"/>
            <w:vMerge w:val="restart"/>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项目基本情况</w:t>
            </w:r>
          </w:p>
        </w:tc>
        <w:tc>
          <w:tcPr>
            <w:tcW w:w="805" w:type="dxa"/>
            <w:vMerge w:val="restart"/>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1.项目年度目标完成情况</w:t>
            </w:r>
          </w:p>
        </w:tc>
        <w:tc>
          <w:tcPr>
            <w:tcW w:w="4217" w:type="dxa"/>
            <w:gridSpan w:val="5"/>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项目年度目标</w:t>
            </w:r>
          </w:p>
        </w:tc>
        <w:tc>
          <w:tcPr>
            <w:tcW w:w="3451" w:type="dxa"/>
            <w:gridSpan w:val="4"/>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71"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805"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4217" w:type="dxa"/>
            <w:gridSpan w:val="5"/>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通过实施基本药物制度，达到降低患者就医费用的目的，提高群众幸福感和获得感。</w:t>
            </w:r>
          </w:p>
        </w:tc>
        <w:tc>
          <w:tcPr>
            <w:tcW w:w="3451" w:type="dxa"/>
            <w:gridSpan w:val="4"/>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通过本项目的实施，实现了基本药物零差价销售，有效降低了患者医疗费用，显著提高了群众的幸福感与获得感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71"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2.项目实施内容及过程概述</w:t>
            </w:r>
          </w:p>
        </w:tc>
        <w:tc>
          <w:tcPr>
            <w:tcW w:w="7668" w:type="dxa"/>
            <w:gridSpan w:val="9"/>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采取基本药物零差价销售制度，基本药物制度全面覆盖，充分降低患者医疗费用。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restart"/>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预算执行情况（10分）</w:t>
            </w: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年度预算数（万元）</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调整后预算数</w:t>
            </w:r>
          </w:p>
        </w:tc>
        <w:tc>
          <w:tcPr>
            <w:tcW w:w="176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预算执行数</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预算执行率</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权重</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自评</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总额</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176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05" w:type="dxa"/>
            <w:vMerge w:val="restart"/>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其中：财政资金</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176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71.15</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5"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财政专户管理资金</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176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5"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单位资金</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176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5"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1036" w:type="dxa"/>
            <w:shd w:val="clear" w:color="auto" w:fill="auto"/>
            <w:tcMar>
              <w:top w:w="10" w:type="dxa"/>
              <w:left w:w="10" w:type="dxa"/>
              <w:right w:w="10" w:type="dxa"/>
            </w:tcMar>
            <w:vAlign w:val="center"/>
          </w:tcPr>
          <w:p>
            <w:pPr>
              <w:jc w:val="center"/>
              <w:rPr>
                <w:rFonts w:ascii="仿宋" w:hAnsi="仿宋" w:eastAsia="仿宋" w:cs="仿宋"/>
                <w:i/>
                <w:color w:val="000000"/>
                <w:sz w:val="18"/>
                <w:szCs w:val="18"/>
              </w:rPr>
            </w:pPr>
          </w:p>
        </w:tc>
        <w:tc>
          <w:tcPr>
            <w:tcW w:w="1418" w:type="dxa"/>
            <w:shd w:val="clear" w:color="auto" w:fill="auto"/>
            <w:tcMar>
              <w:top w:w="10" w:type="dxa"/>
              <w:left w:w="10" w:type="dxa"/>
              <w:right w:w="10" w:type="dxa"/>
            </w:tcMar>
            <w:vAlign w:val="center"/>
          </w:tcPr>
          <w:p>
            <w:pPr>
              <w:jc w:val="center"/>
              <w:rPr>
                <w:rFonts w:ascii="仿宋" w:hAnsi="仿宋" w:eastAsia="仿宋" w:cs="仿宋"/>
                <w:i/>
                <w:color w:val="000000"/>
                <w:sz w:val="18"/>
                <w:szCs w:val="18"/>
              </w:rPr>
            </w:pPr>
          </w:p>
        </w:tc>
        <w:tc>
          <w:tcPr>
            <w:tcW w:w="1763" w:type="dxa"/>
            <w:gridSpan w:val="3"/>
            <w:shd w:val="clear" w:color="auto" w:fill="auto"/>
            <w:tcMar>
              <w:top w:w="10" w:type="dxa"/>
              <w:left w:w="10" w:type="dxa"/>
              <w:right w:w="10" w:type="dxa"/>
            </w:tcMar>
            <w:vAlign w:val="center"/>
          </w:tcPr>
          <w:p>
            <w:pPr>
              <w:jc w:val="center"/>
              <w:rPr>
                <w:rFonts w:ascii="仿宋" w:hAnsi="仿宋" w:eastAsia="仿宋" w:cs="仿宋"/>
                <w:i/>
                <w:color w:val="000000"/>
                <w:sz w:val="18"/>
                <w:szCs w:val="18"/>
              </w:rPr>
            </w:pPr>
          </w:p>
        </w:tc>
        <w:tc>
          <w:tcPr>
            <w:tcW w:w="662" w:type="dxa"/>
            <w:shd w:val="clear" w:color="auto" w:fill="auto"/>
            <w:tcMar>
              <w:top w:w="10" w:type="dxa"/>
              <w:left w:w="10" w:type="dxa"/>
              <w:right w:w="10" w:type="dxa"/>
            </w:tcMar>
            <w:vAlign w:val="center"/>
          </w:tcPr>
          <w:p>
            <w:pPr>
              <w:jc w:val="center"/>
              <w:rPr>
                <w:rFonts w:ascii="仿宋" w:hAnsi="仿宋" w:eastAsia="仿宋" w:cs="仿宋"/>
                <w:i/>
                <w:color w:val="000000"/>
                <w:sz w:val="18"/>
                <w:szCs w:val="18"/>
              </w:rPr>
            </w:pP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5"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71" w:type="dxa"/>
            <w:vMerge w:val="restart"/>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绩效指标（90分）</w:t>
            </w: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指标性质</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指标值</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度量单位</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完成值</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权重</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自评</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政府办基层医疗卫生机构基本药物覆盖率</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基层医疗卫生机构基本药物网采率</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基本药物零差价销售率</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国家基本药物制度在基层持续实施</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中长期</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持续</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逐渐降低患者医疗费用</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定性</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有效</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次</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有效</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71"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103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141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w:t>
            </w:r>
          </w:p>
        </w:tc>
        <w:tc>
          <w:tcPr>
            <w:tcW w:w="396"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5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05"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55" w:type="dxa"/>
            <w:gridSpan w:val="8"/>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合计</w:t>
            </w:r>
          </w:p>
        </w:tc>
        <w:tc>
          <w:tcPr>
            <w:tcW w:w="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563"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805" w:type="dxa"/>
            <w:shd w:val="clear" w:color="auto" w:fill="auto"/>
            <w:tcMar>
              <w:top w:w="10" w:type="dxa"/>
              <w:left w:w="10" w:type="dxa"/>
              <w:right w:w="10" w:type="dxa"/>
            </w:tcMar>
            <w:vAlign w:val="center"/>
          </w:tcPr>
          <w:p>
            <w:pP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47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评价结论</w:t>
            </w:r>
          </w:p>
        </w:tc>
        <w:tc>
          <w:tcPr>
            <w:tcW w:w="8473" w:type="dxa"/>
            <w:gridSpan w:val="10"/>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国家基本药物制度专项资金体现了党和政府对基层卫生事业的关心与支持，在当前基药制度全面覆盖实施的背景下，我中心辖区行政村均已实施基本药物制度，药品价格基本做到公开透明，村民能够购买“零差价”药品。为巩固国家基本药物制度实施成果，领导高度重视，成立了领导小组，全面负责国家基本药物制度的实施和监督，并采取了一系列措施保障基本药物制度顺利施行。一是强化管理，定期培训考核。二是专账管理，专款专用。综合自评指标，得分为100分，自评结果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存在问题</w:t>
            </w:r>
          </w:p>
        </w:tc>
        <w:tc>
          <w:tcPr>
            <w:tcW w:w="8473" w:type="dxa"/>
            <w:gridSpan w:val="10"/>
            <w:shd w:val="clear" w:color="auto" w:fill="auto"/>
            <w:tcMar>
              <w:top w:w="10" w:type="dxa"/>
              <w:left w:w="10" w:type="dxa"/>
              <w:right w:w="10" w:type="dxa"/>
            </w:tcMar>
            <w:vAlign w:val="center"/>
          </w:tcPr>
          <w:p>
            <w:pP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7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改进措施</w:t>
            </w:r>
          </w:p>
        </w:tc>
        <w:tc>
          <w:tcPr>
            <w:tcW w:w="8473" w:type="dxa"/>
            <w:gridSpan w:val="10"/>
            <w:shd w:val="clear" w:color="auto" w:fill="auto"/>
            <w:tcMar>
              <w:top w:w="10" w:type="dxa"/>
              <w:left w:w="10" w:type="dxa"/>
              <w:right w:w="10" w:type="dxa"/>
            </w:tcMar>
            <w:vAlign w:val="center"/>
          </w:tcPr>
          <w:p>
            <w:pP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4126" w:type="dxa"/>
            <w:gridSpan w:val="5"/>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项目负责人：成建平</w:t>
            </w:r>
          </w:p>
        </w:tc>
        <w:tc>
          <w:tcPr>
            <w:tcW w:w="4818" w:type="dxa"/>
            <w:gridSpan w:val="6"/>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财务负责人：李文姗</w:t>
            </w:r>
          </w:p>
        </w:tc>
      </w:tr>
    </w:tbl>
    <w:p>
      <w:pPr>
        <w:spacing w:line="600" w:lineRule="exact"/>
        <w:jc w:val="left"/>
        <w:outlineLvl w:val="0"/>
        <w:rPr>
          <w:rFonts w:ascii="仿宋_GB2312" w:hAnsi="Calibri" w:eastAsia="仿宋_GB2312" w:cs="仿宋"/>
          <w:b/>
          <w:kern w:val="0"/>
          <w:sz w:val="30"/>
          <w:szCs w:val="30"/>
        </w:rPr>
      </w:pPr>
      <w:bookmarkStart w:id="57" w:name="_Toc145342991"/>
    </w:p>
    <w:bookmarkEnd w:id="57"/>
    <w:tbl>
      <w:tblPr>
        <w:tblStyle w:val="17"/>
        <w:tblW w:w="5416"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805"/>
        <w:gridCol w:w="1037"/>
        <w:gridCol w:w="1421"/>
        <w:gridCol w:w="395"/>
        <w:gridCol w:w="858"/>
        <w:gridCol w:w="650"/>
        <w:gridCol w:w="662"/>
        <w:gridCol w:w="420"/>
        <w:gridCol w:w="7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9234" w:type="dxa"/>
            <w:gridSpan w:val="11"/>
            <w:shd w:val="clear" w:color="auto" w:fill="auto"/>
            <w:tcMar>
              <w:top w:w="10" w:type="dxa"/>
              <w:left w:w="10" w:type="dxa"/>
              <w:right w:w="10" w:type="dxa"/>
            </w:tcMar>
            <w:vAlign w:val="center"/>
          </w:tcPr>
          <w:p>
            <w:pPr>
              <w:jc w:val="center"/>
              <w:rPr>
                <w:rFonts w:ascii="宋体" w:hAnsi="宋体" w:cs="宋体"/>
                <w:b/>
                <w:color w:val="000000"/>
                <w:sz w:val="22"/>
                <w:szCs w:val="22"/>
              </w:rPr>
            </w:pPr>
            <w:r>
              <w:rPr>
                <w:rFonts w:hint="eastAsia" w:ascii="黑体" w:hAnsi="宋体" w:eastAsia="黑体" w:cs="黑体"/>
                <w:b/>
                <w:color w:val="000000"/>
                <w:kern w:val="0"/>
                <w:sz w:val="30"/>
                <w:szCs w:val="30"/>
              </w:rPr>
              <w:t>部门预算项目支出绩效自评表（2023年度）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dxa"/>
            <w:gridSpan w:val="2"/>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7960" w:type="dxa"/>
            <w:gridSpan w:val="9"/>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2023年利州区雪峰街道社区卫生服务中心突发公共卫生事件省级补助资金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274" w:type="dxa"/>
            <w:gridSpan w:val="2"/>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4361" w:type="dxa"/>
            <w:gridSpan w:val="5"/>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广元市利州区卫生健康局部门</w:t>
            </w:r>
          </w:p>
        </w:tc>
        <w:tc>
          <w:tcPr>
            <w:tcW w:w="662"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 （盖章）</w:t>
            </w:r>
          </w:p>
        </w:tc>
        <w:tc>
          <w:tcPr>
            <w:tcW w:w="2937"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广元市利州区雪峰街道社区卫生服务中心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restart"/>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项目基本情况</w:t>
            </w:r>
          </w:p>
        </w:tc>
        <w:tc>
          <w:tcPr>
            <w:tcW w:w="805" w:type="dxa"/>
            <w:vMerge w:val="restart"/>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1.项目年度目标完成情况</w:t>
            </w:r>
          </w:p>
        </w:tc>
        <w:tc>
          <w:tcPr>
            <w:tcW w:w="4361" w:type="dxa"/>
            <w:gridSpan w:val="5"/>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项目年度目标</w:t>
            </w:r>
          </w:p>
        </w:tc>
        <w:tc>
          <w:tcPr>
            <w:tcW w:w="3599" w:type="dxa"/>
            <w:gridSpan w:val="4"/>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805"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4361" w:type="dxa"/>
            <w:gridSpan w:val="5"/>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加强医务人员关心关爱工作，向参与新型冠状病毒肺炎疫情防控一线医务人员发放临时性工作补助。</w:t>
            </w:r>
          </w:p>
        </w:tc>
        <w:tc>
          <w:tcPr>
            <w:tcW w:w="3599" w:type="dxa"/>
            <w:gridSpan w:val="4"/>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疫情防控一线医务人员工作天数261天；2.工作补助项目款项足额发放到位率100%；3.项目资金尽快发放到位周期一年；4.100%提高了医务工作者能动性、主动性和积极性；5.100%提高医务工作者的主观能动性，人民受到健康威胁时，医务人员冲锋在前；6.辖区内居民健康得到保障率达到82%；7.满意度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69" w:type="dxa"/>
            <w:vMerge w:val="continue"/>
            <w:shd w:val="clear" w:color="auto" w:fill="auto"/>
            <w:tcMar>
              <w:top w:w="10" w:type="dxa"/>
              <w:left w:w="10" w:type="dxa"/>
              <w:right w:w="10" w:type="dxa"/>
            </w:tcMar>
            <w:vAlign w:val="center"/>
          </w:tcPr>
          <w:p>
            <w:pP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2.项目实施内容及过程概述</w:t>
            </w:r>
          </w:p>
        </w:tc>
        <w:tc>
          <w:tcPr>
            <w:tcW w:w="7960" w:type="dxa"/>
            <w:gridSpan w:val="9"/>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加强医务人员关心关爱工作，向参与新型冠状病毒肺炎疫情防控一线医务人员发放临时性工作补助。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vMerge w:val="restart"/>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预算执行情况（10分）</w:t>
            </w: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年度预算数（万元）</w:t>
            </w:r>
          </w:p>
        </w:tc>
        <w:tc>
          <w:tcPr>
            <w:tcW w:w="1037"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调整后预算数</w:t>
            </w:r>
          </w:p>
        </w:tc>
        <w:tc>
          <w:tcPr>
            <w:tcW w:w="190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预算执行数</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预算执行率</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权重</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自评</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8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总额</w:t>
            </w:r>
          </w:p>
        </w:tc>
        <w:tc>
          <w:tcPr>
            <w:tcW w:w="1037"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6.90</w:t>
            </w:r>
          </w:p>
        </w:tc>
        <w:tc>
          <w:tcPr>
            <w:tcW w:w="190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6.90</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09" w:type="dxa"/>
            <w:vMerge w:val="restart"/>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其中：财政资金</w:t>
            </w:r>
          </w:p>
        </w:tc>
        <w:tc>
          <w:tcPr>
            <w:tcW w:w="1037"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6.90</w:t>
            </w:r>
          </w:p>
        </w:tc>
        <w:tc>
          <w:tcPr>
            <w:tcW w:w="1903" w:type="dxa"/>
            <w:gridSpan w:val="3"/>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6.90</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财政专户管理资金</w:t>
            </w:r>
          </w:p>
        </w:tc>
        <w:tc>
          <w:tcPr>
            <w:tcW w:w="1037"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421"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903" w:type="dxa"/>
            <w:gridSpan w:val="3"/>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662"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单位资金</w:t>
            </w:r>
          </w:p>
        </w:tc>
        <w:tc>
          <w:tcPr>
            <w:tcW w:w="1037"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421"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903" w:type="dxa"/>
            <w:gridSpan w:val="3"/>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662"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1037"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421"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1903" w:type="dxa"/>
            <w:gridSpan w:val="3"/>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662"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1809" w:type="dxa"/>
            <w:vMerge w:val="continue"/>
            <w:shd w:val="clear" w:color="auto" w:fill="auto"/>
            <w:tcMar>
              <w:top w:w="10" w:type="dxa"/>
              <w:left w:w="10" w:type="dxa"/>
              <w:right w:w="10" w:type="dxa"/>
            </w:tcMar>
            <w:vAlign w:val="center"/>
          </w:tcPr>
          <w:p>
            <w:pPr>
              <w:rPr>
                <w:rFonts w:ascii="仿宋" w:hAnsi="仿宋" w:eastAsia="仿宋" w:cs="仿宋"/>
                <w:i/>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69" w:type="dxa"/>
            <w:vMerge w:val="restart"/>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绩效指标（90分）</w:t>
            </w: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1037"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39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指标性质</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指标值</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度量单位</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完成值</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权重</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自评</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80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疫情防控医务人员工作天数</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212</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天</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212</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20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20</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质量指标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工作补助发放工作人员到位</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100</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20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20</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tc>
        <w:tc>
          <w:tcPr>
            <w:tcW w:w="1037"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项目资金尽快发放到位</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年</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20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20</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037"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社会效益指标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辖区内居民健康得到保障</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85</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80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7</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目前中心专业技术人员严重缺乏，不利于突发公共卫生事件及时有效处理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037"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可持续影响指标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提高医务人员的主观能动性</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100</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10</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vMerge w:val="continue"/>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c>
          <w:tcPr>
            <w:tcW w:w="805"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1037"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服务对象满意度指标</w:t>
            </w:r>
          </w:p>
        </w:tc>
        <w:tc>
          <w:tcPr>
            <w:tcW w:w="1421"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全部参与工作人员满意</w:t>
            </w:r>
          </w:p>
        </w:tc>
        <w:tc>
          <w:tcPr>
            <w:tcW w:w="395" w:type="dxa"/>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85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100</w:t>
            </w:r>
          </w:p>
        </w:tc>
        <w:tc>
          <w:tcPr>
            <w:tcW w:w="65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w:t>
            </w:r>
          </w:p>
        </w:tc>
        <w:tc>
          <w:tcPr>
            <w:tcW w:w="662"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100</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 w:val="18"/>
                <w:szCs w:val="18"/>
              </w:rPr>
              <w:t>10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ascii="宋体" w:hAnsi="宋体" w:cs="宋体"/>
                <w:color w:val="000000"/>
                <w:kern w:val="0"/>
                <w:sz w:val="18"/>
                <w:szCs w:val="18"/>
              </w:rPr>
              <w:t>10</w:t>
            </w:r>
          </w:p>
        </w:tc>
        <w:tc>
          <w:tcPr>
            <w:tcW w:w="1809" w:type="dxa"/>
            <w:shd w:val="clear" w:color="auto" w:fill="auto"/>
            <w:tcMar>
              <w:top w:w="10" w:type="dxa"/>
              <w:left w:w="10" w:type="dxa"/>
              <w:right w:w="10" w:type="dxa"/>
            </w:tcMar>
            <w:vAlign w:val="center"/>
          </w:tcPr>
          <w:p>
            <w:pPr>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297" w:type="dxa"/>
            <w:gridSpan w:val="8"/>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合计</w:t>
            </w:r>
          </w:p>
        </w:tc>
        <w:tc>
          <w:tcPr>
            <w:tcW w:w="420"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708"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97</w:t>
            </w:r>
          </w:p>
        </w:tc>
        <w:tc>
          <w:tcPr>
            <w:tcW w:w="1809" w:type="dxa"/>
            <w:shd w:val="clear" w:color="auto" w:fill="auto"/>
            <w:tcMar>
              <w:top w:w="10" w:type="dxa"/>
              <w:left w:w="10" w:type="dxa"/>
              <w:right w:w="10" w:type="dxa"/>
            </w:tcMar>
            <w:vAlign w:val="center"/>
          </w:tcPr>
          <w:p>
            <w:pP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评价结论</w:t>
            </w:r>
          </w:p>
        </w:tc>
        <w:tc>
          <w:tcPr>
            <w:tcW w:w="8765" w:type="dxa"/>
            <w:gridSpan w:val="10"/>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本项目自评得分96分，绩效指标基本完成，通过项目实施，效应对了突发公共卫生事件，有效保障了群众生命健康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存在问题</w:t>
            </w:r>
          </w:p>
        </w:tc>
        <w:tc>
          <w:tcPr>
            <w:tcW w:w="8765" w:type="dxa"/>
            <w:gridSpan w:val="10"/>
            <w:shd w:val="clear" w:color="auto" w:fill="auto"/>
            <w:tcMar>
              <w:top w:w="10" w:type="dxa"/>
              <w:left w:w="10" w:type="dxa"/>
              <w:right w:w="10" w:type="dxa"/>
            </w:tcMar>
            <w:vAlign w:val="center"/>
          </w:tcPr>
          <w:p>
            <w:pPr>
              <w:rPr>
                <w:rFonts w:ascii="仿宋" w:hAnsi="仿宋" w:eastAsia="仿宋" w:cs="仿宋"/>
                <w:color w:val="000000"/>
                <w:sz w:val="18"/>
                <w:szCs w:val="18"/>
              </w:rPr>
            </w:pPr>
            <w:r>
              <w:rPr>
                <w:rFonts w:hint="eastAsia" w:ascii="仿宋" w:hAnsi="仿宋" w:eastAsia="仿宋" w:cs="仿宋"/>
                <w:color w:val="000000"/>
                <w:sz w:val="18"/>
                <w:szCs w:val="18"/>
              </w:rPr>
              <w:t>目前中心专业技术人员严重缺乏，影响突发公共卫生事件处理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69" w:type="dxa"/>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改进措施</w:t>
            </w:r>
          </w:p>
        </w:tc>
        <w:tc>
          <w:tcPr>
            <w:tcW w:w="8765" w:type="dxa"/>
            <w:gridSpan w:val="10"/>
            <w:shd w:val="clear" w:color="auto" w:fill="auto"/>
            <w:tcMar>
              <w:top w:w="10" w:type="dxa"/>
              <w:left w:w="10" w:type="dxa"/>
              <w:right w:w="10" w:type="dxa"/>
            </w:tcMar>
            <w:vAlign w:val="center"/>
          </w:tcPr>
          <w:p>
            <w:pPr>
              <w:rPr>
                <w:rFonts w:ascii="仿宋" w:hAnsi="仿宋" w:eastAsia="仿宋" w:cs="仿宋"/>
                <w:color w:val="000000"/>
                <w:sz w:val="18"/>
                <w:szCs w:val="18"/>
              </w:rPr>
            </w:pPr>
            <w:r>
              <w:rPr>
                <w:rFonts w:hint="eastAsia" w:ascii="仿宋" w:hAnsi="仿宋" w:eastAsia="仿宋" w:cs="仿宋"/>
                <w:color w:val="000000"/>
                <w:sz w:val="18"/>
                <w:szCs w:val="18"/>
              </w:rPr>
              <w:t>引进、培养人才，争取上级部门支持，同时加强医护人员业务学习业务培训，不断提高突发公卫事件处理能力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127" w:type="dxa"/>
            <w:gridSpan w:val="5"/>
            <w:shd w:val="clear" w:color="auto" w:fill="auto"/>
            <w:tcMar>
              <w:top w:w="10" w:type="dxa"/>
              <w:left w:w="10" w:type="dxa"/>
              <w:right w:w="10"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项目负责人：王丽华</w:t>
            </w:r>
          </w:p>
        </w:tc>
        <w:tc>
          <w:tcPr>
            <w:tcW w:w="5107" w:type="dxa"/>
            <w:gridSpan w:val="6"/>
            <w:shd w:val="clear" w:color="auto" w:fill="auto"/>
            <w:tcMar>
              <w:top w:w="10" w:type="dxa"/>
              <w:left w:w="10" w:type="dxa"/>
              <w:right w:w="10"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财务负责人：李文姗</w:t>
            </w:r>
          </w:p>
        </w:tc>
      </w:tr>
      <w:bookmarkEnd w:id="52"/>
      <w:bookmarkEnd w:id="56"/>
    </w:tbl>
    <w:p>
      <w:pPr>
        <w:spacing w:line="600" w:lineRule="exact"/>
        <w:ind w:left="315" w:leftChars="150"/>
        <w:jc w:val="center"/>
        <w:outlineLvl w:val="0"/>
        <w:rPr>
          <w:rStyle w:val="31"/>
          <w:rFonts w:ascii="黑体" w:hAnsi="黑体" w:eastAsia="黑体"/>
          <w:b w:val="0"/>
        </w:rPr>
      </w:pPr>
      <w:bookmarkStart w:id="58" w:name="_Toc12678"/>
      <w:bookmarkStart w:id="59" w:name="_Toc10918"/>
      <w:bookmarkStart w:id="60" w:name="_Toc22579"/>
      <w:r>
        <w:rPr>
          <w:rStyle w:val="31"/>
          <w:rFonts w:hint="eastAsia" w:ascii="黑体" w:hAnsi="黑体" w:eastAsia="黑体"/>
          <w:b w:val="0"/>
        </w:rPr>
        <w:t>第五部分  附表</w:t>
      </w:r>
      <w:bookmarkEnd w:id="58"/>
      <w:bookmarkEnd w:id="59"/>
      <w:bookmarkEnd w:id="60"/>
    </w:p>
    <w:p>
      <w:pPr>
        <w:pStyle w:val="7"/>
      </w:pPr>
    </w:p>
    <w:p>
      <w:pPr>
        <w:pStyle w:val="5"/>
        <w:jc w:val="left"/>
        <w:rPr>
          <w:rFonts w:ascii="仿宋" w:hAnsi="仿宋" w:eastAsia="仿宋"/>
        </w:rPr>
      </w:pPr>
      <w:bookmarkStart w:id="61" w:name="_Toc27309"/>
      <w:bookmarkStart w:id="62" w:name="_Toc8857"/>
      <w:bookmarkStart w:id="63" w:name="_Toc2312"/>
      <w:r>
        <w:rPr>
          <w:rFonts w:hint="eastAsia" w:ascii="仿宋" w:hAnsi="仿宋" w:eastAsia="仿宋"/>
          <w:b w:val="0"/>
        </w:rPr>
        <w:t>一、收</w:t>
      </w:r>
      <w:r>
        <w:rPr>
          <w:rStyle w:val="32"/>
          <w:rFonts w:hint="eastAsia" w:ascii="仿宋" w:hAnsi="仿宋" w:eastAsia="仿宋"/>
          <w:b w:val="0"/>
          <w:bCs w:val="0"/>
        </w:rPr>
        <w:t>入支出决算总表</w:t>
      </w:r>
      <w:bookmarkEnd w:id="61"/>
      <w:bookmarkEnd w:id="62"/>
      <w:bookmarkEnd w:id="63"/>
    </w:p>
    <w:p>
      <w:pPr>
        <w:pStyle w:val="5"/>
        <w:jc w:val="left"/>
        <w:rPr>
          <w:rFonts w:ascii="仿宋" w:hAnsi="仿宋" w:eastAsia="仿宋"/>
        </w:rPr>
      </w:pPr>
      <w:bookmarkStart w:id="64" w:name="_Toc7438"/>
      <w:bookmarkStart w:id="65" w:name="_Toc20703"/>
      <w:bookmarkStart w:id="66" w:name="_Toc21892"/>
      <w:r>
        <w:rPr>
          <w:rFonts w:hint="eastAsia" w:ascii="仿宋" w:hAnsi="仿宋" w:eastAsia="仿宋"/>
          <w:b w:val="0"/>
        </w:rPr>
        <w:t>二、收</w:t>
      </w:r>
      <w:r>
        <w:rPr>
          <w:rStyle w:val="32"/>
          <w:rFonts w:hint="eastAsia" w:ascii="仿宋" w:hAnsi="仿宋" w:eastAsia="仿宋"/>
          <w:b w:val="0"/>
          <w:bCs w:val="0"/>
        </w:rPr>
        <w:t>入决算表</w:t>
      </w:r>
      <w:bookmarkEnd w:id="64"/>
      <w:bookmarkEnd w:id="65"/>
      <w:bookmarkEnd w:id="66"/>
    </w:p>
    <w:p>
      <w:pPr>
        <w:pStyle w:val="5"/>
        <w:jc w:val="left"/>
        <w:rPr>
          <w:rFonts w:ascii="仿宋" w:hAnsi="仿宋" w:eastAsia="仿宋"/>
        </w:rPr>
      </w:pPr>
      <w:bookmarkStart w:id="67" w:name="_Toc9449"/>
      <w:bookmarkStart w:id="68" w:name="_Toc8087"/>
      <w:bookmarkStart w:id="69" w:name="_Toc12093"/>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67"/>
      <w:bookmarkEnd w:id="68"/>
      <w:bookmarkEnd w:id="69"/>
    </w:p>
    <w:p>
      <w:pPr>
        <w:pStyle w:val="5"/>
        <w:jc w:val="left"/>
        <w:rPr>
          <w:rFonts w:ascii="仿宋" w:hAnsi="仿宋" w:eastAsia="仿宋"/>
          <w:b w:val="0"/>
        </w:rPr>
      </w:pPr>
      <w:bookmarkStart w:id="70" w:name="_Toc5353"/>
      <w:bookmarkStart w:id="71" w:name="_Toc1435"/>
      <w:bookmarkStart w:id="72" w:name="_Toc2035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70"/>
      <w:bookmarkEnd w:id="71"/>
      <w:bookmarkEnd w:id="72"/>
    </w:p>
    <w:p>
      <w:pPr>
        <w:pStyle w:val="5"/>
        <w:jc w:val="left"/>
        <w:rPr>
          <w:rStyle w:val="32"/>
          <w:rFonts w:ascii="仿宋" w:hAnsi="仿宋" w:eastAsia="仿宋"/>
          <w:b w:val="0"/>
          <w:bCs w:val="0"/>
        </w:rPr>
      </w:pPr>
      <w:bookmarkStart w:id="73" w:name="_Toc16522"/>
      <w:bookmarkStart w:id="74" w:name="_Toc20072"/>
      <w:bookmarkStart w:id="75" w:name="_Toc6097"/>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73"/>
      <w:bookmarkEnd w:id="74"/>
      <w:bookmarkEnd w:id="75"/>
    </w:p>
    <w:p>
      <w:pPr>
        <w:pStyle w:val="5"/>
        <w:jc w:val="left"/>
        <w:rPr>
          <w:rFonts w:ascii="仿宋" w:hAnsi="仿宋" w:eastAsia="仿宋"/>
        </w:rPr>
      </w:pPr>
      <w:bookmarkStart w:id="76" w:name="_Toc18485"/>
      <w:bookmarkStart w:id="77" w:name="_Toc29185"/>
      <w:bookmarkStart w:id="78" w:name="_Toc30821"/>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76"/>
      <w:bookmarkEnd w:id="77"/>
      <w:bookmarkEnd w:id="78"/>
    </w:p>
    <w:p>
      <w:pPr>
        <w:pStyle w:val="5"/>
        <w:jc w:val="left"/>
        <w:rPr>
          <w:rFonts w:ascii="仿宋" w:hAnsi="仿宋" w:eastAsia="仿宋"/>
        </w:rPr>
      </w:pPr>
      <w:bookmarkStart w:id="79" w:name="_Toc32433"/>
      <w:bookmarkStart w:id="80" w:name="_Toc22842"/>
      <w:bookmarkStart w:id="81" w:name="_Toc2007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79"/>
      <w:bookmarkEnd w:id="80"/>
      <w:bookmarkEnd w:id="81"/>
    </w:p>
    <w:p>
      <w:pPr>
        <w:pStyle w:val="5"/>
        <w:jc w:val="left"/>
        <w:rPr>
          <w:rFonts w:ascii="仿宋" w:hAnsi="仿宋" w:eastAsia="仿宋"/>
        </w:rPr>
      </w:pPr>
      <w:bookmarkStart w:id="82" w:name="_Toc27860"/>
      <w:bookmarkStart w:id="83" w:name="_Toc10451"/>
      <w:bookmarkStart w:id="84" w:name="_Toc5899"/>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82"/>
      <w:bookmarkEnd w:id="83"/>
      <w:bookmarkEnd w:id="84"/>
    </w:p>
    <w:p>
      <w:pPr>
        <w:pStyle w:val="5"/>
        <w:jc w:val="left"/>
        <w:rPr>
          <w:rFonts w:ascii="仿宋" w:hAnsi="仿宋" w:eastAsia="仿宋"/>
        </w:rPr>
      </w:pPr>
      <w:bookmarkStart w:id="85" w:name="_Toc5133"/>
      <w:bookmarkStart w:id="86" w:name="_Toc15757"/>
      <w:bookmarkStart w:id="87" w:name="_Toc6874"/>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85"/>
      <w:bookmarkEnd w:id="86"/>
      <w:bookmarkEnd w:id="87"/>
    </w:p>
    <w:p>
      <w:pPr>
        <w:pStyle w:val="5"/>
        <w:jc w:val="left"/>
        <w:rPr>
          <w:rFonts w:ascii="仿宋" w:hAnsi="仿宋" w:eastAsia="仿宋"/>
        </w:rPr>
      </w:pPr>
      <w:bookmarkStart w:id="88" w:name="_Toc18166"/>
      <w:bookmarkStart w:id="89" w:name="_Toc29946"/>
      <w:bookmarkStart w:id="90" w:name="_Toc6621"/>
      <w:r>
        <w:rPr>
          <w:rStyle w:val="32"/>
          <w:rFonts w:hint="eastAsia" w:ascii="仿宋" w:hAnsi="仿宋" w:eastAsia="仿宋"/>
          <w:b w:val="0"/>
          <w:bCs w:val="0"/>
        </w:rPr>
        <w:t>十、</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88"/>
      <w:bookmarkEnd w:id="89"/>
      <w:bookmarkEnd w:id="90"/>
    </w:p>
    <w:p>
      <w:pPr>
        <w:pStyle w:val="5"/>
        <w:jc w:val="left"/>
        <w:rPr>
          <w:rFonts w:ascii="仿宋" w:hAnsi="仿宋" w:eastAsia="仿宋"/>
        </w:rPr>
      </w:pPr>
      <w:bookmarkStart w:id="91" w:name="_Toc31781"/>
      <w:bookmarkStart w:id="92" w:name="_Toc31282"/>
      <w:bookmarkStart w:id="93" w:name="_Toc2920"/>
      <w:r>
        <w:rPr>
          <w:rStyle w:val="32"/>
          <w:rFonts w:hint="eastAsia" w:ascii="仿宋" w:hAnsi="仿宋" w:eastAsia="仿宋"/>
          <w:b w:val="0"/>
          <w:bCs w:val="0"/>
        </w:rPr>
        <w:t>十一、</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91"/>
      <w:bookmarkEnd w:id="92"/>
      <w:bookmarkEnd w:id="93"/>
    </w:p>
    <w:p>
      <w:pPr>
        <w:pStyle w:val="5"/>
        <w:jc w:val="left"/>
        <w:rPr>
          <w:rFonts w:ascii="仿宋" w:hAnsi="仿宋" w:eastAsia="仿宋"/>
        </w:rPr>
      </w:pPr>
      <w:bookmarkStart w:id="94" w:name="_Toc18308"/>
      <w:bookmarkStart w:id="95" w:name="_Toc12080"/>
      <w:bookmarkStart w:id="96" w:name="_Toc12232"/>
      <w:r>
        <w:rPr>
          <w:rStyle w:val="32"/>
          <w:rFonts w:hint="eastAsia" w:ascii="仿宋" w:hAnsi="仿宋" w:eastAsia="仿宋"/>
          <w:b w:val="0"/>
          <w:bCs w:val="0"/>
        </w:rPr>
        <w:t>十二、国有资本经营预算财政拨款支出决算表</w:t>
      </w:r>
      <w:bookmarkEnd w:id="94"/>
      <w:bookmarkEnd w:id="95"/>
      <w:bookmarkEnd w:id="96"/>
    </w:p>
    <w:p>
      <w:pPr>
        <w:pStyle w:val="5"/>
        <w:jc w:val="left"/>
      </w:pPr>
      <w:bookmarkStart w:id="97" w:name="_Toc13415"/>
      <w:bookmarkStart w:id="98" w:name="_Toc9341"/>
      <w:bookmarkStart w:id="99" w:name="_Toc1017"/>
      <w:r>
        <w:rPr>
          <w:rStyle w:val="32"/>
          <w:rFonts w:hint="eastAsia" w:ascii="仿宋" w:hAnsi="仿宋" w:eastAsia="仿宋"/>
          <w:b w:val="0"/>
          <w:bCs w:val="0"/>
        </w:rPr>
        <w:t>十三、财政拨款“三公”经费支出决算表</w:t>
      </w:r>
      <w:bookmarkEnd w:id="97"/>
      <w:bookmarkEnd w:id="98"/>
      <w:bookmarkEnd w:id="99"/>
    </w:p>
    <w:p>
      <w:pPr>
        <w:spacing w:line="600" w:lineRule="exact"/>
        <w:rPr>
          <w:rFonts w:ascii="黑体" w:hAnsi="黑体" w:eastAsia="黑体"/>
          <w:sz w:val="44"/>
          <w:szCs w:val="44"/>
        </w:rPr>
      </w:pPr>
    </w:p>
    <w:p>
      <w:pPr>
        <w:rPr>
          <w:rFonts w:eastAsia="仿宋"/>
        </w:rPr>
      </w:pPr>
    </w:p>
    <w:sectPr>
      <w:footerReference r:id="rId5" w:type="first"/>
      <w:footerReference r:id="rId4"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9B000CD1-26BF-4A8B-BBC0-D6996EC0EAA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7391E7C2-13C1-4B4E-8CDB-30B153F24C9E}"/>
  </w:font>
  <w:font w:name="Cambria">
    <w:panose1 w:val="02040503050406030204"/>
    <w:charset w:val="00"/>
    <w:family w:val="roman"/>
    <w:pitch w:val="default"/>
    <w:sig w:usb0="A00002EF" w:usb1="4000004B" w:usb2="00000000" w:usb3="00000000" w:csb0="2000009F" w:csb1="00000000"/>
    <w:embedRegular r:id="rId3" w:fontKey="{D3BDBD14-496A-4D4A-91A4-9A6D10EC6C73}"/>
  </w:font>
  <w:font w:name="仿宋_GB2312">
    <w:panose1 w:val="02010609030101010101"/>
    <w:charset w:val="86"/>
    <w:family w:val="modern"/>
    <w:pitch w:val="default"/>
    <w:sig w:usb0="00000001" w:usb1="080E0000" w:usb2="00000000" w:usb3="00000000" w:csb0="00040000" w:csb1="00000000"/>
    <w:embedRegular r:id="rId4" w:fontKey="{BEA03D5B-73D5-468B-940C-1014B3FB9432}"/>
  </w:font>
  <w:font w:name="仿宋">
    <w:panose1 w:val="02010609060101010101"/>
    <w:charset w:val="86"/>
    <w:family w:val="modern"/>
    <w:pitch w:val="default"/>
    <w:sig w:usb0="00000000" w:usb1="00000000" w:usb2="00000000" w:usb3="00000000" w:csb0="00000000" w:csb1="00000000"/>
    <w:embedRegular r:id="rId5" w:fontKey="{B035724B-6469-48F5-8A81-7621C0492962}"/>
  </w:font>
  <w:font w:name="方正小标宋简体">
    <w:panose1 w:val="02010601030101010101"/>
    <w:charset w:val="86"/>
    <w:family w:val="auto"/>
    <w:pitch w:val="default"/>
    <w:sig w:usb0="00000001" w:usb1="080E0000" w:usb2="00000000" w:usb3="00000000" w:csb0="00040000" w:csb1="00000000"/>
    <w:embedRegular r:id="rId6" w:fontKey="{4A8F94E3-2A5B-4722-9D52-30A198667143}"/>
  </w:font>
  <w:font w:name="方正粗黑宋简体">
    <w:altName w:val="宋体"/>
    <w:panose1 w:val="00000000000000000000"/>
    <w:charset w:val="86"/>
    <w:family w:val="auto"/>
    <w:pitch w:val="default"/>
    <w:sig w:usb0="00000000" w:usb1="00000000" w:usb2="00000000" w:usb3="00000000" w:csb0="00000000" w:csb1="00000000"/>
    <w:embedRegular r:id="rId7" w:fontKey="{E6E6829C-8300-421A-914F-A6BEAC22C1DE}"/>
  </w:font>
  <w:font w:name="方正仿宋简体">
    <w:panose1 w:val="02010601030101010101"/>
    <w:charset w:val="86"/>
    <w:family w:val="auto"/>
    <w:pitch w:val="default"/>
    <w:sig w:usb0="00000001" w:usb1="080E0000" w:usb2="00000000" w:usb3="00000000" w:csb0="00040000" w:csb1="00000000"/>
    <w:embedRegular r:id="rId8" w:fontKey="{E0CFA183-ED78-4867-A273-6F86E39C87F8}"/>
  </w:font>
  <w:font w:name="方正大黑简体">
    <w:panose1 w:val="02010601030101010101"/>
    <w:charset w:val="86"/>
    <w:family w:val="auto"/>
    <w:pitch w:val="default"/>
    <w:sig w:usb0="00000000" w:usb1="00000000" w:usb2="00000000" w:usb3="00000000" w:csb0="00000000" w:csb1="00000000"/>
    <w:embedRegular r:id="rId9" w:fontKey="{ED1F165D-83DC-408D-89C6-7C1C10BD2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8"/>
        <w:szCs w:val="28"/>
      </w:rPr>
      <w:t>-</w:t>
    </w:r>
    <w:sdt>
      <w:sdtPr>
        <w:rPr>
          <w:sz w:val="28"/>
          <w:szCs w:val="28"/>
        </w:rPr>
        <w:id w:val="39269453"/>
        <w:docPartObj>
          <w:docPartGallery w:val="AutoText"/>
        </w:docPartObj>
      </w:sdtPr>
      <w:sdtEndPr>
        <w:rPr>
          <w:sz w:val="18"/>
          <w:szCs w:val="1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sdtContent>
    </w:sdt>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6BB8C"/>
    <w:multiLevelType w:val="singleLevel"/>
    <w:tmpl w:val="B586BB8C"/>
    <w:lvl w:ilvl="0" w:tentative="0">
      <w:start w:val="4"/>
      <w:numFmt w:val="chineseCounting"/>
      <w:suff w:val="nothing"/>
      <w:lvlText w:val="（%1）"/>
      <w:lvlJc w:val="left"/>
      <w:pPr>
        <w:ind w:left="642" w:firstLine="0"/>
      </w:pPr>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F757624E"/>
    <w:multiLevelType w:val="singleLevel"/>
    <w:tmpl w:val="F757624E"/>
    <w:lvl w:ilvl="0" w:tentative="0">
      <w:start w:val="5"/>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36BC9EF"/>
    <w:multiLevelType w:val="singleLevel"/>
    <w:tmpl w:val="136BC9EF"/>
    <w:lvl w:ilvl="0" w:tentative="0">
      <w:start w:val="1"/>
      <w:numFmt w:val="decimal"/>
      <w:lvlText w:val="%1."/>
      <w:lvlJc w:val="left"/>
      <w:pPr>
        <w:tabs>
          <w:tab w:val="left" w:pos="312"/>
        </w:tabs>
      </w:pPr>
    </w:lvl>
  </w:abstractNum>
  <w:abstractNum w:abstractNumId="5">
    <w:nsid w:val="698FF96E"/>
    <w:multiLevelType w:val="singleLevel"/>
    <w:tmpl w:val="698FF96E"/>
    <w:lvl w:ilvl="0" w:tentative="0">
      <w:start w:val="4"/>
      <w:numFmt w:val="chineseCounting"/>
      <w:suff w:val="space"/>
      <w:lvlText w:val="第%1部分"/>
      <w:lvlJc w:val="left"/>
      <w:rPr>
        <w:rFonts w:hint="eastAsia"/>
      </w:rPr>
    </w:lvl>
  </w:abstractNum>
  <w:abstractNum w:abstractNumId="6">
    <w:nsid w:val="79FF70BB"/>
    <w:multiLevelType w:val="multilevel"/>
    <w:tmpl w:val="79FF70B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0NDg2OWY3MzQzYTE3YjRlZjMxNjYwYTljMDExMmMifQ=="/>
  </w:docVars>
  <w:rsids>
    <w:rsidRoot w:val="00F1361C"/>
    <w:rsid w:val="00001521"/>
    <w:rsid w:val="0001578B"/>
    <w:rsid w:val="000222C6"/>
    <w:rsid w:val="0002549F"/>
    <w:rsid w:val="0003055D"/>
    <w:rsid w:val="000311CE"/>
    <w:rsid w:val="0004184E"/>
    <w:rsid w:val="000468DB"/>
    <w:rsid w:val="0006487A"/>
    <w:rsid w:val="00065F8F"/>
    <w:rsid w:val="00070A43"/>
    <w:rsid w:val="000714A5"/>
    <w:rsid w:val="00072D69"/>
    <w:rsid w:val="000768F2"/>
    <w:rsid w:val="0009184B"/>
    <w:rsid w:val="00094236"/>
    <w:rsid w:val="0009593C"/>
    <w:rsid w:val="00097322"/>
    <w:rsid w:val="000A6A92"/>
    <w:rsid w:val="000B047F"/>
    <w:rsid w:val="000B5923"/>
    <w:rsid w:val="000B5A48"/>
    <w:rsid w:val="000B6FF3"/>
    <w:rsid w:val="000C3467"/>
    <w:rsid w:val="000C3CA6"/>
    <w:rsid w:val="000C64D8"/>
    <w:rsid w:val="000D1267"/>
    <w:rsid w:val="000D1D50"/>
    <w:rsid w:val="000D5782"/>
    <w:rsid w:val="000E02EE"/>
    <w:rsid w:val="000E6613"/>
    <w:rsid w:val="000E7119"/>
    <w:rsid w:val="000E7D3F"/>
    <w:rsid w:val="00102434"/>
    <w:rsid w:val="00104A6B"/>
    <w:rsid w:val="00105C17"/>
    <w:rsid w:val="00114E9B"/>
    <w:rsid w:val="00115DEC"/>
    <w:rsid w:val="00124454"/>
    <w:rsid w:val="00142216"/>
    <w:rsid w:val="00144D6A"/>
    <w:rsid w:val="0014729F"/>
    <w:rsid w:val="00154BEB"/>
    <w:rsid w:val="00155BAD"/>
    <w:rsid w:val="00155E10"/>
    <w:rsid w:val="00157BAB"/>
    <w:rsid w:val="001654D1"/>
    <w:rsid w:val="00174518"/>
    <w:rsid w:val="00174E25"/>
    <w:rsid w:val="0018106D"/>
    <w:rsid w:val="001877A7"/>
    <w:rsid w:val="001904C1"/>
    <w:rsid w:val="00191536"/>
    <w:rsid w:val="00196687"/>
    <w:rsid w:val="001C041F"/>
    <w:rsid w:val="001C0962"/>
    <w:rsid w:val="001D67FC"/>
    <w:rsid w:val="001D7531"/>
    <w:rsid w:val="001E34D5"/>
    <w:rsid w:val="001E45DD"/>
    <w:rsid w:val="001E737D"/>
    <w:rsid w:val="001F0592"/>
    <w:rsid w:val="001F7506"/>
    <w:rsid w:val="002006CD"/>
    <w:rsid w:val="00202B36"/>
    <w:rsid w:val="00204B7A"/>
    <w:rsid w:val="00204CDE"/>
    <w:rsid w:val="0020795C"/>
    <w:rsid w:val="0021040D"/>
    <w:rsid w:val="0021101A"/>
    <w:rsid w:val="00214303"/>
    <w:rsid w:val="00220536"/>
    <w:rsid w:val="0023027D"/>
    <w:rsid w:val="00231C76"/>
    <w:rsid w:val="002351F1"/>
    <w:rsid w:val="00235629"/>
    <w:rsid w:val="00246880"/>
    <w:rsid w:val="00256052"/>
    <w:rsid w:val="002570E4"/>
    <w:rsid w:val="00260C38"/>
    <w:rsid w:val="002616C0"/>
    <w:rsid w:val="00262C4D"/>
    <w:rsid w:val="00265372"/>
    <w:rsid w:val="002662AA"/>
    <w:rsid w:val="00280496"/>
    <w:rsid w:val="00294DC9"/>
    <w:rsid w:val="00295495"/>
    <w:rsid w:val="002967F2"/>
    <w:rsid w:val="00296B13"/>
    <w:rsid w:val="002A31DE"/>
    <w:rsid w:val="002B2613"/>
    <w:rsid w:val="002C2943"/>
    <w:rsid w:val="002C613E"/>
    <w:rsid w:val="002C7952"/>
    <w:rsid w:val="002D6D05"/>
    <w:rsid w:val="002F1818"/>
    <w:rsid w:val="002F567B"/>
    <w:rsid w:val="002F5A95"/>
    <w:rsid w:val="00303A71"/>
    <w:rsid w:val="003216A9"/>
    <w:rsid w:val="00335A74"/>
    <w:rsid w:val="0036561B"/>
    <w:rsid w:val="0037013F"/>
    <w:rsid w:val="00380C92"/>
    <w:rsid w:val="003A3B29"/>
    <w:rsid w:val="003A484F"/>
    <w:rsid w:val="003A4883"/>
    <w:rsid w:val="003B0BE0"/>
    <w:rsid w:val="003B0C1B"/>
    <w:rsid w:val="003B688C"/>
    <w:rsid w:val="003C0291"/>
    <w:rsid w:val="003C39AE"/>
    <w:rsid w:val="003C5D87"/>
    <w:rsid w:val="003C7B60"/>
    <w:rsid w:val="003D0C0F"/>
    <w:rsid w:val="003D1FB2"/>
    <w:rsid w:val="003D66DA"/>
    <w:rsid w:val="003D72A8"/>
    <w:rsid w:val="003E00DE"/>
    <w:rsid w:val="003E0451"/>
    <w:rsid w:val="003E1310"/>
    <w:rsid w:val="003E4408"/>
    <w:rsid w:val="003E6F55"/>
    <w:rsid w:val="003F31C5"/>
    <w:rsid w:val="00406254"/>
    <w:rsid w:val="00412FA1"/>
    <w:rsid w:val="00417A34"/>
    <w:rsid w:val="004223DE"/>
    <w:rsid w:val="004268E7"/>
    <w:rsid w:val="00432DFE"/>
    <w:rsid w:val="00434489"/>
    <w:rsid w:val="00437085"/>
    <w:rsid w:val="00441A94"/>
    <w:rsid w:val="00443880"/>
    <w:rsid w:val="004464F4"/>
    <w:rsid w:val="004556E2"/>
    <w:rsid w:val="00471401"/>
    <w:rsid w:val="00473F31"/>
    <w:rsid w:val="0048263A"/>
    <w:rsid w:val="00487E5D"/>
    <w:rsid w:val="004A6F98"/>
    <w:rsid w:val="004A711F"/>
    <w:rsid w:val="004B199D"/>
    <w:rsid w:val="004B3CAA"/>
    <w:rsid w:val="004B4690"/>
    <w:rsid w:val="004D0F33"/>
    <w:rsid w:val="004D3597"/>
    <w:rsid w:val="004E0A2D"/>
    <w:rsid w:val="004E1399"/>
    <w:rsid w:val="004E13FD"/>
    <w:rsid w:val="004E206B"/>
    <w:rsid w:val="004E6DF7"/>
    <w:rsid w:val="004F0FBD"/>
    <w:rsid w:val="004F7A3A"/>
    <w:rsid w:val="00505A47"/>
    <w:rsid w:val="00512FDA"/>
    <w:rsid w:val="00520DA0"/>
    <w:rsid w:val="005437CF"/>
    <w:rsid w:val="005653B0"/>
    <w:rsid w:val="005664BB"/>
    <w:rsid w:val="00566FFA"/>
    <w:rsid w:val="0057481D"/>
    <w:rsid w:val="0058486E"/>
    <w:rsid w:val="00585B33"/>
    <w:rsid w:val="0059014D"/>
    <w:rsid w:val="005B283D"/>
    <w:rsid w:val="005B5C64"/>
    <w:rsid w:val="005B79ED"/>
    <w:rsid w:val="005C5337"/>
    <w:rsid w:val="005C6BD0"/>
    <w:rsid w:val="005D1C8B"/>
    <w:rsid w:val="005D468D"/>
    <w:rsid w:val="005D5CED"/>
    <w:rsid w:val="005F1A4C"/>
    <w:rsid w:val="00605688"/>
    <w:rsid w:val="006070AF"/>
    <w:rsid w:val="00607E6C"/>
    <w:rsid w:val="006101B1"/>
    <w:rsid w:val="00614E44"/>
    <w:rsid w:val="006151E8"/>
    <w:rsid w:val="0062270A"/>
    <w:rsid w:val="00622830"/>
    <w:rsid w:val="00623DA0"/>
    <w:rsid w:val="00630AEF"/>
    <w:rsid w:val="006325F8"/>
    <w:rsid w:val="00633463"/>
    <w:rsid w:val="00634627"/>
    <w:rsid w:val="00634C9A"/>
    <w:rsid w:val="006440E4"/>
    <w:rsid w:val="0066343B"/>
    <w:rsid w:val="00664777"/>
    <w:rsid w:val="00667865"/>
    <w:rsid w:val="0067148D"/>
    <w:rsid w:val="006748A4"/>
    <w:rsid w:val="00681A31"/>
    <w:rsid w:val="00683E73"/>
    <w:rsid w:val="006A3141"/>
    <w:rsid w:val="006A5E34"/>
    <w:rsid w:val="006B2422"/>
    <w:rsid w:val="006B2B9A"/>
    <w:rsid w:val="006C1937"/>
    <w:rsid w:val="006F020C"/>
    <w:rsid w:val="0070593B"/>
    <w:rsid w:val="007127B7"/>
    <w:rsid w:val="00713B6C"/>
    <w:rsid w:val="0071798E"/>
    <w:rsid w:val="00723799"/>
    <w:rsid w:val="00734C2E"/>
    <w:rsid w:val="007416B6"/>
    <w:rsid w:val="00746F48"/>
    <w:rsid w:val="0075404D"/>
    <w:rsid w:val="00755445"/>
    <w:rsid w:val="0076182A"/>
    <w:rsid w:val="00767B7E"/>
    <w:rsid w:val="007770C3"/>
    <w:rsid w:val="00784D24"/>
    <w:rsid w:val="00785FBA"/>
    <w:rsid w:val="00786E4A"/>
    <w:rsid w:val="007875EB"/>
    <w:rsid w:val="0079426B"/>
    <w:rsid w:val="00797E14"/>
    <w:rsid w:val="007B01C5"/>
    <w:rsid w:val="007C2933"/>
    <w:rsid w:val="007D1682"/>
    <w:rsid w:val="007D312A"/>
    <w:rsid w:val="007D3F19"/>
    <w:rsid w:val="007E23B0"/>
    <w:rsid w:val="007E23E5"/>
    <w:rsid w:val="007F1991"/>
    <w:rsid w:val="007F2C2F"/>
    <w:rsid w:val="007F55FC"/>
    <w:rsid w:val="007F5665"/>
    <w:rsid w:val="00800112"/>
    <w:rsid w:val="00811515"/>
    <w:rsid w:val="00813348"/>
    <w:rsid w:val="008253BB"/>
    <w:rsid w:val="00826321"/>
    <w:rsid w:val="008275FE"/>
    <w:rsid w:val="0083706E"/>
    <w:rsid w:val="008408F6"/>
    <w:rsid w:val="00841D09"/>
    <w:rsid w:val="008423A5"/>
    <w:rsid w:val="00850625"/>
    <w:rsid w:val="00853718"/>
    <w:rsid w:val="00855221"/>
    <w:rsid w:val="00856E33"/>
    <w:rsid w:val="00860645"/>
    <w:rsid w:val="00871F71"/>
    <w:rsid w:val="00872FD8"/>
    <w:rsid w:val="00885AF4"/>
    <w:rsid w:val="00887342"/>
    <w:rsid w:val="0088780B"/>
    <w:rsid w:val="00887F39"/>
    <w:rsid w:val="0089156B"/>
    <w:rsid w:val="008939CD"/>
    <w:rsid w:val="00896E67"/>
    <w:rsid w:val="008B768C"/>
    <w:rsid w:val="008C4C95"/>
    <w:rsid w:val="008C4DB1"/>
    <w:rsid w:val="008C4EAF"/>
    <w:rsid w:val="008C5176"/>
    <w:rsid w:val="008C657D"/>
    <w:rsid w:val="008C7FD0"/>
    <w:rsid w:val="008E1DE7"/>
    <w:rsid w:val="008E707C"/>
    <w:rsid w:val="00900B08"/>
    <w:rsid w:val="00902155"/>
    <w:rsid w:val="00902FA3"/>
    <w:rsid w:val="00923564"/>
    <w:rsid w:val="0092392E"/>
    <w:rsid w:val="0092510B"/>
    <w:rsid w:val="009315F9"/>
    <w:rsid w:val="00933499"/>
    <w:rsid w:val="00935C98"/>
    <w:rsid w:val="00946945"/>
    <w:rsid w:val="00951248"/>
    <w:rsid w:val="0095152F"/>
    <w:rsid w:val="00954C49"/>
    <w:rsid w:val="00955E37"/>
    <w:rsid w:val="0097099F"/>
    <w:rsid w:val="00971997"/>
    <w:rsid w:val="00971BB2"/>
    <w:rsid w:val="00971FFC"/>
    <w:rsid w:val="0098660A"/>
    <w:rsid w:val="009931C3"/>
    <w:rsid w:val="009A25A5"/>
    <w:rsid w:val="009B2C43"/>
    <w:rsid w:val="009B4EAE"/>
    <w:rsid w:val="009B7573"/>
    <w:rsid w:val="009C22F4"/>
    <w:rsid w:val="009C2A4B"/>
    <w:rsid w:val="009C2E98"/>
    <w:rsid w:val="009C55F8"/>
    <w:rsid w:val="009C5F9C"/>
    <w:rsid w:val="009D118D"/>
    <w:rsid w:val="009D3447"/>
    <w:rsid w:val="009D4711"/>
    <w:rsid w:val="009E1A52"/>
    <w:rsid w:val="009F1185"/>
    <w:rsid w:val="009F18CD"/>
    <w:rsid w:val="009F2A13"/>
    <w:rsid w:val="009F7527"/>
    <w:rsid w:val="00A00C9F"/>
    <w:rsid w:val="00A04EB0"/>
    <w:rsid w:val="00A13CC1"/>
    <w:rsid w:val="00A16847"/>
    <w:rsid w:val="00A237D8"/>
    <w:rsid w:val="00A25B8F"/>
    <w:rsid w:val="00A268C4"/>
    <w:rsid w:val="00A306BA"/>
    <w:rsid w:val="00A307CD"/>
    <w:rsid w:val="00A32C31"/>
    <w:rsid w:val="00A331C8"/>
    <w:rsid w:val="00A33F65"/>
    <w:rsid w:val="00A3670D"/>
    <w:rsid w:val="00A3673D"/>
    <w:rsid w:val="00A40A00"/>
    <w:rsid w:val="00A4142F"/>
    <w:rsid w:val="00A422EB"/>
    <w:rsid w:val="00A452C9"/>
    <w:rsid w:val="00A45BB7"/>
    <w:rsid w:val="00A46A2D"/>
    <w:rsid w:val="00A506E3"/>
    <w:rsid w:val="00A56DF2"/>
    <w:rsid w:val="00A56E6E"/>
    <w:rsid w:val="00A66999"/>
    <w:rsid w:val="00A67AB5"/>
    <w:rsid w:val="00A733B2"/>
    <w:rsid w:val="00A741C2"/>
    <w:rsid w:val="00A74AE6"/>
    <w:rsid w:val="00A91760"/>
    <w:rsid w:val="00A93B00"/>
    <w:rsid w:val="00A93C21"/>
    <w:rsid w:val="00AB64C9"/>
    <w:rsid w:val="00AC3C6A"/>
    <w:rsid w:val="00AC7F05"/>
    <w:rsid w:val="00AD5620"/>
    <w:rsid w:val="00AD656B"/>
    <w:rsid w:val="00AD7C1B"/>
    <w:rsid w:val="00AE16BA"/>
    <w:rsid w:val="00AE1EBE"/>
    <w:rsid w:val="00AE3507"/>
    <w:rsid w:val="00AF33C0"/>
    <w:rsid w:val="00B03C9D"/>
    <w:rsid w:val="00B060AE"/>
    <w:rsid w:val="00B10517"/>
    <w:rsid w:val="00B14E76"/>
    <w:rsid w:val="00B161B8"/>
    <w:rsid w:val="00B2048C"/>
    <w:rsid w:val="00B310B9"/>
    <w:rsid w:val="00B35F3F"/>
    <w:rsid w:val="00B36CBB"/>
    <w:rsid w:val="00B425E0"/>
    <w:rsid w:val="00B440AA"/>
    <w:rsid w:val="00B44B70"/>
    <w:rsid w:val="00B50A58"/>
    <w:rsid w:val="00B53C56"/>
    <w:rsid w:val="00B57DAF"/>
    <w:rsid w:val="00B652AD"/>
    <w:rsid w:val="00B73102"/>
    <w:rsid w:val="00B77EA6"/>
    <w:rsid w:val="00B81598"/>
    <w:rsid w:val="00B841F1"/>
    <w:rsid w:val="00B8645D"/>
    <w:rsid w:val="00B92388"/>
    <w:rsid w:val="00B944D6"/>
    <w:rsid w:val="00BA57C2"/>
    <w:rsid w:val="00BB4DF0"/>
    <w:rsid w:val="00BC289F"/>
    <w:rsid w:val="00BC2D50"/>
    <w:rsid w:val="00BC5361"/>
    <w:rsid w:val="00BC5460"/>
    <w:rsid w:val="00BC5AD5"/>
    <w:rsid w:val="00BC6B50"/>
    <w:rsid w:val="00BD0E25"/>
    <w:rsid w:val="00BF5BD6"/>
    <w:rsid w:val="00C03E31"/>
    <w:rsid w:val="00C04872"/>
    <w:rsid w:val="00C33E72"/>
    <w:rsid w:val="00C354B2"/>
    <w:rsid w:val="00C35554"/>
    <w:rsid w:val="00C42709"/>
    <w:rsid w:val="00C533CC"/>
    <w:rsid w:val="00C56A60"/>
    <w:rsid w:val="00C5751C"/>
    <w:rsid w:val="00C61BFC"/>
    <w:rsid w:val="00C62B85"/>
    <w:rsid w:val="00C64FC3"/>
    <w:rsid w:val="00C65438"/>
    <w:rsid w:val="00C87FD8"/>
    <w:rsid w:val="00C91381"/>
    <w:rsid w:val="00C91CBB"/>
    <w:rsid w:val="00C96088"/>
    <w:rsid w:val="00CB4E70"/>
    <w:rsid w:val="00CC09B6"/>
    <w:rsid w:val="00CC666F"/>
    <w:rsid w:val="00CC7D8F"/>
    <w:rsid w:val="00CD1E3F"/>
    <w:rsid w:val="00CE44F6"/>
    <w:rsid w:val="00CE49DA"/>
    <w:rsid w:val="00CE7B61"/>
    <w:rsid w:val="00D00095"/>
    <w:rsid w:val="00D114F0"/>
    <w:rsid w:val="00D14BE4"/>
    <w:rsid w:val="00D20620"/>
    <w:rsid w:val="00D254F7"/>
    <w:rsid w:val="00D26091"/>
    <w:rsid w:val="00D2685C"/>
    <w:rsid w:val="00D3402C"/>
    <w:rsid w:val="00D34E7C"/>
    <w:rsid w:val="00D35489"/>
    <w:rsid w:val="00D36AFE"/>
    <w:rsid w:val="00D51276"/>
    <w:rsid w:val="00D7035F"/>
    <w:rsid w:val="00D76B25"/>
    <w:rsid w:val="00DA3155"/>
    <w:rsid w:val="00DA634F"/>
    <w:rsid w:val="00DA65AC"/>
    <w:rsid w:val="00DA77DC"/>
    <w:rsid w:val="00DB1913"/>
    <w:rsid w:val="00DC23D6"/>
    <w:rsid w:val="00DC410D"/>
    <w:rsid w:val="00DC5A81"/>
    <w:rsid w:val="00DC68CA"/>
    <w:rsid w:val="00DC7CBA"/>
    <w:rsid w:val="00DD73B7"/>
    <w:rsid w:val="00DF28BC"/>
    <w:rsid w:val="00DF34B9"/>
    <w:rsid w:val="00E01053"/>
    <w:rsid w:val="00E07ACF"/>
    <w:rsid w:val="00E160EA"/>
    <w:rsid w:val="00E203C0"/>
    <w:rsid w:val="00E22696"/>
    <w:rsid w:val="00E331A1"/>
    <w:rsid w:val="00E33202"/>
    <w:rsid w:val="00E336A9"/>
    <w:rsid w:val="00E4474B"/>
    <w:rsid w:val="00E472B1"/>
    <w:rsid w:val="00E50624"/>
    <w:rsid w:val="00E568DF"/>
    <w:rsid w:val="00E64269"/>
    <w:rsid w:val="00E82267"/>
    <w:rsid w:val="00E853CE"/>
    <w:rsid w:val="00E867B6"/>
    <w:rsid w:val="00EA010F"/>
    <w:rsid w:val="00EA5428"/>
    <w:rsid w:val="00EA5770"/>
    <w:rsid w:val="00EB2A23"/>
    <w:rsid w:val="00ED1B63"/>
    <w:rsid w:val="00ED3C1F"/>
    <w:rsid w:val="00ED4085"/>
    <w:rsid w:val="00ED420E"/>
    <w:rsid w:val="00ED6FBE"/>
    <w:rsid w:val="00EE2F57"/>
    <w:rsid w:val="00EF4C34"/>
    <w:rsid w:val="00EF77C6"/>
    <w:rsid w:val="00F0230F"/>
    <w:rsid w:val="00F05438"/>
    <w:rsid w:val="00F1361C"/>
    <w:rsid w:val="00F156F0"/>
    <w:rsid w:val="00F160C7"/>
    <w:rsid w:val="00F2408F"/>
    <w:rsid w:val="00F240E9"/>
    <w:rsid w:val="00F263A9"/>
    <w:rsid w:val="00F36D8F"/>
    <w:rsid w:val="00F417B1"/>
    <w:rsid w:val="00F45853"/>
    <w:rsid w:val="00F50418"/>
    <w:rsid w:val="00F602DF"/>
    <w:rsid w:val="00F653BE"/>
    <w:rsid w:val="00F67D4C"/>
    <w:rsid w:val="00F754A1"/>
    <w:rsid w:val="00F81FD9"/>
    <w:rsid w:val="00F841AA"/>
    <w:rsid w:val="00F842BD"/>
    <w:rsid w:val="00F84A94"/>
    <w:rsid w:val="00F87182"/>
    <w:rsid w:val="00F87E96"/>
    <w:rsid w:val="00FA23E8"/>
    <w:rsid w:val="00FC2D0D"/>
    <w:rsid w:val="00FD3CC1"/>
    <w:rsid w:val="00FD428C"/>
    <w:rsid w:val="00FD51C6"/>
    <w:rsid w:val="00FE5C52"/>
    <w:rsid w:val="00FF1E02"/>
    <w:rsid w:val="00FF30B4"/>
    <w:rsid w:val="00FF3BBD"/>
    <w:rsid w:val="04745A1B"/>
    <w:rsid w:val="083240F4"/>
    <w:rsid w:val="0A2032A3"/>
    <w:rsid w:val="0B8A37D8"/>
    <w:rsid w:val="0F203DE2"/>
    <w:rsid w:val="0F574CE9"/>
    <w:rsid w:val="0F6B309C"/>
    <w:rsid w:val="0FA41D7A"/>
    <w:rsid w:val="109E0A4B"/>
    <w:rsid w:val="10C055FF"/>
    <w:rsid w:val="10FE14EA"/>
    <w:rsid w:val="118107EC"/>
    <w:rsid w:val="11DD6519"/>
    <w:rsid w:val="14945478"/>
    <w:rsid w:val="14B90470"/>
    <w:rsid w:val="15041865"/>
    <w:rsid w:val="153B1DB4"/>
    <w:rsid w:val="157E1C15"/>
    <w:rsid w:val="167A4150"/>
    <w:rsid w:val="16BB723D"/>
    <w:rsid w:val="18015F3F"/>
    <w:rsid w:val="185B28D7"/>
    <w:rsid w:val="1AC14CE9"/>
    <w:rsid w:val="1BBB45F7"/>
    <w:rsid w:val="1BE8440E"/>
    <w:rsid w:val="1CE1589F"/>
    <w:rsid w:val="1D155CEE"/>
    <w:rsid w:val="1D77325B"/>
    <w:rsid w:val="1E786D7F"/>
    <w:rsid w:val="1F036ABA"/>
    <w:rsid w:val="206130E6"/>
    <w:rsid w:val="20F57F95"/>
    <w:rsid w:val="215F782F"/>
    <w:rsid w:val="240371BF"/>
    <w:rsid w:val="25C741E6"/>
    <w:rsid w:val="27842671"/>
    <w:rsid w:val="29FD04D3"/>
    <w:rsid w:val="2A717CEC"/>
    <w:rsid w:val="2ABE7A3E"/>
    <w:rsid w:val="2B2717FD"/>
    <w:rsid w:val="2BAC0068"/>
    <w:rsid w:val="2C8132A3"/>
    <w:rsid w:val="2EF62202"/>
    <w:rsid w:val="2EFA178C"/>
    <w:rsid w:val="30B46D73"/>
    <w:rsid w:val="31267093"/>
    <w:rsid w:val="319F7F4E"/>
    <w:rsid w:val="3215350D"/>
    <w:rsid w:val="36633A19"/>
    <w:rsid w:val="37873738"/>
    <w:rsid w:val="37F61AE2"/>
    <w:rsid w:val="389553B8"/>
    <w:rsid w:val="39AE70AB"/>
    <w:rsid w:val="3C0C0783"/>
    <w:rsid w:val="3C720F1C"/>
    <w:rsid w:val="3F9F3A96"/>
    <w:rsid w:val="40393E48"/>
    <w:rsid w:val="419A0157"/>
    <w:rsid w:val="436662F2"/>
    <w:rsid w:val="43BE70CD"/>
    <w:rsid w:val="44AC4BB6"/>
    <w:rsid w:val="46A47E62"/>
    <w:rsid w:val="46BB3379"/>
    <w:rsid w:val="493C27E9"/>
    <w:rsid w:val="496F39ED"/>
    <w:rsid w:val="49FF41D3"/>
    <w:rsid w:val="4A066E8B"/>
    <w:rsid w:val="4ADB1D1B"/>
    <w:rsid w:val="4B532D0D"/>
    <w:rsid w:val="4BE068DB"/>
    <w:rsid w:val="4BF6002B"/>
    <w:rsid w:val="4D8C6FA3"/>
    <w:rsid w:val="4ECE2238"/>
    <w:rsid w:val="4EEF75AC"/>
    <w:rsid w:val="514B6BB7"/>
    <w:rsid w:val="51DB4B86"/>
    <w:rsid w:val="55333C3E"/>
    <w:rsid w:val="5546444E"/>
    <w:rsid w:val="566761F8"/>
    <w:rsid w:val="569E48CE"/>
    <w:rsid w:val="593A3017"/>
    <w:rsid w:val="5B0078BD"/>
    <w:rsid w:val="5C3153B7"/>
    <w:rsid w:val="5F4A751B"/>
    <w:rsid w:val="60EF2E79"/>
    <w:rsid w:val="61251748"/>
    <w:rsid w:val="62146F60"/>
    <w:rsid w:val="64CA39A1"/>
    <w:rsid w:val="670B1BCD"/>
    <w:rsid w:val="69334665"/>
    <w:rsid w:val="69A00A1D"/>
    <w:rsid w:val="6B393774"/>
    <w:rsid w:val="6C4A05C8"/>
    <w:rsid w:val="6C550034"/>
    <w:rsid w:val="6C564753"/>
    <w:rsid w:val="6D962F1F"/>
    <w:rsid w:val="6F444811"/>
    <w:rsid w:val="6FBC771B"/>
    <w:rsid w:val="702D358E"/>
    <w:rsid w:val="70441148"/>
    <w:rsid w:val="71E0276A"/>
    <w:rsid w:val="72734D90"/>
    <w:rsid w:val="730802CD"/>
    <w:rsid w:val="753B520B"/>
    <w:rsid w:val="75977274"/>
    <w:rsid w:val="79E623F4"/>
    <w:rsid w:val="79E7B28D"/>
    <w:rsid w:val="7D2870F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unhideWhenUsed/>
    <w:qFormat/>
    <w:uiPriority w:val="99"/>
    <w:pPr>
      <w:ind w:firstLine="420" w:firstLineChars="200"/>
    </w:pPr>
    <w:rPr>
      <w:rFonts w:eastAsiaTheme="minorEastAsia" w:cstheme="minorBidi"/>
    </w:rPr>
  </w:style>
  <w:style w:type="paragraph" w:styleId="3">
    <w:name w:val="Body Text Indent"/>
    <w:basedOn w:val="1"/>
    <w:next w:val="2"/>
    <w:link w:val="38"/>
    <w:semiHidden/>
    <w:unhideWhenUsed/>
    <w:qFormat/>
    <w:uiPriority w:val="99"/>
    <w:pPr>
      <w:spacing w:after="120"/>
      <w:ind w:left="420" w:leftChars="200"/>
    </w:pPr>
  </w:style>
  <w:style w:type="paragraph" w:styleId="7">
    <w:name w:val="Salutation"/>
    <w:basedOn w:val="1"/>
    <w:next w:val="1"/>
    <w:qFormat/>
    <w:uiPriority w:val="0"/>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2"/>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paragraph" w:customStyle="1" w:styleId="21">
    <w:name w:val="BodyText1I2"/>
    <w:basedOn w:val="22"/>
    <w:qFormat/>
    <w:uiPriority w:val="0"/>
    <w:pPr>
      <w:spacing w:before="100" w:beforeAutospacing="1" w:after="100" w:afterAutospacing="1"/>
      <w:ind w:firstLine="420" w:firstLineChars="200"/>
    </w:pPr>
  </w:style>
  <w:style w:type="paragraph" w:customStyle="1" w:styleId="22">
    <w:name w:val="BodyTextIndent"/>
    <w:basedOn w:val="1"/>
    <w:qFormat/>
    <w:uiPriority w:val="0"/>
    <w:pPr>
      <w:spacing w:after="120"/>
      <w:ind w:left="420" w:leftChars="200"/>
      <w:textAlignment w:val="baseline"/>
    </w:p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4"/>
    <w:qFormat/>
    <w:uiPriority w:val="9"/>
    <w:rPr>
      <w:rFonts w:ascii="Times New Roman" w:hAnsi="Times New Roman"/>
      <w:b/>
      <w:bCs/>
      <w:kern w:val="44"/>
      <w:sz w:val="44"/>
      <w:szCs w:val="44"/>
    </w:rPr>
  </w:style>
  <w:style w:type="character" w:customStyle="1" w:styleId="32">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正文首行缩进 2 Char"/>
    <w:basedOn w:val="38"/>
    <w:link w:val="2"/>
    <w:qFormat/>
    <w:uiPriority w:val="99"/>
  </w:style>
  <w:style w:type="character" w:customStyle="1" w:styleId="38">
    <w:name w:val="正文文本缩进 Char"/>
    <w:basedOn w:val="18"/>
    <w:link w:val="3"/>
    <w:semiHidden/>
    <w:qFormat/>
    <w:uiPriority w:val="99"/>
    <w:rPr>
      <w:rFonts w:ascii="Times New Roman" w:hAnsi="Times New Roman" w:eastAsia="宋体" w:cs="Times New Roman"/>
      <w:kern w:val="2"/>
      <w:sz w:val="21"/>
      <w:szCs w:val="24"/>
    </w:rPr>
  </w:style>
  <w:style w:type="character" w:customStyle="1" w:styleId="39">
    <w:name w:val="正文首行缩进 2 Char1"/>
    <w:basedOn w:val="38"/>
    <w:link w:val="2"/>
    <w:semiHidden/>
    <w:qFormat/>
    <w:uiPriority w:val="99"/>
  </w:style>
  <w:style w:type="paragraph" w:customStyle="1" w:styleId="40">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chart" Target="charts/chart2.xm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0415076105339455"/>
          <c:y val="0.167233319167021"/>
          <c:w val="0.930345494080696"/>
          <c:h val="0.63863153421164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年份</c:v>
                </c:pt>
                <c:pt idx="1">
                  <c:v>收入</c:v>
                </c:pt>
                <c:pt idx="2">
                  <c:v>支出</c:v>
                </c:pt>
                <c:pt idx="3">
                  <c:v>收入增加</c:v>
                </c:pt>
                <c:pt idx="4">
                  <c:v>增长率</c:v>
                </c:pt>
                <c:pt idx="5">
                  <c:v>支出增加</c:v>
                </c:pt>
                <c:pt idx="6">
                  <c:v>增长率</c:v>
                </c:pt>
              </c:strCache>
            </c:strRef>
          </c:cat>
          <c:val>
            <c:numRef>
              <c:f>Sheet1!$B$2:$B$8</c:f>
              <c:numCache>
                <c:formatCode>General</c:formatCode>
                <c:ptCount val="7"/>
                <c:pt idx="0">
                  <c:v>2022</c:v>
                </c:pt>
                <c:pt idx="1">
                  <c:v>2392.23</c:v>
                </c:pt>
                <c:pt idx="2">
                  <c:v>2392.23</c:v>
                </c:pt>
                <c:pt idx="3">
                  <c:v>616.51</c:v>
                </c:pt>
                <c:pt idx="4" c:formatCode="0.00%">
                  <c:v>0.2574</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年份</c:v>
                </c:pt>
                <c:pt idx="1">
                  <c:v>收入</c:v>
                </c:pt>
                <c:pt idx="2">
                  <c:v>支出</c:v>
                </c:pt>
                <c:pt idx="3">
                  <c:v>收入增加</c:v>
                </c:pt>
                <c:pt idx="4">
                  <c:v>增长率</c:v>
                </c:pt>
                <c:pt idx="5">
                  <c:v>支出增加</c:v>
                </c:pt>
                <c:pt idx="6">
                  <c:v>增长率</c:v>
                </c:pt>
              </c:strCache>
            </c:strRef>
          </c:cat>
          <c:val>
            <c:numRef>
              <c:f>Sheet1!$C$2:$C$8</c:f>
              <c:numCache>
                <c:formatCode>General</c:formatCode>
                <c:ptCount val="7"/>
                <c:pt idx="0">
                  <c:v>2023</c:v>
                </c:pt>
                <c:pt idx="1">
                  <c:v>3008.74</c:v>
                </c:pt>
                <c:pt idx="2">
                  <c:v>3008.74</c:v>
                </c:pt>
                <c:pt idx="5">
                  <c:v>616.51</c:v>
                </c:pt>
                <c:pt idx="6" c:formatCode="0.00%">
                  <c:v>0.2577</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Sheet1!$A$2:$A$8</c:f>
              <c:strCache>
                <c:ptCount val="7"/>
                <c:pt idx="0">
                  <c:v>年份</c:v>
                </c:pt>
                <c:pt idx="1">
                  <c:v>收入</c:v>
                </c:pt>
                <c:pt idx="2">
                  <c:v>支出</c:v>
                </c:pt>
                <c:pt idx="3">
                  <c:v>收入增加</c:v>
                </c:pt>
                <c:pt idx="4">
                  <c:v>增长率</c:v>
                </c:pt>
                <c:pt idx="5">
                  <c:v>支出增加</c:v>
                </c:pt>
                <c:pt idx="6">
                  <c:v>增长率</c:v>
                </c:pt>
              </c:strCache>
            </c:strRef>
          </c:cat>
          <c:val>
            <c:numRef>
              <c:f>Sheet1!$D$2:$D$8</c:f>
              <c:numCache>
                <c:formatCode>General</c:formatCode>
                <c:ptCount val="7"/>
                <c:pt idx="0">
                  <c:v>2</c:v>
                </c:pt>
                <c:pt idx="1">
                  <c:v>2</c:v>
                </c:pt>
                <c:pt idx="2">
                  <c:v>3</c:v>
                </c:pt>
                <c:pt idx="3">
                  <c:v>5</c:v>
                </c:pt>
              </c:numCache>
            </c:numRef>
          </c:val>
        </c:ser>
        <c:dLbls>
          <c:showLegendKey val="0"/>
          <c:showVal val="0"/>
          <c:showCatName val="0"/>
          <c:showSerName val="0"/>
          <c:showPercent val="0"/>
          <c:showBubbleSize val="0"/>
        </c:dLbls>
        <c:gapWidth val="246"/>
        <c:overlap val="-28"/>
        <c:axId val="151155072"/>
        <c:axId val="151156608"/>
      </c:barChart>
      <c:catAx>
        <c:axId val="1511550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156608"/>
        <c:crosses val="autoZero"/>
        <c:auto val="1"/>
        <c:lblAlgn val="ctr"/>
        <c:lblOffset val="100"/>
        <c:noMultiLvlLbl val="0"/>
      </c:catAx>
      <c:valAx>
        <c:axId val="15115660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155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Sheet1!$A$3:$A$8</c:f>
              <c:strCache>
                <c:ptCount val="6"/>
                <c:pt idx="0">
                  <c:v>财政拨款收入</c:v>
                </c:pt>
                <c:pt idx="1">
                  <c:v>财政拨款支出</c:v>
                </c:pt>
                <c:pt idx="2">
                  <c:v>财政拨款收入减少</c:v>
                </c:pt>
                <c:pt idx="3">
                  <c:v>减少率</c:v>
                </c:pt>
                <c:pt idx="4">
                  <c:v>财政拨款支出减少</c:v>
                </c:pt>
                <c:pt idx="5">
                  <c:v>减少率</c:v>
                </c:pt>
              </c:strCache>
            </c:strRef>
          </c:cat>
          <c:val>
            <c:numRef>
              <c:f>Sheet1!$B$3:$B$8</c:f>
              <c:numCache>
                <c:formatCode>General</c:formatCode>
                <c:ptCount val="6"/>
                <c:pt idx="0">
                  <c:v>863.74</c:v>
                </c:pt>
                <c:pt idx="1">
                  <c:v>863</c:v>
                </c:pt>
                <c:pt idx="2">
                  <c:v>68.43</c:v>
                </c:pt>
                <c:pt idx="3" c:formatCode="0.00%">
                  <c:v>0.0792</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Sheet1!$A$3:$A$8</c:f>
              <c:strCache>
                <c:ptCount val="6"/>
                <c:pt idx="0">
                  <c:v>财政拨款收入</c:v>
                </c:pt>
                <c:pt idx="1">
                  <c:v>财政拨款支出</c:v>
                </c:pt>
                <c:pt idx="2">
                  <c:v>财政拨款收入减少</c:v>
                </c:pt>
                <c:pt idx="3">
                  <c:v>减少率</c:v>
                </c:pt>
                <c:pt idx="4">
                  <c:v>财政拨款支出减少</c:v>
                </c:pt>
                <c:pt idx="5">
                  <c:v>减少率</c:v>
                </c:pt>
              </c:strCache>
            </c:strRef>
          </c:cat>
          <c:val>
            <c:numRef>
              <c:f>Sheet1!$C$3:$C$8</c:f>
              <c:numCache>
                <c:formatCode>General</c:formatCode>
                <c:ptCount val="6"/>
                <c:pt idx="0">
                  <c:v>795.31</c:v>
                </c:pt>
                <c:pt idx="1">
                  <c:v>795.31</c:v>
                </c:pt>
                <c:pt idx="4">
                  <c:v>68.43</c:v>
                </c:pt>
                <c:pt idx="5" c:formatCode="0.00%">
                  <c:v>0.0792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Sheet1!$A$3:$A$8</c:f>
              <c:strCache>
                <c:ptCount val="6"/>
                <c:pt idx="0">
                  <c:v>财政拨款收入</c:v>
                </c:pt>
                <c:pt idx="1">
                  <c:v>财政拨款支出</c:v>
                </c:pt>
                <c:pt idx="2">
                  <c:v>财政拨款收入减少</c:v>
                </c:pt>
                <c:pt idx="3">
                  <c:v>减少率</c:v>
                </c:pt>
                <c:pt idx="4">
                  <c:v>财政拨款支出减少</c:v>
                </c:pt>
                <c:pt idx="5">
                  <c:v>减少率</c:v>
                </c:pt>
              </c:strCache>
            </c:strRef>
          </c:cat>
          <c:val>
            <c:numRef>
              <c:f>Sheet1!$D$3:$D$8</c:f>
              <c:numCache>
                <c:formatCode>General</c:formatCode>
                <c:ptCount val="6"/>
              </c:numCache>
            </c:numRef>
          </c:val>
        </c:ser>
        <c:dLbls>
          <c:showLegendKey val="0"/>
          <c:showVal val="0"/>
          <c:showCatName val="0"/>
          <c:showSerName val="0"/>
          <c:showPercent val="0"/>
          <c:showBubbleSize val="0"/>
        </c:dLbls>
        <c:gapWidth val="246"/>
        <c:overlap val="-28"/>
        <c:axId val="160527488"/>
        <c:axId val="160529408"/>
      </c:barChart>
      <c:catAx>
        <c:axId val="1605274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29408"/>
        <c:crosses val="autoZero"/>
        <c:auto val="1"/>
        <c:lblAlgn val="ctr"/>
        <c:lblOffset val="100"/>
        <c:noMultiLvlLbl val="0"/>
      </c:catAx>
      <c:valAx>
        <c:axId val="16052940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27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A4FD8-F116-48A4-BA2C-D8E1776D43A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1641</Words>
  <Characters>9360</Characters>
  <Lines>78</Lines>
  <Paragraphs>21</Paragraphs>
  <TotalTime>20</TotalTime>
  <ScaleCrop>false</ScaleCrop>
  <LinksUpToDate>false</LinksUpToDate>
  <CharactersWithSpaces>10980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2022-09-16T08:50:00Z</dcterms:created>
  <dc:creator>曹颖</dc:creator>
  <cp:lastModifiedBy>伍哥</cp:lastModifiedBy>
  <cp:lastPrinted>2022-08-06T02:23:00Z</cp:lastPrinted>
  <dcterms:modified xsi:type="dcterms:W3CDTF">2024-09-29T01:06:55Z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CC0CDCCFF28C49BE8416E473490902CA</vt:lpwstr>
  </property>
  <property fmtid="{D5CDD505-2E9C-101B-9397-08002B2CF9AE}" pid="4" name="KSOSaveFontToCloudKey">
    <vt:lpwstr>659783407_btnclosed</vt:lpwstr>
  </property>
</Properties>
</file>