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475"/>
      <w:bookmarkStart w:id="1" w:name="_Toc15377425"/>
      <w:bookmarkStart w:id="2" w:name="_Toc15396597"/>
      <w:bookmarkStart w:id="3" w:name="_Toc15378441"/>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96598"/>
      <w:bookmarkStart w:id="7" w:name="_Toc15378442"/>
      <w:bookmarkStart w:id="8" w:name="_Toc15377426"/>
      <w:bookmarkStart w:id="9" w:name="_Toc15377194"/>
      <w:bookmarkStart w:id="10" w:name="_Toc15306268"/>
      <w:bookmarkStart w:id="11" w:name="_Toc15396476"/>
      <w:r>
        <w:rPr>
          <w:rFonts w:hint="eastAsia" w:ascii="方正小标宋简体" w:hAnsi="宋体" w:eastAsia="方正小标宋简体"/>
          <w:color w:val="000000"/>
          <w:sz w:val="72"/>
          <w:szCs w:val="72"/>
        </w:rPr>
        <w:t>广元市利州区</w:t>
      </w:r>
    </w:p>
    <w:p>
      <w:pPr>
        <w:widowControl/>
        <w:jc w:val="center"/>
        <w:rPr>
          <w:rFonts w:ascii="黑体" w:hAnsi="黑体" w:eastAsia="黑体"/>
          <w:color w:val="auto"/>
          <w:sz w:val="48"/>
          <w:szCs w:val="48"/>
          <w:highlight w:val="none"/>
        </w:rPr>
      </w:pPr>
      <w:r>
        <w:rPr>
          <w:rFonts w:hint="eastAsia" w:ascii="方正小标宋简体" w:hAnsi="宋体" w:eastAsia="方正小标宋简体"/>
          <w:color w:val="000000"/>
          <w:sz w:val="72"/>
          <w:szCs w:val="72"/>
        </w:rPr>
        <w:t>工商业联合会部门决算</w:t>
      </w:r>
      <w:bookmarkEnd w:id="6"/>
      <w:bookmarkEnd w:id="7"/>
      <w:bookmarkEnd w:id="8"/>
      <w:bookmarkEnd w:id="9"/>
      <w:bookmarkEnd w:id="10"/>
      <w:bookmarkEnd w:id="11"/>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hint="eastAsia" w:ascii="仿宋_GB2312" w:hAnsi="仿宋_GB2312" w:eastAsia="仿宋_GB2312" w:cs="仿宋_GB2312"/>
          <w:color w:val="auto"/>
          <w:sz w:val="32"/>
          <w:szCs w:val="32"/>
          <w:highlight w:val="none"/>
        </w:rPr>
      </w:pPr>
    </w:p>
    <w:p>
      <w:pPr>
        <w:pStyle w:val="1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公开时间：20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bookmarkStart w:id="78" w:name="_GoBack"/>
      <w:bookmarkEnd w:id="78"/>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sz w:val="28"/>
          <w:szCs w:val="28"/>
          <w:highlight w:val="none"/>
        </w:rPr>
      </w:pPr>
    </w:p>
    <w:p>
      <w:pPr>
        <w:pStyle w:val="10"/>
        <w:adjustRightInd w:val="0"/>
        <w:snapToGrid w:val="0"/>
        <w:spacing w:before="0"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第一部分 部门概况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4</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一、基本职能及主要工作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4</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二、机构设置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6</w:t>
      </w:r>
    </w:p>
    <w:p>
      <w:pPr>
        <w:pStyle w:val="10"/>
        <w:adjustRightInd w:val="0"/>
        <w:snapToGrid w:val="0"/>
        <w:spacing w:before="0"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第二部分</w:t>
      </w:r>
      <w:r>
        <w:rPr>
          <w:rFonts w:hint="eastAsia" w:ascii="仿宋_GB2312" w:hAnsi="仿宋_GB2312" w:eastAsia="仿宋_GB2312" w:cs="仿宋_GB2312"/>
          <w:color w:val="auto"/>
          <w:sz w:val="24"/>
          <w:szCs w:val="24"/>
          <w:highlight w:val="none"/>
          <w:lang w:val="en-US" w:eastAsia="zh-CN"/>
        </w:rPr>
        <w:t xml:space="preserve"> 2021年度</w:t>
      </w:r>
      <w:r>
        <w:rPr>
          <w:rFonts w:hint="eastAsia" w:ascii="仿宋_GB2312" w:hAnsi="仿宋_GB2312" w:eastAsia="仿宋_GB2312" w:cs="仿宋_GB2312"/>
          <w:color w:val="auto"/>
          <w:sz w:val="24"/>
          <w:szCs w:val="24"/>
          <w:highlight w:val="none"/>
        </w:rPr>
        <w:t>部门决算情况说明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7</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一、收入支出决算总体情况说明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7</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二、收入决算情况说明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7</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三、支出决算情况说明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8</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四、财政拨款收入支出决算总体情况说明</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8</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五、一般公共预算财政拨款支出决算情况说明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9</w:t>
      </w:r>
    </w:p>
    <w:p>
      <w:pPr>
        <w:pStyle w:val="11"/>
        <w:adjustRightInd w:val="0"/>
        <w:snapToGrid w:val="0"/>
        <w:spacing w:line="440" w:lineRule="exact"/>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六、一般公共预算财政拨款基本支出决算情况说明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12</w:t>
      </w:r>
    </w:p>
    <w:p>
      <w:pPr>
        <w:pStyle w:val="11"/>
        <w:adjustRightInd w:val="0"/>
        <w:snapToGrid w:val="0"/>
        <w:spacing w:line="440" w:lineRule="exact"/>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三公”经费财政拨款支出决算情况说明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13</w:t>
      </w:r>
    </w:p>
    <w:p>
      <w:pPr>
        <w:pStyle w:val="11"/>
        <w:adjustRightInd w:val="0"/>
        <w:snapToGrid w:val="0"/>
        <w:spacing w:line="440" w:lineRule="exact"/>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八、政府性基金预算支出决算情况说明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14</w:t>
      </w:r>
    </w:p>
    <w:p>
      <w:pPr>
        <w:pStyle w:val="11"/>
        <w:adjustRightInd w:val="0"/>
        <w:snapToGrid w:val="0"/>
        <w:spacing w:line="440" w:lineRule="exact"/>
        <w:ind w:leftChars="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九、</w:t>
      </w:r>
      <w:r>
        <w:rPr>
          <w:rFonts w:hint="eastAsia" w:ascii="仿宋_GB2312" w:hAnsi="仿宋_GB2312" w:eastAsia="仿宋_GB2312" w:cs="仿宋_GB2312"/>
          <w:color w:val="auto"/>
          <w:sz w:val="24"/>
          <w:szCs w:val="24"/>
          <w:highlight w:val="none"/>
          <w:lang w:eastAsia="zh-CN"/>
        </w:rPr>
        <w:t>国</w:t>
      </w:r>
      <w:r>
        <w:rPr>
          <w:rFonts w:hint="eastAsia" w:ascii="仿宋_GB2312" w:hAnsi="仿宋_GB2312" w:eastAsia="仿宋_GB2312" w:cs="仿宋_GB2312"/>
          <w:color w:val="auto"/>
          <w:sz w:val="24"/>
          <w:szCs w:val="24"/>
          <w:highlight w:val="none"/>
        </w:rPr>
        <w:t>有资本经营预算支出决算情况说明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14</w:t>
      </w:r>
    </w:p>
    <w:p>
      <w:pPr>
        <w:pStyle w:val="11"/>
        <w:adjustRightInd w:val="0"/>
        <w:snapToGrid w:val="0"/>
        <w:spacing w:line="440" w:lineRule="exact"/>
        <w:ind w:leftChars="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十、预算绩效管理情况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14</w:t>
      </w:r>
    </w:p>
    <w:p>
      <w:pPr>
        <w:pStyle w:val="11"/>
        <w:adjustRightInd w:val="0"/>
        <w:snapToGrid w:val="0"/>
        <w:spacing w:line="440" w:lineRule="exact"/>
        <w:ind w:leftChars="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十一、其他重要事项的情况</w:t>
      </w:r>
      <w:r>
        <w:rPr>
          <w:rFonts w:hint="eastAsia" w:ascii="仿宋_GB2312" w:hAnsi="仿宋_GB2312" w:eastAsia="仿宋_GB2312" w:cs="仿宋_GB2312"/>
          <w:color w:val="auto"/>
          <w:sz w:val="24"/>
          <w:szCs w:val="24"/>
          <w:highlight w:val="none"/>
          <w:lang w:eastAsia="zh-CN"/>
        </w:rPr>
        <w:t>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15</w:t>
      </w:r>
    </w:p>
    <w:p>
      <w:pPr>
        <w:pStyle w:val="10"/>
        <w:adjustRightInd w:val="0"/>
        <w:snapToGrid w:val="0"/>
        <w:spacing w:before="0"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第三部分 名词解释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17</w:t>
      </w:r>
    </w:p>
    <w:p>
      <w:pPr>
        <w:pStyle w:val="10"/>
        <w:adjustRightInd w:val="0"/>
        <w:snapToGrid w:val="0"/>
        <w:spacing w:before="0"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第四部分 附件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20</w:t>
      </w:r>
    </w:p>
    <w:p>
      <w:pPr>
        <w:pStyle w:val="11"/>
        <w:bidi w:val="0"/>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kern w:val="2"/>
          <w:sz w:val="24"/>
          <w:szCs w:val="24"/>
          <w:highlight w:val="none"/>
          <w:lang w:val="en-US" w:eastAsia="zh-CN" w:bidi="ar-SA"/>
        </w:rPr>
        <w:t>2021年广元市利州区工商业联合会部门整体绩效评价报告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20</w:t>
      </w:r>
    </w:p>
    <w:p>
      <w:pPr>
        <w:pStyle w:val="11"/>
        <w:adjustRightInd w:val="0"/>
        <w:snapToGrid w:val="0"/>
        <w:spacing w:line="440" w:lineRule="exact"/>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二、2021年</w:t>
      </w:r>
      <w:r>
        <w:rPr>
          <w:rFonts w:hint="eastAsia" w:ascii="仿宋_GB2312" w:hAnsi="仿宋_GB2312" w:eastAsia="仿宋_GB2312" w:cs="仿宋_GB2312"/>
          <w:color w:val="auto"/>
          <w:sz w:val="24"/>
          <w:szCs w:val="24"/>
          <w:highlight w:val="none"/>
          <w:lang w:val="zh-CN" w:eastAsia="zh-CN"/>
        </w:rPr>
        <w:t>专项预算项目支出绩效自评报告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24</w:t>
      </w:r>
    </w:p>
    <w:p>
      <w:pPr>
        <w:pStyle w:val="11"/>
        <w:adjustRightInd w:val="0"/>
        <w:snapToGrid w:val="0"/>
        <w:spacing w:line="440" w:lineRule="exact"/>
        <w:ind w:firstLine="480" w:firstLineChars="20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1、五好工商联</w:t>
      </w:r>
      <w:r>
        <w:rPr>
          <w:rFonts w:hint="eastAsia" w:ascii="仿宋_GB2312" w:hAnsi="仿宋_GB2312" w:eastAsia="仿宋_GB2312" w:cs="仿宋_GB2312"/>
          <w:color w:val="auto"/>
          <w:sz w:val="24"/>
          <w:szCs w:val="24"/>
          <w:highlight w:val="none"/>
          <w:lang w:val="zh-CN" w:eastAsia="zh-CN"/>
        </w:rPr>
        <w:t>专项预算项目支出绩效自评报告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24</w:t>
      </w:r>
    </w:p>
    <w:p>
      <w:pPr>
        <w:pStyle w:val="11"/>
        <w:adjustRightInd w:val="0"/>
        <w:snapToGrid w:val="0"/>
        <w:spacing w:line="440" w:lineRule="exact"/>
        <w:ind w:firstLine="480" w:firstLineChars="20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2、基层组织建设</w:t>
      </w:r>
      <w:r>
        <w:rPr>
          <w:rFonts w:hint="eastAsia" w:ascii="仿宋_GB2312" w:hAnsi="仿宋_GB2312" w:eastAsia="仿宋_GB2312" w:cs="仿宋_GB2312"/>
          <w:color w:val="auto"/>
          <w:sz w:val="24"/>
          <w:szCs w:val="24"/>
          <w:highlight w:val="none"/>
          <w:lang w:val="zh-CN" w:eastAsia="zh-CN"/>
        </w:rPr>
        <w:t>专项预算项目支出绩效自评报告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28</w:t>
      </w:r>
    </w:p>
    <w:p>
      <w:pPr>
        <w:pStyle w:val="11"/>
        <w:adjustRightInd w:val="0"/>
        <w:snapToGrid w:val="0"/>
        <w:spacing w:line="440" w:lineRule="exact"/>
        <w:ind w:firstLine="480" w:firstLineChars="20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3、招商引资</w:t>
      </w:r>
      <w:r>
        <w:rPr>
          <w:rFonts w:hint="eastAsia" w:ascii="仿宋_GB2312" w:hAnsi="仿宋_GB2312" w:eastAsia="仿宋_GB2312" w:cs="仿宋_GB2312"/>
          <w:color w:val="auto"/>
          <w:sz w:val="24"/>
          <w:szCs w:val="24"/>
          <w:highlight w:val="none"/>
          <w:lang w:val="zh-CN" w:eastAsia="zh-CN"/>
        </w:rPr>
        <w:t>专项预算项目支出绩效自评报告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31</w:t>
      </w:r>
    </w:p>
    <w:p>
      <w:pPr>
        <w:pStyle w:val="11"/>
        <w:adjustRightInd w:val="0"/>
        <w:snapToGrid w:val="0"/>
        <w:spacing w:line="440" w:lineRule="exact"/>
        <w:ind w:firstLine="480" w:firstLineChars="20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4、学习考察调研</w:t>
      </w:r>
      <w:r>
        <w:rPr>
          <w:rFonts w:hint="eastAsia" w:ascii="仿宋_GB2312" w:hAnsi="仿宋_GB2312" w:eastAsia="仿宋_GB2312" w:cs="仿宋_GB2312"/>
          <w:color w:val="auto"/>
          <w:sz w:val="24"/>
          <w:szCs w:val="24"/>
          <w:highlight w:val="none"/>
          <w:lang w:val="zh-CN" w:eastAsia="zh-CN"/>
        </w:rPr>
        <w:t>专项预算项目支出绩效自评报告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34</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第五部分 附表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37</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一、收入支出决算总表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二、收入决算表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三、支出决算表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四、财政拨款收入支出决算总表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五、财政拨款支出决算明细表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六、一般公共预算财政拨款支出决算表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七、一般公共预算财政拨款支出决算明细表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八、一般公共预算财政拨款基本支出决算表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九、一般公共预算财政拨款项目支出决算表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十、一般公共预算财政拨款“三公”经费支出决算表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十一、政府性基金预算财政拨款收入支出决算表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十二、政府性基金预算财政拨款“三公”经费支出决算表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十三、国有资本经营预算</w:t>
      </w:r>
      <w:r>
        <w:rPr>
          <w:rFonts w:hint="eastAsia" w:ascii="仿宋_GB2312" w:hAnsi="仿宋_GB2312" w:eastAsia="仿宋_GB2312" w:cs="仿宋_GB2312"/>
          <w:color w:val="auto"/>
          <w:sz w:val="24"/>
          <w:szCs w:val="24"/>
          <w:highlight w:val="none"/>
          <w:lang w:eastAsia="zh-CN"/>
        </w:rPr>
        <w:t>财政拨款收入</w:t>
      </w:r>
      <w:r>
        <w:rPr>
          <w:rFonts w:hint="eastAsia" w:ascii="仿宋_GB2312" w:hAnsi="仿宋_GB2312" w:eastAsia="仿宋_GB2312" w:cs="仿宋_GB2312"/>
          <w:color w:val="auto"/>
          <w:sz w:val="24"/>
          <w:szCs w:val="24"/>
          <w:highlight w:val="none"/>
        </w:rPr>
        <w:t>支出决算表</w:t>
      </w:r>
    </w:p>
    <w:p>
      <w:pPr>
        <w:pStyle w:val="11"/>
        <w:adjustRightInd w:val="0"/>
        <w:snapToGrid w:val="0"/>
        <w:spacing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5"/>
          <w:rFonts w:hint="eastAsia" w:ascii="黑体" w:hAnsi="黑体" w:eastAsia="黑体"/>
          <w:b w:val="0"/>
          <w:bCs w:val="0"/>
          <w:color w:val="auto"/>
          <w:highlight w:val="none"/>
        </w:rPr>
        <w:t>部门概况</w:t>
      </w:r>
      <w:bookmarkEnd w:id="12"/>
      <w:bookmarkEnd w:id="13"/>
    </w:p>
    <w:p>
      <w:pPr>
        <w:pStyle w:val="4"/>
        <w:pageBreakBefore w:val="0"/>
        <w:widowControl w:val="0"/>
        <w:numPr>
          <w:ilvl w:val="0"/>
          <w:numId w:val="0"/>
        </w:numPr>
        <w:kinsoku/>
        <w:wordWrap/>
        <w:overflowPunct/>
        <w:topLinePunct w:val="0"/>
        <w:autoSpaceDE/>
        <w:autoSpaceDN/>
        <w:bidi w:val="0"/>
        <w:ind w:leftChars="0" w:firstLine="640" w:firstLineChars="200"/>
        <w:textAlignment w:val="auto"/>
        <w:rPr>
          <w:rStyle w:val="26"/>
          <w:rFonts w:hint="eastAsia" w:ascii="黑体" w:hAnsi="黑体" w:eastAsia="黑体" w:cs="黑体"/>
          <w:b w:val="0"/>
          <w:bCs w:val="0"/>
          <w:color w:val="auto"/>
          <w:sz w:val="32"/>
          <w:szCs w:val="32"/>
          <w:highlight w:val="none"/>
        </w:rPr>
      </w:pPr>
      <w:bookmarkStart w:id="14" w:name="_Toc15377197"/>
      <w:bookmarkStart w:id="15" w:name="_Toc15396600"/>
      <w:r>
        <w:rPr>
          <w:rFonts w:hint="eastAsia" w:ascii="黑体" w:hAnsi="黑体" w:eastAsia="黑体" w:cs="黑体"/>
          <w:b w:val="0"/>
          <w:color w:val="auto"/>
          <w:sz w:val="32"/>
          <w:szCs w:val="32"/>
          <w:highlight w:val="none"/>
        </w:rPr>
        <w:t>一、基</w:t>
      </w:r>
      <w:r>
        <w:rPr>
          <w:rStyle w:val="26"/>
          <w:rFonts w:hint="eastAsia" w:ascii="黑体" w:hAnsi="黑体" w:eastAsia="黑体" w:cs="黑体"/>
          <w:b w:val="0"/>
          <w:bCs w:val="0"/>
          <w:color w:val="auto"/>
          <w:sz w:val="32"/>
          <w:szCs w:val="32"/>
          <w:highlight w:val="none"/>
        </w:rPr>
        <w:t>本职能及主要工作</w:t>
      </w:r>
      <w:bookmarkEnd w:id="14"/>
      <w:bookmarkEnd w:id="15"/>
    </w:p>
    <w:p>
      <w:pPr>
        <w:pStyle w:val="2"/>
        <w:pageBreakBefore w:val="0"/>
        <w:widowControl w:val="0"/>
        <w:numPr>
          <w:ilvl w:val="0"/>
          <w:numId w:val="0"/>
        </w:numPr>
        <w:kinsoku/>
        <w:wordWrap/>
        <w:overflowPunct/>
        <w:topLinePunct w:val="0"/>
        <w:autoSpaceDE/>
        <w:autoSpaceDN/>
        <w:bidi w:val="0"/>
        <w:adjustRightInd w:val="0"/>
        <w:snapToGrid w:val="0"/>
        <w:spacing w:before="93" w:line="600" w:lineRule="exact"/>
        <w:ind w:leftChars="0" w:firstLine="640" w:firstLineChars="200"/>
        <w:textAlignment w:val="auto"/>
        <w:outlineLvl w:val="2"/>
        <w:rPr>
          <w:rFonts w:hint="eastAsia" w:ascii="仿宋_GB2312" w:hAnsi="仿宋_GB2312" w:eastAsia="仿宋_GB2312" w:cs="仿宋_GB2312"/>
          <w:bCs/>
          <w:color w:val="auto"/>
          <w:sz w:val="32"/>
          <w:szCs w:val="32"/>
          <w:highlight w:val="none"/>
        </w:rPr>
      </w:pPr>
      <w:bookmarkStart w:id="16" w:name="_Toc15377198"/>
      <w:bookmarkStart w:id="17" w:name="_Toc15378445"/>
      <w:r>
        <w:rPr>
          <w:rFonts w:hint="eastAsia" w:ascii="仿宋_GB2312" w:hAnsi="仿宋_GB2312" w:eastAsia="仿宋_GB2312" w:cs="仿宋_GB2312"/>
          <w:bCs/>
          <w:color w:val="auto"/>
          <w:sz w:val="32"/>
          <w:szCs w:val="32"/>
          <w:highlight w:val="none"/>
        </w:rPr>
        <w:t>（一）主要职能。</w:t>
      </w:r>
    </w:p>
    <w:p>
      <w:pPr>
        <w:pageBreakBefore w:val="0"/>
        <w:widowControl w:val="0"/>
        <w:numPr>
          <w:ilvl w:val="0"/>
          <w:numId w:val="0"/>
        </w:numPr>
        <w:kinsoku/>
        <w:wordWrap/>
        <w:overflowPunct/>
        <w:topLinePunct w:val="0"/>
        <w:autoSpaceDE/>
        <w:autoSpaceDN/>
        <w:bidi w:val="0"/>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加强和改进非公有制经济人士思想政治工作；</w:t>
      </w:r>
    </w:p>
    <w:p>
      <w:pPr>
        <w:pageBreakBefore w:val="0"/>
        <w:widowControl w:val="0"/>
        <w:numPr>
          <w:ilvl w:val="0"/>
          <w:numId w:val="0"/>
        </w:numPr>
        <w:kinsoku/>
        <w:wordWrap/>
        <w:overflowPunct/>
        <w:topLinePunct w:val="0"/>
        <w:autoSpaceDE/>
        <w:autoSpaceDN/>
        <w:bidi w:val="0"/>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参与政治协商，发挥民主监督作用，积极参政议政；</w:t>
      </w:r>
    </w:p>
    <w:p>
      <w:pPr>
        <w:pageBreakBefore w:val="0"/>
        <w:widowControl w:val="0"/>
        <w:numPr>
          <w:ilvl w:val="0"/>
          <w:numId w:val="0"/>
        </w:numPr>
        <w:kinsoku/>
        <w:wordWrap/>
        <w:overflowPunct/>
        <w:topLinePunct w:val="0"/>
        <w:autoSpaceDE/>
        <w:autoSpaceDN/>
        <w:bidi w:val="0"/>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协助政府管理和服务非公有制经济；</w:t>
      </w:r>
    </w:p>
    <w:p>
      <w:pPr>
        <w:pageBreakBefore w:val="0"/>
        <w:widowControl w:val="0"/>
        <w:numPr>
          <w:ilvl w:val="0"/>
          <w:numId w:val="0"/>
        </w:numPr>
        <w:kinsoku/>
        <w:wordWrap/>
        <w:overflowPunct/>
        <w:topLinePunct w:val="0"/>
        <w:autoSpaceDE/>
        <w:autoSpaceDN/>
        <w:bidi w:val="0"/>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促进行业协会、商会改革发展；</w:t>
      </w:r>
    </w:p>
    <w:p>
      <w:pPr>
        <w:pageBreakBefore w:val="0"/>
        <w:widowControl w:val="0"/>
        <w:numPr>
          <w:ilvl w:val="0"/>
          <w:numId w:val="0"/>
        </w:numPr>
        <w:kinsoku/>
        <w:wordWrap/>
        <w:overflowPunct/>
        <w:topLinePunct w:val="0"/>
        <w:autoSpaceDE/>
        <w:autoSpaceDN/>
        <w:bidi w:val="0"/>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参与协调劳动关系，促进社会和谐稳定；</w:t>
      </w:r>
    </w:p>
    <w:p>
      <w:pPr>
        <w:pageBreakBefore w:val="0"/>
        <w:widowControl w:val="0"/>
        <w:numPr>
          <w:ilvl w:val="0"/>
          <w:numId w:val="0"/>
        </w:numPr>
        <w:kinsoku/>
        <w:wordWrap/>
        <w:overflowPunct/>
        <w:topLinePunct w:val="0"/>
        <w:autoSpaceDE/>
        <w:autoSpaceDN/>
        <w:bidi w:val="0"/>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代表并维护会员的合法权益，反映会员的意见、要求和建议，参与经济纠纷的调解、仲裁；</w:t>
      </w:r>
    </w:p>
    <w:p>
      <w:pPr>
        <w:pageBreakBefore w:val="0"/>
        <w:widowControl w:val="0"/>
        <w:numPr>
          <w:ilvl w:val="0"/>
          <w:numId w:val="0"/>
        </w:numPr>
        <w:kinsoku/>
        <w:wordWrap/>
        <w:overflowPunct/>
        <w:topLinePunct w:val="0"/>
        <w:autoSpaceDE/>
        <w:autoSpaceDN/>
        <w:bidi w:val="0"/>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承办党委和政府交办的工作事项。</w:t>
      </w:r>
    </w:p>
    <w:bookmarkEnd w:id="16"/>
    <w:bookmarkEnd w:id="17"/>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hint="eastAsia" w:ascii="仿宋_GB2312" w:hAnsi="仿宋_GB2312" w:eastAsia="仿宋_GB2312" w:cs="仿宋_GB2312"/>
          <w:bCs/>
          <w:color w:val="auto"/>
          <w:sz w:val="32"/>
          <w:szCs w:val="32"/>
          <w:highlight w:val="none"/>
        </w:rPr>
      </w:pPr>
      <w:bookmarkStart w:id="18" w:name="_Toc15378446"/>
      <w:bookmarkStart w:id="19" w:name="_Toc15377199"/>
      <w:r>
        <w:rPr>
          <w:rFonts w:hint="eastAsia" w:ascii="仿宋_GB2312" w:hAnsi="仿宋_GB2312" w:eastAsia="仿宋_GB2312" w:cs="仿宋_GB2312"/>
          <w:bCs/>
          <w:color w:val="auto"/>
          <w:sz w:val="32"/>
          <w:szCs w:val="32"/>
          <w:highlight w:val="none"/>
        </w:rPr>
        <w:t>（二）20</w:t>
      </w:r>
      <w:r>
        <w:rPr>
          <w:rFonts w:hint="eastAsia" w:ascii="仿宋_GB2312" w:hAnsi="仿宋_GB2312" w:eastAsia="仿宋_GB2312" w:cs="仿宋_GB2312"/>
          <w:bCs/>
          <w:color w:val="auto"/>
          <w:sz w:val="32"/>
          <w:szCs w:val="32"/>
          <w:highlight w:val="none"/>
          <w:lang w:val="en-US" w:eastAsia="zh-CN"/>
        </w:rPr>
        <w:t>21</w:t>
      </w:r>
      <w:r>
        <w:rPr>
          <w:rFonts w:hint="eastAsia" w:ascii="仿宋_GB2312" w:hAnsi="仿宋_GB2312" w:eastAsia="仿宋_GB2312" w:cs="仿宋_GB2312"/>
          <w:bCs/>
          <w:color w:val="auto"/>
          <w:sz w:val="32"/>
          <w:szCs w:val="32"/>
          <w:highlight w:val="none"/>
        </w:rPr>
        <w:t>年重点工作完成情况。</w:t>
      </w:r>
      <w:bookmarkEnd w:id="18"/>
      <w:bookmarkEnd w:id="19"/>
    </w:p>
    <w:p>
      <w:pPr>
        <w:pageBreakBefore w:val="0"/>
        <w:kinsoku/>
        <w:wordWrap/>
        <w:overflowPunct/>
        <w:topLinePunct w:val="0"/>
        <w:bidi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非公经济人士不断健康成长。组织参加全区统一战线“同心跟党走、奋进新时代”知识竞赛，荣获一等奖；组织会员代表到红军攻克剑门关遗址、赤化镇苏维埃遗址、红军文化园开展红色教育4次，非公经济人士听党话、跟党走信念进一步坚定。举办“以案说法”专题讲座、税法知识专题培训，培训人数达400余人次。强化非公党建指导。印发了《关于建立基层商会统战工作联络员制度》，全区7个基层商会共配备了7名基层商会统战工作联络员，实现了商会统战工作联络员全覆盖。</w:t>
      </w:r>
    </w:p>
    <w:p>
      <w:pPr>
        <w:pageBreakBefore w:val="0"/>
        <w:kinsoku/>
        <w:wordWrap/>
        <w:overflowPunct/>
        <w:topLinePunct w:val="0"/>
        <w:bidi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工商联参政议政作用不断彰显。全年市区两级人大代表和政协委员共提交各类的提案建议52件，其中6件提案获得第八届区政协优秀提案，6名区工商联副主席（副会长）被评为第八届区政协优秀委员。加强重点课题调研。撰写《关于加强我区民营企业人才队伍建设》调研文章4篇，《掌上“惠”商，惠商利民》工作经验得到省工商联党组书记陈泉肯定性批示。</w:t>
      </w:r>
    </w:p>
    <w:p>
      <w:pPr>
        <w:pageBreakBefore w:val="0"/>
        <w:kinsoku/>
        <w:wordWrap/>
        <w:overflowPunct/>
        <w:topLinePunct w:val="0"/>
        <w:bidi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助力民营经济发展不断健康发展。与区税务局建立了服务民营企业沟通机制，联合启动了助力小微企业发展“春雨润苗”专项行动，助力税收营商环境得到进一步优化。与区司法局建立了“万所联万会”工作机制，全区8个基层商会与四川瀛卓律师事务所等8个律师事务所建立“一对一”联系合作机制，通过法律咨询、普法宣传、权益维护、纠纷调解等法律服务，助力民营企业健康发展。加强与银行沟通对接，在宝轮商会、东坝商会分别举办2次银企对接会，帮助民营企业解决融资难融资贵问题。加强对外交流合作。先后赴重庆渝北区工商联、贵州四川总商会、剑阁县、苍溪县工商联考察学习，接待广汉工业集中发展区商会、旺苍县工商联等地来我区考察交流、互学互鉴。</w:t>
      </w:r>
    </w:p>
    <w:p>
      <w:pPr>
        <w:pageBreakBefore w:val="0"/>
        <w:kinsoku/>
        <w:wordWrap/>
        <w:overflowPunct/>
        <w:topLinePunct w:val="0"/>
        <w:bidi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工商联组织建设不断夯实。圆满完成区工商联七届换届工作，共选出执委56名，兼职副主席（副会长）34名，确保了工商联班子的有效衔接。加强会员发展，全年共新发展会员30余名，其中团体会员2名。稳步推进“四好”商会建设，区工商联被全国工商联表彰为2020—2021年度全国“五好”县级工商联，宝轮镇商会被全国工商联表彰为2019-2020年全国“四好”商会。</w:t>
      </w:r>
    </w:p>
    <w:p>
      <w:pPr>
        <w:pStyle w:val="4"/>
        <w:pageBreakBefore w:val="0"/>
        <w:kinsoku/>
        <w:wordWrap/>
        <w:overflowPunct/>
        <w:topLinePunct w:val="0"/>
        <w:bidi w:val="0"/>
        <w:ind w:firstLine="640" w:firstLineChars="200"/>
        <w:textAlignment w:val="auto"/>
        <w:rPr>
          <w:rStyle w:val="26"/>
          <w:rFonts w:hint="eastAsia" w:ascii="黑体" w:hAnsi="黑体" w:eastAsia="黑体" w:cs="黑体"/>
          <w:b w:val="0"/>
          <w:bCs w:val="0"/>
          <w:color w:val="auto"/>
          <w:sz w:val="32"/>
          <w:szCs w:val="32"/>
          <w:highlight w:val="none"/>
        </w:rPr>
      </w:pPr>
      <w:bookmarkStart w:id="20" w:name="_Toc15377200"/>
      <w:bookmarkStart w:id="21" w:name="_Toc15396601"/>
      <w:r>
        <w:rPr>
          <w:rFonts w:hint="eastAsia" w:ascii="黑体" w:hAnsi="黑体" w:eastAsia="黑体" w:cs="黑体"/>
          <w:b w:val="0"/>
          <w:color w:val="auto"/>
          <w:sz w:val="32"/>
          <w:szCs w:val="32"/>
          <w:highlight w:val="none"/>
        </w:rPr>
        <w:t>二、机</w:t>
      </w:r>
      <w:r>
        <w:rPr>
          <w:rStyle w:val="26"/>
          <w:rFonts w:hint="eastAsia" w:ascii="黑体" w:hAnsi="黑体" w:eastAsia="黑体" w:cs="黑体"/>
          <w:b w:val="0"/>
          <w:bCs w:val="0"/>
          <w:color w:val="auto"/>
          <w:sz w:val="32"/>
          <w:szCs w:val="32"/>
          <w:highlight w:val="none"/>
        </w:rPr>
        <w:t>构设置</w:t>
      </w:r>
      <w:bookmarkEnd w:id="20"/>
      <w:bookmarkEnd w:id="21"/>
    </w:p>
    <w:p>
      <w:pPr>
        <w:pageBreakBefore w:val="0"/>
        <w:kinsoku/>
        <w:wordWrap/>
        <w:overflowPunct/>
        <w:topLinePunct w:val="0"/>
        <w:bidi w:val="0"/>
        <w:ind w:firstLine="640" w:firstLineChars="200"/>
        <w:textAlignment w:val="auto"/>
        <w:rPr>
          <w:rFonts w:hint="eastAsia" w:ascii="仿宋_GB2312" w:hAnsi="仿宋_GB2312" w:eastAsia="仿宋_GB2312" w:cs="仿宋_GB2312"/>
          <w:sz w:val="32"/>
          <w:szCs w:val="32"/>
        </w:rPr>
      </w:pPr>
      <w:bookmarkStart w:id="22" w:name="_Toc15377432"/>
      <w:bookmarkStart w:id="23" w:name="_Toc15306275"/>
      <w:bookmarkStart w:id="24" w:name="_Toc15378448"/>
      <w:bookmarkStart w:id="25" w:name="_Toc15377201"/>
      <w:r>
        <w:rPr>
          <w:rFonts w:hint="eastAsia" w:ascii="仿宋_GB2312" w:hAnsi="仿宋_GB2312" w:eastAsia="仿宋_GB2312" w:cs="仿宋_GB2312"/>
          <w:sz w:val="32"/>
          <w:szCs w:val="32"/>
        </w:rPr>
        <w:t>广元市利州区工商联下属二级单位0个，其中行政单位0个，参照公务员法管理的事业单位</w:t>
      </w:r>
      <w:r>
        <w:rPr>
          <w:rFonts w:hint="eastAsia" w:ascii="仿宋_GB2312" w:hAnsi="仿宋_GB2312" w:eastAsia="仿宋_GB2312" w:cs="仿宋_GB2312"/>
          <w:bCs/>
          <w:sz w:val="32"/>
          <w:szCs w:val="32"/>
        </w:rPr>
        <w:t>0</w:t>
      </w:r>
      <w:r>
        <w:rPr>
          <w:rFonts w:hint="eastAsia" w:ascii="仿宋_GB2312" w:hAnsi="仿宋_GB2312" w:eastAsia="仿宋_GB2312" w:cs="仿宋_GB2312"/>
          <w:sz w:val="32"/>
          <w:szCs w:val="32"/>
        </w:rPr>
        <w:t>个，其他事业单位0个。</w:t>
      </w:r>
    </w:p>
    <w:p>
      <w:pPr>
        <w:pStyle w:val="2"/>
        <w:pageBreakBefore w:val="0"/>
        <w:kinsoku/>
        <w:wordWrap/>
        <w:overflowPunct/>
        <w:topLinePunct w:val="0"/>
        <w:bidi w:val="0"/>
        <w:adjustRightInd w:val="0"/>
        <w:snapToGrid w:val="0"/>
        <w:spacing w:before="93"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w:t>
      </w:r>
      <w:r>
        <w:rPr>
          <w:rFonts w:hint="eastAsia" w:ascii="仿宋_GB2312" w:hAnsi="仿宋_GB2312" w:eastAsia="仿宋_GB2312" w:cs="仿宋_GB2312"/>
          <w:sz w:val="32"/>
          <w:szCs w:val="32"/>
        </w:rPr>
        <w:t>广元市利州区工商联</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rPr>
        <w:t>年度部门决算编制范围的二级预算单位包括：</w:t>
      </w:r>
    </w:p>
    <w:p>
      <w:pPr>
        <w:pageBreakBefore w:val="0"/>
        <w:widowControl/>
        <w:kinsoku/>
        <w:wordWrap/>
        <w:overflowPunct/>
        <w:topLinePunct w:val="0"/>
        <w:bidi w:val="0"/>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bookmarkEnd w:id="22"/>
    <w:bookmarkEnd w:id="23"/>
    <w:bookmarkEnd w:id="24"/>
    <w:bookmarkEnd w:id="25"/>
    <w:p>
      <w:pPr>
        <w:pageBreakBefore w:val="0"/>
        <w:widowControl/>
        <w:kinsoku/>
        <w:wordWrap/>
        <w:overflowPunct/>
        <w:topLinePunct w:val="0"/>
        <w:bidi w:val="0"/>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br w:type="page"/>
      </w:r>
    </w:p>
    <w:p>
      <w:pPr>
        <w:pStyle w:val="3"/>
        <w:pageBreakBefore w:val="0"/>
        <w:kinsoku/>
        <w:wordWrap/>
        <w:overflowPunct/>
        <w:topLinePunct w:val="0"/>
        <w:bidi w:val="0"/>
        <w:ind w:right="440" w:firstLine="720" w:firstLineChars="200"/>
        <w:jc w:val="center"/>
        <w:textAlignment w:val="auto"/>
        <w:rPr>
          <w:rStyle w:val="25"/>
          <w:rFonts w:hint="eastAsia" w:ascii="黑体" w:hAnsi="黑体" w:eastAsia="黑体" w:cs="黑体"/>
          <w:b w:val="0"/>
          <w:bCs/>
          <w:color w:val="auto"/>
          <w:sz w:val="36"/>
          <w:szCs w:val="36"/>
          <w:highlight w:val="none"/>
        </w:rPr>
      </w:pPr>
      <w:bookmarkStart w:id="26" w:name="_Toc15377204"/>
      <w:bookmarkStart w:id="27" w:name="_Toc15396602"/>
      <w:r>
        <w:rPr>
          <w:rFonts w:hint="eastAsia" w:ascii="黑体" w:hAnsi="黑体" w:eastAsia="黑体" w:cs="黑体"/>
          <w:b w:val="0"/>
          <w:bCs/>
          <w:color w:val="auto"/>
          <w:sz w:val="36"/>
          <w:szCs w:val="36"/>
          <w:highlight w:val="none"/>
        </w:rPr>
        <w:t xml:space="preserve">第二部分 </w:t>
      </w:r>
      <w:r>
        <w:rPr>
          <w:rFonts w:hint="eastAsia" w:ascii="黑体" w:hAnsi="黑体" w:eastAsia="黑体" w:cs="黑体"/>
          <w:b w:val="0"/>
          <w:bCs/>
          <w:color w:val="auto"/>
          <w:sz w:val="36"/>
          <w:szCs w:val="36"/>
          <w:highlight w:val="none"/>
          <w:lang w:val="en-US" w:eastAsia="zh-CN"/>
        </w:rPr>
        <w:t>2021年度</w:t>
      </w:r>
      <w:r>
        <w:rPr>
          <w:rStyle w:val="25"/>
          <w:rFonts w:hint="eastAsia" w:ascii="黑体" w:hAnsi="黑体" w:eastAsia="黑体" w:cs="黑体"/>
          <w:b w:val="0"/>
          <w:bCs/>
          <w:color w:val="auto"/>
          <w:sz w:val="36"/>
          <w:szCs w:val="36"/>
          <w:highlight w:val="none"/>
        </w:rPr>
        <w:t>部门决算情况说明</w:t>
      </w:r>
      <w:bookmarkEnd w:id="26"/>
      <w:bookmarkEnd w:id="27"/>
    </w:p>
    <w:p>
      <w:pPr>
        <w:pageBreakBefore w:val="0"/>
        <w:kinsoku/>
        <w:wordWrap/>
        <w:overflowPunct/>
        <w:topLinePunct w:val="0"/>
        <w:bidi w:val="0"/>
        <w:ind w:firstLine="640" w:firstLineChars="200"/>
        <w:textAlignment w:val="auto"/>
        <w:rPr>
          <w:rFonts w:hint="eastAsia" w:ascii="仿宋_GB2312" w:hAnsi="仿宋_GB2312" w:eastAsia="仿宋_GB2312" w:cs="仿宋_GB2312"/>
          <w:color w:val="auto"/>
          <w:sz w:val="32"/>
          <w:szCs w:val="32"/>
          <w:highlight w:val="none"/>
        </w:rPr>
      </w:pPr>
    </w:p>
    <w:p>
      <w:pPr>
        <w:pStyle w:val="24"/>
        <w:pageBreakBefore w:val="0"/>
        <w:numPr>
          <w:ilvl w:val="0"/>
          <w:numId w:val="0"/>
        </w:numPr>
        <w:kinsoku/>
        <w:wordWrap/>
        <w:overflowPunct/>
        <w:topLinePunct w:val="0"/>
        <w:bidi w:val="0"/>
        <w:spacing w:line="600" w:lineRule="exact"/>
        <w:ind w:leftChars="200"/>
        <w:textAlignment w:val="auto"/>
        <w:outlineLvl w:val="1"/>
        <w:rPr>
          <w:rStyle w:val="26"/>
          <w:rFonts w:hint="eastAsia" w:ascii="黑体" w:hAnsi="黑体" w:eastAsia="黑体" w:cs="黑体"/>
          <w:b w:val="0"/>
          <w:color w:val="auto"/>
          <w:sz w:val="32"/>
          <w:szCs w:val="32"/>
          <w:highlight w:val="none"/>
        </w:rPr>
      </w:pPr>
      <w:bookmarkStart w:id="28" w:name="_Toc15377205"/>
      <w:bookmarkStart w:id="29" w:name="_Toc15396603"/>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收</w:t>
      </w:r>
      <w:r>
        <w:rPr>
          <w:rStyle w:val="26"/>
          <w:rFonts w:hint="eastAsia" w:ascii="黑体" w:hAnsi="黑体" w:eastAsia="黑体" w:cs="黑体"/>
          <w:b w:val="0"/>
          <w:color w:val="auto"/>
          <w:sz w:val="32"/>
          <w:szCs w:val="32"/>
          <w:highlight w:val="none"/>
        </w:rPr>
        <w:t>入支出决算总体情况说明</w:t>
      </w:r>
      <w:bookmarkEnd w:id="28"/>
      <w:bookmarkEnd w:id="29"/>
    </w:p>
    <w:p>
      <w:pPr>
        <w:pageBreakBefore w:val="0"/>
        <w:kinsoku/>
        <w:wordWrap/>
        <w:overflowPunct/>
        <w:topLinePunct w:val="0"/>
        <w:bidi w:val="0"/>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年度收入总计</w:t>
      </w:r>
      <w:r>
        <w:rPr>
          <w:rFonts w:hint="eastAsia" w:ascii="仿宋_GB2312" w:hAnsi="仿宋_GB2312" w:eastAsia="仿宋_GB2312" w:cs="仿宋_GB2312"/>
          <w:color w:val="000000"/>
          <w:sz w:val="32"/>
          <w:szCs w:val="32"/>
          <w:lang w:val="en-US" w:eastAsia="zh-CN"/>
        </w:rPr>
        <w:t>156.23</w:t>
      </w:r>
      <w:r>
        <w:rPr>
          <w:rFonts w:hint="eastAsia" w:ascii="仿宋_GB2312" w:hAnsi="仿宋_GB2312" w:eastAsia="仿宋_GB2312" w:cs="仿宋_GB2312"/>
          <w:color w:val="000000"/>
          <w:sz w:val="32"/>
          <w:szCs w:val="32"/>
        </w:rPr>
        <w:t>万元，支出总计</w:t>
      </w:r>
      <w:r>
        <w:rPr>
          <w:rFonts w:hint="eastAsia" w:ascii="仿宋_GB2312" w:hAnsi="仿宋_GB2312" w:eastAsia="仿宋_GB2312" w:cs="仿宋_GB2312"/>
          <w:color w:val="000000"/>
          <w:sz w:val="32"/>
          <w:szCs w:val="32"/>
          <w:lang w:val="en-US" w:eastAsia="zh-CN"/>
        </w:rPr>
        <w:t>181.02</w:t>
      </w:r>
      <w:r>
        <w:rPr>
          <w:rFonts w:hint="eastAsia" w:ascii="仿宋_GB2312" w:hAnsi="仿宋_GB2312" w:eastAsia="仿宋_GB2312" w:cs="仿宋_GB2312"/>
          <w:color w:val="000000"/>
          <w:sz w:val="32"/>
          <w:szCs w:val="32"/>
        </w:rPr>
        <w:t>万元。与20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年相比，收入</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19.92</w:t>
      </w:r>
      <w:r>
        <w:rPr>
          <w:rFonts w:hint="eastAsia" w:ascii="仿宋_GB2312" w:hAnsi="仿宋_GB2312" w:eastAsia="仿宋_GB2312" w:cs="仿宋_GB2312"/>
          <w:color w:val="000000"/>
          <w:sz w:val="32"/>
          <w:szCs w:val="32"/>
        </w:rPr>
        <w:t>万元，支出增加</w:t>
      </w:r>
      <w:r>
        <w:rPr>
          <w:rFonts w:hint="eastAsia" w:ascii="仿宋_GB2312" w:hAnsi="仿宋_GB2312" w:eastAsia="仿宋_GB2312" w:cs="仿宋_GB2312"/>
          <w:color w:val="000000"/>
          <w:sz w:val="32"/>
          <w:szCs w:val="32"/>
          <w:lang w:val="en-US" w:eastAsia="zh-CN"/>
        </w:rPr>
        <w:t>31.74</w:t>
      </w:r>
      <w:r>
        <w:rPr>
          <w:rFonts w:hint="eastAsia" w:ascii="仿宋_GB2312" w:hAnsi="仿宋_GB2312" w:eastAsia="仿宋_GB2312" w:cs="仿宋_GB2312"/>
          <w:color w:val="000000"/>
          <w:sz w:val="32"/>
          <w:szCs w:val="32"/>
        </w:rPr>
        <w:t>万元，收入</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11.31</w:t>
      </w:r>
      <w:r>
        <w:rPr>
          <w:rFonts w:hint="eastAsia" w:ascii="仿宋_GB2312" w:hAnsi="仿宋_GB2312" w:eastAsia="仿宋_GB2312" w:cs="仿宋_GB2312"/>
          <w:color w:val="000000"/>
          <w:sz w:val="32"/>
          <w:szCs w:val="32"/>
        </w:rPr>
        <w:t>%，支出增长</w:t>
      </w:r>
      <w:r>
        <w:rPr>
          <w:rFonts w:hint="eastAsia" w:ascii="仿宋_GB2312" w:hAnsi="仿宋_GB2312" w:eastAsia="仿宋_GB2312" w:cs="仿宋_GB2312"/>
          <w:color w:val="000000"/>
          <w:sz w:val="32"/>
          <w:szCs w:val="32"/>
          <w:lang w:val="en-US" w:eastAsia="zh-CN"/>
        </w:rPr>
        <w:t>21.26</w:t>
      </w:r>
      <w:r>
        <w:rPr>
          <w:rFonts w:hint="eastAsia" w:ascii="仿宋_GB2312" w:hAnsi="仿宋_GB2312" w:eastAsia="仿宋_GB2312" w:cs="仿宋_GB2312"/>
          <w:color w:val="000000"/>
          <w:sz w:val="32"/>
          <w:szCs w:val="32"/>
        </w:rPr>
        <w:t>%。收入</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000000"/>
          <w:sz w:val="32"/>
          <w:szCs w:val="32"/>
          <w:lang w:eastAsia="zh-CN"/>
        </w:rPr>
        <w:t>项目收入减少</w:t>
      </w:r>
      <w:r>
        <w:rPr>
          <w:rFonts w:hint="eastAsia" w:ascii="仿宋_GB2312" w:hAnsi="仿宋_GB2312" w:eastAsia="仿宋_GB2312" w:cs="仿宋_GB2312"/>
          <w:color w:val="000000"/>
          <w:sz w:val="32"/>
          <w:szCs w:val="32"/>
        </w:rPr>
        <w:t>，支出增加主要变动原因是人员</w:t>
      </w:r>
      <w:r>
        <w:rPr>
          <w:rFonts w:hint="eastAsia" w:ascii="仿宋_GB2312" w:hAnsi="仿宋_GB2312" w:eastAsia="仿宋_GB2312" w:cs="仿宋_GB2312"/>
          <w:color w:val="000000"/>
          <w:sz w:val="32"/>
          <w:szCs w:val="32"/>
          <w:lang w:eastAsia="zh-CN"/>
        </w:rPr>
        <w:t>支出增加</w:t>
      </w:r>
      <w:r>
        <w:rPr>
          <w:rFonts w:hint="eastAsia" w:ascii="仿宋_GB2312" w:hAnsi="仿宋_GB2312" w:eastAsia="仿宋_GB2312" w:cs="仿宋_GB2312"/>
          <w:color w:val="000000"/>
          <w:sz w:val="32"/>
          <w:szCs w:val="32"/>
        </w:rPr>
        <w:t>。</w:t>
      </w: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pageBreakBefore w:val="0"/>
        <w:numPr>
          <w:ilvl w:val="0"/>
          <w:numId w:val="0"/>
        </w:numPr>
        <w:kinsoku/>
        <w:wordWrap/>
        <w:overflowPunct/>
        <w:topLinePunct w:val="0"/>
        <w:bidi w:val="0"/>
        <w:spacing w:line="600" w:lineRule="exact"/>
        <w:ind w:leftChars="200"/>
        <w:textAlignment w:val="auto"/>
        <w:outlineLvl w:val="1"/>
        <w:rPr>
          <w:rStyle w:val="26"/>
          <w:rFonts w:hint="eastAsia" w:ascii="黑体" w:hAnsi="黑体" w:eastAsia="黑体" w:cs="黑体"/>
          <w:b w:val="0"/>
          <w:color w:val="auto"/>
          <w:sz w:val="32"/>
          <w:szCs w:val="32"/>
          <w:highlight w:val="none"/>
        </w:rPr>
      </w:pPr>
      <w:bookmarkStart w:id="30" w:name="_1693483726"/>
      <w:bookmarkEnd w:id="30"/>
      <w:bookmarkStart w:id="31" w:name="_Toc15377206"/>
      <w:bookmarkStart w:id="32" w:name="_Toc15396604"/>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收</w:t>
      </w:r>
      <w:r>
        <w:rPr>
          <w:rStyle w:val="26"/>
          <w:rFonts w:hint="eastAsia" w:ascii="黑体" w:hAnsi="黑体" w:eastAsia="黑体" w:cs="黑体"/>
          <w:b w:val="0"/>
          <w:color w:val="auto"/>
          <w:sz w:val="32"/>
          <w:szCs w:val="32"/>
          <w:highlight w:val="none"/>
        </w:rPr>
        <w:t>入决算情况说明</w:t>
      </w:r>
      <w:bookmarkEnd w:id="31"/>
      <w:bookmarkEnd w:id="32"/>
    </w:p>
    <w:p>
      <w:pPr>
        <w:pageBreakBefore w:val="0"/>
        <w:kinsoku/>
        <w:wordWrap/>
        <w:overflowPunct/>
        <w:topLinePunct w:val="0"/>
        <w:bidi w:val="0"/>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年本年收入合计</w:t>
      </w:r>
      <w:r>
        <w:rPr>
          <w:rFonts w:hint="eastAsia" w:ascii="仿宋_GB2312" w:hAnsi="仿宋_GB2312" w:eastAsia="仿宋_GB2312" w:cs="仿宋_GB2312"/>
          <w:color w:val="000000"/>
          <w:sz w:val="32"/>
          <w:szCs w:val="32"/>
          <w:lang w:val="en-US" w:eastAsia="zh-CN"/>
        </w:rPr>
        <w:t>156.23</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156.23</w:t>
      </w:r>
      <w:r>
        <w:rPr>
          <w:rFonts w:hint="eastAsia" w:ascii="仿宋_GB2312" w:hAnsi="仿宋_GB2312" w:eastAsia="仿宋_GB2312" w:cs="仿宋_GB2312"/>
          <w:color w:val="000000"/>
          <w:sz w:val="32"/>
          <w:szCs w:val="32"/>
        </w:rPr>
        <w:t>万元，占100%；政府性基金预算财政拨款收入0万元；上级补助收入0万元0；事业收入0万元；经营收入0万元；附属单位上缴收入0万元；其他收入0万元。</w:t>
      </w:r>
    </w:p>
    <w:p>
      <w:pPr>
        <w:pStyle w:val="24"/>
        <w:pageBreakBefore w:val="0"/>
        <w:numPr>
          <w:ilvl w:val="0"/>
          <w:numId w:val="0"/>
        </w:numPr>
        <w:kinsoku/>
        <w:wordWrap/>
        <w:overflowPunct/>
        <w:topLinePunct w:val="0"/>
        <w:bidi w:val="0"/>
        <w:spacing w:line="600" w:lineRule="exact"/>
        <w:ind w:leftChars="200"/>
        <w:textAlignment w:val="auto"/>
        <w:outlineLvl w:val="1"/>
        <w:rPr>
          <w:rStyle w:val="26"/>
          <w:rFonts w:hint="eastAsia" w:ascii="黑体" w:hAnsi="黑体" w:eastAsia="黑体" w:cs="黑体"/>
          <w:b w:val="0"/>
          <w:color w:val="auto"/>
          <w:sz w:val="32"/>
          <w:szCs w:val="32"/>
          <w:highlight w:val="none"/>
        </w:rPr>
      </w:pPr>
      <w:bookmarkStart w:id="33" w:name="_Toc15377207"/>
      <w:bookmarkStart w:id="34" w:name="_Toc15396605"/>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支</w:t>
      </w:r>
      <w:r>
        <w:rPr>
          <w:rStyle w:val="26"/>
          <w:rFonts w:hint="eastAsia" w:ascii="黑体" w:hAnsi="黑体" w:eastAsia="黑体" w:cs="黑体"/>
          <w:b w:val="0"/>
          <w:color w:val="auto"/>
          <w:sz w:val="32"/>
          <w:szCs w:val="32"/>
          <w:highlight w:val="none"/>
        </w:rPr>
        <w:t>出决算情况说明</w:t>
      </w:r>
      <w:bookmarkEnd w:id="33"/>
      <w:bookmarkEnd w:id="34"/>
    </w:p>
    <w:p>
      <w:pPr>
        <w:pageBreakBefore w:val="0"/>
        <w:kinsoku/>
        <w:wordWrap/>
        <w:overflowPunct/>
        <w:topLinePunct w:val="0"/>
        <w:bidi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年本年支出合计</w:t>
      </w:r>
      <w:r>
        <w:rPr>
          <w:rFonts w:hint="eastAsia" w:ascii="仿宋_GB2312" w:hAnsi="仿宋_GB2312" w:eastAsia="仿宋_GB2312" w:cs="仿宋_GB2312"/>
          <w:color w:val="000000"/>
          <w:sz w:val="32"/>
          <w:szCs w:val="32"/>
          <w:lang w:val="en-US" w:eastAsia="zh-CN"/>
        </w:rPr>
        <w:t>181.02</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154.18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85.18</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26.83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14.82</w:t>
      </w:r>
      <w:r>
        <w:rPr>
          <w:rFonts w:hint="eastAsia" w:ascii="仿宋_GB2312" w:hAnsi="仿宋_GB2312" w:eastAsia="仿宋_GB2312" w:cs="仿宋_GB2312"/>
          <w:color w:val="000000"/>
          <w:sz w:val="32"/>
          <w:szCs w:val="32"/>
        </w:rPr>
        <w:t>%；上缴上级支出0万元；经营支出0万元；对附属单位补助支出0万元。</w:t>
      </w: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auto"/>
          <w:sz w:val="32"/>
          <w:szCs w:val="32"/>
          <w:highlight w:val="none"/>
          <w:shd w:val="pct10" w:color="auto" w:fill="FFFFFF"/>
        </w:rPr>
      </w:pP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auto"/>
          <w:sz w:val="32"/>
          <w:szCs w:val="32"/>
          <w:highlight w:val="none"/>
          <w:shd w:val="pct10" w:color="auto" w:fill="FFFFFF"/>
        </w:rPr>
      </w:pPr>
      <w:r>
        <w:rPr>
          <w:rFonts w:hint="eastAsia" w:ascii="仿宋_GB2312" w:hAnsi="仿宋_GB2312" w:eastAsia="仿宋_GB2312" w:cs="仿宋_GB2312"/>
          <w:sz w:val="32"/>
          <w:szCs w:val="32"/>
        </w:rPr>
        <w:drawing>
          <wp:inline distT="0" distB="0" distL="114300" distR="114300">
            <wp:extent cx="5276850" cy="306705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auto"/>
          <w:sz w:val="32"/>
          <w:szCs w:val="32"/>
          <w:highlight w:val="none"/>
          <w:shd w:val="pct10" w:color="auto" w:fill="FFFFFF"/>
        </w:rPr>
      </w:pP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pPr>
        <w:pageBreakBefore w:val="0"/>
        <w:kinsoku/>
        <w:wordWrap/>
        <w:overflowPunct/>
        <w:topLinePunct w:val="0"/>
        <w:bidi w:val="0"/>
        <w:spacing w:line="600" w:lineRule="exact"/>
        <w:ind w:firstLine="640" w:firstLineChars="200"/>
        <w:textAlignment w:val="auto"/>
        <w:outlineLvl w:val="1"/>
        <w:rPr>
          <w:rStyle w:val="26"/>
          <w:rFonts w:hint="eastAsia" w:ascii="黑体" w:hAnsi="黑体" w:eastAsia="黑体" w:cs="黑体"/>
          <w:b w:val="0"/>
          <w:color w:val="auto"/>
          <w:sz w:val="32"/>
          <w:szCs w:val="32"/>
          <w:highlight w:val="none"/>
        </w:rPr>
      </w:pPr>
      <w:bookmarkStart w:id="35" w:name="_Toc15377208"/>
      <w:bookmarkStart w:id="36" w:name="_Toc15396606"/>
      <w:r>
        <w:rPr>
          <w:rFonts w:hint="eastAsia" w:ascii="黑体" w:hAnsi="黑体" w:eastAsia="黑体" w:cs="黑体"/>
          <w:color w:val="auto"/>
          <w:sz w:val="32"/>
          <w:szCs w:val="32"/>
          <w:highlight w:val="none"/>
        </w:rPr>
        <w:t>四、财</w:t>
      </w:r>
      <w:r>
        <w:rPr>
          <w:rStyle w:val="26"/>
          <w:rFonts w:hint="eastAsia" w:ascii="黑体" w:hAnsi="黑体" w:eastAsia="黑体" w:cs="黑体"/>
          <w:b w:val="0"/>
          <w:color w:val="auto"/>
          <w:sz w:val="32"/>
          <w:szCs w:val="32"/>
          <w:highlight w:val="none"/>
        </w:rPr>
        <w:t>政拨款收入支出决算总体情况说明</w:t>
      </w:r>
      <w:bookmarkEnd w:id="35"/>
      <w:bookmarkEnd w:id="36"/>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年度收入总计</w:t>
      </w:r>
      <w:r>
        <w:rPr>
          <w:rFonts w:hint="eastAsia" w:ascii="仿宋_GB2312" w:hAnsi="仿宋_GB2312" w:eastAsia="仿宋_GB2312" w:cs="仿宋_GB2312"/>
          <w:color w:val="000000"/>
          <w:sz w:val="32"/>
          <w:szCs w:val="32"/>
          <w:lang w:val="en-US" w:eastAsia="zh-CN"/>
        </w:rPr>
        <w:t>156.23</w:t>
      </w:r>
      <w:r>
        <w:rPr>
          <w:rFonts w:hint="eastAsia" w:ascii="仿宋_GB2312" w:hAnsi="仿宋_GB2312" w:eastAsia="仿宋_GB2312" w:cs="仿宋_GB2312"/>
          <w:color w:val="000000"/>
          <w:sz w:val="32"/>
          <w:szCs w:val="32"/>
        </w:rPr>
        <w:t>万元，支出总计</w:t>
      </w:r>
      <w:r>
        <w:rPr>
          <w:rFonts w:hint="eastAsia" w:ascii="仿宋_GB2312" w:hAnsi="仿宋_GB2312" w:eastAsia="仿宋_GB2312" w:cs="仿宋_GB2312"/>
          <w:color w:val="000000"/>
          <w:sz w:val="32"/>
          <w:szCs w:val="32"/>
          <w:lang w:val="en-US" w:eastAsia="zh-CN"/>
        </w:rPr>
        <w:t>181.02</w:t>
      </w:r>
      <w:r>
        <w:rPr>
          <w:rFonts w:hint="eastAsia" w:ascii="仿宋_GB2312" w:hAnsi="仿宋_GB2312" w:eastAsia="仿宋_GB2312" w:cs="仿宋_GB2312"/>
          <w:color w:val="000000"/>
          <w:sz w:val="32"/>
          <w:szCs w:val="32"/>
        </w:rPr>
        <w:t>万元。与20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年相比，收入</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19.92</w:t>
      </w:r>
      <w:r>
        <w:rPr>
          <w:rFonts w:hint="eastAsia" w:ascii="仿宋_GB2312" w:hAnsi="仿宋_GB2312" w:eastAsia="仿宋_GB2312" w:cs="仿宋_GB2312"/>
          <w:color w:val="000000"/>
          <w:sz w:val="32"/>
          <w:szCs w:val="32"/>
        </w:rPr>
        <w:t>万元，支出增加</w:t>
      </w:r>
      <w:r>
        <w:rPr>
          <w:rFonts w:hint="eastAsia" w:ascii="仿宋_GB2312" w:hAnsi="仿宋_GB2312" w:eastAsia="仿宋_GB2312" w:cs="仿宋_GB2312"/>
          <w:color w:val="000000"/>
          <w:sz w:val="32"/>
          <w:szCs w:val="32"/>
          <w:lang w:val="en-US" w:eastAsia="zh-CN"/>
        </w:rPr>
        <w:t>31.75</w:t>
      </w:r>
      <w:r>
        <w:rPr>
          <w:rFonts w:hint="eastAsia" w:ascii="仿宋_GB2312" w:hAnsi="仿宋_GB2312" w:eastAsia="仿宋_GB2312" w:cs="仿宋_GB2312"/>
          <w:color w:val="000000"/>
          <w:sz w:val="32"/>
          <w:szCs w:val="32"/>
        </w:rPr>
        <w:t>万元，收入</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11.31</w:t>
      </w:r>
      <w:r>
        <w:rPr>
          <w:rFonts w:hint="eastAsia" w:ascii="仿宋_GB2312" w:hAnsi="仿宋_GB2312" w:eastAsia="仿宋_GB2312" w:cs="仿宋_GB2312"/>
          <w:color w:val="000000"/>
          <w:sz w:val="32"/>
          <w:szCs w:val="32"/>
        </w:rPr>
        <w:t>%，支出增长</w:t>
      </w:r>
      <w:r>
        <w:rPr>
          <w:rFonts w:hint="eastAsia" w:ascii="仿宋_GB2312" w:hAnsi="仿宋_GB2312" w:eastAsia="仿宋_GB2312" w:cs="仿宋_GB2312"/>
          <w:color w:val="000000"/>
          <w:sz w:val="32"/>
          <w:szCs w:val="32"/>
          <w:lang w:val="en-US" w:eastAsia="zh-CN"/>
        </w:rPr>
        <w:t>21.26</w:t>
      </w:r>
      <w:r>
        <w:rPr>
          <w:rFonts w:hint="eastAsia" w:ascii="仿宋_GB2312" w:hAnsi="仿宋_GB2312" w:eastAsia="仿宋_GB2312" w:cs="仿宋_GB2312"/>
          <w:color w:val="000000"/>
          <w:sz w:val="32"/>
          <w:szCs w:val="32"/>
        </w:rPr>
        <w:t>%。收入</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000000"/>
          <w:sz w:val="32"/>
          <w:szCs w:val="32"/>
          <w:lang w:eastAsia="zh-CN"/>
        </w:rPr>
        <w:t>项目收入减少</w:t>
      </w:r>
      <w:r>
        <w:rPr>
          <w:rFonts w:hint="eastAsia" w:ascii="仿宋_GB2312" w:hAnsi="仿宋_GB2312" w:eastAsia="仿宋_GB2312" w:cs="仿宋_GB2312"/>
          <w:color w:val="000000"/>
          <w:sz w:val="32"/>
          <w:szCs w:val="32"/>
        </w:rPr>
        <w:t>，支出增加主要变动原因是人员</w:t>
      </w:r>
      <w:r>
        <w:rPr>
          <w:rFonts w:hint="eastAsia" w:ascii="仿宋_GB2312" w:hAnsi="仿宋_GB2312" w:eastAsia="仿宋_GB2312" w:cs="仿宋_GB2312"/>
          <w:color w:val="000000"/>
          <w:sz w:val="32"/>
          <w:szCs w:val="32"/>
          <w:lang w:eastAsia="zh-CN"/>
        </w:rPr>
        <w:t>支出增加</w:t>
      </w:r>
      <w:r>
        <w:rPr>
          <w:rFonts w:hint="eastAsia" w:ascii="仿宋_GB2312" w:hAnsi="仿宋_GB2312" w:eastAsia="仿宋_GB2312" w:cs="仿宋_GB2312"/>
          <w:color w:val="000000"/>
          <w:sz w:val="32"/>
          <w:szCs w:val="32"/>
        </w:rPr>
        <w:t>。</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auto"/>
          <w:sz w:val="32"/>
          <w:szCs w:val="32"/>
          <w:highlight w:val="none"/>
        </w:rPr>
      </w:pPr>
    </w:p>
    <w:p>
      <w:pPr>
        <w:pageBreakBefore w:val="0"/>
        <w:kinsoku/>
        <w:wordWrap/>
        <w:overflowPunct/>
        <w:topLinePunct w:val="0"/>
        <w:bidi w:val="0"/>
        <w:spacing w:line="600" w:lineRule="exact"/>
        <w:ind w:firstLine="640" w:firstLineChars="200"/>
        <w:textAlignment w:val="auto"/>
        <w:outlineLvl w:val="1"/>
        <w:rPr>
          <w:rStyle w:val="26"/>
          <w:rFonts w:hint="eastAsia" w:ascii="黑体" w:hAnsi="黑体" w:eastAsia="黑体" w:cs="黑体"/>
          <w:b w:val="0"/>
          <w:color w:val="auto"/>
          <w:sz w:val="32"/>
          <w:szCs w:val="32"/>
          <w:highlight w:val="none"/>
        </w:rPr>
      </w:pPr>
      <w:bookmarkStart w:id="37" w:name="_Toc15396607"/>
      <w:bookmarkStart w:id="38" w:name="_Toc15377209"/>
      <w:r>
        <w:rPr>
          <w:rFonts w:hint="eastAsia" w:ascii="黑体" w:hAnsi="黑体" w:eastAsia="黑体" w:cs="黑体"/>
          <w:color w:val="auto"/>
          <w:sz w:val="32"/>
          <w:szCs w:val="32"/>
          <w:highlight w:val="none"/>
        </w:rPr>
        <w:t>五、</w:t>
      </w:r>
      <w:r>
        <w:rPr>
          <w:rFonts w:hint="eastAsia" w:ascii="黑体" w:hAnsi="黑体" w:eastAsia="黑体" w:cs="黑体"/>
          <w:b/>
          <w:color w:val="auto"/>
          <w:sz w:val="32"/>
          <w:szCs w:val="32"/>
          <w:highlight w:val="none"/>
        </w:rPr>
        <w:t>一</w:t>
      </w:r>
      <w:r>
        <w:rPr>
          <w:rStyle w:val="26"/>
          <w:rFonts w:hint="eastAsia" w:ascii="黑体" w:hAnsi="黑体" w:eastAsia="黑体" w:cs="黑体"/>
          <w:b w:val="0"/>
          <w:color w:val="auto"/>
          <w:sz w:val="32"/>
          <w:szCs w:val="32"/>
          <w:highlight w:val="none"/>
        </w:rPr>
        <w:t>般公共预算财政拨款支出决算情况说明</w:t>
      </w:r>
      <w:bookmarkEnd w:id="37"/>
      <w:bookmarkEnd w:id="38"/>
    </w:p>
    <w:p>
      <w:pPr>
        <w:pageBreakBefore w:val="0"/>
        <w:kinsoku/>
        <w:wordWrap/>
        <w:overflowPunct/>
        <w:topLinePunct w:val="0"/>
        <w:bidi w:val="0"/>
        <w:spacing w:line="600" w:lineRule="exact"/>
        <w:ind w:firstLine="643" w:firstLineChars="200"/>
        <w:textAlignment w:val="auto"/>
        <w:outlineLvl w:val="2"/>
        <w:rPr>
          <w:rFonts w:hint="eastAsia" w:ascii="仿宋_GB2312" w:hAnsi="仿宋_GB2312" w:eastAsia="仿宋_GB2312" w:cs="仿宋_GB2312"/>
          <w:b/>
          <w:color w:val="auto"/>
          <w:sz w:val="32"/>
          <w:szCs w:val="32"/>
          <w:highlight w:val="none"/>
        </w:rPr>
      </w:pPr>
      <w:bookmarkStart w:id="39" w:name="_Toc15377210"/>
      <w:r>
        <w:rPr>
          <w:rFonts w:hint="eastAsia" w:ascii="仿宋_GB2312" w:hAnsi="仿宋_GB2312" w:eastAsia="仿宋_GB2312" w:cs="仿宋_GB2312"/>
          <w:b/>
          <w:color w:val="auto"/>
          <w:sz w:val="32"/>
          <w:szCs w:val="32"/>
          <w:highlight w:val="none"/>
        </w:rPr>
        <w:t>（一）一般公共预算财政拨款支出决算总体情况</w:t>
      </w:r>
      <w:bookmarkEnd w:id="39"/>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181.02</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31.74</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21.26</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eastAsia="zh-CN"/>
        </w:rPr>
        <w:t>支出增加。</w:t>
      </w: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000000"/>
          <w:sz w:val="32"/>
          <w:szCs w:val="32"/>
          <w:lang w:eastAsia="zh-CN"/>
        </w:rPr>
      </w:pP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000000"/>
          <w:sz w:val="32"/>
          <w:szCs w:val="32"/>
          <w:lang w:eastAsia="zh-CN"/>
        </w:rPr>
      </w:pP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000000"/>
          <w:sz w:val="32"/>
          <w:szCs w:val="32"/>
          <w:lang w:eastAsia="zh-CN"/>
        </w:rPr>
      </w:pP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000000"/>
          <w:sz w:val="32"/>
          <w:szCs w:val="32"/>
          <w:lang w:eastAsia="zh-CN"/>
        </w:rPr>
      </w:pP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drawing>
          <wp:inline distT="0" distB="0" distL="114300" distR="114300">
            <wp:extent cx="5080000" cy="3361690"/>
            <wp:effectExtent l="4445" t="4445" r="20955" b="57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600" w:lineRule="exact"/>
        <w:ind w:firstLine="643" w:firstLineChars="200"/>
        <w:textAlignment w:val="auto"/>
        <w:outlineLvl w:val="2"/>
        <w:rPr>
          <w:rFonts w:hint="eastAsia" w:ascii="仿宋_GB2312" w:hAnsi="仿宋_GB2312" w:eastAsia="仿宋_GB2312" w:cs="仿宋_GB2312"/>
          <w:b/>
          <w:color w:val="auto"/>
          <w:sz w:val="32"/>
          <w:szCs w:val="32"/>
          <w:highlight w:val="none"/>
        </w:rPr>
      </w:pPr>
      <w:bookmarkStart w:id="40" w:name="_Toc15377211"/>
      <w:r>
        <w:rPr>
          <w:rFonts w:hint="eastAsia" w:ascii="仿宋_GB2312" w:hAnsi="仿宋_GB2312" w:eastAsia="仿宋_GB2312" w:cs="仿宋_GB2312"/>
          <w:b/>
          <w:color w:val="auto"/>
          <w:sz w:val="32"/>
          <w:szCs w:val="32"/>
          <w:highlight w:val="none"/>
        </w:rPr>
        <w:t>（二）一般公共预算财政拨款支出决算结构情况</w:t>
      </w:r>
      <w:bookmarkEnd w:id="40"/>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181.02</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一般公共服务（类）</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158.12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87.35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教育支出（类）</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科学技术（类）</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文化旅游体育与传媒（类）支出</w:t>
      </w:r>
      <w:r>
        <w:rPr>
          <w:rFonts w:hint="eastAsia" w:ascii="仿宋_GB2312" w:hAnsi="仿宋_GB2312" w:eastAsia="仿宋_GB2312" w:cs="仿宋_GB2312"/>
          <w:b/>
          <w:bCs/>
          <w:color w:val="auto"/>
          <w:sz w:val="32"/>
          <w:szCs w:val="32"/>
          <w:highlight w:val="none"/>
          <w:lang w:val="en-US" w:eastAsia="zh-CN"/>
        </w:rPr>
        <w:t>0</w:t>
      </w:r>
      <w:r>
        <w:rPr>
          <w:rFonts w:hint="eastAsia" w:ascii="仿宋_GB2312" w:hAnsi="仿宋_GB2312" w:eastAsia="仿宋_GB2312" w:cs="仿宋_GB2312"/>
          <w:b/>
          <w:bCs/>
          <w:color w:val="auto"/>
          <w:sz w:val="32"/>
          <w:szCs w:val="32"/>
          <w:highlight w:val="none"/>
        </w:rPr>
        <w:t>万元，占</w:t>
      </w:r>
      <w:r>
        <w:rPr>
          <w:rFonts w:hint="eastAsia" w:ascii="仿宋_GB2312" w:hAnsi="仿宋_GB2312" w:eastAsia="仿宋_GB2312" w:cs="仿宋_GB2312"/>
          <w:b/>
          <w:bCs/>
          <w:color w:val="auto"/>
          <w:sz w:val="32"/>
          <w:szCs w:val="32"/>
          <w:highlight w:val="none"/>
          <w:lang w:val="en-US" w:eastAsia="zh-CN"/>
        </w:rPr>
        <w:t>0</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社会保障和就业（类）</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10.4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5.75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5.26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2.91</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7.23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3.99</w:t>
      </w:r>
      <w:r>
        <w:rPr>
          <w:rFonts w:hint="eastAsia" w:ascii="仿宋_GB2312" w:hAnsi="仿宋_GB2312" w:eastAsia="仿宋_GB2312" w:cs="仿宋_GB2312"/>
          <w:color w:val="auto"/>
          <w:sz w:val="32"/>
          <w:szCs w:val="32"/>
          <w:highlight w:val="none"/>
        </w:rPr>
        <w:t>%。</w:t>
      </w: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auto"/>
          <w:sz w:val="32"/>
          <w:szCs w:val="32"/>
          <w:highlight w:val="none"/>
        </w:rPr>
      </w:pP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auto"/>
          <w:sz w:val="32"/>
          <w:szCs w:val="32"/>
          <w:highlight w:val="none"/>
        </w:rPr>
      </w:pP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auto"/>
          <w:sz w:val="32"/>
          <w:szCs w:val="32"/>
          <w:highlight w:val="none"/>
        </w:rPr>
      </w:pP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color w:val="auto"/>
          <w:sz w:val="32"/>
          <w:szCs w:val="32"/>
          <w:highlight w:val="none"/>
        </w:rPr>
      </w:pPr>
    </w:p>
    <w:p>
      <w:pPr>
        <w:pStyle w:val="2"/>
        <w:pageBreakBefore w:val="0"/>
        <w:kinsoku/>
        <w:wordWrap/>
        <w:overflowPunct/>
        <w:topLinePunct w:val="0"/>
        <w:bidi w:val="0"/>
        <w:ind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sz w:val="32"/>
          <w:szCs w:val="32"/>
        </w:rPr>
        <w:object>
          <v:shape id="_x0000_i1025" o:spt="75" type="#_x0000_t75" style="height:249pt;width:422.25pt;" o:ole="t" filled="f" o:preferrelative="t" stroked="f" coordsize="21600,21600" o:gfxdata="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">
            <v:path/>
            <v:fill on="f" focussize="0,0"/>
            <v:stroke on="f"/>
            <v:imagedata r:id="rId11" o:title=""/>
            <o:lock v:ext="edit" aspectratio="t"/>
            <w10:wrap type="none"/>
            <w10:anchorlock/>
          </v:shape>
          <o:OLEObject Type="Embed" ProgID="excel.sheet.8" ShapeID="_x0000_i1025" DrawAspect="Content" ObjectID="_1468075725" r:id="rId10">
            <o:LockedField>false</o:LockedField>
          </o:OLEObject>
        </w:object>
      </w:r>
      <w:bookmarkStart w:id="41" w:name="_Toc15377212"/>
      <w:r>
        <w:rPr>
          <w:rFonts w:hint="eastAsia" w:ascii="仿宋_GB2312" w:hAnsi="仿宋_GB2312" w:eastAsia="仿宋_GB2312" w:cs="仿宋_GB2312"/>
          <w:b/>
          <w:color w:val="auto"/>
          <w:sz w:val="32"/>
          <w:szCs w:val="32"/>
          <w:highlight w:val="none"/>
        </w:rPr>
        <w:t>（三）一般公共预算财政拨款支出决算具体情况</w:t>
      </w:r>
      <w:bookmarkEnd w:id="41"/>
    </w:p>
    <w:p>
      <w:pPr>
        <w:pageBreakBefore w:val="0"/>
        <w:kinsoku/>
        <w:wordWrap/>
        <w:overflowPunct/>
        <w:topLinePunct w:val="0"/>
        <w:bidi w:val="0"/>
        <w:spacing w:line="600" w:lineRule="exact"/>
        <w:ind w:firstLine="643" w:firstLineChars="200"/>
        <w:textAlignment w:val="auto"/>
        <w:outlineLvl w:val="2"/>
        <w:rPr>
          <w:rFonts w:hint="eastAsia" w:ascii="仿宋_GB2312" w:hAnsi="仿宋_GB2312" w:eastAsia="仿宋_GB2312" w:cs="仿宋_GB2312"/>
          <w:color w:val="auto"/>
          <w:sz w:val="32"/>
          <w:szCs w:val="32"/>
          <w:highlight w:val="none"/>
        </w:rPr>
      </w:pPr>
      <w:bookmarkStart w:id="42" w:name="_Toc15377213"/>
      <w:bookmarkStart w:id="43" w:name="_Toc15378460"/>
      <w:bookmarkStart w:id="44" w:name="_Toc15377444"/>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21</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b/>
          <w:color w:val="auto"/>
          <w:sz w:val="32"/>
          <w:szCs w:val="32"/>
          <w:highlight w:val="none"/>
          <w:lang w:val="en-US" w:eastAsia="zh-CN"/>
        </w:rPr>
        <w:t>181.02万元</w:t>
      </w:r>
      <w:r>
        <w:rPr>
          <w:rFonts w:hint="eastAsia" w:ascii="仿宋_GB2312" w:hAnsi="仿宋_GB2312" w:eastAsia="仿宋_GB2312" w:cs="仿宋_GB2312"/>
          <w:color w:val="auto"/>
          <w:sz w:val="32"/>
          <w:szCs w:val="32"/>
          <w:highlight w:val="none"/>
        </w:rPr>
        <w:t>，</w:t>
      </w:r>
      <w:r>
        <w:rPr>
          <w:rStyle w:val="15"/>
          <w:rFonts w:hint="eastAsia" w:ascii="仿宋_GB2312" w:hAnsi="仿宋_GB2312" w:eastAsia="仿宋_GB2312" w:cs="仿宋_GB2312"/>
          <w:bCs/>
          <w:color w:val="auto"/>
          <w:sz w:val="32"/>
          <w:szCs w:val="32"/>
          <w:highlight w:val="none"/>
        </w:rPr>
        <w:t>完成预算</w:t>
      </w:r>
      <w:r>
        <w:rPr>
          <w:rStyle w:val="15"/>
          <w:rFonts w:hint="eastAsia" w:ascii="仿宋_GB2312" w:hAnsi="仿宋_GB2312" w:eastAsia="仿宋_GB2312" w:cs="仿宋_GB2312"/>
          <w:bCs/>
          <w:color w:val="auto"/>
          <w:sz w:val="32"/>
          <w:szCs w:val="32"/>
          <w:highlight w:val="none"/>
          <w:lang w:val="en-US" w:eastAsia="zh-CN"/>
        </w:rPr>
        <w:t>90.68</w:t>
      </w:r>
      <w:r>
        <w:rPr>
          <w:rStyle w:val="15"/>
          <w:rFonts w:hint="eastAsia" w:ascii="仿宋_GB2312" w:hAnsi="仿宋_GB2312" w:eastAsia="仿宋_GB2312" w:cs="仿宋_GB2312"/>
          <w:bCs/>
          <w:color w:val="auto"/>
          <w:sz w:val="32"/>
          <w:szCs w:val="32"/>
          <w:highlight w:val="none"/>
        </w:rPr>
        <w:t>%。其中：</w:t>
      </w:r>
      <w:bookmarkEnd w:id="42"/>
      <w:bookmarkEnd w:id="43"/>
      <w:bookmarkEnd w:id="44"/>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rPr>
        <w:t>1.</w:t>
      </w:r>
      <w:r>
        <w:rPr>
          <w:rStyle w:val="15"/>
          <w:rFonts w:hint="eastAsia" w:ascii="仿宋_GB2312" w:hAnsi="仿宋_GB2312" w:eastAsia="仿宋_GB2312" w:cs="仿宋_GB2312"/>
          <w:bCs/>
          <w:color w:val="000000"/>
          <w:sz w:val="32"/>
          <w:szCs w:val="32"/>
        </w:rPr>
        <w:t>一般公共服务（类）201（款）28（项）</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158.12</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89.48</w:t>
      </w:r>
      <w:r>
        <w:rPr>
          <w:rStyle w:val="15"/>
          <w:rFonts w:hint="eastAsia" w:ascii="仿宋_GB2312" w:hAnsi="仿宋_GB2312" w:eastAsia="仿宋_GB2312" w:cs="仿宋_GB2312"/>
          <w:b w:val="0"/>
          <w:bCs/>
          <w:color w:val="auto"/>
          <w:sz w:val="32"/>
          <w:szCs w:val="32"/>
          <w:highlight w:val="none"/>
        </w:rPr>
        <w:t>%，决算数小于预算数的主要原因是</w:t>
      </w:r>
      <w:r>
        <w:rPr>
          <w:rStyle w:val="15"/>
          <w:rFonts w:hint="eastAsia" w:ascii="仿宋_GB2312" w:hAnsi="仿宋_GB2312" w:eastAsia="仿宋_GB2312" w:cs="仿宋_GB2312"/>
          <w:bCs/>
          <w:color w:val="000000"/>
          <w:sz w:val="32"/>
          <w:szCs w:val="32"/>
        </w:rPr>
        <w:t>重庆利州商会成立大会由于疫情原因未召开拨付的资金结转至下年</w:t>
      </w:r>
      <w:r>
        <w:rPr>
          <w:rStyle w:val="15"/>
          <w:rFonts w:hint="eastAsia" w:ascii="仿宋_GB2312" w:hAnsi="仿宋_GB2312" w:eastAsia="仿宋_GB2312" w:cs="仿宋_GB2312"/>
          <w:b w:val="0"/>
          <w:bCs/>
          <w:color w:val="auto"/>
          <w:sz w:val="32"/>
          <w:szCs w:val="32"/>
          <w:highlight w:val="none"/>
        </w:rPr>
        <w:t>。</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rPr>
        <w:t>2.教育（类）***（款）***（项）:</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%，决算数小于/等于预算数的主要原因是…。</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rPr>
        <w:t>3.科学技术（类）***（款）***（项）:</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%，决算数小于/等于预算数的主要原因是…。</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rPr>
        <w:t>4.文化旅游体育与传媒（类）***（款）***（项）:</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%，决算数小于/等于预算数的主要原因是…。</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rPr>
        <w:t>5.</w:t>
      </w:r>
      <w:r>
        <w:rPr>
          <w:rStyle w:val="15"/>
          <w:rFonts w:hint="eastAsia" w:ascii="仿宋_GB2312" w:hAnsi="仿宋_GB2312" w:eastAsia="仿宋_GB2312" w:cs="仿宋_GB2312"/>
          <w:bCs/>
          <w:color w:val="000000"/>
          <w:sz w:val="32"/>
          <w:szCs w:val="32"/>
        </w:rPr>
        <w:t>社会保障和就业（类）208（款）05（项）</w:t>
      </w:r>
      <w:r>
        <w:rPr>
          <w:rStyle w:val="15"/>
          <w:rFonts w:hint="eastAsia" w:ascii="仿宋_GB2312" w:hAnsi="仿宋_GB2312" w:eastAsia="仿宋_GB2312" w:cs="仿宋_GB2312"/>
          <w:bCs/>
          <w:color w:val="000000"/>
          <w:sz w:val="32"/>
          <w:szCs w:val="32"/>
          <w:lang w:val="en-US" w:eastAsia="zh-CN"/>
        </w:rPr>
        <w:t>05</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10.4</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%，决算数等于预算数。</w:t>
      </w:r>
    </w:p>
    <w:p>
      <w:pPr>
        <w:pageBreakBefore w:val="0"/>
        <w:kinsoku/>
        <w:wordWrap/>
        <w:overflowPunct/>
        <w:topLinePunct w:val="0"/>
        <w:bidi w:val="0"/>
        <w:spacing w:line="600" w:lineRule="exact"/>
        <w:ind w:firstLine="643" w:firstLineChars="200"/>
        <w:textAlignment w:val="auto"/>
        <w:rPr>
          <w:rStyle w:val="15"/>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Cs/>
          <w:color w:val="auto"/>
          <w:sz w:val="32"/>
          <w:szCs w:val="32"/>
          <w:highlight w:val="none"/>
        </w:rPr>
        <w:t>6.</w:t>
      </w:r>
      <w:r>
        <w:rPr>
          <w:rFonts w:hint="eastAsia" w:ascii="仿宋_GB2312" w:hAnsi="仿宋_GB2312" w:eastAsia="仿宋_GB2312" w:cs="仿宋_GB2312"/>
          <w:b/>
          <w:bCs/>
          <w:color w:val="000000"/>
          <w:sz w:val="32"/>
          <w:szCs w:val="32"/>
        </w:rPr>
        <w:t>卫生健康</w:t>
      </w:r>
      <w:r>
        <w:rPr>
          <w:rStyle w:val="15"/>
          <w:rFonts w:hint="eastAsia" w:ascii="仿宋_GB2312" w:hAnsi="仿宋_GB2312" w:eastAsia="仿宋_GB2312" w:cs="仿宋_GB2312"/>
          <w:bCs/>
          <w:color w:val="000000"/>
          <w:sz w:val="32"/>
          <w:szCs w:val="32"/>
        </w:rPr>
        <w:t>（类）210（款）11（项）01</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5.26</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%，决算数等于预算数。</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Style w:val="15"/>
          <w:rFonts w:hint="eastAsia" w:ascii="仿宋_GB2312" w:hAnsi="仿宋_GB2312" w:eastAsia="仿宋_GB2312" w:cs="仿宋_GB2312"/>
          <w:bCs/>
          <w:sz w:val="32"/>
          <w:szCs w:val="32"/>
        </w:rPr>
        <w:t>住房保障（类）221（款）02（项）01：支出决算数为</w:t>
      </w:r>
      <w:r>
        <w:rPr>
          <w:rStyle w:val="15"/>
          <w:rFonts w:hint="eastAsia" w:ascii="仿宋_GB2312" w:hAnsi="仿宋_GB2312" w:eastAsia="仿宋_GB2312" w:cs="仿宋_GB2312"/>
          <w:bCs/>
          <w:sz w:val="32"/>
          <w:szCs w:val="32"/>
          <w:lang w:val="en-US" w:eastAsia="zh-CN"/>
        </w:rPr>
        <w:t>7.23</w:t>
      </w:r>
      <w:r>
        <w:rPr>
          <w:rStyle w:val="15"/>
          <w:rFonts w:hint="eastAsia" w:ascii="仿宋_GB2312" w:hAnsi="仿宋_GB2312" w:eastAsia="仿宋_GB2312" w:cs="仿宋_GB2312"/>
          <w:bCs/>
          <w:sz w:val="32"/>
          <w:szCs w:val="32"/>
        </w:rPr>
        <w:t>万元,完成预算100%，决算数等于预算数。</w:t>
      </w:r>
    </w:p>
    <w:p>
      <w:pPr>
        <w:pageBreakBefore w:val="0"/>
        <w:tabs>
          <w:tab w:val="right" w:pos="8306"/>
        </w:tabs>
        <w:kinsoku/>
        <w:wordWrap/>
        <w:overflowPunct/>
        <w:topLinePunct w:val="0"/>
        <w:bidi w:val="0"/>
        <w:spacing w:line="600" w:lineRule="exact"/>
        <w:ind w:firstLine="640" w:firstLineChars="200"/>
        <w:textAlignment w:val="auto"/>
        <w:outlineLvl w:val="1"/>
        <w:rPr>
          <w:rStyle w:val="26"/>
          <w:rFonts w:hint="eastAsia" w:ascii="仿宋_GB2312" w:hAnsi="仿宋_GB2312" w:eastAsia="仿宋_GB2312" w:cs="仿宋_GB2312"/>
          <w:color w:val="auto"/>
          <w:sz w:val="32"/>
          <w:szCs w:val="32"/>
          <w:highlight w:val="none"/>
        </w:rPr>
      </w:pPr>
      <w:bookmarkStart w:id="45" w:name="_Toc15377214"/>
      <w:bookmarkStart w:id="46" w:name="_Toc15396608"/>
      <w:r>
        <w:rPr>
          <w:rFonts w:hint="eastAsia" w:ascii="黑体" w:hAnsi="黑体" w:eastAsia="黑体" w:cs="黑体"/>
          <w:color w:val="auto"/>
          <w:sz w:val="32"/>
          <w:szCs w:val="32"/>
          <w:highlight w:val="none"/>
        </w:rPr>
        <w:t>六</w:t>
      </w:r>
      <w:r>
        <w:rPr>
          <w:rFonts w:hint="eastAsia" w:ascii="黑体" w:hAnsi="黑体" w:eastAsia="黑体" w:cs="黑体"/>
          <w:b/>
          <w:color w:val="auto"/>
          <w:sz w:val="32"/>
          <w:szCs w:val="32"/>
          <w:highlight w:val="none"/>
        </w:rPr>
        <w:t>、一</w:t>
      </w:r>
      <w:r>
        <w:rPr>
          <w:rStyle w:val="26"/>
          <w:rFonts w:hint="eastAsia" w:ascii="黑体" w:hAnsi="黑体" w:eastAsia="黑体" w:cs="黑体"/>
          <w:b w:val="0"/>
          <w:color w:val="auto"/>
          <w:sz w:val="32"/>
          <w:szCs w:val="32"/>
          <w:highlight w:val="none"/>
        </w:rPr>
        <w:t>般公共预算财政拨款基本支出决算情况说明</w:t>
      </w:r>
      <w:bookmarkEnd w:id="45"/>
      <w:bookmarkEnd w:id="46"/>
      <w:r>
        <w:rPr>
          <w:rStyle w:val="26"/>
          <w:rFonts w:hint="eastAsia" w:ascii="仿宋_GB2312" w:hAnsi="仿宋_GB2312" w:eastAsia="仿宋_GB2312" w:cs="仿宋_GB2312"/>
          <w:b w:val="0"/>
          <w:color w:val="auto"/>
          <w:sz w:val="32"/>
          <w:szCs w:val="32"/>
          <w:highlight w:val="none"/>
        </w:rPr>
        <w:tab/>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154.18</w:t>
      </w:r>
      <w:r>
        <w:rPr>
          <w:rFonts w:hint="eastAsia" w:ascii="仿宋_GB2312" w:hAnsi="仿宋_GB2312" w:eastAsia="仿宋_GB2312" w:cs="仿宋_GB2312"/>
          <w:color w:val="auto"/>
          <w:sz w:val="32"/>
          <w:szCs w:val="32"/>
          <w:highlight w:val="none"/>
        </w:rPr>
        <w:t>万元，其中：</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133.8</w:t>
      </w:r>
      <w:r>
        <w:rPr>
          <w:rFonts w:hint="eastAsia" w:ascii="仿宋_GB2312" w:hAnsi="仿宋_GB2312" w:eastAsia="仿宋_GB2312" w:cs="仿宋_GB2312"/>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20.38</w:t>
      </w:r>
      <w:r>
        <w:rPr>
          <w:rFonts w:hint="eastAsia" w:ascii="仿宋_GB2312" w:hAnsi="仿宋_GB2312" w:eastAsia="仿宋_GB2312" w:cs="仿宋_GB2312"/>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（注：数据来源于财决07表</w:t>
      </w:r>
      <w:r>
        <w:rPr>
          <w:rFonts w:hint="eastAsia" w:ascii="仿宋_GB2312" w:hAnsi="仿宋_GB2312" w:eastAsia="仿宋_GB2312" w:cs="仿宋_GB2312"/>
          <w:b/>
          <w:color w:val="auto"/>
          <w:sz w:val="32"/>
          <w:szCs w:val="32"/>
          <w:highlight w:val="none"/>
          <w:lang w:eastAsia="zh-CN"/>
        </w:rPr>
        <w:t>和财决</w:t>
      </w:r>
      <w:r>
        <w:rPr>
          <w:rFonts w:hint="eastAsia" w:ascii="仿宋_GB2312" w:hAnsi="仿宋_GB2312" w:eastAsia="仿宋_GB2312" w:cs="仿宋_GB2312"/>
          <w:b/>
          <w:color w:val="auto"/>
          <w:sz w:val="32"/>
          <w:szCs w:val="32"/>
          <w:highlight w:val="none"/>
          <w:lang w:val="en-US" w:eastAsia="zh-CN"/>
        </w:rPr>
        <w:t>08-1表</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仅罗列</w:t>
      </w:r>
      <w:r>
        <w:rPr>
          <w:rFonts w:hint="eastAsia" w:ascii="仿宋_GB2312" w:hAnsi="仿宋_GB2312" w:eastAsia="仿宋_GB2312" w:cs="仿宋_GB2312"/>
          <w:b/>
          <w:color w:val="auto"/>
          <w:sz w:val="32"/>
          <w:szCs w:val="32"/>
          <w:highlight w:val="none"/>
        </w:rPr>
        <w:t>本部门实际支出</w:t>
      </w:r>
      <w:r>
        <w:rPr>
          <w:rFonts w:hint="eastAsia" w:ascii="仿宋_GB2312" w:hAnsi="仿宋_GB2312" w:eastAsia="仿宋_GB2312" w:cs="仿宋_GB2312"/>
          <w:b/>
          <w:color w:val="auto"/>
          <w:sz w:val="32"/>
          <w:szCs w:val="32"/>
          <w:highlight w:val="none"/>
          <w:lang w:eastAsia="zh-CN"/>
        </w:rPr>
        <w:t>涉及的</w:t>
      </w:r>
      <w:r>
        <w:rPr>
          <w:rFonts w:hint="eastAsia" w:ascii="仿宋_GB2312" w:hAnsi="仿宋_GB2312" w:eastAsia="仿宋_GB2312" w:cs="仿宋_GB2312"/>
          <w:b/>
          <w:color w:val="auto"/>
          <w:sz w:val="32"/>
          <w:szCs w:val="32"/>
          <w:highlight w:val="none"/>
        </w:rPr>
        <w:t>经济分类科目。）</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p>
    <w:p>
      <w:pPr>
        <w:pageBreakBefore w:val="0"/>
        <w:kinsoku/>
        <w:wordWrap/>
        <w:overflowPunct/>
        <w:topLinePunct w:val="0"/>
        <w:bidi w:val="0"/>
        <w:spacing w:line="600" w:lineRule="exact"/>
        <w:ind w:firstLine="640" w:firstLineChars="200"/>
        <w:textAlignment w:val="auto"/>
        <w:outlineLvl w:val="1"/>
        <w:rPr>
          <w:rStyle w:val="26"/>
          <w:rFonts w:hint="eastAsia" w:ascii="黑体" w:hAnsi="黑体" w:eastAsia="黑体" w:cs="黑体"/>
          <w:b w:val="0"/>
          <w:color w:val="auto"/>
          <w:sz w:val="32"/>
          <w:szCs w:val="32"/>
          <w:highlight w:val="none"/>
        </w:rPr>
      </w:pPr>
      <w:bookmarkStart w:id="47" w:name="_Toc15396609"/>
      <w:bookmarkStart w:id="48" w:name="_Toc15377215"/>
      <w:r>
        <w:rPr>
          <w:rFonts w:hint="eastAsia" w:ascii="黑体" w:hAnsi="黑体" w:eastAsia="黑体" w:cs="黑体"/>
          <w:color w:val="auto"/>
          <w:sz w:val="32"/>
          <w:szCs w:val="32"/>
          <w:highlight w:val="none"/>
        </w:rPr>
        <w:t>七、</w:t>
      </w:r>
      <w:r>
        <w:rPr>
          <w:rStyle w:val="26"/>
          <w:rFonts w:hint="eastAsia" w:ascii="黑体" w:hAnsi="黑体" w:eastAsia="黑体" w:cs="黑体"/>
          <w:color w:val="auto"/>
          <w:sz w:val="32"/>
          <w:szCs w:val="32"/>
          <w:highlight w:val="none"/>
        </w:rPr>
        <w:t>“</w:t>
      </w:r>
      <w:r>
        <w:rPr>
          <w:rStyle w:val="26"/>
          <w:rFonts w:hint="eastAsia" w:ascii="黑体" w:hAnsi="黑体" w:eastAsia="黑体" w:cs="黑体"/>
          <w:b w:val="0"/>
          <w:color w:val="auto"/>
          <w:sz w:val="32"/>
          <w:szCs w:val="32"/>
          <w:highlight w:val="none"/>
        </w:rPr>
        <w:t>三公”经费财政拨款支出决算情况说明</w:t>
      </w:r>
      <w:bookmarkEnd w:id="47"/>
      <w:bookmarkEnd w:id="48"/>
    </w:p>
    <w:p>
      <w:pPr>
        <w:pageBreakBefore w:val="0"/>
        <w:kinsoku/>
        <w:wordWrap/>
        <w:overflowPunct/>
        <w:topLinePunct w:val="0"/>
        <w:bidi w:val="0"/>
        <w:spacing w:line="600" w:lineRule="exact"/>
        <w:ind w:firstLine="643" w:firstLineChars="200"/>
        <w:textAlignment w:val="auto"/>
        <w:outlineLvl w:val="2"/>
        <w:rPr>
          <w:rFonts w:hint="eastAsia" w:ascii="仿宋_GB2312" w:hAnsi="仿宋_GB2312" w:eastAsia="仿宋_GB2312" w:cs="仿宋_GB2312"/>
          <w:b/>
          <w:color w:val="auto"/>
          <w:sz w:val="32"/>
          <w:szCs w:val="32"/>
          <w:highlight w:val="none"/>
        </w:rPr>
      </w:pPr>
      <w:bookmarkStart w:id="49" w:name="_Toc15377216"/>
      <w:r>
        <w:rPr>
          <w:rFonts w:hint="eastAsia" w:ascii="仿宋_GB2312" w:hAnsi="仿宋_GB2312" w:eastAsia="仿宋_GB2312" w:cs="仿宋_GB2312"/>
          <w:b/>
          <w:color w:val="auto"/>
          <w:sz w:val="32"/>
          <w:szCs w:val="32"/>
          <w:highlight w:val="none"/>
        </w:rPr>
        <w:t>（一）“三公”经费财政拨款支出决算总体情况说明</w:t>
      </w:r>
      <w:bookmarkEnd w:id="49"/>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0.61</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%，决算数与预算数持平。</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（注：上述“预算”口径为调整预算数。）</w:t>
      </w:r>
    </w:p>
    <w:p>
      <w:pPr>
        <w:pageBreakBefore w:val="0"/>
        <w:kinsoku/>
        <w:wordWrap/>
        <w:overflowPunct/>
        <w:topLinePunct w:val="0"/>
        <w:bidi w:val="0"/>
        <w:spacing w:line="600" w:lineRule="exact"/>
        <w:ind w:firstLine="643" w:firstLineChars="200"/>
        <w:textAlignment w:val="auto"/>
        <w:outlineLvl w:val="2"/>
        <w:rPr>
          <w:rFonts w:hint="eastAsia" w:ascii="仿宋_GB2312" w:hAnsi="仿宋_GB2312" w:eastAsia="仿宋_GB2312" w:cs="仿宋_GB2312"/>
          <w:b/>
          <w:color w:val="auto"/>
          <w:sz w:val="32"/>
          <w:szCs w:val="32"/>
          <w:highlight w:val="none"/>
        </w:rPr>
      </w:pPr>
      <w:bookmarkStart w:id="50" w:name="_Toc15377217"/>
      <w:r>
        <w:rPr>
          <w:rFonts w:hint="eastAsia" w:ascii="仿宋_GB2312" w:hAnsi="仿宋_GB2312" w:eastAsia="仿宋_GB2312" w:cs="仿宋_GB2312"/>
          <w:b/>
          <w:color w:val="auto"/>
          <w:sz w:val="32"/>
          <w:szCs w:val="32"/>
          <w:highlight w:val="none"/>
        </w:rPr>
        <w:t>（二）“三公”经费财政拨款支出决算具体情况说明</w:t>
      </w:r>
      <w:bookmarkEnd w:id="50"/>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%。具体情况如下：</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人。因公出国（境）支出决算比20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年增加/减少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万元，增长/下降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%。主要原因是……。</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开支内容包括：…（团组名称、出访地点、取得成效）等。</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年增加/减少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万元，增长/下降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%。主要原因是……。</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辆，其中：轿车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万元，越野车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万元，载客汽车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万元，主要用于…。截至20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年12月底，单位共有公务用车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辆，其中：轿车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辆、越野车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辆、载客汽车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公务用车运行维护费支出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万元。主要用于…（具体工作）等所需的公务用车燃料费、维修费、过路过桥费、保险费等支出。</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eastAsia="仿宋_GB2312" w:cs="仿宋_GB2312"/>
          <w:color w:val="auto"/>
          <w:sz w:val="32"/>
          <w:szCs w:val="32"/>
          <w:highlight w:val="none"/>
          <w:lang w:val="en-US" w:eastAsia="zh-CN"/>
        </w:rPr>
        <w:t>0.61</w:t>
      </w:r>
      <w:r>
        <w:rPr>
          <w:rFonts w:hint="eastAsia" w:ascii="仿宋_GB2312" w:hAnsi="仿宋_GB2312" w:eastAsia="仿宋_GB2312" w:cs="仿宋_GB2312"/>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Cs/>
          <w:sz w:val="32"/>
          <w:szCs w:val="32"/>
        </w:rPr>
        <w:t>决算数等于预算数</w:t>
      </w:r>
      <w:r>
        <w:rPr>
          <w:rFonts w:hint="eastAsia" w:ascii="仿宋_GB2312" w:hAnsi="仿宋_GB2312" w:eastAsia="仿宋_GB2312" w:cs="仿宋_GB2312"/>
          <w:color w:val="auto"/>
          <w:sz w:val="32"/>
          <w:szCs w:val="32"/>
          <w:highlight w:val="none"/>
        </w:rPr>
        <w:t>其中：</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eastAsia="仿宋_GB2312" w:cs="仿宋_GB2312"/>
          <w:color w:val="auto"/>
          <w:sz w:val="32"/>
          <w:szCs w:val="32"/>
          <w:highlight w:val="none"/>
          <w:lang w:val="en-US" w:eastAsia="zh-CN"/>
        </w:rPr>
        <w:t>0.61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000000"/>
          <w:sz w:val="32"/>
          <w:szCs w:val="32"/>
        </w:rPr>
        <w:t>主要用于执行公务、开展业务活动开支的交通费、住宿费、用餐费等。国内公务接待</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62</w:t>
      </w:r>
      <w:r>
        <w:rPr>
          <w:rFonts w:hint="eastAsia" w:ascii="仿宋_GB2312" w:hAnsi="仿宋_GB2312" w:eastAsia="仿宋_GB2312" w:cs="仿宋_GB2312"/>
          <w:color w:val="000000"/>
          <w:sz w:val="32"/>
          <w:szCs w:val="32"/>
        </w:rPr>
        <w:t>人次（不包括陪同人员），共计支出0.61万元，具体内容包括：接待其他外市县参观学习、异地商会交流、招商引资等支出</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外事接待支出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万元，外事接待</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人，共计支出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万元，主要用于接待…（具体项目）。主要用于……</w:t>
      </w:r>
    </w:p>
    <w:p>
      <w:pPr>
        <w:pageBreakBefore w:val="0"/>
        <w:kinsoku/>
        <w:wordWrap/>
        <w:overflowPunct/>
        <w:topLinePunct w:val="0"/>
        <w:bidi w:val="0"/>
        <w:spacing w:line="60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51" w:name="_Toc15396610"/>
      <w:bookmarkStart w:id="52" w:name="_Toc15377218"/>
    </w:p>
    <w:p>
      <w:pPr>
        <w:pageBreakBefore w:val="0"/>
        <w:kinsoku/>
        <w:wordWrap/>
        <w:overflowPunct/>
        <w:topLinePunct w:val="0"/>
        <w:bidi w:val="0"/>
        <w:spacing w:line="600" w:lineRule="exact"/>
        <w:ind w:firstLine="640" w:firstLineChars="200"/>
        <w:textAlignment w:val="auto"/>
        <w:outlineLvl w:val="1"/>
        <w:rPr>
          <w:rStyle w:val="26"/>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w:t>
      </w:r>
      <w:r>
        <w:rPr>
          <w:rStyle w:val="26"/>
          <w:rFonts w:hint="eastAsia" w:ascii="黑体" w:hAnsi="黑体" w:eastAsia="黑体" w:cs="黑体"/>
          <w:b w:val="0"/>
          <w:color w:val="auto"/>
          <w:sz w:val="32"/>
          <w:szCs w:val="32"/>
          <w:highlight w:val="none"/>
        </w:rPr>
        <w:t>政府性基金预算支出决算情况说明</w:t>
      </w:r>
      <w:bookmarkEnd w:id="51"/>
      <w:bookmarkEnd w:id="52"/>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pPr>
        <w:pageBreakBefore w:val="0"/>
        <w:numPr>
          <w:ilvl w:val="0"/>
          <w:numId w:val="1"/>
        </w:numPr>
        <w:kinsoku/>
        <w:wordWrap/>
        <w:overflowPunct/>
        <w:topLinePunct w:val="0"/>
        <w:bidi w:val="0"/>
        <w:spacing w:line="600" w:lineRule="exact"/>
        <w:ind w:firstLine="640" w:firstLineChars="200"/>
        <w:textAlignment w:val="auto"/>
        <w:outlineLvl w:val="1"/>
        <w:rPr>
          <w:rStyle w:val="26"/>
          <w:rFonts w:hint="eastAsia" w:ascii="黑体" w:hAnsi="黑体" w:eastAsia="黑体" w:cs="黑体"/>
          <w:b w:val="0"/>
          <w:color w:val="auto"/>
          <w:sz w:val="32"/>
          <w:szCs w:val="32"/>
          <w:highlight w:val="none"/>
        </w:rPr>
      </w:pPr>
      <w:bookmarkStart w:id="53" w:name="_Toc15396611"/>
      <w:bookmarkStart w:id="54" w:name="_Toc15377219"/>
      <w:r>
        <w:rPr>
          <w:rStyle w:val="26"/>
          <w:rFonts w:hint="eastAsia" w:ascii="黑体" w:hAnsi="黑体" w:eastAsia="黑体" w:cs="黑体"/>
          <w:b w:val="0"/>
          <w:color w:val="auto"/>
          <w:sz w:val="32"/>
          <w:szCs w:val="32"/>
          <w:highlight w:val="none"/>
        </w:rPr>
        <w:t>国有资本经营预算支出决算情况说明</w:t>
      </w:r>
      <w:bookmarkEnd w:id="53"/>
      <w:bookmarkEnd w:id="54"/>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pageBreakBefore w:val="0"/>
        <w:kinsoku/>
        <w:wordWrap/>
        <w:overflowPunct/>
        <w:topLinePunct w:val="0"/>
        <w:bidi w:val="0"/>
        <w:spacing w:line="580" w:lineRule="exact"/>
        <w:ind w:firstLine="640" w:firstLineChars="200"/>
        <w:jc w:val="center"/>
        <w:textAlignment w:val="auto"/>
        <w:rPr>
          <w:rFonts w:hint="eastAsia" w:ascii="仿宋_GB2312" w:hAnsi="仿宋_GB2312" w:eastAsia="仿宋_GB2312" w:cs="仿宋_GB2312"/>
          <w:color w:val="auto"/>
          <w:sz w:val="32"/>
          <w:szCs w:val="32"/>
          <w:highlight w:val="none"/>
        </w:rPr>
      </w:pP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hint="eastAsia" w:ascii="黑体" w:hAnsi="黑体" w:eastAsia="黑体" w:cs="黑体"/>
          <w:b/>
          <w:color w:val="auto"/>
          <w:sz w:val="32"/>
          <w:szCs w:val="32"/>
          <w:highlight w:val="none"/>
        </w:rPr>
      </w:pPr>
      <w:bookmarkStart w:id="55" w:name="_Toc15377221"/>
      <w:bookmarkStart w:id="56" w:name="_Toc15396612"/>
      <w:r>
        <w:rPr>
          <w:rFonts w:hint="eastAsia" w:ascii="黑体" w:hAnsi="黑体" w:eastAsia="黑体" w:cs="黑体"/>
          <w:b/>
          <w:color w:val="auto"/>
          <w:sz w:val="32"/>
          <w:szCs w:val="32"/>
          <w:highlight w:val="none"/>
          <w:lang w:eastAsia="zh-CN"/>
        </w:rPr>
        <w:t>十、</w:t>
      </w:r>
      <w:r>
        <w:rPr>
          <w:rFonts w:hint="eastAsia" w:ascii="黑体" w:hAnsi="黑体" w:eastAsia="黑体" w:cs="黑体"/>
          <w:b/>
          <w:color w:val="auto"/>
          <w:sz w:val="32"/>
          <w:szCs w:val="32"/>
          <w:highlight w:val="none"/>
        </w:rPr>
        <w:t>预算绩效管理情况</w:t>
      </w:r>
    </w:p>
    <w:p>
      <w:pPr>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sz w:val="32"/>
          <w:szCs w:val="32"/>
        </w:rPr>
        <w:t>“五好工商联”专项工作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基层组织建设</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专项项目开展了预算事前绩效评估，对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个项目开展了绩效目标完成情况自评。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区工商联</w:t>
      </w:r>
      <w:r>
        <w:rPr>
          <w:rFonts w:hint="eastAsia" w:ascii="仿宋_GB2312" w:hAnsi="仿宋_GB2312" w:eastAsia="仿宋_GB2312" w:cs="仿宋_GB2312"/>
          <w:color w:val="auto"/>
          <w:sz w:val="32"/>
          <w:szCs w:val="32"/>
          <w:highlight w:val="none"/>
        </w:rPr>
        <w:t>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pageBreakBefore w:val="0"/>
        <w:numPr>
          <w:ilvl w:val="0"/>
          <w:numId w:val="0"/>
        </w:numPr>
        <w:kinsoku/>
        <w:wordWrap/>
        <w:overflowPunct/>
        <w:topLinePunct w:val="0"/>
        <w:bidi w:val="0"/>
        <w:spacing w:line="600" w:lineRule="exact"/>
        <w:ind w:firstLine="640" w:firstLineChars="200"/>
        <w:textAlignment w:val="auto"/>
        <w:outlineLvl w:val="1"/>
        <w:rPr>
          <w:rStyle w:val="26"/>
          <w:rFonts w:hint="eastAsia" w:ascii="黑体" w:hAnsi="黑体" w:eastAsia="黑体" w:cs="黑体"/>
          <w:b w:val="0"/>
          <w:color w:val="auto"/>
          <w:sz w:val="32"/>
          <w:szCs w:val="32"/>
          <w:highlight w:val="none"/>
        </w:rPr>
      </w:pPr>
      <w:r>
        <w:rPr>
          <w:rStyle w:val="26"/>
          <w:rFonts w:hint="eastAsia" w:ascii="黑体" w:hAnsi="黑体" w:eastAsia="黑体" w:cs="黑体"/>
          <w:b w:val="0"/>
          <w:color w:val="auto"/>
          <w:sz w:val="32"/>
          <w:szCs w:val="32"/>
          <w:highlight w:val="none"/>
          <w:lang w:eastAsia="zh-CN"/>
        </w:rPr>
        <w:t>十一、</w:t>
      </w:r>
      <w:r>
        <w:rPr>
          <w:rStyle w:val="26"/>
          <w:rFonts w:hint="eastAsia" w:ascii="黑体" w:hAnsi="黑体" w:eastAsia="黑体" w:cs="黑体"/>
          <w:b w:val="0"/>
          <w:color w:val="auto"/>
          <w:sz w:val="32"/>
          <w:szCs w:val="32"/>
          <w:highlight w:val="none"/>
        </w:rPr>
        <w:t>其他重要事项的情况说明</w:t>
      </w:r>
      <w:bookmarkEnd w:id="55"/>
      <w:bookmarkEnd w:id="56"/>
    </w:p>
    <w:p>
      <w:pPr>
        <w:pageBreakBefore w:val="0"/>
        <w:kinsoku/>
        <w:wordWrap/>
        <w:overflowPunct/>
        <w:topLinePunct w:val="0"/>
        <w:bidi w:val="0"/>
        <w:spacing w:line="600" w:lineRule="exact"/>
        <w:ind w:firstLine="643" w:firstLineChars="200"/>
        <w:textAlignment w:val="auto"/>
        <w:outlineLvl w:val="2"/>
        <w:rPr>
          <w:rFonts w:hint="eastAsia" w:ascii="仿宋_GB2312" w:hAnsi="仿宋_GB2312" w:eastAsia="仿宋_GB2312" w:cs="仿宋_GB2312"/>
          <w:color w:val="auto"/>
          <w:sz w:val="32"/>
          <w:szCs w:val="32"/>
          <w:highlight w:val="none"/>
        </w:rPr>
      </w:pPr>
      <w:bookmarkStart w:id="57" w:name="_Toc15377222"/>
      <w:r>
        <w:rPr>
          <w:rFonts w:hint="eastAsia" w:ascii="仿宋_GB2312" w:hAnsi="仿宋_GB2312" w:eastAsia="仿宋_GB2312" w:cs="仿宋_GB2312"/>
          <w:b/>
          <w:color w:val="auto"/>
          <w:sz w:val="32"/>
          <w:szCs w:val="32"/>
          <w:highlight w:val="none"/>
        </w:rPr>
        <w:t>（一）机关运行经费支出情况</w:t>
      </w:r>
      <w:bookmarkEnd w:id="57"/>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000000"/>
          <w:sz w:val="32"/>
          <w:szCs w:val="32"/>
        </w:rPr>
        <w:t>区工商联</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eastAsia="仿宋_GB2312" w:cs="仿宋_GB2312"/>
          <w:color w:val="auto"/>
          <w:sz w:val="32"/>
          <w:szCs w:val="32"/>
          <w:highlight w:val="none"/>
          <w:lang w:val="en-US" w:eastAsia="zh-CN"/>
        </w:rPr>
        <w:t>20.38</w:t>
      </w:r>
      <w:r>
        <w:rPr>
          <w:rFonts w:hint="eastAsia" w:ascii="仿宋_GB2312" w:hAnsi="仿宋_GB2312" w:eastAsia="仿宋_GB2312" w:cs="仿宋_GB2312"/>
          <w:color w:val="auto"/>
          <w:sz w:val="32"/>
          <w:szCs w:val="32"/>
          <w:highlight w:val="none"/>
        </w:rPr>
        <w:t>万元，比20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年增加</w:t>
      </w:r>
      <w:r>
        <w:rPr>
          <w:rFonts w:hint="eastAsia" w:ascii="仿宋_GB2312" w:hAnsi="仿宋_GB2312" w:eastAsia="仿宋_GB2312" w:cs="仿宋_GB2312"/>
          <w:color w:val="auto"/>
          <w:sz w:val="32"/>
          <w:szCs w:val="32"/>
          <w:highlight w:val="none"/>
          <w:lang w:val="en-US" w:eastAsia="zh-CN"/>
        </w:rPr>
        <w:t>2.88</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16.46</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000000"/>
          <w:sz w:val="32"/>
          <w:szCs w:val="32"/>
        </w:rPr>
        <w:t>日常公用经费</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（注：数据来源于财决附03表）</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hint="eastAsia" w:ascii="仿宋_GB2312" w:hAnsi="仿宋_GB2312" w:eastAsia="仿宋_GB2312" w:cs="仿宋_GB2312"/>
          <w:b/>
          <w:color w:val="auto"/>
          <w:sz w:val="32"/>
          <w:szCs w:val="32"/>
          <w:highlight w:val="none"/>
        </w:rPr>
      </w:pPr>
      <w:bookmarkStart w:id="58" w:name="_Toc15377223"/>
      <w:r>
        <w:rPr>
          <w:rFonts w:hint="eastAsia" w:ascii="仿宋_GB2312" w:hAnsi="仿宋_GB2312" w:eastAsia="仿宋_GB2312" w:cs="仿宋_GB2312"/>
          <w:b/>
          <w:color w:val="auto"/>
          <w:sz w:val="32"/>
          <w:szCs w:val="32"/>
          <w:highlight w:val="none"/>
        </w:rPr>
        <w:t>（二）政府采购支出情况</w:t>
      </w:r>
      <w:bookmarkEnd w:id="58"/>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区工商联</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万元，其中：政府采购货物支出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万元、政府采购工程支出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万元、政府采购服务支出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万元。主要用于…（具体工作）。授予中小企业合同金额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万元，占政府采购支出总额的**%，其中：授予小微企业合同金额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（注：数据来源于财决附03表）</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hint="eastAsia" w:ascii="仿宋_GB2312" w:hAnsi="仿宋_GB2312" w:eastAsia="仿宋_GB2312" w:cs="仿宋_GB2312"/>
          <w:b/>
          <w:color w:val="auto"/>
          <w:sz w:val="32"/>
          <w:szCs w:val="32"/>
          <w:highlight w:val="none"/>
        </w:rPr>
      </w:pPr>
      <w:bookmarkStart w:id="59" w:name="_Toc15377224"/>
      <w:r>
        <w:rPr>
          <w:rFonts w:hint="eastAsia" w:ascii="仿宋_GB2312" w:hAnsi="仿宋_GB2312" w:eastAsia="仿宋_GB2312" w:cs="仿宋_GB2312"/>
          <w:b/>
          <w:color w:val="auto"/>
          <w:sz w:val="32"/>
          <w:szCs w:val="32"/>
          <w:highlight w:val="none"/>
        </w:rPr>
        <w:t>（三）国有资产占有使用情况</w:t>
      </w:r>
      <w:bookmarkEnd w:id="59"/>
    </w:p>
    <w:p>
      <w:pPr>
        <w:pageBreakBefore w:val="0"/>
        <w:kinsoku/>
        <w:wordWrap/>
        <w:overflowPunct/>
        <w:topLinePunct w:val="0"/>
        <w:autoSpaceDE w:val="0"/>
        <w:autoSpaceDN w:val="0"/>
        <w:bidi w:val="0"/>
        <w:adjustRightInd w:val="0"/>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color w:val="auto"/>
          <w:sz w:val="32"/>
          <w:szCs w:val="32"/>
          <w:highlight w:val="none"/>
          <w:lang w:eastAsia="zh-CN"/>
        </w:rPr>
        <w:t>区工商联</w:t>
      </w:r>
      <w:r>
        <w:rPr>
          <w:rFonts w:hint="eastAsia" w:ascii="仿宋_GB2312" w:hAnsi="仿宋_GB2312" w:eastAsia="仿宋_GB2312" w:cs="仿宋_GB2312"/>
          <w:color w:val="auto"/>
          <w:sz w:val="32"/>
          <w:szCs w:val="32"/>
          <w:highlight w:val="none"/>
        </w:rPr>
        <w:t>共有车辆</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辆，其中：主要领导干部用车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辆、机要通信用车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辆、应急保障用车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辆、其他用车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辆……其他用车主要是用于……单价50万元以上通用设备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台（套），单价100万元以上专用设备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pPr>
        <w:pageBreakBefore w:val="0"/>
        <w:kinsoku/>
        <w:wordWrap/>
        <w:overflowPunct/>
        <w:topLinePunct w:val="0"/>
        <w:autoSpaceDE w:val="0"/>
        <w:autoSpaceDN w:val="0"/>
        <w:bidi w:val="0"/>
        <w:adjustRightInd w:val="0"/>
        <w:spacing w:line="600" w:lineRule="exact"/>
        <w:ind w:firstLine="643"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（注：数据来源</w:t>
      </w:r>
      <w:r>
        <w:rPr>
          <w:rFonts w:hint="eastAsia" w:ascii="仿宋_GB2312" w:hAnsi="仿宋_GB2312" w:eastAsia="仿宋_GB2312" w:cs="仿宋_GB2312"/>
          <w:b/>
          <w:color w:val="auto"/>
          <w:sz w:val="32"/>
          <w:szCs w:val="32"/>
          <w:highlight w:val="none"/>
          <w:lang w:eastAsia="zh-CN"/>
        </w:rPr>
        <w:t>于</w:t>
      </w:r>
      <w:r>
        <w:rPr>
          <w:rFonts w:hint="eastAsia" w:ascii="仿宋_GB2312" w:hAnsi="仿宋_GB2312" w:eastAsia="仿宋_GB2312" w:cs="仿宋_GB2312"/>
          <w:b/>
          <w:color w:val="auto"/>
          <w:sz w:val="32"/>
          <w:szCs w:val="32"/>
          <w:highlight w:val="none"/>
        </w:rPr>
        <w:t>财决附03表，按部门决算报表填报数据罗列车辆情况。）</w:t>
      </w:r>
    </w:p>
    <w:p>
      <w:pPr>
        <w:spacing w:line="580" w:lineRule="exact"/>
        <w:rPr>
          <w:rFonts w:hint="eastAsia" w:ascii="仿宋_GB2312" w:hAnsi="仿宋_GB2312" w:eastAsia="仿宋_GB2312" w:cs="仿宋_GB2312"/>
          <w:color w:val="auto"/>
          <w:sz w:val="32"/>
          <w:szCs w:val="32"/>
          <w:highlight w:val="none"/>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2"/>
        </w:numPr>
        <w:spacing w:line="600" w:lineRule="exact"/>
        <w:ind w:firstLine="660" w:firstLineChars="150"/>
        <w:jc w:val="center"/>
        <w:outlineLvl w:val="0"/>
        <w:rPr>
          <w:rStyle w:val="25"/>
          <w:rFonts w:ascii="黑体" w:hAnsi="黑体" w:eastAsia="黑体"/>
          <w:b w:val="0"/>
          <w:color w:val="auto"/>
          <w:highlight w:val="none"/>
        </w:rPr>
      </w:pPr>
      <w:bookmarkStart w:id="60" w:name="_Toc15377225"/>
      <w:bookmarkStart w:id="61"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60"/>
      <w:bookmarkEnd w:id="61"/>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文化体育与传媒（类）…（款）…（项）：指……。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rPr>
        <w:t>医疗卫生与计划生育（类）…（款）…（项）：指……。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资源勘探信息等（类）…（款）…（项）：指……。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rPr>
        <w:t>国土海洋气象等（类）…（款）…（项）：指……。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（解释本部门决算报表中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32.</w:t>
      </w:r>
      <w:r>
        <w:rPr>
          <w:rFonts w:hint="eastAsia" w:ascii="仿宋_GB2312" w:eastAsia="仿宋_GB2312"/>
          <w:color w:val="auto"/>
          <w:sz w:val="32"/>
          <w:szCs w:val="32"/>
          <w:highlight w:val="none"/>
        </w:rPr>
        <w:t>……。</w:t>
      </w:r>
    </w:p>
    <w:p>
      <w:pPr>
        <w:pStyle w:val="23"/>
        <w:spacing w:line="560" w:lineRule="exact"/>
        <w:ind w:firstLine="640" w:firstLineChars="200"/>
        <w:rPr>
          <w:rFonts w:ascii="仿宋_GB2312" w:eastAsia="仿宋_GB2312" w:cs="黑体"/>
          <w:color w:val="auto"/>
          <w:sz w:val="32"/>
          <w:szCs w:val="32"/>
          <w:highlight w:val="none"/>
        </w:rPr>
      </w:pP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（名词解释部分请根据各部门实际列支情况罗列，并根据本部门职责职能增减名词解释内容。）</w:t>
      </w:r>
    </w:p>
    <w:p>
      <w:pPr>
        <w:spacing w:line="600" w:lineRule="exact"/>
        <w:jc w:val="center"/>
        <w:outlineLvl w:val="0"/>
        <w:rPr>
          <w:rStyle w:val="25"/>
          <w:rFonts w:hint="eastAsia" w:ascii="黑体" w:hAnsi="黑体" w:eastAsia="黑体"/>
          <w:b w:val="0"/>
          <w:color w:val="auto"/>
          <w:highlight w:val="none"/>
          <w:lang w:eastAsia="zh-CN"/>
        </w:rPr>
      </w:pPr>
      <w:bookmarkStart w:id="62" w:name="_Toc15377226"/>
      <w:r>
        <w:rPr>
          <w:rFonts w:ascii="宋体"/>
          <w:b/>
          <w:color w:val="auto"/>
          <w:sz w:val="44"/>
          <w:szCs w:val="44"/>
          <w:highlight w:val="none"/>
        </w:rPr>
        <w:br w:type="page"/>
      </w:r>
      <w:bookmarkStart w:id="63"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63"/>
    </w:p>
    <w:p>
      <w:pPr>
        <w:widowControl/>
        <w:spacing w:line="580" w:lineRule="exact"/>
        <w:contextualSpacing/>
        <w:jc w:val="center"/>
        <w:rPr>
          <w:rFonts w:hint="eastAsia" w:ascii="宋体" w:hAnsi="宋体" w:eastAsia="宋体"/>
          <w:b/>
          <w:sz w:val="44"/>
          <w:szCs w:val="44"/>
          <w:shd w:val="clear" w:color="auto" w:fill="FFFFFF"/>
        </w:rPr>
      </w:pPr>
    </w:p>
    <w:p>
      <w:pPr>
        <w:widowControl/>
        <w:spacing w:line="580" w:lineRule="exact"/>
        <w:contextualSpacing/>
        <w:jc w:val="center"/>
        <w:rPr>
          <w:rFonts w:ascii="宋体" w:hAnsi="宋体" w:eastAsia="宋体"/>
          <w:b/>
          <w:sz w:val="44"/>
          <w:szCs w:val="44"/>
          <w:shd w:val="clear" w:color="auto" w:fill="FFFFFF"/>
        </w:rPr>
      </w:pPr>
      <w:r>
        <w:rPr>
          <w:rFonts w:hint="eastAsia" w:ascii="宋体" w:hAnsi="宋体" w:eastAsia="宋体"/>
          <w:b/>
          <w:sz w:val="44"/>
          <w:szCs w:val="44"/>
          <w:shd w:val="clear" w:color="auto" w:fill="FFFFFF"/>
        </w:rPr>
        <w:t>202</w:t>
      </w:r>
      <w:r>
        <w:rPr>
          <w:rFonts w:hint="eastAsia" w:ascii="宋体" w:hAnsi="宋体" w:eastAsia="宋体"/>
          <w:b/>
          <w:sz w:val="44"/>
          <w:szCs w:val="44"/>
          <w:shd w:val="clear" w:color="auto" w:fill="FFFFFF"/>
          <w:lang w:val="en-US" w:eastAsia="zh-CN"/>
        </w:rPr>
        <w:t>1</w:t>
      </w:r>
      <w:r>
        <w:rPr>
          <w:rFonts w:hint="eastAsia" w:ascii="宋体" w:hAnsi="宋体" w:eastAsia="宋体"/>
          <w:b/>
          <w:sz w:val="44"/>
          <w:szCs w:val="44"/>
          <w:shd w:val="clear" w:color="auto" w:fill="FFFFFF"/>
        </w:rPr>
        <w:t>年广元市利州工商业联合会</w:t>
      </w:r>
    </w:p>
    <w:p>
      <w:pPr>
        <w:widowControl/>
        <w:spacing w:line="580" w:lineRule="exact"/>
        <w:contextualSpacing/>
        <w:jc w:val="center"/>
        <w:rPr>
          <w:rFonts w:ascii="宋体" w:hAnsi="宋体" w:eastAsia="宋体"/>
          <w:b/>
          <w:sz w:val="44"/>
          <w:szCs w:val="44"/>
          <w:shd w:val="clear" w:color="auto" w:fill="FFFFFF"/>
        </w:rPr>
      </w:pPr>
      <w:r>
        <w:rPr>
          <w:rFonts w:hint="eastAsia" w:ascii="宋体" w:hAnsi="宋体"/>
          <w:b/>
          <w:sz w:val="44"/>
          <w:szCs w:val="44"/>
          <w:shd w:val="clear" w:color="auto" w:fill="FFFFFF"/>
          <w:lang w:eastAsia="zh-CN"/>
        </w:rPr>
        <w:t>部门</w:t>
      </w:r>
      <w:r>
        <w:rPr>
          <w:rFonts w:hint="eastAsia" w:ascii="宋体" w:hAnsi="宋体" w:eastAsia="宋体"/>
          <w:b/>
          <w:sz w:val="44"/>
          <w:szCs w:val="44"/>
          <w:shd w:val="clear" w:color="auto" w:fill="FFFFFF"/>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rPr>
        <w:t>一、</w:t>
      </w:r>
      <w:r>
        <w:rPr>
          <w:rFonts w:hint="eastAsia" w:ascii="仿宋_GB2312" w:hAnsi="仿宋_GB2312" w:eastAsia="仿宋_GB2312" w:cs="仿宋_GB2312"/>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区工商联（商会）机关内设1个办公室。</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是加强思想政治工作，引导非公有制经济人士学习贯彻党的路线方针政策，遵守国家法律法规，培养拥护党的领导、走中国特色社会主义道路的非公有制经济人士队伍；二是参加政治协商，发挥民主监督作用，积极参政议政；三是推动经贸交流和协作，促进经济社会发展；四是加强行业协会商会建设，服务非公有制企业发展；五是参与协调劳动关系，促进社会和谐稳定；六是反映非公有制企业和非公有制经济人士利益诉求，维护其合法权益。</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区工商联机关编制3名，现有在职人员9人，其中公务员8人，工勤控编1人；退休职工2人。</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zh-CN"/>
        </w:rPr>
        <w:t>（一）</w:t>
      </w:r>
      <w:r>
        <w:rPr>
          <w:rFonts w:hint="eastAsia" w:ascii="仿宋_GB2312" w:hAnsi="仿宋_GB2312" w:eastAsia="仿宋_GB2312" w:cs="仿宋_GB2312"/>
          <w:color w:val="000000"/>
          <w:kern w:val="0"/>
          <w:sz w:val="32"/>
          <w:szCs w:val="32"/>
          <w:shd w:val="clear" w:color="auto" w:fill="FFFFFF"/>
          <w:lang w:val="en-US" w:eastAsia="zh-CN"/>
        </w:rPr>
        <w:t>2021年度总收入181.02万元。</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zh-CN"/>
        </w:rPr>
        <w:t>（二）</w:t>
      </w:r>
      <w:r>
        <w:rPr>
          <w:rFonts w:hint="eastAsia" w:ascii="仿宋_GB2312" w:hAnsi="仿宋_GB2312" w:eastAsia="仿宋_GB2312" w:cs="仿宋_GB2312"/>
          <w:color w:val="000000"/>
          <w:kern w:val="0"/>
          <w:sz w:val="32"/>
          <w:szCs w:val="32"/>
          <w:shd w:val="clear" w:color="auto" w:fill="FFFFFF"/>
          <w:lang w:val="en-US" w:eastAsia="zh-CN"/>
        </w:rPr>
        <w:t>2021年度支出合计181.02万元，其中：基本支出154.18万元；项目支出26.84万元。</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_GB2312" w:eastAsia="仿宋_GB2312" w:cs="仿宋_GB2312"/>
          <w:i w:val="0"/>
          <w:iCs w:val="0"/>
          <w:caps w:val="0"/>
          <w:color w:val="333333"/>
          <w:spacing w:val="0"/>
          <w:sz w:val="32"/>
          <w:szCs w:val="32"/>
          <w:shd w:val="clear" w:fill="FFFFFF"/>
        </w:rPr>
        <w:t>我单位在预算编制方面，严格遵循合法性、真实性、完整性、重点性、绩效性，实行零基预算，按照标准编制部门预算。在绩效目标填报方面，按规定时间、格式申报相关资料，做到绩效目标针对项目特点清晰明确且细化，有量化的绩效指标且能清晰反映绩效实现程度，绩效目标依据充分。在绩效目标过程监控方面，建立监控制度，定期采集绩效运行的信息并进行汇总分析, 按要求报送报告。及时纠正或调整偏离绩效的项目，确保绩效目标如期实现。在绩效评价方面，严格按照支出绩效评价指标体系，用完整科学的指标体系充分反映整体和项目的绩效目标实现程度。</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结合单位职能，统筹设立部门整体绩效目标，并将绩效目标进一步细化，充分考试指标的可量化性、数据的可采集性、方法的可操作性、目标的可实现性，绩效的可考核性。</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根据确定的绩效目标，对绩效目标实现程度、项目实施进度、资金支出进度等情况进行阶段性跟踪管理和督促检查，及时发现问题并采取有效的措施纠正偏离绩效目标情况。</w:t>
      </w:r>
    </w:p>
    <w:p>
      <w:pPr>
        <w:widowControl/>
        <w:numPr>
          <w:ilvl w:val="0"/>
          <w:numId w:val="3"/>
        </w:numPr>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自评质量</w:t>
      </w:r>
    </w:p>
    <w:p>
      <w:pPr>
        <w:widowControl/>
        <w:adjustRightInd w:val="0"/>
        <w:snapToGrid w:val="0"/>
        <w:spacing w:line="580" w:lineRule="exact"/>
        <w:contextualSpacing/>
        <w:jc w:val="left"/>
        <w:rPr>
          <w:rFonts w:ascii="仿宋_GB2312" w:hAnsi="宋体" w:cs="宋体"/>
          <w:color w:val="000000"/>
          <w:kern w:val="0"/>
          <w:szCs w:val="32"/>
          <w:shd w:val="clear" w:color="auto" w:fill="FFFFFF"/>
        </w:rPr>
      </w:pPr>
      <w:r>
        <w:rPr>
          <w:rFonts w:hint="eastAsia" w:ascii="仿宋_GB2312" w:hAnsi="宋体" w:cs="宋体"/>
          <w:color w:val="000000"/>
          <w:kern w:val="0"/>
          <w:szCs w:val="32"/>
          <w:shd w:val="clear" w:color="auto" w:fill="FFFFFF"/>
        </w:rPr>
        <w:t xml:space="preserve">    </w:t>
      </w:r>
      <w:r>
        <w:rPr>
          <w:rFonts w:hint="eastAsia" w:ascii="仿宋_GB2312" w:hAnsi="仿宋_GB2312" w:eastAsia="仿宋_GB2312" w:cs="仿宋_GB2312"/>
          <w:i w:val="0"/>
          <w:iCs w:val="0"/>
          <w:caps w:val="0"/>
          <w:color w:val="333333"/>
          <w:spacing w:val="0"/>
          <w:sz w:val="32"/>
          <w:szCs w:val="32"/>
          <w:shd w:val="clear" w:fill="FFFFFF"/>
        </w:rPr>
        <w:t>综合以上各项指标，</w:t>
      </w:r>
      <w:r>
        <w:rPr>
          <w:rFonts w:hint="eastAsia" w:ascii="仿宋_GB2312" w:hAnsi="仿宋_GB2312" w:eastAsia="仿宋_GB2312" w:cs="仿宋_GB2312"/>
          <w:i w:val="0"/>
          <w:iCs w:val="0"/>
          <w:caps w:val="0"/>
          <w:color w:val="333333"/>
          <w:spacing w:val="0"/>
          <w:sz w:val="32"/>
          <w:szCs w:val="32"/>
          <w:shd w:val="clear" w:fill="FFFFFF"/>
          <w:lang w:eastAsia="zh-CN"/>
        </w:rPr>
        <w:t>我单位</w:t>
      </w:r>
      <w:r>
        <w:rPr>
          <w:rFonts w:hint="eastAsia" w:ascii="仿宋_GB2312" w:hAnsi="仿宋_GB2312" w:eastAsia="仿宋_GB2312" w:cs="仿宋_GB2312"/>
          <w:i w:val="0"/>
          <w:iCs w:val="0"/>
          <w:caps w:val="0"/>
          <w:color w:val="333333"/>
          <w:spacing w:val="0"/>
          <w:sz w:val="32"/>
          <w:szCs w:val="32"/>
          <w:shd w:val="clear" w:fill="FFFFFF"/>
        </w:rPr>
        <w:t>财务管理健全规范，没有发生违法违规现象，我单位202</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年的部门整体支出绩效自我评价自评结果：总评分9</w:t>
      </w:r>
      <w:r>
        <w:rPr>
          <w:rFonts w:hint="eastAsia" w:ascii="仿宋_GB2312" w:hAnsi="仿宋_GB2312" w:cs="仿宋_GB2312"/>
          <w:i w:val="0"/>
          <w:iCs w:val="0"/>
          <w:caps w:val="0"/>
          <w:color w:val="333333"/>
          <w:spacing w:val="0"/>
          <w:sz w:val="32"/>
          <w:szCs w:val="32"/>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分。</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（一）评价结论。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综合以上各项指标，</w:t>
      </w:r>
      <w:r>
        <w:rPr>
          <w:rFonts w:hint="eastAsia" w:ascii="仿宋_GB2312" w:hAnsi="仿宋_GB2312" w:eastAsia="仿宋_GB2312" w:cs="仿宋_GB2312"/>
          <w:i w:val="0"/>
          <w:iCs w:val="0"/>
          <w:caps w:val="0"/>
          <w:color w:val="333333"/>
          <w:spacing w:val="0"/>
          <w:sz w:val="32"/>
          <w:szCs w:val="32"/>
          <w:shd w:val="clear" w:fill="FFFFFF"/>
          <w:lang w:eastAsia="zh-CN"/>
        </w:rPr>
        <w:t>我单位</w:t>
      </w:r>
      <w:r>
        <w:rPr>
          <w:rFonts w:hint="eastAsia" w:ascii="仿宋_GB2312" w:hAnsi="仿宋_GB2312" w:eastAsia="仿宋_GB2312" w:cs="仿宋_GB2312"/>
          <w:i w:val="0"/>
          <w:iCs w:val="0"/>
          <w:caps w:val="0"/>
          <w:color w:val="333333"/>
          <w:spacing w:val="0"/>
          <w:sz w:val="32"/>
          <w:szCs w:val="32"/>
          <w:shd w:val="clear" w:fill="FFFFFF"/>
        </w:rPr>
        <w:t>财务管理健全规范，没有发生违法违规现象，我单位202</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年的部门整体支出绩效自我评价自评结果：总评分9</w:t>
      </w:r>
      <w:r>
        <w:rPr>
          <w:rFonts w:hint="eastAsia" w:ascii="仿宋_GB2312" w:hAnsi="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分。我单位将在以后的工作中加强预算管理，严格控制各项经费的开支，提高经费的使用效率。</w:t>
      </w:r>
    </w:p>
    <w:p>
      <w:pPr>
        <w:widowControl/>
        <w:numPr>
          <w:ilvl w:val="0"/>
          <w:numId w:val="4"/>
        </w:numPr>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存在问题。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我单位在日常财务工作中存在着一定程度的“重分配、轻管理、重支出、轻绩效”的情况，造成该问题的主要原因是预算绩效观念不深入，单位绩效目标编制仍有缺失，需要进一步加强对资金绩效管理的重视程度；预算绩效规范管理有盲点。财务人员面对当前绩效管理工作缺乏专业性很强的技能储备，只能是边工作、边学习、边积累，短期内对部分工作没有做到科学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（三）改进建议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1、进一步增强绩效管理理念。在管理和使用预算资金的过程中，更加突出资金使用绩效，做到“花钱必问效”。按照绩效评价原则，开展资金安全性、规范性的监督，确保专项资金的使用符合绩效管理要求。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2、进一步严格财务管理制度。严格遵守国家、省、市、区财务管理法律法规，严格执行内部控制规范，确保资金使用、管理、监督等各个环节有章可循，从制度上管好用好每笔资金。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3、进一步加强财务素养和专业技能培训。针对预算资金绩效管理和相关法律法规，对财务人员开展培训，学习预算绩效管理的法律法规、规范要求，让绩效理念深入人心、让绩效管理人员熟知政策、知行合一。</w:t>
      </w: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31"/>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黑体" w:hAnsi="黑体" w:eastAsia="黑体" w:cs="黑体"/>
          <w:sz w:val="44"/>
          <w:szCs w:val="44"/>
          <w:lang w:eastAsia="zh-CN"/>
        </w:rPr>
      </w:pPr>
      <w:r>
        <w:rPr>
          <w:rFonts w:hint="eastAsia" w:ascii="黑体" w:hAnsi="黑体" w:eastAsia="黑体" w:cs="黑体"/>
          <w:sz w:val="44"/>
          <w:szCs w:val="44"/>
          <w:lang w:val="en-US" w:eastAsia="zh-CN"/>
        </w:rPr>
        <w:t>二、</w:t>
      </w:r>
      <w:r>
        <w:rPr>
          <w:rFonts w:hint="eastAsia" w:ascii="黑体" w:hAnsi="黑体" w:eastAsia="黑体" w:cs="黑体"/>
          <w:sz w:val="44"/>
          <w:szCs w:val="44"/>
          <w:lang w:val="en-US"/>
        </w:rPr>
        <w:t>202</w:t>
      </w:r>
      <w:r>
        <w:rPr>
          <w:rFonts w:hint="eastAsia" w:ascii="黑体" w:hAnsi="黑体" w:eastAsia="黑体" w:cs="黑体"/>
          <w:sz w:val="44"/>
          <w:szCs w:val="44"/>
          <w:lang w:val="en-US" w:eastAsia="zh-CN"/>
        </w:rPr>
        <w:t>1</w:t>
      </w:r>
      <w:r>
        <w:rPr>
          <w:rFonts w:hint="eastAsia" w:ascii="黑体" w:hAnsi="黑体" w:eastAsia="黑体" w:cs="黑体"/>
          <w:sz w:val="44"/>
          <w:szCs w:val="44"/>
          <w:lang w:val="en-US"/>
        </w:rPr>
        <w:t>年</w:t>
      </w:r>
      <w:r>
        <w:rPr>
          <w:rFonts w:hint="eastAsia" w:ascii="黑体" w:hAnsi="黑体" w:eastAsia="黑体" w:cs="黑体"/>
          <w:sz w:val="44"/>
          <w:szCs w:val="44"/>
        </w:rPr>
        <w:t>专项预算项目</w:t>
      </w:r>
      <w:r>
        <w:rPr>
          <w:rFonts w:hint="eastAsia" w:ascii="黑体" w:hAnsi="黑体" w:eastAsia="黑体" w:cs="黑体"/>
          <w:sz w:val="44"/>
          <w:szCs w:val="44"/>
          <w:lang w:eastAsia="zh-CN"/>
        </w:rPr>
        <w:t>支出绩效自评报告</w:t>
      </w:r>
    </w:p>
    <w:p>
      <w:pPr>
        <w:pStyle w:val="31"/>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bCs/>
          <w:sz w:val="44"/>
          <w:szCs w:val="44"/>
          <w:lang w:val="zh-CN"/>
        </w:rPr>
      </w:pPr>
    </w:p>
    <w:p>
      <w:pPr>
        <w:pStyle w:val="31"/>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bCs/>
          <w:sz w:val="44"/>
          <w:szCs w:val="44"/>
          <w:lang w:val="zh-CN"/>
        </w:rPr>
      </w:pPr>
      <w:r>
        <w:rPr>
          <w:rFonts w:hint="eastAsia" w:ascii="黑体" w:hAnsi="黑体" w:eastAsia="黑体" w:cs="黑体"/>
          <w:bCs/>
          <w:sz w:val="44"/>
          <w:szCs w:val="44"/>
          <w:lang w:val="zh-CN"/>
        </w:rPr>
        <w:t>五好工商联专项预算项目</w:t>
      </w:r>
    </w:p>
    <w:p>
      <w:pPr>
        <w:pStyle w:val="31"/>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bCs/>
          <w:sz w:val="36"/>
          <w:szCs w:val="36"/>
          <w:lang w:eastAsia="zh-CN"/>
        </w:rPr>
      </w:pPr>
      <w:r>
        <w:rPr>
          <w:rFonts w:hint="eastAsia" w:ascii="黑体" w:hAnsi="黑体" w:eastAsia="黑体" w:cs="黑体"/>
          <w:bCs/>
          <w:sz w:val="44"/>
          <w:szCs w:val="44"/>
          <w:lang w:val="zh-CN"/>
        </w:rPr>
        <w:t>支</w:t>
      </w:r>
      <w:r>
        <w:rPr>
          <w:rFonts w:hint="eastAsia" w:ascii="黑体" w:hAnsi="黑体" w:eastAsia="黑体" w:cs="黑体"/>
          <w:bCs/>
          <w:sz w:val="44"/>
          <w:szCs w:val="44"/>
        </w:rPr>
        <w:t>出绩效自评报告</w:t>
      </w:r>
    </w:p>
    <w:p>
      <w:pPr>
        <w:keepNext w:val="0"/>
        <w:keepLines w:val="0"/>
        <w:pageBreakBefore w:val="0"/>
        <w:widowControl w:val="0"/>
        <w:kinsoku/>
        <w:wordWrap/>
        <w:overflowPunct/>
        <w:topLinePunct w:val="0"/>
        <w:autoSpaceDN/>
        <w:bidi w:val="0"/>
        <w:spacing w:line="52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val="zh-CN"/>
        </w:rPr>
        <w:t>项目概况</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五好工商联专项工作，</w:t>
      </w:r>
      <w:r>
        <w:rPr>
          <w:rFonts w:hint="eastAsia" w:ascii="仿宋_GB2312" w:hAnsi="仿宋_GB2312" w:eastAsia="仿宋_GB2312" w:cs="仿宋_GB2312"/>
          <w:sz w:val="32"/>
          <w:szCs w:val="32"/>
        </w:rPr>
        <w:t>此项目预算9.67万元。</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该项目属常年性项目，主要用于加强工商联自身建设，提升服务功能，巩固提升</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“五好”县级工商联标准，增强搭建平台、管理商会、服务会员的能力。符合资金管理办法相关规定，无违规现象。</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keepNext w:val="0"/>
        <w:keepLines w:val="0"/>
        <w:pageBreakBefore w:val="0"/>
        <w:widowControl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五好工商联专项工作，</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加强工商联自身建设，提升服务功能，巩固提全国“五好”县级工商联标准，增强搭建平台、管理商会、服务会员的能力。</w:t>
      </w:r>
      <w:r>
        <w:rPr>
          <w:rFonts w:hint="eastAsia" w:ascii="仿宋_GB2312" w:hAnsi="仿宋_GB2312" w:eastAsia="仿宋_GB2312" w:cs="仿宋_GB2312"/>
          <w:b w:val="0"/>
          <w:bCs w:val="0"/>
          <w:sz w:val="32"/>
          <w:szCs w:val="32"/>
        </w:rPr>
        <w:t>成功召开七届会员代表大会和七届一次执委会，</w:t>
      </w:r>
      <w:r>
        <w:rPr>
          <w:rFonts w:hint="eastAsia" w:ascii="仿宋_GB2312" w:hAnsi="仿宋_GB2312" w:eastAsia="仿宋_GB2312" w:cs="仿宋_GB2312"/>
          <w:b w:val="0"/>
          <w:bCs w:val="0"/>
          <w:sz w:val="32"/>
          <w:szCs w:val="32"/>
          <w:lang w:eastAsia="zh-CN"/>
        </w:rPr>
        <w:t>选出</w:t>
      </w:r>
      <w:r>
        <w:rPr>
          <w:rFonts w:hint="eastAsia" w:ascii="仿宋_GB2312" w:hAnsi="仿宋_GB2312" w:eastAsia="仿宋_GB2312" w:cs="仿宋_GB2312"/>
          <w:b w:val="0"/>
          <w:bCs w:val="0"/>
          <w:sz w:val="32"/>
          <w:szCs w:val="32"/>
        </w:rPr>
        <w:t>兼职副主席（副会长）34名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全年组织召开执委会1次，主席办公会4次，开展</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次商会轮值活动，商会改革和发展工作推进会</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次。以“守法城信经营、坚定发展信心”等活动契机，扎实推进非公经济人士理想信念教育活动。</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非公经济人士担任市区人大代表、政协委员</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lang w:val="en-US" w:eastAsia="zh-CN"/>
        </w:rPr>
        <w:t>41人次</w:t>
      </w:r>
      <w:r>
        <w:rPr>
          <w:rFonts w:hint="eastAsia" w:ascii="仿宋_GB2312" w:hAnsi="仿宋_GB2312" w:eastAsia="仿宋_GB2312" w:cs="仿宋_GB2312"/>
          <w:sz w:val="32"/>
          <w:szCs w:val="32"/>
        </w:rPr>
        <w:t>，积极参政议政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在市区“两会”上撰写大会发言</w:t>
      </w:r>
      <w:r>
        <w:rPr>
          <w:rFonts w:hint="eastAsia" w:ascii="仿宋_GB2312" w:hAnsi="仿宋_GB2312" w:eastAsia="仿宋_GB2312" w:cs="仿宋_GB2312"/>
          <w:sz w:val="32"/>
          <w:szCs w:val="32"/>
          <w:lang w:val="en-US" w:eastAsia="zh-CN"/>
        </w:rPr>
        <w:t>材料3篇，提交提案建议50余件。利州区工商联上报的6件提案、6名副主席（副会长）分别获得八届区政协优秀提案、优秀委员</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着力</w:t>
      </w:r>
      <w:r>
        <w:rPr>
          <w:rFonts w:hint="eastAsia" w:ascii="仿宋_GB2312" w:hAnsi="仿宋_GB2312" w:eastAsia="仿宋_GB2312" w:cs="仿宋_GB2312"/>
          <w:b w:val="0"/>
          <w:bCs w:val="0"/>
          <w:sz w:val="32"/>
          <w:szCs w:val="32"/>
        </w:rPr>
        <w:t>引导非公经济人士及企业弘扬“致富思源、富而思进、扶危济困、共同富裕”的光彩精神，积极开展捐资助学、扶危济困、</w:t>
      </w:r>
      <w:r>
        <w:rPr>
          <w:rFonts w:hint="eastAsia" w:ascii="仿宋_GB2312" w:hAnsi="仿宋_GB2312" w:eastAsia="仿宋_GB2312" w:cs="仿宋_GB2312"/>
          <w:b w:val="0"/>
          <w:bCs w:val="0"/>
          <w:sz w:val="32"/>
          <w:szCs w:val="32"/>
          <w:lang w:eastAsia="zh-CN"/>
        </w:rPr>
        <w:t>脱贫攻坚、乡村振兴</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eastAsia="zh-CN"/>
        </w:rPr>
        <w:t>公益</w:t>
      </w:r>
      <w:r>
        <w:rPr>
          <w:rFonts w:hint="eastAsia" w:ascii="仿宋_GB2312" w:hAnsi="仿宋_GB2312" w:eastAsia="仿宋_GB2312" w:cs="仿宋_GB2312"/>
          <w:b w:val="0"/>
          <w:bCs w:val="0"/>
          <w:sz w:val="32"/>
          <w:szCs w:val="32"/>
        </w:rPr>
        <w:t>慈善事业</w:t>
      </w:r>
      <w:r>
        <w:rPr>
          <w:rFonts w:hint="eastAsia" w:ascii="仿宋_GB2312" w:hAnsi="仿宋_GB2312" w:eastAsia="仿宋_GB2312" w:cs="仿宋_GB2312"/>
          <w:b w:val="0"/>
          <w:bCs w:val="0"/>
          <w:sz w:val="32"/>
          <w:szCs w:val="32"/>
          <w:lang w:eastAsia="zh-CN"/>
        </w:rPr>
        <w:t>。深入开展“万企帮万村”、“万企兴万村”等村企结对共建行动。</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工商联专职</w:t>
      </w:r>
      <w:r>
        <w:rPr>
          <w:rFonts w:hint="eastAsia" w:ascii="仿宋_GB2312" w:hAnsi="仿宋_GB2312" w:eastAsia="仿宋_GB2312" w:cs="仿宋_GB2312"/>
          <w:sz w:val="32"/>
          <w:szCs w:val="32"/>
        </w:rPr>
        <w:t>领导干部联系基层商会和会员制度。常态化、全覆盖开展“进企问需”活动。针对企业需求</w:t>
      </w:r>
      <w:r>
        <w:rPr>
          <w:rFonts w:hint="eastAsia" w:ascii="仿宋_GB2312" w:hAnsi="仿宋_GB2312" w:eastAsia="仿宋_GB2312" w:cs="仿宋_GB2312"/>
          <w:sz w:val="32"/>
          <w:szCs w:val="32"/>
          <w:lang w:eastAsia="zh-CN"/>
        </w:rPr>
        <w:t>联合相关职能部门开展</w:t>
      </w:r>
      <w:r>
        <w:rPr>
          <w:rFonts w:hint="eastAsia" w:ascii="仿宋_GB2312" w:hAnsi="仿宋_GB2312" w:eastAsia="仿宋_GB2312" w:cs="仿宋_GB2312"/>
          <w:b w:val="0"/>
          <w:bCs w:val="0"/>
          <w:sz w:val="32"/>
        </w:rPr>
        <w:t>“春雨润苗”</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sz w:val="32"/>
        </w:rPr>
        <w:t>“万所联万会”</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sz w:val="32"/>
        </w:rPr>
        <w:t>银企对接</w:t>
      </w:r>
      <w:r>
        <w:rPr>
          <w:rFonts w:hint="eastAsia" w:ascii="仿宋_GB2312" w:hAnsi="仿宋_GB2312" w:eastAsia="仿宋_GB2312" w:cs="仿宋_GB2312"/>
          <w:b w:val="0"/>
          <w:bCs w:val="0"/>
          <w:sz w:val="32"/>
          <w:lang w:eastAsia="zh-CN"/>
        </w:rPr>
        <w:t>”等服务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切实帮助民营企业解决税收、法律、融资等问题</w:t>
      </w:r>
      <w:r>
        <w:rPr>
          <w:rFonts w:hint="eastAsia" w:ascii="仿宋_GB2312" w:hAnsi="仿宋_GB2312" w:eastAsia="仿宋_GB2312" w:cs="仿宋_GB2312"/>
          <w:sz w:val="32"/>
          <w:szCs w:val="32"/>
        </w:rPr>
        <w:t>。加强对外经济交流合作，</w:t>
      </w:r>
      <w:r>
        <w:rPr>
          <w:rFonts w:hint="eastAsia" w:ascii="仿宋_GB2312" w:hAnsi="仿宋_GB2312" w:eastAsia="仿宋_GB2312" w:cs="仿宋_GB2312"/>
          <w:b w:val="0"/>
          <w:bCs w:val="0"/>
          <w:sz w:val="32"/>
        </w:rPr>
        <w:t>组织会员企业参加农博会、西博会等经贸合作</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sz w:val="32"/>
        </w:rPr>
        <w:t>先后赴重庆渝北区工商联、剑阁县工商联考察交流，开展互学互鉴，加强企业之间的交流合作</w:t>
      </w:r>
      <w:r>
        <w:rPr>
          <w:rFonts w:hint="eastAsia" w:ascii="仿宋_GB2312" w:hAnsi="仿宋_GB2312" w:eastAsia="仿宋_GB2312" w:cs="仿宋_GB2312"/>
          <w:sz w:val="32"/>
          <w:szCs w:val="32"/>
        </w:rPr>
        <w:t>。加强会员发展管理，全年新发展会员</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余名。一批具有成长型和行业代表的中小微企业进入工商联系统，区工商联会员广泛性和代表性进一步扩大。会员队伍结构不断优化，做好了宝轮商会阵地规范化建设和重庆利州商会筹建工作。通过各类活动开展，工商联在加强基层组织建设、思想政治引领、经济联络服务、参与社会公益等各方面作用不断凸显，有力发挥了党委政府和非公经济人士的桥梁纽带作用。</w:t>
      </w:r>
      <w:r>
        <w:rPr>
          <w:rFonts w:hint="eastAsia" w:ascii="仿宋_GB2312" w:hAnsi="仿宋_GB2312" w:eastAsia="仿宋_GB2312" w:cs="仿宋_GB2312"/>
          <w:sz w:val="32"/>
          <w:szCs w:val="32"/>
          <w:lang w:val="en-US" w:eastAsia="zh-CN"/>
        </w:rPr>
        <w:t>利州区工商联连续六年被全国工商联认定为全国“五好”县级工商联。</w:t>
      </w:r>
    </w:p>
    <w:p>
      <w:pPr>
        <w:keepNext w:val="0"/>
        <w:keepLines w:val="0"/>
        <w:pageBreakBefore w:val="0"/>
        <w:widowControl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lang w:val="zh-CN"/>
        </w:rPr>
        <w:t>（三）项目资金申报相符性</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项目资金使用和申报时相符执行合理可行。</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二、项目实施及管理情况</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（一）资金计划、到位及使用情况。</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五好工商联专项工作</w:t>
      </w:r>
      <w:r>
        <w:rPr>
          <w:rFonts w:hint="eastAsia" w:ascii="仿宋_GB2312" w:hAnsi="仿宋_GB2312" w:eastAsia="仿宋_GB2312" w:cs="仿宋_GB2312"/>
          <w:sz w:val="32"/>
          <w:szCs w:val="32"/>
        </w:rPr>
        <w:t>经费预算9.67万元，</w:t>
      </w:r>
      <w:r>
        <w:rPr>
          <w:rFonts w:hint="eastAsia" w:ascii="仿宋_GB2312" w:hAnsi="仿宋_GB2312" w:eastAsia="仿宋_GB2312" w:cs="仿宋_GB2312"/>
          <w:sz w:val="32"/>
          <w:szCs w:val="32"/>
          <w:lang w:val="zh-CN"/>
        </w:rPr>
        <w:t>截止评价时点</w:t>
      </w:r>
      <w:r>
        <w:rPr>
          <w:rFonts w:hint="eastAsia" w:ascii="仿宋_GB2312" w:hAnsi="仿宋_GB2312" w:eastAsia="仿宋_GB2312" w:cs="仿宋_GB2312"/>
          <w:sz w:val="32"/>
          <w:szCs w:val="32"/>
        </w:rPr>
        <w:t>已全部执行。资金到位率100%。</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开展工作时所需工作经费、主席办公会所需要工作经费、商会轮值及非公经济人士思想政治引领等支出，均按相关规定执行，无超标准现象。活动完毕后采取刷公务卡或转账支付方式进行结算，确因特殊情况支付了小额现金的，采取经办人垫付，经审批后，月底通过银行代发报销。</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（二）项目财务管理情况。</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区工商联建立了相关财务制度，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zh-CN"/>
        </w:rPr>
        <w:t>（三）项目组织实施情况。</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该项目主要由分管该项工作的分管领导负责实施，根据工作实际情况提出申请，经主要领导或主席办公会同意后进行拨付。</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三、项目绩效情况</w:t>
      </w:r>
      <w:r>
        <w:rPr>
          <w:rFonts w:hint="eastAsia" w:ascii="仿宋_GB2312" w:hAnsi="仿宋_GB2312" w:eastAsia="仿宋_GB2312" w:cs="仿宋_GB2312"/>
          <w:bCs/>
          <w:sz w:val="32"/>
          <w:szCs w:val="32"/>
          <w:lang w:val="zh-CN"/>
        </w:rPr>
        <w:tab/>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（一）项目完成情况。</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该项目能按时、按质、按量完成，我会本着厉行节约的思想，具体经办人采取比价等方式控制成本。项目自评能达到优秀。</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zh-CN"/>
        </w:rPr>
        <w:t>（二）项目效益情况。</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该项目能得到各基层商会会员的认可，保证了基层组织建设工作的顺利开展。</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四、问题及建议</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zh-CN"/>
        </w:rPr>
        <w:t>（一）存在的问题</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工商联及其基层组织在服务会员上创新还不够，新会员发展的代表性和覆盖率还不够强，发挥非公经济人士引领作用还需进一步加强。</w:t>
      </w:r>
    </w:p>
    <w:p>
      <w:pPr>
        <w:keepNext w:val="0"/>
        <w:keepLines w:val="0"/>
        <w:pageBreakBefore w:val="0"/>
        <w:widowControl w:val="0"/>
        <w:kinsoku/>
        <w:wordWrap/>
        <w:overflowPunct/>
        <w:topLinePunct w:val="0"/>
        <w:autoSpaceDN/>
        <w:bidi w:val="0"/>
        <w:adjustRightInd w:val="0"/>
        <w:snapToGrid w:val="0"/>
        <w:spacing w:line="52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zh-CN"/>
        </w:rPr>
        <w:t>（二）相关建议：无</w:t>
      </w: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bCs/>
          <w:sz w:val="44"/>
          <w:szCs w:val="44"/>
          <w:lang w:val="zh-CN"/>
        </w:rPr>
      </w:pPr>
      <w:r>
        <w:rPr>
          <w:rFonts w:hint="eastAsia" w:ascii="黑体" w:hAnsi="黑体" w:eastAsia="黑体" w:cs="黑体"/>
          <w:bCs/>
          <w:sz w:val="44"/>
          <w:szCs w:val="44"/>
          <w:lang w:val="zh-CN"/>
        </w:rPr>
        <w:t>基层组织建设专项预算项目</w:t>
      </w:r>
    </w:p>
    <w:p>
      <w:pPr>
        <w:pStyle w:val="31"/>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bCs/>
          <w:sz w:val="36"/>
          <w:szCs w:val="36"/>
          <w:lang w:eastAsia="zh-CN"/>
        </w:rPr>
      </w:pPr>
      <w:r>
        <w:rPr>
          <w:rFonts w:hint="eastAsia" w:ascii="黑体" w:hAnsi="黑体" w:eastAsia="黑体" w:cs="黑体"/>
          <w:bCs/>
          <w:sz w:val="44"/>
          <w:szCs w:val="44"/>
          <w:lang w:val="zh-CN"/>
        </w:rPr>
        <w:t>支</w:t>
      </w:r>
      <w:r>
        <w:rPr>
          <w:rFonts w:hint="eastAsia" w:ascii="黑体" w:hAnsi="黑体" w:eastAsia="黑体" w:cs="黑体"/>
          <w:bCs/>
          <w:sz w:val="44"/>
          <w:szCs w:val="44"/>
        </w:rPr>
        <w:t>出绩效自评报告</w:t>
      </w:r>
    </w:p>
    <w:p>
      <w:pPr>
        <w:pStyle w:val="31"/>
        <w:keepNext w:val="0"/>
        <w:keepLines w:val="0"/>
        <w:pageBreakBefore w:val="0"/>
        <w:widowControl w:val="0"/>
        <w:kinsoku/>
        <w:wordWrap/>
        <w:overflowPunct/>
        <w:topLinePunct w:val="0"/>
        <w:autoSpaceDN/>
        <w:bidi w:val="0"/>
        <w:spacing w:line="540" w:lineRule="exact"/>
        <w:jc w:val="center"/>
        <w:textAlignment w:val="auto"/>
        <w:rPr>
          <w:rFonts w:hint="eastAsia" w:ascii="黑体" w:hAnsi="黑体" w:eastAsia="黑体" w:cs="黑体"/>
          <w:bCs/>
          <w:sz w:val="44"/>
          <w:szCs w:val="44"/>
        </w:rPr>
      </w:pP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val="zh-CN"/>
        </w:rPr>
        <w:t>项目概况</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基层组织建设工作，</w:t>
      </w:r>
      <w:r>
        <w:rPr>
          <w:rFonts w:hint="eastAsia" w:ascii="仿宋_GB2312" w:hAnsi="仿宋_GB2312" w:eastAsia="仿宋_GB2312" w:cs="仿宋_GB2312"/>
          <w:sz w:val="32"/>
          <w:szCs w:val="32"/>
        </w:rPr>
        <w:t>此项目预算4.5万元。</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该项目属常年性项目，</w:t>
      </w:r>
      <w:r>
        <w:rPr>
          <w:rFonts w:hint="eastAsia" w:ascii="仿宋_GB2312" w:hAnsi="仿宋_GB2312" w:eastAsia="仿宋_GB2312" w:cs="仿宋_GB2312"/>
          <w:sz w:val="32"/>
          <w:szCs w:val="32"/>
          <w:lang w:val="zh-CN"/>
        </w:rPr>
        <w:t>按照《四川省促进工商联所属商会改革和发展实施方案》和《加强新时代民营经济统战工作》要求，加强“四好”商会创建，通过规范商会阵地建设、增添设施设备、加强班子配备、完善标识制度、广泛发展会员，增强商会服务功能，扩大商会覆盖面，开展商会交流活动，促进所属商会改革发展，夯实基层商会基础。</w:t>
      </w:r>
      <w:r>
        <w:rPr>
          <w:rFonts w:hint="eastAsia" w:ascii="仿宋_GB2312" w:hAnsi="仿宋_GB2312" w:eastAsia="仿宋_GB2312" w:cs="仿宋_GB2312"/>
          <w:sz w:val="32"/>
          <w:szCs w:val="32"/>
        </w:rPr>
        <w:t>符合资金管理办法相关规定，无违规现象。</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keepNext w:val="0"/>
        <w:keepLines w:val="0"/>
        <w:pageBreakBefore w:val="0"/>
        <w:widowControl w:val="0"/>
        <w:kinsoku/>
        <w:wordWrap/>
        <w:overflowPunct/>
        <w:topLinePunct w:val="0"/>
        <w:autoSpaceDE w:val="0"/>
        <w:autoSpaceDN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基层组织建设工作，</w:t>
      </w:r>
      <w:r>
        <w:rPr>
          <w:rFonts w:hint="eastAsia" w:ascii="仿宋_GB2312" w:hAnsi="仿宋_GB2312" w:eastAsia="仿宋_GB2312" w:cs="仿宋_GB2312"/>
          <w:sz w:val="32"/>
          <w:szCs w:val="32"/>
        </w:rPr>
        <w:t>主要是用于规范商会阵地建设、增添设施设备、加强班子配备、完善标识制度、广泛发展会员，增强商会服务功能，扩大商会覆盖面，开展商会交流活动，促进所属商会改革发展，夯实基层商会基础。</w:t>
      </w:r>
      <w:r>
        <w:rPr>
          <w:rFonts w:hint="eastAsia" w:ascii="仿宋_GB2312" w:hAnsi="仿宋_GB2312" w:eastAsia="仿宋_GB2312" w:cs="仿宋_GB2312"/>
          <w:b w:val="0"/>
          <w:bCs w:val="0"/>
          <w:sz w:val="32"/>
          <w:szCs w:val="32"/>
        </w:rPr>
        <w:t>以“党史学习教育”和“庆祝建党100周年”等教育活动为载体，扎实推进非公经济人士理想信念教育活动。</w:t>
      </w:r>
      <w:r>
        <w:rPr>
          <w:rFonts w:hint="eastAsia" w:ascii="仿宋_GB2312" w:hAnsi="仿宋_GB2312" w:eastAsia="仿宋_GB2312" w:cs="仿宋_GB2312"/>
          <w:b w:val="0"/>
          <w:bCs w:val="0"/>
          <w:sz w:val="32"/>
          <w:szCs w:val="32"/>
          <w:lang w:eastAsia="zh-CN"/>
        </w:rPr>
        <w:t>组织非公经济人士</w:t>
      </w:r>
      <w:r>
        <w:rPr>
          <w:rFonts w:hint="eastAsia" w:ascii="仿宋_GB2312" w:hAnsi="仿宋_GB2312" w:eastAsia="仿宋_GB2312" w:cs="仿宋_GB2312"/>
          <w:b w:val="0"/>
          <w:bCs w:val="0"/>
          <w:sz w:val="32"/>
          <w:lang w:eastAsia="zh-CN"/>
        </w:rPr>
        <w:t>分别</w:t>
      </w:r>
      <w:r>
        <w:rPr>
          <w:rFonts w:hint="eastAsia" w:ascii="仿宋_GB2312" w:hAnsi="仿宋_GB2312" w:eastAsia="仿宋_GB2312" w:cs="仿宋_GB2312"/>
          <w:b w:val="0"/>
          <w:bCs w:val="0"/>
          <w:sz w:val="32"/>
        </w:rPr>
        <w:t>到</w:t>
      </w:r>
      <w:r>
        <w:rPr>
          <w:rFonts w:hint="eastAsia" w:ascii="仿宋_GB2312" w:hAnsi="仿宋_GB2312" w:eastAsia="仿宋_GB2312" w:cs="仿宋_GB2312"/>
          <w:b w:val="0"/>
          <w:bCs w:val="0"/>
          <w:sz w:val="32"/>
          <w:lang w:eastAsia="zh-CN"/>
        </w:rPr>
        <w:t>红军攻克剑门关战斗遗址、</w:t>
      </w:r>
      <w:r>
        <w:rPr>
          <w:rFonts w:hint="eastAsia" w:ascii="仿宋_GB2312" w:hAnsi="仿宋_GB2312" w:eastAsia="仿宋_GB2312" w:cs="仿宋_GB2312"/>
          <w:b w:val="0"/>
          <w:bCs w:val="0"/>
          <w:sz w:val="32"/>
        </w:rPr>
        <w:t>赤化镇苏维埃遗址</w:t>
      </w:r>
      <w:r>
        <w:rPr>
          <w:rFonts w:hint="eastAsia" w:ascii="仿宋_GB2312" w:hAnsi="仿宋_GB2312" w:eastAsia="仿宋_GB2312" w:cs="仿宋_GB2312"/>
          <w:b w:val="0"/>
          <w:bCs w:val="0"/>
          <w:sz w:val="32"/>
          <w:lang w:eastAsia="zh-CN"/>
        </w:rPr>
        <w:t>、旺苍木门会议遗址开展</w:t>
      </w:r>
      <w:r>
        <w:rPr>
          <w:rFonts w:hint="eastAsia" w:ascii="仿宋_GB2312" w:hAnsi="仿宋_GB2312" w:eastAsia="仿宋_GB2312" w:cs="仿宋_GB2312"/>
          <w:b w:val="0"/>
          <w:bCs w:val="0"/>
          <w:sz w:val="32"/>
        </w:rPr>
        <w:t>党史学习教育</w:t>
      </w:r>
      <w:r>
        <w:rPr>
          <w:rFonts w:hint="eastAsia" w:ascii="仿宋_GB2312" w:hAnsi="仿宋_GB2312" w:eastAsia="仿宋_GB2312" w:cs="仿宋_GB2312"/>
          <w:b w:val="0"/>
          <w:bCs w:val="0"/>
          <w:sz w:val="32"/>
          <w:lang w:val="en-US" w:eastAsia="zh-CN"/>
        </w:rPr>
        <w:t>3次</w:t>
      </w:r>
      <w:r>
        <w:rPr>
          <w:rFonts w:hint="eastAsia" w:ascii="仿宋_GB2312" w:hAnsi="仿宋_GB2312" w:eastAsia="仿宋_GB2312" w:cs="仿宋_GB2312"/>
          <w:b w:val="0"/>
          <w:bCs w:val="0"/>
          <w:sz w:val="32"/>
          <w:szCs w:val="32"/>
          <w:lang w:eastAsia="zh-CN"/>
        </w:rPr>
        <w:t>，区工商联荣获</w:t>
      </w:r>
      <w:r>
        <w:rPr>
          <w:rFonts w:hint="eastAsia" w:ascii="仿宋_GB2312" w:hAnsi="仿宋_GB2312" w:eastAsia="仿宋_GB2312" w:cs="仿宋_GB2312"/>
          <w:b w:val="0"/>
          <w:bCs w:val="0"/>
          <w:sz w:val="32"/>
          <w:szCs w:val="32"/>
          <w:lang w:val="en-US" w:eastAsia="zh-CN"/>
        </w:rPr>
        <w:t>全区统一战线党史知识竞赛”一等奖</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全</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各基层商会和会员企业在宝轮商会、东坝商会</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次商会轮值活动，及时组织召开商会改革和发展工作推进会</w:t>
      </w:r>
      <w:r>
        <w:rPr>
          <w:rFonts w:hint="eastAsia" w:ascii="仿宋_GB2312" w:hAnsi="仿宋_GB2312" w:eastAsia="仿宋_GB2312" w:cs="仿宋_GB2312"/>
          <w:sz w:val="32"/>
          <w:szCs w:val="32"/>
          <w:lang w:eastAsia="zh-CN"/>
        </w:rPr>
        <w:t>、会员交流学习会。</w:t>
      </w:r>
      <w:r>
        <w:rPr>
          <w:rFonts w:hint="eastAsia" w:ascii="仿宋_GB2312" w:hAnsi="仿宋_GB2312" w:eastAsia="仿宋_GB2312" w:cs="仿宋_GB2312"/>
          <w:sz w:val="32"/>
          <w:szCs w:val="32"/>
        </w:rPr>
        <w:t>全面完成宝轮商会阵地规范化建设，通过加强阵地建设，提高商会服务会员能力和商会参与社会治理能力。</w:t>
      </w:r>
      <w:r>
        <w:rPr>
          <w:rFonts w:hint="eastAsia" w:ascii="仿宋_GB2312" w:hAnsi="仿宋_GB2312" w:eastAsia="仿宋_GB2312" w:cs="仿宋_GB2312"/>
          <w:sz w:val="32"/>
          <w:szCs w:val="32"/>
          <w:lang w:eastAsia="zh-CN"/>
        </w:rPr>
        <w:t>圆满完成三堆商会的换届工作，</w:t>
      </w:r>
      <w:r>
        <w:rPr>
          <w:rFonts w:hint="eastAsia" w:ascii="仿宋_GB2312" w:hAnsi="仿宋_GB2312" w:eastAsia="仿宋_GB2312" w:cs="仿宋_GB2312"/>
          <w:sz w:val="32"/>
          <w:szCs w:val="32"/>
        </w:rPr>
        <w:t>着力加强异地商会建设，完成重庆利州商会成立各项筹备工作，已完成重庆利州商会登记</w:t>
      </w:r>
      <w:r>
        <w:rPr>
          <w:rFonts w:hint="eastAsia" w:ascii="仿宋_GB2312" w:hAnsi="仿宋_GB2312" w:eastAsia="仿宋_GB2312" w:cs="仿宋_GB2312"/>
          <w:sz w:val="32"/>
          <w:szCs w:val="32"/>
          <w:lang w:eastAsia="zh-CN"/>
        </w:rPr>
        <w:t>，并正常开展各项日常工作</w:t>
      </w:r>
      <w:r>
        <w:rPr>
          <w:rFonts w:hint="eastAsia" w:ascii="仿宋_GB2312" w:hAnsi="仿宋_GB2312" w:eastAsia="仿宋_GB2312" w:cs="仿宋_GB2312"/>
          <w:sz w:val="32"/>
          <w:szCs w:val="32"/>
        </w:rPr>
        <w:t>。通过开展活动，加强商会之间交流协作，开展非公经济人士理想信念教育，有力增强了商会凝聚力和影响力。通过加强“四好”商会建设，扩大了工商联基层组织网络。进一步加强了商会工作交流和会员队伍建设，充分发挥了基层商会作为联系政府与非公经济人士桥梁纽带作用，在服务会员、经济联络、参政议政等方面作用不断凸显。</w:t>
      </w:r>
      <w:r>
        <w:rPr>
          <w:rFonts w:hint="eastAsia" w:ascii="仿宋_GB2312" w:hAnsi="仿宋_GB2312" w:eastAsia="仿宋_GB2312" w:cs="仿宋_GB2312"/>
          <w:sz w:val="32"/>
          <w:szCs w:val="32"/>
          <w:lang w:val="en-US" w:eastAsia="zh-CN"/>
        </w:rPr>
        <w:t>利州区工商联被全国工商联授予“五好”县级工商联称号，宝轮商会被评为全国“四好”商会。2021年组织建设工作获得市工商联单项奖第一名。5家基层商会、11家副主席（副会长）企业分别获得市委、市政府和市工商联通报表扬。</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lang w:val="zh-CN"/>
        </w:rPr>
        <w:t>（三）项目资金申报相符性</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项目资金使用和申报时相符执行合理可行。</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二、项目实施及管理情况</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Cs/>
          <w:sz w:val="32"/>
          <w:szCs w:val="32"/>
          <w:lang w:val="zh-CN"/>
        </w:rPr>
        <w:t>（一）资金计划、到位及使用情况。</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情况</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基层组织建设工作</w:t>
      </w:r>
      <w:r>
        <w:rPr>
          <w:rFonts w:hint="eastAsia" w:ascii="仿宋_GB2312" w:hAnsi="仿宋_GB2312" w:eastAsia="仿宋_GB2312" w:cs="仿宋_GB2312"/>
          <w:sz w:val="32"/>
          <w:szCs w:val="32"/>
        </w:rPr>
        <w:t>经费预算4.5万元，</w:t>
      </w:r>
      <w:r>
        <w:rPr>
          <w:rFonts w:hint="eastAsia" w:ascii="仿宋_GB2312" w:hAnsi="仿宋_GB2312" w:eastAsia="仿宋_GB2312" w:cs="仿宋_GB2312"/>
          <w:sz w:val="32"/>
          <w:szCs w:val="32"/>
          <w:lang w:val="zh-CN"/>
        </w:rPr>
        <w:t>截止评价时点</w:t>
      </w:r>
      <w:r>
        <w:rPr>
          <w:rFonts w:hint="eastAsia" w:ascii="仿宋_GB2312" w:hAnsi="仿宋_GB2312" w:eastAsia="仿宋_GB2312" w:cs="仿宋_GB2312"/>
          <w:sz w:val="32"/>
          <w:szCs w:val="32"/>
        </w:rPr>
        <w:t>已全部执行。资金到位率100%。</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情况</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该项目资金主要用于开展工作时所需工作经费、基层商会</w:t>
      </w:r>
      <w:r>
        <w:rPr>
          <w:rFonts w:hint="eastAsia" w:ascii="仿宋_GB2312" w:hAnsi="仿宋_GB2312" w:eastAsia="仿宋_GB2312" w:cs="仿宋_GB2312"/>
          <w:sz w:val="32"/>
          <w:szCs w:val="32"/>
          <w:lang w:eastAsia="zh-CN"/>
        </w:rPr>
        <w:t>阵地建设</w:t>
      </w:r>
      <w:r>
        <w:rPr>
          <w:rFonts w:hint="eastAsia" w:ascii="仿宋_GB2312" w:hAnsi="仿宋_GB2312" w:eastAsia="仿宋_GB2312" w:cs="仿宋_GB2312"/>
          <w:sz w:val="32"/>
          <w:szCs w:val="32"/>
        </w:rPr>
        <w:t>打造支出等，均按相关规定执行，无超标准现象。活动完毕后采取刷公务卡或转账支付方式进行结算，确因特殊情况支付了小额现金的，采取经办人垫付，经审批后，月底通过银行代发报销。</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（二）项目财务管理情况。</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区工商联建立了相关财务制度，</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均按相关规定执行</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Cs/>
          <w:sz w:val="32"/>
          <w:szCs w:val="32"/>
          <w:lang w:val="zh-CN"/>
        </w:rPr>
        <w:t>（三）项目组织实施情况。</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该项目主要由分管该项工作的分管领导负责实施，根据工作实际情况提出申请，经主要领导或主席办公会同意后进行拨付。</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三、项目绩效情况</w:t>
      </w:r>
      <w:r>
        <w:rPr>
          <w:rFonts w:hint="eastAsia" w:ascii="仿宋_GB2312" w:hAnsi="仿宋_GB2312" w:eastAsia="仿宋_GB2312" w:cs="仿宋_GB2312"/>
          <w:bCs/>
          <w:sz w:val="32"/>
          <w:szCs w:val="32"/>
        </w:rPr>
        <w:tab/>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Cs/>
          <w:sz w:val="32"/>
          <w:szCs w:val="32"/>
          <w:lang w:val="zh-CN"/>
        </w:rPr>
        <w:t>（一）项目完成情况。</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该项目能按时、按质、按量完成，我会本着厉行节约的思想，具体经办人采取比价等方式控制成本。项目自评能达到优秀。</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（二）项目效益情况。</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该项目能得到各基层商会会员的认可，保证了</w:t>
      </w:r>
      <w:r>
        <w:rPr>
          <w:rFonts w:hint="eastAsia" w:ascii="仿宋_GB2312" w:hAnsi="仿宋_GB2312" w:eastAsia="仿宋_GB2312" w:cs="仿宋_GB2312"/>
          <w:sz w:val="32"/>
          <w:szCs w:val="32"/>
          <w:lang w:val="zh-CN"/>
        </w:rPr>
        <w:t>基层组织建设工作</w:t>
      </w:r>
      <w:r>
        <w:rPr>
          <w:rFonts w:hint="eastAsia" w:ascii="仿宋_GB2312" w:hAnsi="仿宋_GB2312" w:eastAsia="仿宋_GB2312" w:cs="仿宋_GB2312"/>
          <w:sz w:val="32"/>
          <w:szCs w:val="32"/>
        </w:rPr>
        <w:t>的顺利开展。</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四、问题及建议</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（一）存在的问题</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sz w:val="32"/>
          <w:szCs w:val="32"/>
        </w:rPr>
        <w:t>对基层商会工作指导方式还需加强，</w:t>
      </w:r>
      <w:r>
        <w:rPr>
          <w:rFonts w:hint="eastAsia" w:ascii="仿宋_GB2312" w:hAnsi="仿宋_GB2312" w:eastAsia="仿宋_GB2312" w:cs="仿宋_GB2312"/>
          <w:sz w:val="32"/>
          <w:szCs w:val="32"/>
          <w:lang w:eastAsia="zh-CN"/>
        </w:rPr>
        <w:t>基层商会之间发展不均衡，</w:t>
      </w:r>
      <w:r>
        <w:rPr>
          <w:rFonts w:hint="eastAsia" w:ascii="仿宋_GB2312" w:hAnsi="仿宋_GB2312" w:eastAsia="仿宋_GB2312" w:cs="仿宋_GB2312"/>
          <w:sz w:val="32"/>
          <w:szCs w:val="32"/>
        </w:rPr>
        <w:t>商会活动开展和服务会员方式</w:t>
      </w:r>
      <w:r>
        <w:rPr>
          <w:rFonts w:hint="eastAsia" w:ascii="仿宋_GB2312" w:hAnsi="仿宋_GB2312" w:eastAsia="仿宋_GB2312" w:cs="仿宋_GB2312"/>
          <w:sz w:val="32"/>
          <w:szCs w:val="32"/>
          <w:lang w:eastAsia="zh-CN"/>
        </w:rPr>
        <w:t>比较单一</w:t>
      </w:r>
      <w:r>
        <w:rPr>
          <w:rFonts w:hint="eastAsia" w:ascii="仿宋_GB2312" w:hAnsi="仿宋_GB2312" w:eastAsia="仿宋_GB2312" w:cs="仿宋_GB2312"/>
          <w:sz w:val="32"/>
          <w:szCs w:val="32"/>
        </w:rPr>
        <w:t>，商会自身造血功能不足。</w:t>
      </w:r>
    </w:p>
    <w:p>
      <w:pPr>
        <w:keepNext w:val="0"/>
        <w:keepLines w:val="0"/>
        <w:pageBreakBefore w:val="0"/>
        <w:widowControl w:val="0"/>
        <w:kinsoku/>
        <w:wordWrap/>
        <w:overflowPunct/>
        <w:topLinePunct w:val="0"/>
        <w:autoSpaceDN/>
        <w:bidi w:val="0"/>
        <w:adjustRightInd w:val="0"/>
        <w:snapToGrid w:val="0"/>
        <w:spacing w:line="540"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（二）相关建议</w:t>
      </w:r>
    </w:p>
    <w:p>
      <w:pPr>
        <w:keepNext w:val="0"/>
        <w:keepLines w:val="0"/>
        <w:pageBreakBefore w:val="0"/>
        <w:widowControl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增加此项目预算金额。</w:t>
      </w:r>
    </w:p>
    <w:p>
      <w:pPr>
        <w:pStyle w:val="2"/>
        <w:rPr>
          <w:rFonts w:hint="eastAsia"/>
          <w:color w:val="auto"/>
          <w:highlight w:val="none"/>
          <w:lang w:val="zh-CN"/>
        </w:rPr>
      </w:pPr>
    </w:p>
    <w:p>
      <w:pPr>
        <w:pStyle w:val="31"/>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bCs/>
          <w:sz w:val="44"/>
          <w:szCs w:val="44"/>
          <w:lang w:val="zh-CN"/>
        </w:rPr>
      </w:pPr>
      <w:r>
        <w:rPr>
          <w:rFonts w:hint="eastAsia" w:ascii="黑体" w:hAnsi="黑体" w:eastAsia="黑体" w:cs="黑体"/>
          <w:sz w:val="44"/>
          <w:szCs w:val="44"/>
        </w:rPr>
        <w:t>招商引资</w:t>
      </w:r>
      <w:r>
        <w:rPr>
          <w:rFonts w:hint="eastAsia" w:ascii="黑体" w:hAnsi="黑体" w:eastAsia="黑体" w:cs="黑体"/>
          <w:bCs/>
          <w:sz w:val="44"/>
          <w:szCs w:val="44"/>
          <w:lang w:val="zh-CN"/>
        </w:rPr>
        <w:t>专项预算项目</w:t>
      </w:r>
    </w:p>
    <w:p>
      <w:pPr>
        <w:pStyle w:val="31"/>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bCs/>
          <w:sz w:val="36"/>
          <w:szCs w:val="36"/>
          <w:lang w:eastAsia="zh-CN"/>
        </w:rPr>
      </w:pPr>
      <w:r>
        <w:rPr>
          <w:rFonts w:hint="eastAsia" w:ascii="黑体" w:hAnsi="黑体" w:eastAsia="黑体" w:cs="黑体"/>
          <w:bCs/>
          <w:sz w:val="44"/>
          <w:szCs w:val="44"/>
          <w:lang w:val="zh-CN"/>
        </w:rPr>
        <w:t>支</w:t>
      </w:r>
      <w:r>
        <w:rPr>
          <w:rFonts w:hint="eastAsia" w:ascii="黑体" w:hAnsi="黑体" w:eastAsia="黑体" w:cs="黑体"/>
          <w:bCs/>
          <w:sz w:val="44"/>
          <w:szCs w:val="44"/>
        </w:rPr>
        <w:t>出绩效自评报告</w:t>
      </w:r>
    </w:p>
    <w:p>
      <w:pPr>
        <w:pStyle w:val="31"/>
        <w:spacing w:line="560" w:lineRule="exact"/>
        <w:jc w:val="center"/>
        <w:rPr>
          <w:rFonts w:hint="eastAsia" w:ascii="黑体" w:hAnsi="黑体" w:eastAsia="黑体" w:cs="黑体"/>
          <w:sz w:val="44"/>
          <w:szCs w:val="44"/>
        </w:rPr>
      </w:pP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项目概况</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（一）项目基本情况</w:t>
      </w:r>
    </w:p>
    <w:p>
      <w:pPr>
        <w:adjustRightInd w:val="0"/>
        <w:snapToGrid w:val="0"/>
        <w:spacing w:line="576"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围绕全区招商引资中心工作，充分发挥工商联和异地商会的资源丰富、联系广泛的优势，提高利州知名度和美誉度，积极开展对外招商和以商招商活动，加强到重庆成都等周边地区的项目推介，接待异地商会及外地客商来广考察；配合区经济合作中心开展其他对外招商活动，完成区委区政府下达我会的招商引资任务。</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该项目总投入</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万元，通过开展以商招商和对外招商，积极引进符合利州区产业发展规划且具有发展前景的企业，完成区委区政府下达我会的招商引资任务。</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（三）项目自评步骤及方法</w:t>
      </w:r>
    </w:p>
    <w:p>
      <w:pPr>
        <w:adjustRightInd w:val="0"/>
        <w:snapToGrid w:val="0"/>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我会成立了以分管财务领导为组长的自评小组，根据项目进度组织绩效管理人员开展评估工作。</w:t>
      </w:r>
    </w:p>
    <w:p>
      <w:pPr>
        <w:adjustRightInd w:val="0"/>
        <w:snapToGrid w:val="0"/>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二、项目实施及管理情况</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ab/>
      </w:r>
      <w:r>
        <w:rPr>
          <w:rFonts w:hint="eastAsia" w:ascii="仿宋_GB2312" w:hAnsi="仿宋_GB2312" w:eastAsia="仿宋_GB2312" w:cs="仿宋_GB2312"/>
          <w:b/>
          <w:sz w:val="32"/>
          <w:szCs w:val="32"/>
          <w:lang w:val="zh-CN"/>
        </w:rPr>
        <w:t>（一）资金计划、到位及使用情况</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该项目资金属区级财政资金，全部按计划实施完毕。通常在工作需要开展前，根据需要开支金额进行申报，能保证活动的正常开展，使用过程符合资金管理办法相关规定，无违规现象。</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（二）项目财务管理情况</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zh-CN"/>
        </w:rPr>
        <w:t>单位财务管理制度健全，</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zh-CN"/>
        </w:rPr>
        <w:t>严格执行财务管理制度，</w:t>
      </w:r>
      <w:r>
        <w:rPr>
          <w:rFonts w:hint="eastAsia" w:ascii="仿宋_GB2312" w:hAnsi="仿宋_GB2312" w:eastAsia="仿宋_GB2312" w:cs="仿宋_GB2312"/>
          <w:sz w:val="32"/>
          <w:szCs w:val="32"/>
        </w:rPr>
        <w:t>在支出发生后及时进行</w:t>
      </w:r>
      <w:r>
        <w:rPr>
          <w:rFonts w:hint="eastAsia" w:ascii="仿宋_GB2312" w:hAnsi="仿宋_GB2312" w:eastAsia="仿宋_GB2312" w:cs="仿宋_GB2312"/>
          <w:sz w:val="32"/>
          <w:szCs w:val="32"/>
          <w:lang w:val="zh-CN"/>
        </w:rPr>
        <w:t>账务处理，会计核算规范。</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（三）项目组织实施情况</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该项目是为保证招商引资工作顺利进行而设定的常年性项目，通常在工作需要开展前，根据需要开支金额进行申报，能保证活动的正常开展，使用过程符合资金管理办法相关规定，无违规现象。</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三、项目绩效情况</w:t>
      </w:r>
      <w:r>
        <w:rPr>
          <w:rFonts w:hint="eastAsia" w:ascii="仿宋_GB2312" w:hAnsi="仿宋_GB2312" w:eastAsia="仿宋_GB2312" w:cs="仿宋_GB2312"/>
          <w:sz w:val="32"/>
          <w:szCs w:val="32"/>
          <w:lang w:val="zh-CN"/>
        </w:rPr>
        <w:tab/>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560" w:lineRule="exact"/>
        <w:ind w:firstLine="72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加强与区经济合作中心联系，全年参与了我区在市内外的招商引资活动10余次，</w:t>
      </w:r>
      <w:r>
        <w:rPr>
          <w:rFonts w:hint="eastAsia" w:ascii="仿宋_GB2312" w:hAnsi="仿宋_GB2312" w:eastAsia="仿宋_GB2312" w:cs="仿宋_GB2312"/>
          <w:b/>
          <w:bCs/>
          <w:sz w:val="32"/>
          <w:szCs w:val="32"/>
        </w:rPr>
        <w:t>成功参与引进项目等5个项目，全年完成引进到位市外资金2.1亿元，其中省外资金2.1亿元，</w:t>
      </w:r>
      <w:r>
        <w:rPr>
          <w:rFonts w:hint="eastAsia" w:ascii="仿宋_GB2312" w:hAnsi="仿宋_GB2312" w:eastAsia="仿宋_GB2312" w:cs="仿宋_GB2312"/>
          <w:b/>
          <w:sz w:val="32"/>
          <w:szCs w:val="32"/>
        </w:rPr>
        <w:t>超额完成了区委区政府下达我会的招商引资任务。</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1、产出指标：全年组织开展到成都、重庆等地对外招商引资6次，接待广汉工业集中发展区商会、重庆利州商会等来我区项目考察5次。</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2、效益指标：通过教育培训，增强党外人士及民主党派成员为利州经济社会发展的贡献。提高6个民主党派参政议政能力。</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3、满意度指标：利州区投资环境美誉度、知名度得到不断提高，本地产品对外影响力不断提高，有力推动了本地产品的迈向中高端，产业链不断完善和延伸。</w:t>
      </w:r>
    </w:p>
    <w:p>
      <w:pPr>
        <w:adjustRightInd w:val="0"/>
        <w:snapToGrid w:val="0"/>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四、问题及建议</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（一）评价结论</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该项目评估得分96分，能达到优等级。该项目在运行过程符合相关规定，无违规违纪现象。</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（二）存在的问题</w:t>
      </w:r>
    </w:p>
    <w:p>
      <w:pPr>
        <w:adjustRightInd w:val="0"/>
        <w:snapToGrid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受疫情影响，我会外出招商及外商来广考察受到较大限制，对该项目实施顺利产生一定影响。</w:t>
      </w:r>
      <w:r>
        <w:rPr>
          <w:rFonts w:hint="eastAsia" w:ascii="仿宋_GB2312" w:hAnsi="仿宋_GB2312" w:eastAsia="仿宋_GB2312" w:cs="仿宋_GB2312"/>
          <w:sz w:val="32"/>
          <w:szCs w:val="32"/>
          <w:lang w:val="zh-CN"/>
        </w:rPr>
        <w:tab/>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（三）相关建议</w:t>
      </w:r>
    </w:p>
    <w:p>
      <w:pPr>
        <w:ind w:firstLine="640" w:firstLineChars="200"/>
        <w:rPr>
          <w:rFonts w:hint="eastAsia" w:ascii="方正仿宋简体" w:hAnsi="方正仿宋简体" w:eastAsia="方正仿宋简体" w:cs="方正仿宋简体"/>
          <w:sz w:val="32"/>
          <w:szCs w:val="32"/>
        </w:rPr>
      </w:pPr>
      <w:r>
        <w:rPr>
          <w:rFonts w:hint="eastAsia" w:ascii="仿宋_GB2312" w:hAnsi="仿宋_GB2312" w:eastAsia="仿宋_GB2312" w:cs="仿宋_GB2312"/>
          <w:sz w:val="32"/>
          <w:szCs w:val="32"/>
        </w:rPr>
        <w:t>在下一步财政工作中，建议将此项目纳入行政运行类。</w:t>
      </w:r>
    </w:p>
    <w:p>
      <w:pPr>
        <w:pStyle w:val="2"/>
        <w:rPr>
          <w:rFonts w:hint="eastAsia"/>
          <w:color w:val="auto"/>
          <w:highlight w:val="none"/>
          <w:lang w:val="zh-CN"/>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spacing w:line="560" w:lineRule="exact"/>
        <w:jc w:val="center"/>
        <w:rPr>
          <w:rFonts w:hint="eastAsia" w:ascii="方正小标宋简体" w:hAnsi="宋体" w:eastAsia="方正小标宋简体"/>
          <w:sz w:val="44"/>
          <w:szCs w:val="44"/>
          <w:lang w:val="en-US"/>
        </w:rPr>
      </w:pPr>
    </w:p>
    <w:p>
      <w:pPr>
        <w:pStyle w:val="31"/>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sz w:val="44"/>
          <w:szCs w:val="44"/>
        </w:rPr>
      </w:pPr>
    </w:p>
    <w:p>
      <w:pPr>
        <w:pStyle w:val="31"/>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bCs/>
          <w:sz w:val="44"/>
          <w:szCs w:val="44"/>
          <w:lang w:val="zh-CN"/>
        </w:rPr>
      </w:pPr>
      <w:r>
        <w:rPr>
          <w:rFonts w:hint="eastAsia" w:ascii="黑体" w:hAnsi="黑体" w:eastAsia="黑体" w:cs="黑体"/>
          <w:sz w:val="44"/>
          <w:szCs w:val="44"/>
        </w:rPr>
        <w:t>学习考察调研</w:t>
      </w:r>
      <w:r>
        <w:rPr>
          <w:rFonts w:hint="eastAsia" w:ascii="黑体" w:hAnsi="黑体" w:eastAsia="黑体" w:cs="黑体"/>
          <w:bCs/>
          <w:sz w:val="44"/>
          <w:szCs w:val="44"/>
          <w:lang w:val="zh-CN"/>
        </w:rPr>
        <w:t>专项预算项目</w:t>
      </w:r>
    </w:p>
    <w:p>
      <w:pPr>
        <w:pStyle w:val="31"/>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bCs/>
          <w:sz w:val="36"/>
          <w:szCs w:val="36"/>
          <w:lang w:eastAsia="zh-CN"/>
        </w:rPr>
      </w:pPr>
      <w:r>
        <w:rPr>
          <w:rFonts w:hint="eastAsia" w:ascii="黑体" w:hAnsi="黑体" w:eastAsia="黑体" w:cs="黑体"/>
          <w:bCs/>
          <w:sz w:val="44"/>
          <w:szCs w:val="44"/>
          <w:lang w:val="zh-CN"/>
        </w:rPr>
        <w:t>支</w:t>
      </w:r>
      <w:r>
        <w:rPr>
          <w:rFonts w:hint="eastAsia" w:ascii="黑体" w:hAnsi="黑体" w:eastAsia="黑体" w:cs="黑体"/>
          <w:bCs/>
          <w:sz w:val="44"/>
          <w:szCs w:val="44"/>
        </w:rPr>
        <w:t>出绩效自评报告</w:t>
      </w:r>
    </w:p>
    <w:p>
      <w:pPr>
        <w:pStyle w:val="31"/>
        <w:spacing w:line="560" w:lineRule="exact"/>
        <w:jc w:val="center"/>
        <w:rPr>
          <w:rFonts w:hint="eastAsia" w:ascii="黑体" w:hAnsi="黑体" w:eastAsia="黑体" w:cs="黑体"/>
          <w:sz w:val="44"/>
          <w:szCs w:val="44"/>
        </w:rPr>
      </w:pP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项目概况</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（一）项目基本情况</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非公经济人士理想信念教育活动和对外交流合作，拓宽企业家战略视野、开阔眼界，增进友谊，坚定发展信心。通过搭建各类学习交流平台，加强对非公经济人士的学习教育，提高企业家综合能力素质和管理企业的水平。加强调查研究，及时反映民营经济及非公经济人士存在的困难问题，促进“两个健康”。</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该项目总投入</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万元，通过搭建各类学习交流平台，加强对非公经济人士的学习教育培训和对外交流考察，费用严格按照财务规定支付。</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（三）项目自评步骤及方法</w:t>
      </w:r>
    </w:p>
    <w:p>
      <w:pPr>
        <w:adjustRightInd w:val="0"/>
        <w:snapToGrid w:val="0"/>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我会成立了以分管财务领导为组长的自评小组，根据项目进度组织绩效管理人员开展评估工作。</w:t>
      </w:r>
    </w:p>
    <w:p>
      <w:pPr>
        <w:adjustRightInd w:val="0"/>
        <w:snapToGrid w:val="0"/>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二、项目实施及管理情况</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ab/>
      </w:r>
      <w:r>
        <w:rPr>
          <w:rFonts w:hint="eastAsia" w:ascii="仿宋_GB2312" w:hAnsi="仿宋_GB2312" w:eastAsia="仿宋_GB2312" w:cs="仿宋_GB2312"/>
          <w:b/>
          <w:sz w:val="32"/>
          <w:szCs w:val="32"/>
          <w:lang w:val="zh-CN"/>
        </w:rPr>
        <w:t>（一）资金计划、到位及使用情况</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该项目资金属区级财政资金，全部按计划实施完毕。通常在工作需要开展前，根据需要开支金额进行申报，能保证活动的正常开展，使用过程符合资金管理办法相关规定，无违规现象。</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（二）项目财务管理情况</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zh-CN"/>
        </w:rPr>
        <w:t>单位财务管理制度健全，</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zh-CN"/>
        </w:rPr>
        <w:t>严格执行财务管理制度，</w:t>
      </w:r>
      <w:r>
        <w:rPr>
          <w:rFonts w:hint="eastAsia" w:ascii="仿宋_GB2312" w:hAnsi="仿宋_GB2312" w:eastAsia="仿宋_GB2312" w:cs="仿宋_GB2312"/>
          <w:sz w:val="32"/>
          <w:szCs w:val="32"/>
        </w:rPr>
        <w:t>在支出发生后及时进行</w:t>
      </w:r>
      <w:r>
        <w:rPr>
          <w:rFonts w:hint="eastAsia" w:ascii="仿宋_GB2312" w:hAnsi="仿宋_GB2312" w:eastAsia="仿宋_GB2312" w:cs="仿宋_GB2312"/>
          <w:sz w:val="32"/>
          <w:szCs w:val="32"/>
          <w:lang w:val="zh-CN"/>
        </w:rPr>
        <w:t>账务处理，会计核算规范。</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（三）项目组织实施情况</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该项目是为保证学习、考察、调研工作顺利进行而设定的常年性项目，通常在工作需要开展前，根据需要开支金额进行申报，能保证活动的正常开展，使用过程符合资金管理办法相关规定，无违规现象。</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三、项目绩效情况</w:t>
      </w:r>
      <w:r>
        <w:rPr>
          <w:rFonts w:hint="eastAsia" w:ascii="仿宋_GB2312" w:hAnsi="仿宋_GB2312" w:eastAsia="仿宋_GB2312" w:cs="仿宋_GB2312"/>
          <w:sz w:val="32"/>
          <w:szCs w:val="32"/>
          <w:lang w:val="zh-CN"/>
        </w:rPr>
        <w:tab/>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党史学习教育”和“庆祝建党100周年”主题活动等教育活动为载体，组织开展非公经济代表人士赴剑阁开展“学党史、强信念、谋发展”考察学习；组织参加全区统一战线“同心跟党走、奋进新时代”知识竞赛，织会员代表到红军攻克剑门关遗址、赤化镇苏维埃遗址、红军文化园开展红色教育5次。举办“以案说法”专题讲座、税法知识专题培训2期，培训人数达200余人次。完成全国工商联民营企业调查和“万家民企评营商环境”的直报问卷填报工作累计6次，撰写《创新驱动“利州造”建材高质量发展》、《关于加强我区民营企业人才队伍建设》、《关于促进嘉陵商圈高质量发展》和《关于促进我区民营企业融入成渝双城经济圈建设》等调研文章4篇。加强对外交流合作，赴剑阁工商联等地考察学习5次，接待旺苍县工商联等外地工商联、商会来我区交流学习3次。</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1、产出指标：全年组织开展理想信念教育5次，各类专题培训2期；撰写调研报告4篇，提交提案建议52篇，赴外地考察交流5次，接待外地工商联、商会等来我区项目考察3次。</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2、效益指标：通过学习、培训，调研等活动的开展，增强了非公经济人士治理企业能力和综合能力素质，提高了非公经济人士参政议政能力，通过对外考察学习，增长了企业家知识，开阔了眼界。</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3、满意度指标：民营企业发展信心更加坚定，民营企业家感党恩、听党话、跟党走的信念得到不断增强，参政议政能力得到了不断提高，工商联影响力和凝聚力得到不断增强。</w:t>
      </w:r>
    </w:p>
    <w:p>
      <w:pPr>
        <w:adjustRightInd w:val="0"/>
        <w:snapToGrid w:val="0"/>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四、问题及建议</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（一）评价结论</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该项目评估得分97分，能达到优等级。该项目在运行过程符合相关规定，无违规违纪现象。</w:t>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（二）存在的问题</w:t>
      </w:r>
    </w:p>
    <w:p>
      <w:pPr>
        <w:adjustRightInd w:val="0"/>
        <w:snapToGrid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受疫情影响，对外考察学习等活动的开展受到较大限制，对该项目实施顺利产生一定影响。</w:t>
      </w:r>
      <w:r>
        <w:rPr>
          <w:rFonts w:hint="eastAsia" w:ascii="仿宋_GB2312" w:hAnsi="仿宋_GB2312" w:eastAsia="仿宋_GB2312" w:cs="仿宋_GB2312"/>
          <w:sz w:val="32"/>
          <w:szCs w:val="32"/>
          <w:lang w:val="zh-CN"/>
        </w:rPr>
        <w:tab/>
      </w:r>
    </w:p>
    <w:p>
      <w:pPr>
        <w:adjustRightInd w:val="0"/>
        <w:snapToGrid w:val="0"/>
        <w:spacing w:line="56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（三）相关建议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在下一步财政工作中，建议将此项目纳入行政运行类。</w:t>
      </w:r>
    </w:p>
    <w:p>
      <w:pPr>
        <w:pStyle w:val="2"/>
        <w:rPr>
          <w:rFonts w:hint="eastAsia" w:ascii="仿宋_GB2312" w:hAnsi="仿宋_GB2312" w:eastAsia="仿宋_GB2312" w:cs="仿宋_GB2312"/>
          <w:color w:val="auto"/>
          <w:sz w:val="32"/>
          <w:szCs w:val="32"/>
          <w:highlight w:val="none"/>
          <w:lang w:val="zh-CN"/>
        </w:rPr>
      </w:pPr>
    </w:p>
    <w:p>
      <w:pPr>
        <w:spacing w:line="600" w:lineRule="exact"/>
        <w:jc w:val="center"/>
        <w:outlineLvl w:val="0"/>
        <w:rPr>
          <w:rFonts w:hint="eastAsia" w:ascii="仿宋" w:hAnsi="仿宋" w:eastAsia="仿宋"/>
          <w:b w:val="0"/>
          <w:color w:val="auto"/>
          <w:highlight w:val="none"/>
        </w:rPr>
      </w:pPr>
      <w:bookmarkStart w:id="64" w:name="_Toc15396618"/>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62"/>
      <w:bookmarkEnd w:id="64"/>
      <w:bookmarkStart w:id="65" w:name="_Toc15396619"/>
    </w:p>
    <w:p>
      <w:pPr>
        <w:pStyle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z w:val="32"/>
          <w:szCs w:val="32"/>
          <w:highlight w:val="none"/>
        </w:rPr>
        <w:t>一、收</w:t>
      </w:r>
      <w:r>
        <w:rPr>
          <w:rStyle w:val="26"/>
          <w:rFonts w:hint="eastAsia" w:ascii="仿宋_GB2312" w:hAnsi="仿宋_GB2312" w:eastAsia="仿宋_GB2312" w:cs="仿宋_GB2312"/>
          <w:b w:val="0"/>
          <w:bCs w:val="0"/>
          <w:color w:val="auto"/>
          <w:sz w:val="32"/>
          <w:szCs w:val="32"/>
          <w:highlight w:val="none"/>
        </w:rPr>
        <w:t>入支出决算总表</w:t>
      </w:r>
      <w:bookmarkEnd w:id="65"/>
    </w:p>
    <w:p>
      <w:pPr>
        <w:pStyle w:val="4"/>
        <w:rPr>
          <w:rFonts w:hint="eastAsia" w:ascii="仿宋_GB2312" w:hAnsi="仿宋_GB2312" w:eastAsia="仿宋_GB2312" w:cs="仿宋_GB2312"/>
          <w:color w:val="auto"/>
          <w:sz w:val="32"/>
          <w:szCs w:val="32"/>
          <w:highlight w:val="none"/>
        </w:rPr>
      </w:pPr>
      <w:bookmarkStart w:id="66" w:name="_Toc15396620"/>
      <w:r>
        <w:rPr>
          <w:rFonts w:hint="eastAsia" w:ascii="仿宋_GB2312" w:hAnsi="仿宋_GB2312" w:eastAsia="仿宋_GB2312" w:cs="仿宋_GB2312"/>
          <w:b w:val="0"/>
          <w:color w:val="auto"/>
          <w:sz w:val="32"/>
          <w:szCs w:val="32"/>
          <w:highlight w:val="none"/>
        </w:rPr>
        <w:t>二、收</w:t>
      </w:r>
      <w:r>
        <w:rPr>
          <w:rStyle w:val="26"/>
          <w:rFonts w:hint="eastAsia" w:ascii="仿宋_GB2312" w:hAnsi="仿宋_GB2312" w:eastAsia="仿宋_GB2312" w:cs="仿宋_GB2312"/>
          <w:b w:val="0"/>
          <w:bCs w:val="0"/>
          <w:color w:val="auto"/>
          <w:sz w:val="32"/>
          <w:szCs w:val="32"/>
          <w:highlight w:val="none"/>
        </w:rPr>
        <w:t>入决算表</w:t>
      </w:r>
      <w:bookmarkEnd w:id="66"/>
    </w:p>
    <w:p>
      <w:pPr>
        <w:pStyle w:val="4"/>
        <w:rPr>
          <w:rFonts w:hint="eastAsia" w:ascii="仿宋_GB2312" w:hAnsi="仿宋_GB2312" w:eastAsia="仿宋_GB2312" w:cs="仿宋_GB2312"/>
          <w:color w:val="auto"/>
          <w:sz w:val="32"/>
          <w:szCs w:val="32"/>
          <w:highlight w:val="none"/>
        </w:rPr>
      </w:pPr>
      <w:bookmarkStart w:id="67" w:name="_Toc15396621"/>
      <w:r>
        <w:rPr>
          <w:rStyle w:val="26"/>
          <w:rFonts w:hint="eastAsia" w:ascii="仿宋_GB2312" w:hAnsi="仿宋_GB2312" w:eastAsia="仿宋_GB2312" w:cs="仿宋_GB2312"/>
          <w:b w:val="0"/>
          <w:bCs w:val="0"/>
          <w:color w:val="auto"/>
          <w:sz w:val="32"/>
          <w:szCs w:val="32"/>
          <w:highlight w:val="none"/>
        </w:rPr>
        <w:t>三、</w:t>
      </w:r>
      <w:r>
        <w:rPr>
          <w:rFonts w:hint="eastAsia" w:ascii="仿宋_GB2312" w:hAnsi="仿宋_GB2312" w:eastAsia="仿宋_GB2312" w:cs="仿宋_GB2312"/>
          <w:b w:val="0"/>
          <w:color w:val="auto"/>
          <w:sz w:val="32"/>
          <w:szCs w:val="32"/>
          <w:highlight w:val="none"/>
        </w:rPr>
        <w:t>支</w:t>
      </w:r>
      <w:r>
        <w:rPr>
          <w:rStyle w:val="26"/>
          <w:rFonts w:hint="eastAsia" w:ascii="仿宋_GB2312" w:hAnsi="仿宋_GB2312" w:eastAsia="仿宋_GB2312" w:cs="仿宋_GB2312"/>
          <w:b w:val="0"/>
          <w:bCs w:val="0"/>
          <w:color w:val="auto"/>
          <w:sz w:val="32"/>
          <w:szCs w:val="32"/>
          <w:highlight w:val="none"/>
        </w:rPr>
        <w:t>出决算表</w:t>
      </w:r>
      <w:bookmarkEnd w:id="67"/>
    </w:p>
    <w:p>
      <w:pPr>
        <w:pStyle w:val="4"/>
        <w:rPr>
          <w:rFonts w:hint="eastAsia" w:ascii="仿宋_GB2312" w:hAnsi="仿宋_GB2312" w:eastAsia="仿宋_GB2312" w:cs="仿宋_GB2312"/>
          <w:b w:val="0"/>
          <w:color w:val="auto"/>
          <w:sz w:val="32"/>
          <w:szCs w:val="32"/>
          <w:highlight w:val="none"/>
        </w:rPr>
      </w:pPr>
      <w:bookmarkStart w:id="68" w:name="_Toc15396622"/>
      <w:r>
        <w:rPr>
          <w:rStyle w:val="26"/>
          <w:rFonts w:hint="eastAsia" w:ascii="仿宋_GB2312" w:hAnsi="仿宋_GB2312" w:eastAsia="仿宋_GB2312" w:cs="仿宋_GB2312"/>
          <w:b w:val="0"/>
          <w:bCs w:val="0"/>
          <w:color w:val="auto"/>
          <w:sz w:val="32"/>
          <w:szCs w:val="32"/>
          <w:highlight w:val="none"/>
        </w:rPr>
        <w:t>四、</w:t>
      </w:r>
      <w:r>
        <w:rPr>
          <w:rFonts w:hint="eastAsia" w:ascii="仿宋_GB2312" w:hAnsi="仿宋_GB2312" w:eastAsia="仿宋_GB2312" w:cs="仿宋_GB2312"/>
          <w:b w:val="0"/>
          <w:color w:val="auto"/>
          <w:sz w:val="32"/>
          <w:szCs w:val="32"/>
          <w:highlight w:val="none"/>
        </w:rPr>
        <w:t>财</w:t>
      </w:r>
      <w:r>
        <w:rPr>
          <w:rStyle w:val="26"/>
          <w:rFonts w:hint="eastAsia" w:ascii="仿宋_GB2312" w:hAnsi="仿宋_GB2312" w:eastAsia="仿宋_GB2312" w:cs="仿宋_GB2312"/>
          <w:b w:val="0"/>
          <w:bCs w:val="0"/>
          <w:color w:val="auto"/>
          <w:sz w:val="32"/>
          <w:szCs w:val="32"/>
          <w:highlight w:val="none"/>
        </w:rPr>
        <w:t>政拨款收入支出决算总表</w:t>
      </w:r>
      <w:bookmarkEnd w:id="68"/>
    </w:p>
    <w:p>
      <w:pPr>
        <w:pStyle w:val="4"/>
        <w:rPr>
          <w:rStyle w:val="26"/>
          <w:rFonts w:hint="eastAsia" w:ascii="仿宋_GB2312" w:hAnsi="仿宋_GB2312" w:eastAsia="仿宋_GB2312" w:cs="仿宋_GB2312"/>
          <w:b w:val="0"/>
          <w:bCs w:val="0"/>
          <w:color w:val="auto"/>
          <w:sz w:val="32"/>
          <w:szCs w:val="32"/>
          <w:highlight w:val="none"/>
        </w:rPr>
      </w:pPr>
      <w:bookmarkStart w:id="69" w:name="_Toc15396623"/>
      <w:r>
        <w:rPr>
          <w:rStyle w:val="26"/>
          <w:rFonts w:hint="eastAsia" w:ascii="仿宋_GB2312" w:hAnsi="仿宋_GB2312" w:eastAsia="仿宋_GB2312" w:cs="仿宋_GB2312"/>
          <w:b w:val="0"/>
          <w:bCs w:val="0"/>
          <w:color w:val="auto"/>
          <w:sz w:val="32"/>
          <w:szCs w:val="32"/>
          <w:highlight w:val="none"/>
        </w:rPr>
        <w:t>五、</w:t>
      </w:r>
      <w:r>
        <w:rPr>
          <w:rFonts w:hint="eastAsia" w:ascii="仿宋_GB2312" w:hAnsi="仿宋_GB2312" w:eastAsia="仿宋_GB2312" w:cs="仿宋_GB2312"/>
          <w:b w:val="0"/>
          <w:color w:val="auto"/>
          <w:sz w:val="32"/>
          <w:szCs w:val="32"/>
          <w:highlight w:val="none"/>
        </w:rPr>
        <w:t>财</w:t>
      </w:r>
      <w:r>
        <w:rPr>
          <w:rStyle w:val="26"/>
          <w:rFonts w:hint="eastAsia" w:ascii="仿宋_GB2312" w:hAnsi="仿宋_GB2312" w:eastAsia="仿宋_GB2312" w:cs="仿宋_GB2312"/>
          <w:b w:val="0"/>
          <w:bCs w:val="0"/>
          <w:color w:val="auto"/>
          <w:sz w:val="32"/>
          <w:szCs w:val="32"/>
          <w:highlight w:val="none"/>
        </w:rPr>
        <w:t>政拨款支出决算明细表</w:t>
      </w:r>
      <w:bookmarkEnd w:id="69"/>
      <w:bookmarkStart w:id="70" w:name="_Toc15396624"/>
    </w:p>
    <w:p>
      <w:pPr>
        <w:pStyle w:val="4"/>
        <w:rPr>
          <w:rFonts w:hint="eastAsia" w:ascii="仿宋_GB2312" w:hAnsi="仿宋_GB2312" w:eastAsia="仿宋_GB2312" w:cs="仿宋_GB2312"/>
          <w:color w:val="auto"/>
          <w:sz w:val="32"/>
          <w:szCs w:val="32"/>
          <w:highlight w:val="none"/>
        </w:rPr>
      </w:pPr>
      <w:r>
        <w:rPr>
          <w:rStyle w:val="26"/>
          <w:rFonts w:hint="eastAsia" w:ascii="仿宋_GB2312" w:hAnsi="仿宋_GB2312" w:eastAsia="仿宋_GB2312" w:cs="仿宋_GB2312"/>
          <w:b w:val="0"/>
          <w:bCs w:val="0"/>
          <w:color w:val="auto"/>
          <w:sz w:val="32"/>
          <w:szCs w:val="32"/>
          <w:highlight w:val="none"/>
        </w:rPr>
        <w:t>六、</w:t>
      </w:r>
      <w:r>
        <w:rPr>
          <w:rFonts w:hint="eastAsia" w:ascii="仿宋_GB2312" w:hAnsi="仿宋_GB2312" w:eastAsia="仿宋_GB2312" w:cs="仿宋_GB2312"/>
          <w:b w:val="0"/>
          <w:color w:val="auto"/>
          <w:sz w:val="32"/>
          <w:szCs w:val="32"/>
          <w:highlight w:val="none"/>
        </w:rPr>
        <w:t>一</w:t>
      </w:r>
      <w:r>
        <w:rPr>
          <w:rStyle w:val="26"/>
          <w:rFonts w:hint="eastAsia" w:ascii="仿宋_GB2312" w:hAnsi="仿宋_GB2312" w:eastAsia="仿宋_GB2312" w:cs="仿宋_GB2312"/>
          <w:b w:val="0"/>
          <w:bCs w:val="0"/>
          <w:color w:val="auto"/>
          <w:sz w:val="32"/>
          <w:szCs w:val="32"/>
          <w:highlight w:val="none"/>
        </w:rPr>
        <w:t>般公共预算财政拨款支出决算表</w:t>
      </w:r>
      <w:bookmarkEnd w:id="70"/>
    </w:p>
    <w:p>
      <w:pPr>
        <w:pStyle w:val="4"/>
        <w:rPr>
          <w:rFonts w:hint="eastAsia" w:ascii="仿宋_GB2312" w:hAnsi="仿宋_GB2312" w:eastAsia="仿宋_GB2312" w:cs="仿宋_GB2312"/>
          <w:color w:val="auto"/>
          <w:sz w:val="32"/>
          <w:szCs w:val="32"/>
          <w:highlight w:val="none"/>
        </w:rPr>
      </w:pPr>
      <w:bookmarkStart w:id="71" w:name="_Toc15396625"/>
      <w:r>
        <w:rPr>
          <w:rStyle w:val="26"/>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color w:val="auto"/>
          <w:sz w:val="32"/>
          <w:szCs w:val="32"/>
          <w:highlight w:val="none"/>
        </w:rPr>
        <w:t>一</w:t>
      </w:r>
      <w:r>
        <w:rPr>
          <w:rStyle w:val="26"/>
          <w:rFonts w:hint="eastAsia" w:ascii="仿宋_GB2312" w:hAnsi="仿宋_GB2312" w:eastAsia="仿宋_GB2312" w:cs="仿宋_GB2312"/>
          <w:b w:val="0"/>
          <w:bCs w:val="0"/>
          <w:color w:val="auto"/>
          <w:sz w:val="32"/>
          <w:szCs w:val="32"/>
          <w:highlight w:val="none"/>
        </w:rPr>
        <w:t>般公共预算财政拨款支出决算明细表</w:t>
      </w:r>
      <w:bookmarkEnd w:id="71"/>
    </w:p>
    <w:p>
      <w:pPr>
        <w:pStyle w:val="4"/>
        <w:rPr>
          <w:rFonts w:hint="eastAsia" w:ascii="仿宋_GB2312" w:hAnsi="仿宋_GB2312" w:eastAsia="仿宋_GB2312" w:cs="仿宋_GB2312"/>
          <w:color w:val="auto"/>
          <w:sz w:val="32"/>
          <w:szCs w:val="32"/>
          <w:highlight w:val="none"/>
        </w:rPr>
      </w:pPr>
      <w:bookmarkStart w:id="72" w:name="_Toc15396626"/>
      <w:r>
        <w:rPr>
          <w:rStyle w:val="26"/>
          <w:rFonts w:hint="eastAsia" w:ascii="仿宋_GB2312" w:hAnsi="仿宋_GB2312" w:eastAsia="仿宋_GB2312" w:cs="仿宋_GB2312"/>
          <w:b w:val="0"/>
          <w:bCs w:val="0"/>
          <w:color w:val="auto"/>
          <w:sz w:val="32"/>
          <w:szCs w:val="32"/>
          <w:highlight w:val="none"/>
        </w:rPr>
        <w:t>八、</w:t>
      </w:r>
      <w:r>
        <w:rPr>
          <w:rFonts w:hint="eastAsia" w:ascii="仿宋_GB2312" w:hAnsi="仿宋_GB2312" w:eastAsia="仿宋_GB2312" w:cs="仿宋_GB2312"/>
          <w:b w:val="0"/>
          <w:color w:val="auto"/>
          <w:sz w:val="32"/>
          <w:szCs w:val="32"/>
          <w:highlight w:val="none"/>
        </w:rPr>
        <w:t>一</w:t>
      </w:r>
      <w:r>
        <w:rPr>
          <w:rStyle w:val="26"/>
          <w:rFonts w:hint="eastAsia" w:ascii="仿宋_GB2312" w:hAnsi="仿宋_GB2312" w:eastAsia="仿宋_GB2312" w:cs="仿宋_GB2312"/>
          <w:b w:val="0"/>
          <w:bCs w:val="0"/>
          <w:color w:val="auto"/>
          <w:sz w:val="32"/>
          <w:szCs w:val="32"/>
          <w:highlight w:val="none"/>
        </w:rPr>
        <w:t>般公共预算财政拨款基本支出决算表</w:t>
      </w:r>
      <w:bookmarkEnd w:id="72"/>
    </w:p>
    <w:p>
      <w:pPr>
        <w:pStyle w:val="4"/>
        <w:rPr>
          <w:rFonts w:hint="eastAsia" w:ascii="仿宋_GB2312" w:hAnsi="仿宋_GB2312" w:eastAsia="仿宋_GB2312" w:cs="仿宋_GB2312"/>
          <w:color w:val="auto"/>
          <w:sz w:val="32"/>
          <w:szCs w:val="32"/>
          <w:highlight w:val="none"/>
        </w:rPr>
      </w:pPr>
      <w:bookmarkStart w:id="73" w:name="_Toc15396627"/>
      <w:r>
        <w:rPr>
          <w:rStyle w:val="26"/>
          <w:rFonts w:hint="eastAsia" w:ascii="仿宋_GB2312" w:hAnsi="仿宋_GB2312" w:eastAsia="仿宋_GB2312" w:cs="仿宋_GB2312"/>
          <w:b w:val="0"/>
          <w:bCs w:val="0"/>
          <w:color w:val="auto"/>
          <w:sz w:val="32"/>
          <w:szCs w:val="32"/>
          <w:highlight w:val="none"/>
        </w:rPr>
        <w:t>九、</w:t>
      </w:r>
      <w:r>
        <w:rPr>
          <w:rFonts w:hint="eastAsia" w:ascii="仿宋_GB2312" w:hAnsi="仿宋_GB2312" w:eastAsia="仿宋_GB2312" w:cs="仿宋_GB2312"/>
          <w:b w:val="0"/>
          <w:color w:val="auto"/>
          <w:sz w:val="32"/>
          <w:szCs w:val="32"/>
          <w:highlight w:val="none"/>
        </w:rPr>
        <w:t>一</w:t>
      </w:r>
      <w:r>
        <w:rPr>
          <w:rStyle w:val="26"/>
          <w:rFonts w:hint="eastAsia" w:ascii="仿宋_GB2312" w:hAnsi="仿宋_GB2312" w:eastAsia="仿宋_GB2312" w:cs="仿宋_GB2312"/>
          <w:b w:val="0"/>
          <w:bCs w:val="0"/>
          <w:color w:val="auto"/>
          <w:sz w:val="32"/>
          <w:szCs w:val="32"/>
          <w:highlight w:val="none"/>
        </w:rPr>
        <w:t>般公共预算财政拨款项目支出决算表</w:t>
      </w:r>
      <w:bookmarkEnd w:id="73"/>
    </w:p>
    <w:p>
      <w:pPr>
        <w:pStyle w:val="4"/>
        <w:rPr>
          <w:rFonts w:hint="eastAsia" w:ascii="仿宋_GB2312" w:hAnsi="仿宋_GB2312" w:eastAsia="仿宋_GB2312" w:cs="仿宋_GB2312"/>
          <w:color w:val="auto"/>
          <w:sz w:val="32"/>
          <w:szCs w:val="32"/>
          <w:highlight w:val="none"/>
        </w:rPr>
      </w:pPr>
      <w:bookmarkStart w:id="74" w:name="_Toc15396628"/>
      <w:r>
        <w:rPr>
          <w:rStyle w:val="26"/>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color w:val="auto"/>
          <w:sz w:val="32"/>
          <w:szCs w:val="32"/>
          <w:highlight w:val="none"/>
        </w:rPr>
        <w:t>一</w:t>
      </w:r>
      <w:r>
        <w:rPr>
          <w:rStyle w:val="26"/>
          <w:rFonts w:hint="eastAsia" w:ascii="仿宋_GB2312" w:hAnsi="仿宋_GB2312" w:eastAsia="仿宋_GB2312" w:cs="仿宋_GB2312"/>
          <w:b w:val="0"/>
          <w:bCs w:val="0"/>
          <w:color w:val="auto"/>
          <w:sz w:val="32"/>
          <w:szCs w:val="32"/>
          <w:highlight w:val="none"/>
        </w:rPr>
        <w:t>般公共预算财政拨款“三公”经费支出决算表</w:t>
      </w:r>
      <w:bookmarkEnd w:id="74"/>
    </w:p>
    <w:p>
      <w:pPr>
        <w:pStyle w:val="4"/>
        <w:rPr>
          <w:rFonts w:hint="eastAsia" w:ascii="仿宋_GB2312" w:hAnsi="仿宋_GB2312" w:eastAsia="仿宋_GB2312" w:cs="仿宋_GB2312"/>
          <w:color w:val="auto"/>
          <w:sz w:val="32"/>
          <w:szCs w:val="32"/>
          <w:highlight w:val="none"/>
        </w:rPr>
      </w:pPr>
      <w:bookmarkStart w:id="75" w:name="_Toc15396629"/>
      <w:r>
        <w:rPr>
          <w:rStyle w:val="26"/>
          <w:rFonts w:hint="eastAsia" w:ascii="仿宋_GB2312" w:hAnsi="仿宋_GB2312" w:eastAsia="仿宋_GB2312" w:cs="仿宋_GB2312"/>
          <w:b w:val="0"/>
          <w:bCs w:val="0"/>
          <w:color w:val="auto"/>
          <w:sz w:val="32"/>
          <w:szCs w:val="32"/>
          <w:highlight w:val="none"/>
        </w:rPr>
        <w:t>十一、</w:t>
      </w:r>
      <w:r>
        <w:rPr>
          <w:rFonts w:hint="eastAsia" w:ascii="仿宋_GB2312" w:hAnsi="仿宋_GB2312" w:eastAsia="仿宋_GB2312" w:cs="仿宋_GB2312"/>
          <w:b w:val="0"/>
          <w:color w:val="auto"/>
          <w:sz w:val="32"/>
          <w:szCs w:val="32"/>
          <w:highlight w:val="none"/>
        </w:rPr>
        <w:t>政</w:t>
      </w:r>
      <w:r>
        <w:rPr>
          <w:rStyle w:val="26"/>
          <w:rFonts w:hint="eastAsia" w:ascii="仿宋_GB2312" w:hAnsi="仿宋_GB2312" w:eastAsia="仿宋_GB2312" w:cs="仿宋_GB2312"/>
          <w:b w:val="0"/>
          <w:bCs w:val="0"/>
          <w:color w:val="auto"/>
          <w:sz w:val="32"/>
          <w:szCs w:val="32"/>
          <w:highlight w:val="none"/>
        </w:rPr>
        <w:t>府性基金预算财政拨款收入支出决算表</w:t>
      </w:r>
      <w:bookmarkEnd w:id="75"/>
    </w:p>
    <w:p>
      <w:pPr>
        <w:pStyle w:val="4"/>
        <w:rPr>
          <w:rFonts w:hint="eastAsia" w:ascii="仿宋_GB2312" w:hAnsi="仿宋_GB2312" w:eastAsia="仿宋_GB2312" w:cs="仿宋_GB2312"/>
          <w:color w:val="auto"/>
          <w:sz w:val="32"/>
          <w:szCs w:val="32"/>
          <w:highlight w:val="none"/>
        </w:rPr>
      </w:pPr>
      <w:bookmarkStart w:id="76" w:name="_Toc15396630"/>
      <w:r>
        <w:rPr>
          <w:rStyle w:val="26"/>
          <w:rFonts w:hint="eastAsia" w:ascii="仿宋_GB2312" w:hAnsi="仿宋_GB2312" w:eastAsia="仿宋_GB2312" w:cs="仿宋_GB2312"/>
          <w:b w:val="0"/>
          <w:bCs w:val="0"/>
          <w:color w:val="auto"/>
          <w:sz w:val="32"/>
          <w:szCs w:val="32"/>
          <w:highlight w:val="none"/>
        </w:rPr>
        <w:t>十二、</w:t>
      </w:r>
      <w:r>
        <w:rPr>
          <w:rFonts w:hint="eastAsia" w:ascii="仿宋_GB2312" w:hAnsi="仿宋_GB2312" w:eastAsia="仿宋_GB2312" w:cs="仿宋_GB2312"/>
          <w:b w:val="0"/>
          <w:color w:val="auto"/>
          <w:sz w:val="32"/>
          <w:szCs w:val="32"/>
          <w:highlight w:val="none"/>
        </w:rPr>
        <w:t>政</w:t>
      </w:r>
      <w:r>
        <w:rPr>
          <w:rStyle w:val="26"/>
          <w:rFonts w:hint="eastAsia" w:ascii="仿宋_GB2312" w:hAnsi="仿宋_GB2312" w:eastAsia="仿宋_GB2312" w:cs="仿宋_GB2312"/>
          <w:b w:val="0"/>
          <w:bCs w:val="0"/>
          <w:color w:val="auto"/>
          <w:sz w:val="32"/>
          <w:szCs w:val="32"/>
          <w:highlight w:val="none"/>
        </w:rPr>
        <w:t>府性基金预算财政拨款“三公”经费支出决算表</w:t>
      </w:r>
      <w:bookmarkEnd w:id="76"/>
    </w:p>
    <w:p>
      <w:pPr>
        <w:pStyle w:val="4"/>
        <w:rPr>
          <w:rStyle w:val="26"/>
          <w:rFonts w:hint="eastAsia" w:ascii="仿宋_GB2312" w:hAnsi="仿宋_GB2312" w:eastAsia="仿宋_GB2312" w:cs="仿宋_GB2312"/>
          <w:b w:val="0"/>
          <w:bCs w:val="0"/>
          <w:color w:val="auto"/>
          <w:sz w:val="32"/>
          <w:szCs w:val="32"/>
          <w:highlight w:val="none"/>
        </w:rPr>
      </w:pPr>
      <w:bookmarkStart w:id="77" w:name="_Toc15396631"/>
      <w:r>
        <w:rPr>
          <w:rStyle w:val="26"/>
          <w:rFonts w:hint="eastAsia" w:ascii="仿宋_GB2312" w:hAnsi="仿宋_GB2312" w:eastAsia="仿宋_GB2312" w:cs="仿宋_GB2312"/>
          <w:b w:val="0"/>
          <w:bCs w:val="0"/>
          <w:color w:val="auto"/>
          <w:sz w:val="32"/>
          <w:szCs w:val="32"/>
          <w:highlight w:val="none"/>
        </w:rPr>
        <w:t>十三、</w:t>
      </w:r>
      <w:r>
        <w:rPr>
          <w:rFonts w:hint="eastAsia" w:ascii="仿宋_GB2312" w:hAnsi="仿宋_GB2312" w:eastAsia="仿宋_GB2312" w:cs="仿宋_GB2312"/>
          <w:b w:val="0"/>
          <w:color w:val="auto"/>
          <w:sz w:val="32"/>
          <w:szCs w:val="32"/>
          <w:highlight w:val="none"/>
        </w:rPr>
        <w:t>国</w:t>
      </w:r>
      <w:r>
        <w:rPr>
          <w:rStyle w:val="26"/>
          <w:rFonts w:hint="eastAsia" w:ascii="仿宋_GB2312" w:hAnsi="仿宋_GB2312" w:eastAsia="仿宋_GB2312" w:cs="仿宋_GB2312"/>
          <w:b w:val="0"/>
          <w:bCs w:val="0"/>
          <w:color w:val="auto"/>
          <w:sz w:val="32"/>
          <w:szCs w:val="32"/>
          <w:highlight w:val="none"/>
        </w:rPr>
        <w:t>有资本经营预算</w:t>
      </w:r>
      <w:r>
        <w:rPr>
          <w:rStyle w:val="26"/>
          <w:rFonts w:hint="eastAsia" w:ascii="仿宋_GB2312" w:hAnsi="仿宋_GB2312" w:eastAsia="仿宋_GB2312" w:cs="仿宋_GB2312"/>
          <w:b w:val="0"/>
          <w:bCs w:val="0"/>
          <w:color w:val="auto"/>
          <w:sz w:val="32"/>
          <w:szCs w:val="32"/>
          <w:highlight w:val="none"/>
          <w:lang w:eastAsia="zh-CN"/>
        </w:rPr>
        <w:t>财政拨款收入</w:t>
      </w:r>
      <w:r>
        <w:rPr>
          <w:rStyle w:val="26"/>
          <w:rFonts w:hint="eastAsia" w:ascii="仿宋_GB2312" w:hAnsi="仿宋_GB2312" w:eastAsia="仿宋_GB2312" w:cs="仿宋_GB2312"/>
          <w:b w:val="0"/>
          <w:bCs w:val="0"/>
          <w:color w:val="auto"/>
          <w:sz w:val="32"/>
          <w:szCs w:val="32"/>
          <w:highlight w:val="none"/>
        </w:rPr>
        <w:t>支出决算表</w:t>
      </w:r>
      <w:bookmarkEnd w:id="77"/>
    </w:p>
    <w:p>
      <w:pPr>
        <w:rPr>
          <w:rFonts w:hint="eastAsia" w:ascii="仿宋_GB2312" w:hAnsi="仿宋_GB2312" w:eastAsia="仿宋_GB2312" w:cs="仿宋_GB2312"/>
          <w:color w:val="auto"/>
          <w:sz w:val="32"/>
          <w:szCs w:val="32"/>
          <w:highlight w:val="none"/>
          <w:lang w:eastAsia="zh-CN"/>
        </w:rPr>
      </w:pPr>
      <w:r>
        <w:rPr>
          <w:rStyle w:val="26"/>
          <w:rFonts w:hint="eastAsia" w:ascii="仿宋_GB2312" w:hAnsi="仿宋_GB2312" w:eastAsia="仿宋_GB2312" w:cs="仿宋_GB2312"/>
          <w:b w:val="0"/>
          <w:bCs w:val="0"/>
          <w:color w:val="auto"/>
          <w:sz w:val="32"/>
          <w:szCs w:val="32"/>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81F1FA3"/>
    <w:multiLevelType w:val="singleLevel"/>
    <w:tmpl w:val="081F1FA3"/>
    <w:lvl w:ilvl="0" w:tentative="0">
      <w:start w:val="2"/>
      <w:numFmt w:val="chineseCounting"/>
      <w:suff w:val="nothing"/>
      <w:lvlText w:val="（%1）"/>
      <w:lvlJc w:val="left"/>
      <w:rPr>
        <w:rFonts w:hint="eastAsia"/>
      </w:r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MDRmNTAwOThkZjA4OTAyYzNjMWRiZGQzMGU4O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85012"/>
    <w:rsid w:val="03F67248"/>
    <w:rsid w:val="066E0107"/>
    <w:rsid w:val="07996F6E"/>
    <w:rsid w:val="0882700D"/>
    <w:rsid w:val="0A2032A3"/>
    <w:rsid w:val="0C0E7E79"/>
    <w:rsid w:val="0F6A7C95"/>
    <w:rsid w:val="101860EC"/>
    <w:rsid w:val="10C055FF"/>
    <w:rsid w:val="111F0CB3"/>
    <w:rsid w:val="118107EC"/>
    <w:rsid w:val="13D50BC4"/>
    <w:rsid w:val="1587015E"/>
    <w:rsid w:val="16BB723D"/>
    <w:rsid w:val="18537A99"/>
    <w:rsid w:val="18E63255"/>
    <w:rsid w:val="1999756A"/>
    <w:rsid w:val="19BB7327"/>
    <w:rsid w:val="1B1A62A9"/>
    <w:rsid w:val="1BE8440E"/>
    <w:rsid w:val="1D155CEE"/>
    <w:rsid w:val="1D8F3E94"/>
    <w:rsid w:val="1E586AD9"/>
    <w:rsid w:val="1FBE4171"/>
    <w:rsid w:val="2004131B"/>
    <w:rsid w:val="2120725A"/>
    <w:rsid w:val="216B55C0"/>
    <w:rsid w:val="23860B96"/>
    <w:rsid w:val="240371BF"/>
    <w:rsid w:val="25C47915"/>
    <w:rsid w:val="27F32685"/>
    <w:rsid w:val="28787436"/>
    <w:rsid w:val="29BF7E2E"/>
    <w:rsid w:val="29FD04D3"/>
    <w:rsid w:val="2C8A61B5"/>
    <w:rsid w:val="2DF04E50"/>
    <w:rsid w:val="2F0404FA"/>
    <w:rsid w:val="319F7F4E"/>
    <w:rsid w:val="31BA05E2"/>
    <w:rsid w:val="36AA5135"/>
    <w:rsid w:val="37BF5E48"/>
    <w:rsid w:val="37E16F03"/>
    <w:rsid w:val="38FD046F"/>
    <w:rsid w:val="3D98207C"/>
    <w:rsid w:val="3E5F0A24"/>
    <w:rsid w:val="3F7247AD"/>
    <w:rsid w:val="410B53D9"/>
    <w:rsid w:val="44E268DA"/>
    <w:rsid w:val="4553724D"/>
    <w:rsid w:val="480E1A72"/>
    <w:rsid w:val="49AF092F"/>
    <w:rsid w:val="4A627F82"/>
    <w:rsid w:val="4B4F25DA"/>
    <w:rsid w:val="4BE068DB"/>
    <w:rsid w:val="4C3600A8"/>
    <w:rsid w:val="4D577224"/>
    <w:rsid w:val="4EAB630A"/>
    <w:rsid w:val="4ECE2238"/>
    <w:rsid w:val="56104B7D"/>
    <w:rsid w:val="57BA715A"/>
    <w:rsid w:val="5AA77AC9"/>
    <w:rsid w:val="5ACE14FA"/>
    <w:rsid w:val="5AF92295"/>
    <w:rsid w:val="5B3E21DC"/>
    <w:rsid w:val="5BFA43AD"/>
    <w:rsid w:val="5CAA564F"/>
    <w:rsid w:val="5CD71FC4"/>
    <w:rsid w:val="5E60251D"/>
    <w:rsid w:val="634734D7"/>
    <w:rsid w:val="650C36A1"/>
    <w:rsid w:val="67D859EC"/>
    <w:rsid w:val="69C914D7"/>
    <w:rsid w:val="6AAC0F51"/>
    <w:rsid w:val="6BC00068"/>
    <w:rsid w:val="6C4A05C8"/>
    <w:rsid w:val="6DE50384"/>
    <w:rsid w:val="6E7E3605"/>
    <w:rsid w:val="6ECA38C5"/>
    <w:rsid w:val="6ED668B2"/>
    <w:rsid w:val="6F983C65"/>
    <w:rsid w:val="6FF5CC65"/>
    <w:rsid w:val="715C0E4B"/>
    <w:rsid w:val="72734D90"/>
    <w:rsid w:val="73AD73D5"/>
    <w:rsid w:val="73B6EB34"/>
    <w:rsid w:val="741C436E"/>
    <w:rsid w:val="744C26A5"/>
    <w:rsid w:val="79052133"/>
    <w:rsid w:val="79537342"/>
    <w:rsid w:val="79EE5BA4"/>
    <w:rsid w:val="7A8377B3"/>
    <w:rsid w:val="7A894339"/>
    <w:rsid w:val="7C7E2A4D"/>
    <w:rsid w:val="7EEF11D3"/>
    <w:rsid w:val="7F460DAF"/>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zh-CN"/>
              <a:t>与</a:t>
            </a:r>
            <a:r>
              <a:rPr lang="en-US" altLang="zh-CN"/>
              <a:t>2021</a:t>
            </a:r>
            <a:r>
              <a:rPr altLang="en-US"/>
              <a:t>年收支对比图</a:t>
            </a:r>
            <a:endParaRPr altLang="en-US"/>
          </a:p>
        </c:rich>
      </c:tx>
      <c:layout/>
      <c:overlay val="0"/>
      <c:spPr>
        <a:noFill/>
        <a:ln>
          <a:noFill/>
        </a:ln>
        <a:effectLst/>
      </c:spPr>
    </c:title>
    <c:autoTitleDeleted val="0"/>
    <c:plotArea>
      <c:layout>
        <c:manualLayout>
          <c:layoutTarget val="inner"/>
          <c:xMode val="edge"/>
          <c:yMode val="edge"/>
          <c:x val="0.072825"/>
          <c:y val="0.045"/>
          <c:w val="0.910925"/>
          <c:h val="0.716066666666667"/>
        </c:manualLayout>
      </c:layout>
      <c:barChart>
        <c:barDir val="col"/>
        <c:grouping val="clustered"/>
        <c:varyColors val="0"/>
        <c:ser>
          <c:idx val="1"/>
          <c:order val="0"/>
          <c:tx>
            <c:strRef>
              <c:f>Sheet1!$B$1</c:f>
              <c:strCache>
                <c:ptCount val="1"/>
                <c:pt idx="0">
                  <c:v>系列 2</c:v>
                </c:pt>
              </c:strCache>
            </c:strRef>
          </c:tx>
          <c:spPr>
            <a:solidFill>
              <a:schemeClr val="accent2"/>
            </a:solidFill>
            <a:ln>
              <a:noFill/>
            </a:ln>
            <a:effectLst/>
          </c:spPr>
          <c:invertIfNegative val="0"/>
          <c:dLbls>
            <c:delete val="1"/>
          </c:dLbls>
          <c:cat>
            <c:strRef>
              <c:f>Sheet1!$A$2:$A$5</c:f>
              <c:strCache>
                <c:ptCount val="4"/>
                <c:pt idx="0">
                  <c:v>2020年收入</c:v>
                </c:pt>
                <c:pt idx="1">
                  <c:v>2021年收入</c:v>
                </c:pt>
                <c:pt idx="2">
                  <c:v>2020年支出</c:v>
                </c:pt>
                <c:pt idx="3">
                  <c:v>2021年支出</c:v>
                </c:pt>
              </c:strCache>
            </c:strRef>
          </c:cat>
          <c:val>
            <c:numRef>
              <c:f>Sheet1!$B$2:$B$5</c:f>
              <c:numCache>
                <c:formatCode>General</c:formatCode>
                <c:ptCount val="4"/>
                <c:pt idx="0">
                  <c:v>176.15</c:v>
                </c:pt>
                <c:pt idx="1">
                  <c:v>156.23</c:v>
                </c:pt>
                <c:pt idx="2">
                  <c:v>149.27</c:v>
                </c:pt>
                <c:pt idx="3">
                  <c:v>181.01</c:v>
                </c:pt>
              </c:numCache>
            </c:numRef>
          </c:val>
        </c:ser>
        <c:dLbls>
          <c:showLegendKey val="0"/>
          <c:showVal val="0"/>
          <c:showCatName val="0"/>
          <c:showSerName val="0"/>
          <c:showPercent val="0"/>
          <c:showBubbleSize val="0"/>
        </c:dLbls>
        <c:gapWidth val="219"/>
        <c:overlap val="-27"/>
        <c:axId val="383561586"/>
        <c:axId val="751504997"/>
      </c:barChart>
      <c:catAx>
        <c:axId val="3835615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1504997"/>
        <c:crosses val="autoZero"/>
        <c:auto val="1"/>
        <c:lblAlgn val="ctr"/>
        <c:lblOffset val="100"/>
        <c:noMultiLvlLbl val="0"/>
      </c:catAx>
      <c:valAx>
        <c:axId val="7515049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5615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r>
                      <a:rPr lang="zh-CN" altLang="en-US"/>
                      <a:t>基本支出</a:t>
                    </a:r>
                    <a:r>
                      <a:rPr lang="en-US" altLang="en-US"/>
                      <a:t>85.18%</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r>
                      <a:rPr lang="zh-CN" altLang="en-US"/>
                      <a:t>项目支出</a:t>
                    </a:r>
                    <a:r>
                      <a:rPr lang="en-US" altLang="en-US"/>
                      <a:t>14.82%</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85.18</c:v>
                </c:pt>
                <c:pt idx="1">
                  <c:v>14.82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zh-CN"/>
              <a:t>与</a:t>
            </a:r>
            <a:r>
              <a:rPr lang="en-US" altLang="zh-CN"/>
              <a:t>2021</a:t>
            </a:r>
            <a:r>
              <a:rPr altLang="en-US"/>
              <a:t>年收支对比图</a:t>
            </a:r>
            <a:endParaRPr altLang="en-US"/>
          </a:p>
        </c:rich>
      </c:tx>
      <c:layout/>
      <c:overlay val="0"/>
      <c:spPr>
        <a:noFill/>
        <a:ln>
          <a:noFill/>
        </a:ln>
        <a:effectLst/>
      </c:spPr>
    </c:title>
    <c:autoTitleDeleted val="0"/>
    <c:plotArea>
      <c:layout>
        <c:manualLayout>
          <c:layoutTarget val="inner"/>
          <c:xMode val="edge"/>
          <c:yMode val="edge"/>
          <c:x val="0.07095"/>
          <c:y val="0.0425"/>
          <c:w val="0.910925"/>
          <c:h val="0.716066666666667"/>
        </c:manualLayout>
      </c:layout>
      <c:barChart>
        <c:barDir val="col"/>
        <c:grouping val="clustered"/>
        <c:varyColors val="0"/>
        <c:ser>
          <c:idx val="1"/>
          <c:order val="0"/>
          <c:tx>
            <c:strRef>
              <c:f>Sheet1!$B$1</c:f>
              <c:strCache>
                <c:ptCount val="1"/>
                <c:pt idx="0">
                  <c:v>系列 2</c:v>
                </c:pt>
              </c:strCache>
            </c:strRef>
          </c:tx>
          <c:spPr>
            <a:solidFill>
              <a:schemeClr val="accent3"/>
            </a:solidFill>
            <a:ln>
              <a:noFill/>
            </a:ln>
            <a:effectLst/>
          </c:spPr>
          <c:invertIfNegative val="0"/>
          <c:dLbls>
            <c:delete val="1"/>
          </c:dLbls>
          <c:cat>
            <c:strRef>
              <c:f>Sheet1!$A$2:$A$5</c:f>
              <c:strCache>
                <c:ptCount val="4"/>
                <c:pt idx="0">
                  <c:v>2020年收入</c:v>
                </c:pt>
                <c:pt idx="1">
                  <c:v>2021年收入</c:v>
                </c:pt>
                <c:pt idx="2">
                  <c:v>2020年支出</c:v>
                </c:pt>
                <c:pt idx="3">
                  <c:v>2021年支出</c:v>
                </c:pt>
              </c:strCache>
            </c:strRef>
          </c:cat>
          <c:val>
            <c:numRef>
              <c:f>Sheet1!$B$2:$B$5</c:f>
              <c:numCache>
                <c:formatCode>General</c:formatCode>
                <c:ptCount val="4"/>
                <c:pt idx="0">
                  <c:v>176.15</c:v>
                </c:pt>
                <c:pt idx="1">
                  <c:v>156.23</c:v>
                </c:pt>
                <c:pt idx="2">
                  <c:v>149.27</c:v>
                </c:pt>
                <c:pt idx="3">
                  <c:v>181.01</c:v>
                </c:pt>
              </c:numCache>
            </c:numRef>
          </c:val>
        </c:ser>
        <c:dLbls>
          <c:showLegendKey val="0"/>
          <c:showVal val="0"/>
          <c:showCatName val="0"/>
          <c:showSerName val="0"/>
          <c:showPercent val="0"/>
          <c:showBubbleSize val="0"/>
        </c:dLbls>
        <c:gapWidth val="219"/>
        <c:overlap val="-27"/>
        <c:axId val="383561586"/>
        <c:axId val="751504997"/>
      </c:barChart>
      <c:catAx>
        <c:axId val="3835615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1504997"/>
        <c:crosses val="autoZero"/>
        <c:auto val="1"/>
        <c:lblAlgn val="ctr"/>
        <c:lblOffset val="100"/>
        <c:noMultiLvlLbl val="0"/>
      </c:catAx>
      <c:valAx>
        <c:axId val="7515049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5615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一般公共预算财政拨款支出对比图</a:t>
            </a:r>
            <a:endParaRPr altLang="en-US"/>
          </a:p>
        </c:rich>
      </c:tx>
      <c:layout/>
      <c:overlay val="0"/>
      <c:spPr>
        <a:noFill/>
        <a:ln>
          <a:noFill/>
        </a:ln>
        <a:effectLst/>
      </c:spPr>
    </c:title>
    <c:autoTitleDeleted val="0"/>
    <c:plotArea>
      <c:layout>
        <c:manualLayout>
          <c:layoutTarget val="inner"/>
          <c:xMode val="edge"/>
          <c:yMode val="edge"/>
          <c:x val="0.07095"/>
          <c:y val="0.0425"/>
          <c:w val="0.910925"/>
          <c:h val="0.716066666666667"/>
        </c:manualLayout>
      </c:layout>
      <c:barChart>
        <c:barDir val="col"/>
        <c:grouping val="clustered"/>
        <c:varyColors val="0"/>
        <c:ser>
          <c:idx val="1"/>
          <c:order val="0"/>
          <c:tx>
            <c:strRef>
              <c:f>Sheet1!$B$1</c:f>
              <c:strCache>
                <c:ptCount val="1"/>
                <c:pt idx="0">
                  <c:v>系列 2</c:v>
                </c:pt>
              </c:strCache>
            </c:strRef>
          </c:tx>
          <c:spPr>
            <a:solidFill>
              <a:schemeClr val="accent4"/>
            </a:solidFill>
            <a:ln>
              <a:noFill/>
            </a:ln>
            <a:effectLst/>
          </c:spPr>
          <c:invertIfNegative val="0"/>
          <c:dLbls>
            <c:delete val="1"/>
          </c:dLbls>
          <c:cat>
            <c:strRef>
              <c:f>Sheet1!$A$2:$A$3</c:f>
              <c:strCache>
                <c:ptCount val="2"/>
                <c:pt idx="0">
                  <c:v>2020年支出</c:v>
                </c:pt>
                <c:pt idx="1">
                  <c:v>2021年支出</c:v>
                </c:pt>
              </c:strCache>
            </c:strRef>
          </c:cat>
          <c:val>
            <c:numRef>
              <c:f>Sheet1!$B$2:$B$3</c:f>
              <c:numCache>
                <c:formatCode>General</c:formatCode>
                <c:ptCount val="2"/>
                <c:pt idx="0">
                  <c:v>149.27</c:v>
                </c:pt>
                <c:pt idx="1">
                  <c:v>181.01</c:v>
                </c:pt>
              </c:numCache>
            </c:numRef>
          </c:val>
        </c:ser>
        <c:dLbls>
          <c:showLegendKey val="0"/>
          <c:showVal val="0"/>
          <c:showCatName val="0"/>
          <c:showSerName val="0"/>
          <c:showPercent val="0"/>
          <c:showBubbleSize val="0"/>
        </c:dLbls>
        <c:gapWidth val="219"/>
        <c:overlap val="-27"/>
        <c:axId val="383561586"/>
        <c:axId val="751504997"/>
      </c:barChart>
      <c:catAx>
        <c:axId val="3835615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1504997"/>
        <c:crosses val="autoZero"/>
        <c:auto val="1"/>
        <c:lblAlgn val="ctr"/>
        <c:lblOffset val="100"/>
        <c:noMultiLvlLbl val="0"/>
      </c:catAx>
      <c:valAx>
        <c:axId val="7515049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561586"/>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12877</Words>
  <Characters>13446</Characters>
  <Lines>61</Lines>
  <Paragraphs>17</Paragraphs>
  <TotalTime>2</TotalTime>
  <ScaleCrop>false</ScaleCrop>
  <LinksUpToDate>false</LinksUpToDate>
  <CharactersWithSpaces>13506</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2022-08-08T09:11:00Z</cp:lastPrinted>
  <dcterms:modified xsi:type="dcterms:W3CDTF">2022-09-23T02:17:35Z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E9E0D889564444EE978297C406B217D1</vt:lpwstr>
  </property>
</Properties>
</file>