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8441"/>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598"/>
      <w:bookmarkStart w:id="9" w:name="_Toc15396476"/>
      <w:bookmarkStart w:id="10" w:name="_Toc15306268"/>
      <w:bookmarkStart w:id="11" w:name="_Toc15378442"/>
      <w:r>
        <w:rPr>
          <w:rFonts w:hint="eastAsia" w:ascii="方正小标宋简体" w:hAnsi="宋体" w:eastAsia="方正小标宋简体"/>
          <w:color w:val="000000"/>
          <w:sz w:val="72"/>
          <w:szCs w:val="72"/>
        </w:rPr>
        <w:t>广元市利州区人民代表大会常务委员会办公室</w:t>
      </w:r>
    </w:p>
    <w:p>
      <w:pPr>
        <w:adjustRightInd w:val="0"/>
        <w:snapToGrid w:val="0"/>
        <w:spacing w:line="360" w:lineRule="auto"/>
        <w:jc w:val="center"/>
        <w:outlineLvl w:val="0"/>
        <w:rPr>
          <w:rFonts w:ascii="方正小标宋简体" w:hAnsi="方正小标宋简体" w:eastAsia="方正小标宋简体" w:cs="方正小标宋简体"/>
          <w:sz w:val="72"/>
          <w:szCs w:val="72"/>
        </w:rPr>
        <w:sectPr>
          <w:headerReference r:id="rId3" w:type="default"/>
          <w:footerReference r:id="rId4" w:type="default"/>
          <w:footerReference r:id="rId5" w:type="even"/>
          <w:pgSz w:w="11906" w:h="16838"/>
          <w:pgMar w:top="2098" w:right="1474" w:bottom="1985" w:left="1588" w:header="851" w:footer="1588" w:gutter="0"/>
          <w:pgNumType w:start="1"/>
          <w:cols w:space="425" w:num="1"/>
          <w:titlePg/>
          <w:docGrid w:type="lines" w:linePitch="312" w:charSpace="0"/>
        </w:sect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cs="黑体"/>
          <w:sz w:val="48"/>
          <w:szCs w:val="48"/>
        </w:rPr>
      </w:pPr>
      <w:r>
        <w:rPr>
          <w:rFonts w:hint="eastAsia" w:ascii="黑体" w:hAnsi="黑体" w:eastAsia="黑体" w:cs="黑体"/>
          <w:sz w:val="48"/>
          <w:szCs w:val="48"/>
        </w:rPr>
        <w:t>目  录</w:t>
      </w:r>
    </w:p>
    <w:p>
      <w:pPr>
        <w:widowControl/>
        <w:jc w:val="center"/>
        <w:rPr>
          <w:rFonts w:ascii="黑体" w:hAnsi="黑体" w:eastAsia="黑体" w:cstheme="minorBidi"/>
          <w:sz w:val="28"/>
          <w:szCs w:val="28"/>
        </w:rPr>
      </w:pPr>
    </w:p>
    <w:p>
      <w:pPr>
        <w:pStyle w:val="11"/>
        <w:rPr>
          <w:rFonts w:eastAsia="仿宋_GB2312"/>
        </w:rPr>
      </w:pPr>
      <w:r>
        <w:rPr>
          <w:rFonts w:hint="eastAsia" w:eastAsia="仿宋_GB2312"/>
        </w:rPr>
        <w:t>公开时间：2022年9月21日</w:t>
      </w:r>
    </w:p>
    <w:p/>
    <w:p>
      <w:pPr>
        <w:pStyle w:val="11"/>
        <w:adjustRightInd w:val="0"/>
        <w:snapToGrid w:val="0"/>
        <w:spacing w:line="440" w:lineRule="exact"/>
        <w:jc w:val="distribute"/>
        <w:rPr>
          <w:rFonts w:eastAsia="仿宋_GB2312" w:cstheme="minorBidi"/>
          <w:sz w:val="24"/>
          <w:szCs w:val="24"/>
        </w:rPr>
      </w:pPr>
      <w:r>
        <w:rPr>
          <w:rFonts w:hint="eastAsia" w:eastAsia="仿宋_GB2312"/>
          <w:sz w:val="24"/>
        </w:rPr>
        <w:t>第一部分</w:t>
      </w:r>
      <w:r>
        <w:rPr>
          <w:rFonts w:eastAsia="仿宋_GB2312"/>
          <w:sz w:val="24"/>
        </w:rPr>
        <w:t xml:space="preserve"> </w:t>
      </w:r>
      <w:r>
        <w:rPr>
          <w:rFonts w:hint="eastAsia" w:eastAsia="仿宋_GB2312"/>
          <w:sz w:val="24"/>
        </w:rPr>
        <w:t>部门概况………………………………………………………………………1</w:t>
      </w:r>
    </w:p>
    <w:p>
      <w:pPr>
        <w:pStyle w:val="13"/>
        <w:adjustRightInd w:val="0"/>
        <w:snapToGrid w:val="0"/>
        <w:spacing w:line="440" w:lineRule="exact"/>
        <w:jc w:val="distribute"/>
        <w:rPr>
          <w:rFonts w:ascii="仿宋" w:hAnsi="仿宋" w:eastAsia="仿宋_GB2312"/>
          <w:sz w:val="24"/>
        </w:rPr>
      </w:pPr>
      <w:r>
        <w:rPr>
          <w:rFonts w:hint="eastAsia"/>
          <w:sz w:val="24"/>
        </w:rPr>
        <w:t>一、基本职能及主要工作……………………………………………………………1</w:t>
      </w:r>
    </w:p>
    <w:p>
      <w:pPr>
        <w:pStyle w:val="13"/>
        <w:adjustRightInd w:val="0"/>
        <w:snapToGrid w:val="0"/>
        <w:spacing w:line="440" w:lineRule="exact"/>
        <w:jc w:val="distribute"/>
        <w:rPr>
          <w:rFonts w:ascii="仿宋" w:hAnsi="仿宋" w:eastAsia="仿宋_GB2312" w:cstheme="minorBidi"/>
          <w:sz w:val="24"/>
        </w:rPr>
      </w:pPr>
      <w:r>
        <w:rPr>
          <w:rFonts w:hint="eastAsia"/>
          <w:sz w:val="24"/>
        </w:rPr>
        <w:t>二、机构设置…………………………………………………………………………4</w:t>
      </w:r>
    </w:p>
    <w:p>
      <w:pPr>
        <w:pStyle w:val="11"/>
        <w:adjustRightInd w:val="0"/>
        <w:snapToGrid w:val="0"/>
        <w:spacing w:line="440" w:lineRule="exact"/>
        <w:jc w:val="distribute"/>
        <w:rPr>
          <w:rFonts w:eastAsia="仿宋_GB2312"/>
          <w:sz w:val="24"/>
          <w:szCs w:val="24"/>
        </w:rPr>
      </w:pPr>
      <w:r>
        <w:rPr>
          <w:rFonts w:hint="eastAsia" w:eastAsia="仿宋_GB2312"/>
          <w:sz w:val="24"/>
        </w:rPr>
        <w:t>第二部分 2021年度部门决算情况说明…………………………………………………5</w:t>
      </w:r>
    </w:p>
    <w:p>
      <w:pPr>
        <w:pStyle w:val="13"/>
        <w:adjustRightInd w:val="0"/>
        <w:snapToGrid w:val="0"/>
        <w:spacing w:line="440" w:lineRule="exact"/>
        <w:jc w:val="distribute"/>
        <w:rPr>
          <w:rFonts w:ascii="仿宋" w:hAnsi="仿宋" w:eastAsia="仿宋_GB2312" w:cstheme="minorBidi"/>
          <w:sz w:val="24"/>
        </w:rPr>
      </w:pPr>
      <w:r>
        <w:rPr>
          <w:rFonts w:hint="eastAsia"/>
          <w:sz w:val="24"/>
        </w:rPr>
        <w:t>一、收入支出决算总体情况说明……………………………………………………5</w:t>
      </w:r>
    </w:p>
    <w:p>
      <w:pPr>
        <w:pStyle w:val="13"/>
        <w:adjustRightInd w:val="0"/>
        <w:snapToGrid w:val="0"/>
        <w:spacing w:line="440" w:lineRule="exact"/>
        <w:jc w:val="distribute"/>
        <w:rPr>
          <w:rFonts w:ascii="仿宋" w:hAnsi="仿宋" w:eastAsia="仿宋_GB2312" w:cstheme="minorBidi"/>
          <w:sz w:val="24"/>
        </w:rPr>
      </w:pPr>
      <w:r>
        <w:rPr>
          <w:rFonts w:hint="eastAsia"/>
          <w:sz w:val="24"/>
        </w:rPr>
        <w:t>二、收入决算情况说明………………………………………………………………6</w:t>
      </w:r>
    </w:p>
    <w:p>
      <w:pPr>
        <w:pStyle w:val="13"/>
        <w:adjustRightInd w:val="0"/>
        <w:snapToGrid w:val="0"/>
        <w:spacing w:line="440" w:lineRule="exact"/>
        <w:jc w:val="distribute"/>
        <w:rPr>
          <w:rFonts w:ascii="仿宋" w:hAnsi="仿宋" w:eastAsia="仿宋_GB2312" w:cstheme="minorBidi"/>
          <w:sz w:val="24"/>
        </w:rPr>
      </w:pPr>
      <w:r>
        <w:rPr>
          <w:rFonts w:hint="eastAsia"/>
          <w:sz w:val="24"/>
        </w:rPr>
        <w:t>三、支出决算情况说明………………………………………………………………6</w:t>
      </w:r>
    </w:p>
    <w:p>
      <w:pPr>
        <w:pStyle w:val="13"/>
        <w:adjustRightInd w:val="0"/>
        <w:snapToGrid w:val="0"/>
        <w:spacing w:line="440" w:lineRule="exact"/>
        <w:jc w:val="distribute"/>
        <w:rPr>
          <w:rFonts w:ascii="仿宋" w:hAnsi="仿宋" w:eastAsia="仿宋_GB2312" w:cstheme="minorBidi"/>
          <w:sz w:val="24"/>
        </w:rPr>
      </w:pPr>
      <w:r>
        <w:rPr>
          <w:rFonts w:hint="eastAsia"/>
          <w:sz w:val="24"/>
        </w:rPr>
        <w:t>四、财政拨款收入支出决算总体情况说明…………………………………………7</w:t>
      </w:r>
    </w:p>
    <w:p>
      <w:pPr>
        <w:pStyle w:val="13"/>
        <w:adjustRightInd w:val="0"/>
        <w:snapToGrid w:val="0"/>
        <w:spacing w:line="440" w:lineRule="exact"/>
        <w:jc w:val="distribute"/>
        <w:rPr>
          <w:rFonts w:ascii="仿宋" w:hAnsi="仿宋" w:eastAsia="仿宋_GB2312" w:cstheme="minorBidi"/>
          <w:sz w:val="24"/>
        </w:rPr>
      </w:pPr>
      <w:r>
        <w:rPr>
          <w:rFonts w:hint="eastAsia"/>
          <w:sz w:val="24"/>
        </w:rPr>
        <w:t>五、一般公共预算财政拨款支出决算情况说明……………………………………8</w:t>
      </w:r>
    </w:p>
    <w:p>
      <w:pPr>
        <w:pStyle w:val="13"/>
        <w:adjustRightInd w:val="0"/>
        <w:snapToGrid w:val="0"/>
        <w:spacing w:line="440" w:lineRule="exact"/>
        <w:jc w:val="distribute"/>
        <w:rPr>
          <w:rFonts w:ascii="仿宋" w:hAnsi="仿宋" w:eastAsia="仿宋_GB2312" w:cstheme="minorBidi"/>
          <w:sz w:val="24"/>
        </w:rPr>
      </w:pPr>
      <w:r>
        <w:rPr>
          <w:rFonts w:hint="eastAsia"/>
          <w:sz w:val="24"/>
        </w:rPr>
        <w:t>六、一般公共预算财政拨款基本支出决算情况说明………………………………12</w:t>
      </w:r>
    </w:p>
    <w:p>
      <w:pPr>
        <w:pStyle w:val="13"/>
        <w:adjustRightInd w:val="0"/>
        <w:snapToGrid w:val="0"/>
        <w:spacing w:line="440" w:lineRule="exact"/>
        <w:jc w:val="distribute"/>
        <w:rPr>
          <w:rFonts w:ascii="仿宋" w:hAnsi="仿宋" w:eastAsia="仿宋_GB2312" w:cstheme="minorBidi"/>
          <w:sz w:val="24"/>
        </w:rPr>
      </w:pPr>
      <w:r>
        <w:rPr>
          <w:rFonts w:hint="eastAsia"/>
          <w:sz w:val="24"/>
        </w:rPr>
        <w:t>七、“三公”经费财政拨款支出决算情况说明……………………………………13</w:t>
      </w:r>
    </w:p>
    <w:p>
      <w:pPr>
        <w:pStyle w:val="13"/>
        <w:adjustRightInd w:val="0"/>
        <w:snapToGrid w:val="0"/>
        <w:spacing w:line="440" w:lineRule="exact"/>
        <w:jc w:val="distribute"/>
        <w:rPr>
          <w:rFonts w:ascii="仿宋" w:hAnsi="仿宋" w:eastAsia="仿宋_GB2312" w:cstheme="minorBidi"/>
          <w:sz w:val="24"/>
        </w:rPr>
      </w:pPr>
      <w:r>
        <w:rPr>
          <w:rFonts w:hint="eastAsia"/>
          <w:sz w:val="24"/>
        </w:rPr>
        <w:t>八、政府性基金预算支出决算情况说明……………………………………………15</w:t>
      </w:r>
    </w:p>
    <w:p>
      <w:pPr>
        <w:pStyle w:val="13"/>
        <w:adjustRightInd w:val="0"/>
        <w:snapToGrid w:val="0"/>
        <w:spacing w:line="440" w:lineRule="exact"/>
        <w:ind w:leftChars="0"/>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九、国有资本经营预算支出决算情况说明…………………………………………15</w:t>
      </w:r>
    </w:p>
    <w:p>
      <w:pPr>
        <w:pStyle w:val="13"/>
        <w:adjustRightInd w:val="0"/>
        <w:snapToGrid w:val="0"/>
        <w:spacing w:line="440" w:lineRule="exact"/>
        <w:ind w:leftChars="0"/>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十、预算绩效管理情况………………………………………………………………15</w:t>
      </w:r>
    </w:p>
    <w:p>
      <w:pPr>
        <w:pStyle w:val="13"/>
        <w:adjustRightInd w:val="0"/>
        <w:snapToGrid w:val="0"/>
        <w:spacing w:line="440" w:lineRule="exact"/>
        <w:ind w:leftChars="0"/>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十一、其他重要事项的情况说明……………………………………………………16</w:t>
      </w:r>
    </w:p>
    <w:p>
      <w:pPr>
        <w:pStyle w:val="11"/>
        <w:adjustRightInd w:val="0"/>
        <w:snapToGrid w:val="0"/>
        <w:spacing w:line="440" w:lineRule="exact"/>
        <w:jc w:val="distribute"/>
        <w:rPr>
          <w:rFonts w:eastAsia="仿宋_GB2312" w:cstheme="minorBidi"/>
          <w:sz w:val="24"/>
          <w:szCs w:val="24"/>
        </w:rPr>
      </w:pPr>
      <w:r>
        <w:rPr>
          <w:rFonts w:hint="eastAsia" w:eastAsia="仿宋_GB2312"/>
          <w:sz w:val="24"/>
        </w:rPr>
        <w:t>第三部分</w:t>
      </w:r>
      <w:r>
        <w:rPr>
          <w:rFonts w:eastAsia="仿宋_GB2312"/>
          <w:sz w:val="24"/>
        </w:rPr>
        <w:t xml:space="preserve"> </w:t>
      </w:r>
      <w:r>
        <w:rPr>
          <w:rFonts w:hint="eastAsia" w:eastAsia="仿宋_GB2312"/>
          <w:sz w:val="24"/>
        </w:rPr>
        <w:t>名词解释………………………………………………………………………18</w:t>
      </w:r>
    </w:p>
    <w:p>
      <w:pPr>
        <w:pStyle w:val="11"/>
        <w:adjustRightInd w:val="0"/>
        <w:snapToGrid w:val="0"/>
        <w:spacing w:line="440" w:lineRule="exact"/>
        <w:jc w:val="both"/>
        <w:rPr>
          <w:rFonts w:eastAsia="仿宋_GB2312"/>
          <w:sz w:val="24"/>
        </w:rPr>
      </w:pPr>
      <w:r>
        <w:rPr>
          <w:rFonts w:hint="eastAsia" w:eastAsia="仿宋_GB2312"/>
          <w:sz w:val="24"/>
        </w:rPr>
        <w:t>第四部分</w:t>
      </w:r>
      <w:r>
        <w:rPr>
          <w:rFonts w:eastAsia="仿宋_GB2312"/>
          <w:sz w:val="24"/>
        </w:rPr>
        <w:t xml:space="preserve"> </w:t>
      </w:r>
      <w:r>
        <w:rPr>
          <w:rFonts w:hint="eastAsia" w:eastAsia="仿宋_GB2312"/>
          <w:sz w:val="24"/>
        </w:rPr>
        <w:t>附件</w:t>
      </w:r>
    </w:p>
    <w:p>
      <w:pPr>
        <w:spacing w:line="572" w:lineRule="exact"/>
        <w:ind w:firstLine="480" w:firstLineChars="200"/>
        <w:jc w:val="distribute"/>
        <w:rPr>
          <w:rFonts w:ascii="宋体" w:hAnsi="宋体" w:cs="宋体"/>
          <w:sz w:val="24"/>
        </w:rPr>
      </w:pPr>
      <w:r>
        <w:rPr>
          <w:rFonts w:hint="eastAsia" w:ascii="宋体" w:hAnsi="宋体" w:cs="宋体"/>
          <w:sz w:val="24"/>
        </w:rPr>
        <w:t>一、2021年人大常委会会议部门整体绩效评价报告……………………………21</w:t>
      </w:r>
    </w:p>
    <w:p>
      <w:pPr>
        <w:spacing w:line="572" w:lineRule="exact"/>
        <w:ind w:firstLine="480" w:firstLineChars="200"/>
        <w:rPr>
          <w:rFonts w:ascii="宋体" w:hAnsi="宋体" w:cs="宋体"/>
          <w:sz w:val="24"/>
        </w:rPr>
      </w:pPr>
      <w:r>
        <w:rPr>
          <w:rFonts w:hint="eastAsia" w:ascii="宋体" w:hAnsi="宋体" w:cs="宋体"/>
          <w:sz w:val="24"/>
        </w:rPr>
        <w:t>二、2021年</w:t>
      </w:r>
      <w:r>
        <w:rPr>
          <w:rFonts w:hint="eastAsia" w:ascii="宋体" w:hAnsi="宋体" w:cs="宋体"/>
          <w:sz w:val="24"/>
          <w:lang w:val="zh-CN"/>
        </w:rPr>
        <w:t>专项预算项目支出绩效自评报告</w:t>
      </w:r>
    </w:p>
    <w:p>
      <w:pPr>
        <w:pStyle w:val="13"/>
        <w:adjustRightInd w:val="0"/>
        <w:snapToGrid w:val="0"/>
        <w:spacing w:line="440" w:lineRule="exact"/>
        <w:ind w:firstLine="480" w:firstLineChars="200"/>
        <w:jc w:val="distribute"/>
        <w:rPr>
          <w:rFonts w:ascii="宋体" w:hAnsi="宋体" w:cs="宋体"/>
          <w:sz w:val="24"/>
        </w:rPr>
      </w:pPr>
      <w:r>
        <w:rPr>
          <w:rFonts w:hint="eastAsia" w:ascii="宋体" w:hAnsi="宋体" w:cs="宋体"/>
          <w:sz w:val="24"/>
        </w:rPr>
        <w:t>1、八届人大六次会议</w:t>
      </w:r>
      <w:r>
        <w:rPr>
          <w:rFonts w:hint="eastAsia" w:ascii="宋体" w:hAnsi="宋体" w:cs="宋体"/>
          <w:sz w:val="24"/>
          <w:lang w:val="zh-CN"/>
        </w:rPr>
        <w:t>专项预算项目支出绩效自评报告……………………25</w:t>
      </w:r>
    </w:p>
    <w:p>
      <w:pPr>
        <w:pStyle w:val="13"/>
        <w:adjustRightInd w:val="0"/>
        <w:snapToGrid w:val="0"/>
        <w:spacing w:line="440" w:lineRule="exact"/>
        <w:ind w:firstLine="480" w:firstLineChars="200"/>
        <w:jc w:val="distribute"/>
        <w:rPr>
          <w:rFonts w:ascii="宋体" w:hAnsi="宋体" w:cs="宋体"/>
          <w:sz w:val="24"/>
        </w:rPr>
      </w:pPr>
      <w:r>
        <w:rPr>
          <w:rFonts w:hint="eastAsia" w:ascii="宋体" w:hAnsi="宋体" w:cs="宋体"/>
          <w:sz w:val="24"/>
        </w:rPr>
        <w:t>2、换届选举</w:t>
      </w:r>
      <w:r>
        <w:rPr>
          <w:rFonts w:hint="eastAsia" w:ascii="宋体" w:hAnsi="宋体" w:cs="宋体"/>
          <w:sz w:val="24"/>
          <w:lang w:val="zh-CN"/>
        </w:rPr>
        <w:t>专项预算项目支出绩效自评报告………………………………27</w:t>
      </w:r>
    </w:p>
    <w:p>
      <w:pPr>
        <w:pStyle w:val="13"/>
        <w:adjustRightInd w:val="0"/>
        <w:snapToGrid w:val="0"/>
        <w:spacing w:line="440" w:lineRule="exact"/>
        <w:ind w:firstLine="480" w:firstLineChars="200"/>
        <w:jc w:val="distribute"/>
        <w:rPr>
          <w:rFonts w:ascii="宋体" w:hAnsi="宋体" w:cs="宋体"/>
          <w:sz w:val="24"/>
          <w:lang w:val="zh-CN"/>
        </w:rPr>
      </w:pPr>
      <w:r>
        <w:rPr>
          <w:rFonts w:hint="eastAsia" w:ascii="宋体" w:hAnsi="宋体" w:cs="宋体"/>
          <w:sz w:val="24"/>
        </w:rPr>
        <w:t>3、九届人大一次会议</w:t>
      </w:r>
      <w:r>
        <w:rPr>
          <w:rFonts w:hint="eastAsia" w:ascii="宋体" w:hAnsi="宋体" w:cs="宋体"/>
          <w:sz w:val="24"/>
          <w:lang w:val="zh-CN"/>
        </w:rPr>
        <w:t>专项预算项目支出绩效自评报告……………………30</w:t>
      </w:r>
    </w:p>
    <w:p>
      <w:pPr>
        <w:pStyle w:val="13"/>
        <w:adjustRightInd w:val="0"/>
        <w:snapToGrid w:val="0"/>
        <w:spacing w:line="440" w:lineRule="exact"/>
        <w:ind w:firstLine="480" w:firstLineChars="200"/>
        <w:jc w:val="distribute"/>
        <w:rPr>
          <w:rFonts w:ascii="宋体" w:hAnsi="宋体" w:cs="宋体"/>
          <w:sz w:val="24"/>
        </w:rPr>
      </w:pPr>
      <w:r>
        <w:rPr>
          <w:rFonts w:hint="eastAsia" w:ascii="宋体" w:hAnsi="宋体" w:cs="宋体"/>
          <w:sz w:val="24"/>
        </w:rPr>
        <w:t>4、离退休干部管理</w:t>
      </w:r>
      <w:r>
        <w:rPr>
          <w:rFonts w:hint="eastAsia" w:ascii="宋体" w:hAnsi="宋体" w:cs="宋体"/>
          <w:sz w:val="24"/>
          <w:lang w:val="zh-CN"/>
        </w:rPr>
        <w:t>专项预算项目支出绩效自评报告…………………………32</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联网预算监督平台</w:t>
      </w:r>
      <w:r>
        <w:rPr>
          <w:rFonts w:hint="eastAsia" w:ascii="宋体" w:hAnsi="宋体" w:cs="宋体"/>
          <w:sz w:val="24"/>
          <w:lang w:val="zh-CN"/>
        </w:rPr>
        <w:t>专项预算项目支出绩效自评报告……………………34</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联系重点工作</w:t>
      </w:r>
      <w:r>
        <w:rPr>
          <w:rFonts w:hint="eastAsia" w:ascii="宋体" w:hAnsi="宋体" w:cs="宋体"/>
          <w:sz w:val="24"/>
          <w:lang w:val="zh-CN"/>
        </w:rPr>
        <w:t>专项预算项目支出绩效自评报告…………………………37</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人大代表活动视察</w:t>
      </w:r>
      <w:r>
        <w:rPr>
          <w:rFonts w:hint="eastAsia" w:ascii="宋体" w:hAnsi="宋体" w:cs="宋体"/>
          <w:sz w:val="24"/>
          <w:lang w:val="zh-CN"/>
        </w:rPr>
        <w:t>专项预算项目支出绩效自评报告……………………39</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人大常委会会议费</w:t>
      </w:r>
      <w:r>
        <w:rPr>
          <w:rFonts w:hint="eastAsia" w:ascii="宋体" w:hAnsi="宋体" w:cs="宋体"/>
          <w:sz w:val="24"/>
          <w:lang w:val="zh-CN"/>
        </w:rPr>
        <w:t>专项预算项目支出绩效自评报告……………………41</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人大代表培训</w:t>
      </w:r>
      <w:r>
        <w:rPr>
          <w:rFonts w:hint="eastAsia" w:ascii="宋体" w:hAnsi="宋体" w:cs="宋体"/>
          <w:sz w:val="24"/>
          <w:lang w:val="zh-CN"/>
        </w:rPr>
        <w:t>专项预算项目支出绩效自评报告…………………………43</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人大代表学习考察</w:t>
      </w:r>
      <w:r>
        <w:rPr>
          <w:rFonts w:hint="eastAsia" w:ascii="宋体" w:hAnsi="宋体" w:cs="宋体"/>
          <w:sz w:val="24"/>
          <w:lang w:val="zh-CN"/>
        </w:rPr>
        <w:t>专项预算项目支出绩效自评报告……………………45</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人大代表意见办理</w:t>
      </w:r>
      <w:r>
        <w:rPr>
          <w:rFonts w:hint="eastAsia" w:ascii="宋体" w:hAnsi="宋体" w:cs="宋体"/>
          <w:sz w:val="24"/>
          <w:lang w:val="zh-CN"/>
        </w:rPr>
        <w:t>专项预算项目支出绩效自评报告……………………47</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人大公报</w:t>
      </w:r>
      <w:r>
        <w:rPr>
          <w:rFonts w:hint="eastAsia" w:ascii="宋体" w:hAnsi="宋体" w:cs="宋体"/>
          <w:sz w:val="24"/>
          <w:lang w:val="zh-CN"/>
        </w:rPr>
        <w:t>专项预算项目支出绩效自评报告………………………………49</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人大评议、财政预算审查、规范性文件审查</w:t>
      </w:r>
      <w:r>
        <w:rPr>
          <w:rFonts w:hint="eastAsia" w:ascii="宋体" w:hAnsi="宋体" w:cs="宋体"/>
          <w:sz w:val="24"/>
          <w:lang w:val="zh-CN"/>
        </w:rPr>
        <w:t>专项预算项目支出绩效自评报告……………………………………………………………………………………51</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人大普法、立法与监督</w:t>
      </w:r>
      <w:r>
        <w:rPr>
          <w:rFonts w:hint="eastAsia" w:ascii="宋体" w:hAnsi="宋体" w:cs="宋体"/>
          <w:sz w:val="24"/>
          <w:lang w:val="zh-CN"/>
        </w:rPr>
        <w:t>专项预算项目支出绩效自评报告………………53</w:t>
      </w:r>
    </w:p>
    <w:p>
      <w:pPr>
        <w:pStyle w:val="13"/>
        <w:numPr>
          <w:ilvl w:val="0"/>
          <w:numId w:val="1"/>
        </w:numPr>
        <w:adjustRightInd w:val="0"/>
        <w:snapToGrid w:val="0"/>
        <w:spacing w:line="440" w:lineRule="exact"/>
        <w:ind w:left="360" w:leftChars="0" w:firstLine="480"/>
        <w:jc w:val="distribute"/>
        <w:rPr>
          <w:rFonts w:ascii="宋体" w:hAnsi="宋体" w:cs="宋体"/>
          <w:sz w:val="24"/>
          <w:lang w:val="zh-CN"/>
        </w:rPr>
      </w:pPr>
      <w:r>
        <w:rPr>
          <w:rFonts w:hint="eastAsia" w:ascii="宋体" w:hAnsi="宋体" w:cs="宋体"/>
          <w:sz w:val="24"/>
        </w:rPr>
        <w:t>人大信息化维护</w:t>
      </w:r>
      <w:r>
        <w:rPr>
          <w:rFonts w:hint="eastAsia" w:ascii="宋体" w:hAnsi="宋体" w:cs="宋体"/>
          <w:sz w:val="24"/>
          <w:lang w:val="zh-CN"/>
        </w:rPr>
        <w:t>专项预算项目支出绩效自评报告……………………55</w:t>
      </w:r>
    </w:p>
    <w:p>
      <w:pPr>
        <w:pStyle w:val="13"/>
        <w:numPr>
          <w:ilvl w:val="0"/>
          <w:numId w:val="1"/>
        </w:numPr>
        <w:adjustRightInd w:val="0"/>
        <w:snapToGrid w:val="0"/>
        <w:spacing w:line="440" w:lineRule="exact"/>
        <w:ind w:left="360" w:leftChars="0" w:firstLine="480"/>
        <w:jc w:val="distribute"/>
        <w:rPr>
          <w:sz w:val="24"/>
        </w:rPr>
      </w:pPr>
      <w:r>
        <w:rPr>
          <w:rFonts w:hint="eastAsia" w:ascii="宋体" w:hAnsi="宋体" w:cs="宋体"/>
          <w:sz w:val="24"/>
        </w:rPr>
        <w:t>人大宣传</w:t>
      </w:r>
      <w:r>
        <w:rPr>
          <w:rFonts w:hint="eastAsia" w:ascii="宋体" w:hAnsi="宋体" w:cs="宋体"/>
          <w:sz w:val="24"/>
          <w:lang w:val="zh-CN"/>
        </w:rPr>
        <w:t>专项预算项目支出绩效自评报告………………………………57</w:t>
      </w:r>
    </w:p>
    <w:p>
      <w:pPr>
        <w:pStyle w:val="13"/>
        <w:adjustRightInd w:val="0"/>
        <w:snapToGrid w:val="0"/>
        <w:spacing w:line="440" w:lineRule="exact"/>
        <w:rPr>
          <w:sz w:val="24"/>
        </w:rPr>
      </w:pPr>
      <w:r>
        <w:rPr>
          <w:rFonts w:hint="eastAsia"/>
          <w:sz w:val="24"/>
        </w:rPr>
        <w:t>三、2021年100万元以上（含）特定目标类部门预算项目绩效目标自评</w:t>
      </w:r>
    </w:p>
    <w:p>
      <w:pPr>
        <w:pStyle w:val="13"/>
        <w:adjustRightInd w:val="0"/>
        <w:snapToGrid w:val="0"/>
        <w:spacing w:line="440" w:lineRule="exact"/>
        <w:jc w:val="distribute"/>
        <w:rPr>
          <w:sz w:val="24"/>
        </w:rPr>
      </w:pPr>
      <w:r>
        <w:rPr>
          <w:rFonts w:hint="eastAsia"/>
          <w:sz w:val="24"/>
        </w:rPr>
        <w:t>无</w:t>
      </w:r>
    </w:p>
    <w:p>
      <w:pPr>
        <w:pStyle w:val="13"/>
        <w:adjustRightInd w:val="0"/>
        <w:snapToGrid w:val="0"/>
        <w:spacing w:line="440" w:lineRule="exact"/>
        <w:jc w:val="distribute"/>
        <w:rPr>
          <w:rFonts w:ascii="仿宋" w:hAnsi="仿宋" w:eastAsia="仿宋_GB2312"/>
          <w:sz w:val="24"/>
          <w:szCs w:val="28"/>
        </w:rPr>
      </w:pPr>
      <w:r>
        <w:rPr>
          <w:rFonts w:hint="eastAsia" w:ascii="仿宋" w:hAnsi="仿宋" w:eastAsia="仿宋_GB2312"/>
          <w:sz w:val="24"/>
          <w:szCs w:val="28"/>
        </w:rPr>
        <w:t>第五部分 附表………………………………………………………………………59</w:t>
      </w:r>
    </w:p>
    <w:p>
      <w:pPr>
        <w:pStyle w:val="13"/>
        <w:adjustRightInd w:val="0"/>
        <w:snapToGrid w:val="0"/>
        <w:spacing w:line="440" w:lineRule="exact"/>
        <w:jc w:val="left"/>
        <w:rPr>
          <w:rFonts w:ascii="仿宋" w:hAnsi="仿宋" w:eastAsia="仿宋_GB2312" w:cstheme="minorBidi"/>
          <w:sz w:val="24"/>
        </w:rPr>
      </w:pPr>
      <w:r>
        <w:rPr>
          <w:rFonts w:hint="eastAsia" w:ascii="仿宋" w:hAnsi="仿宋" w:eastAsia="仿宋_GB2312"/>
          <w:sz w:val="24"/>
        </w:rPr>
        <w:t>一、</w:t>
      </w:r>
      <w:r>
        <w:rPr>
          <w:rFonts w:hint="eastAsia"/>
          <w:sz w:val="24"/>
        </w:rPr>
        <w:t>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spacing w:line="440" w:lineRule="exact"/>
        <w:jc w:val="left"/>
        <w:rPr>
          <w:rFonts w:ascii="仿宋" w:hAnsi="仿宋" w:eastAsia="仿宋_GB2312"/>
          <w:b/>
          <w:sz w:val="24"/>
        </w:rPr>
        <w:sectPr>
          <w:pgSz w:w="11906" w:h="16838"/>
          <w:pgMar w:top="2098" w:right="1474" w:bottom="1985" w:left="1588" w:header="851" w:footer="1588" w:gutter="0"/>
          <w:pgNumType w:start="1"/>
          <w:cols w:space="425" w:num="1"/>
          <w:docGrid w:type="lines" w:linePitch="312" w:charSpace="0"/>
        </w:sectPr>
      </w:pPr>
      <w:bookmarkStart w:id="12" w:name="_Toc15396599"/>
      <w:bookmarkStart w:id="13" w:name="_Toc15377196"/>
      <w:r>
        <w:rPr>
          <w:rFonts w:ascii="仿宋" w:hAnsi="仿宋" w:eastAsia="仿宋_GB2312"/>
          <w:b/>
          <w:sz w:val="24"/>
        </w:rPr>
        <w:br w:type="page"/>
      </w:r>
    </w:p>
    <w:p>
      <w:pPr>
        <w:pStyle w:val="3"/>
        <w:keepNext w:val="0"/>
        <w:keepLines w:val="0"/>
        <w:spacing w:before="0" w:after="0" w:line="576" w:lineRule="exact"/>
        <w:jc w:val="center"/>
        <w:rPr>
          <w:rFonts w:ascii="黑体" w:eastAsia="黑体"/>
          <w:sz w:val="32"/>
          <w:szCs w:val="32"/>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4"/>
        <w:keepNext w:val="0"/>
        <w:keepLines w:val="0"/>
        <w:spacing w:before="0" w:after="0" w:line="576" w:lineRule="exact"/>
        <w:ind w:firstLine="640" w:firstLineChars="200"/>
        <w:rPr>
          <w:rStyle w:val="30"/>
          <w:rFonts w:ascii="黑体" w:hAnsi="黑体" w:eastAsia="黑体"/>
          <w:b w:val="0"/>
          <w:bCs/>
        </w:rPr>
      </w:pPr>
      <w:bookmarkStart w:id="14" w:name="_Toc15396600"/>
      <w:bookmarkStart w:id="15" w:name="_Toc15377197"/>
    </w:p>
    <w:p>
      <w:pPr>
        <w:pStyle w:val="4"/>
        <w:keepNext w:val="0"/>
        <w:keepLines w:val="0"/>
        <w:spacing w:before="0" w:after="0" w:line="576" w:lineRule="exact"/>
        <w:ind w:firstLine="640" w:firstLineChars="200"/>
        <w:rPr>
          <w:rStyle w:val="30"/>
          <w:rFonts w:ascii="黑体" w:hAnsi="黑体" w:eastAsia="黑体"/>
          <w:b w:val="0"/>
          <w:bCs/>
        </w:rPr>
      </w:pPr>
      <w:r>
        <w:rPr>
          <w:rStyle w:val="30"/>
          <w:rFonts w:hint="eastAsia" w:ascii="黑体" w:hAnsi="黑体" w:eastAsia="黑体"/>
          <w:b w:val="0"/>
          <w:bCs/>
        </w:rPr>
        <w:t>一、基本职能及主要工作</w:t>
      </w:r>
      <w:bookmarkEnd w:id="14"/>
      <w:bookmarkEnd w:id="15"/>
    </w:p>
    <w:p>
      <w:pPr>
        <w:pStyle w:val="2"/>
        <w:adjustRightInd w:val="0"/>
        <w:snapToGrid w:val="0"/>
        <w:spacing w:before="93" w:line="576" w:lineRule="exact"/>
        <w:ind w:firstLine="672" w:firstLineChars="210"/>
        <w:outlineLvl w:val="2"/>
        <w:rPr>
          <w:rFonts w:ascii="仿宋" w:hAnsi="仿宋"/>
          <w:bCs/>
          <w:sz w:val="32"/>
          <w:szCs w:val="32"/>
        </w:rPr>
      </w:pPr>
      <w:bookmarkStart w:id="16" w:name="_Toc15377198"/>
      <w:bookmarkStart w:id="17" w:name="_Toc15378445"/>
      <w:r>
        <w:rPr>
          <w:rFonts w:hint="eastAsia" w:ascii="仿宋" w:hAnsi="仿宋"/>
          <w:bCs/>
          <w:sz w:val="32"/>
          <w:szCs w:val="32"/>
        </w:rPr>
        <w:t>（一）主要职能。</w:t>
      </w:r>
      <w:bookmarkEnd w:id="16"/>
      <w:bookmarkEnd w:id="17"/>
      <w:bookmarkStart w:id="18" w:name="_Toc15377199"/>
      <w:bookmarkStart w:id="19" w:name="_Toc15378446"/>
    </w:p>
    <w:p>
      <w:pPr>
        <w:pStyle w:val="2"/>
        <w:adjustRightInd w:val="0"/>
        <w:snapToGrid w:val="0"/>
        <w:spacing w:before="93" w:line="576" w:lineRule="exact"/>
        <w:ind w:firstLine="672" w:firstLineChars="210"/>
        <w:outlineLvl w:val="2"/>
        <w:rPr>
          <w:rFonts w:ascii="仿宋" w:hAnsi="仿宋"/>
          <w:bCs/>
          <w:color w:val="000000"/>
          <w:sz w:val="32"/>
          <w:szCs w:val="32"/>
        </w:rPr>
      </w:pPr>
      <w:r>
        <w:rPr>
          <w:rFonts w:ascii="仿宋" w:hAnsi="仿宋"/>
          <w:bCs/>
          <w:color w:val="000000"/>
          <w:sz w:val="32"/>
          <w:szCs w:val="32"/>
        </w:rPr>
        <w:t>1</w:t>
      </w:r>
      <w:r>
        <w:rPr>
          <w:rFonts w:hint="eastAsia" w:ascii="仿宋" w:hAnsi="仿宋"/>
          <w:bCs/>
          <w:color w:val="000000"/>
          <w:sz w:val="32"/>
          <w:szCs w:val="32"/>
        </w:rPr>
        <w:t>、承担代表大会会议、常委会会议、主任会议和常委党组会议的筹备和会务工作；负责区人大常委会工作报告；有关文件和领导同志讲话稿的起草工作；负责区人大常委会的文电、档案、保密、文印工作。</w:t>
      </w:r>
    </w:p>
    <w:p>
      <w:pPr>
        <w:pStyle w:val="2"/>
        <w:adjustRightInd w:val="0"/>
        <w:snapToGrid w:val="0"/>
        <w:spacing w:before="93" w:line="576" w:lineRule="exact"/>
        <w:ind w:firstLine="672" w:firstLineChars="210"/>
        <w:outlineLvl w:val="2"/>
        <w:rPr>
          <w:rFonts w:ascii="仿宋" w:hAnsi="仿宋"/>
          <w:bCs/>
          <w:color w:val="000000"/>
          <w:sz w:val="32"/>
          <w:szCs w:val="32"/>
        </w:rPr>
      </w:pPr>
      <w:r>
        <w:rPr>
          <w:rFonts w:ascii="仿宋" w:hAnsi="仿宋"/>
          <w:bCs/>
          <w:color w:val="000000"/>
          <w:sz w:val="32"/>
          <w:szCs w:val="32"/>
        </w:rPr>
        <w:t>2</w:t>
      </w:r>
      <w:r>
        <w:rPr>
          <w:rFonts w:hint="eastAsia" w:ascii="仿宋" w:hAnsi="仿宋"/>
          <w:bCs/>
          <w:color w:val="000000"/>
          <w:sz w:val="32"/>
          <w:szCs w:val="32"/>
        </w:rPr>
        <w:t>、根据主任会议决定，拟定有关议案和决议、决定草案。</w:t>
      </w:r>
    </w:p>
    <w:p>
      <w:pPr>
        <w:pStyle w:val="2"/>
        <w:adjustRightInd w:val="0"/>
        <w:snapToGrid w:val="0"/>
        <w:spacing w:before="93" w:line="576" w:lineRule="exact"/>
        <w:ind w:firstLine="672" w:firstLineChars="210"/>
        <w:outlineLvl w:val="2"/>
        <w:rPr>
          <w:rFonts w:ascii="仿宋" w:hAnsi="仿宋"/>
          <w:bCs/>
          <w:color w:val="000000"/>
          <w:sz w:val="32"/>
          <w:szCs w:val="32"/>
        </w:rPr>
      </w:pPr>
      <w:r>
        <w:rPr>
          <w:rFonts w:ascii="仿宋" w:hAnsi="仿宋"/>
          <w:bCs/>
          <w:color w:val="000000"/>
          <w:sz w:val="32"/>
          <w:szCs w:val="32"/>
        </w:rPr>
        <w:t>3</w:t>
      </w:r>
      <w:r>
        <w:rPr>
          <w:rFonts w:hint="eastAsia" w:ascii="仿宋" w:hAnsi="仿宋"/>
          <w:bCs/>
          <w:color w:val="000000"/>
          <w:sz w:val="32"/>
          <w:szCs w:val="32"/>
        </w:rPr>
        <w:t>、承担区人大常委会会议公报及机关简报等的编写工作。</w:t>
      </w:r>
    </w:p>
    <w:p>
      <w:pPr>
        <w:pStyle w:val="2"/>
        <w:adjustRightInd w:val="0"/>
        <w:snapToGrid w:val="0"/>
        <w:spacing w:before="93" w:line="576" w:lineRule="exact"/>
        <w:ind w:firstLine="672" w:firstLineChars="210"/>
        <w:outlineLvl w:val="2"/>
        <w:rPr>
          <w:rFonts w:ascii="仿宋" w:hAnsi="仿宋"/>
          <w:bCs/>
          <w:color w:val="000000"/>
          <w:sz w:val="32"/>
          <w:szCs w:val="32"/>
        </w:rPr>
      </w:pPr>
      <w:r>
        <w:rPr>
          <w:rFonts w:ascii="仿宋" w:hAnsi="仿宋"/>
          <w:bCs/>
          <w:color w:val="000000"/>
          <w:sz w:val="32"/>
          <w:szCs w:val="32"/>
        </w:rPr>
        <w:t>4</w:t>
      </w:r>
      <w:r>
        <w:rPr>
          <w:rFonts w:hint="eastAsia" w:ascii="仿宋" w:hAnsi="仿宋"/>
          <w:bCs/>
          <w:color w:val="000000"/>
          <w:sz w:val="32"/>
          <w:szCs w:val="32"/>
        </w:rPr>
        <w:t>、加强同市、区新闻单位的联系，负责区人大常委会对外宣传报道工作。</w:t>
      </w:r>
    </w:p>
    <w:p>
      <w:pPr>
        <w:pStyle w:val="2"/>
        <w:adjustRightInd w:val="0"/>
        <w:snapToGrid w:val="0"/>
        <w:spacing w:before="93" w:line="576" w:lineRule="exact"/>
        <w:ind w:firstLine="672" w:firstLineChars="210"/>
        <w:outlineLvl w:val="2"/>
        <w:rPr>
          <w:rFonts w:ascii="仿宋" w:hAnsi="仿宋"/>
          <w:bCs/>
          <w:color w:val="000000"/>
          <w:sz w:val="32"/>
          <w:szCs w:val="32"/>
        </w:rPr>
      </w:pPr>
      <w:r>
        <w:rPr>
          <w:rFonts w:ascii="仿宋" w:hAnsi="仿宋"/>
          <w:bCs/>
          <w:color w:val="000000"/>
          <w:sz w:val="32"/>
          <w:szCs w:val="32"/>
        </w:rPr>
        <w:t>5</w:t>
      </w:r>
      <w:r>
        <w:rPr>
          <w:rFonts w:hint="eastAsia" w:ascii="仿宋" w:hAnsi="仿宋"/>
          <w:bCs/>
          <w:color w:val="000000"/>
          <w:sz w:val="32"/>
          <w:szCs w:val="32"/>
        </w:rPr>
        <w:t>、负责区人大常委会机关人事、财会管理、学习、教育行政事务工作，离退休人员的管理、服务工作；接待其他人大的来访。</w:t>
      </w:r>
    </w:p>
    <w:p>
      <w:pPr>
        <w:pStyle w:val="2"/>
        <w:adjustRightInd w:val="0"/>
        <w:snapToGrid w:val="0"/>
        <w:spacing w:before="93" w:line="576" w:lineRule="exact"/>
        <w:ind w:firstLine="672" w:firstLineChars="210"/>
        <w:outlineLvl w:val="2"/>
        <w:rPr>
          <w:rFonts w:ascii="仿宋" w:hAnsi="仿宋"/>
          <w:bCs/>
          <w:color w:val="000000"/>
          <w:sz w:val="32"/>
          <w:szCs w:val="32"/>
        </w:rPr>
      </w:pPr>
      <w:r>
        <w:rPr>
          <w:rFonts w:ascii="仿宋" w:hAnsi="仿宋"/>
          <w:bCs/>
          <w:color w:val="000000"/>
          <w:sz w:val="32"/>
          <w:szCs w:val="32"/>
        </w:rPr>
        <w:t>6</w:t>
      </w:r>
      <w:r>
        <w:rPr>
          <w:rFonts w:hint="eastAsia" w:ascii="仿宋" w:hAnsi="仿宋"/>
          <w:bCs/>
          <w:color w:val="000000"/>
          <w:sz w:val="32"/>
          <w:szCs w:val="32"/>
        </w:rPr>
        <w:t>、负责上级人大转办的人大代表及人民群众来信来访工作。</w:t>
      </w:r>
    </w:p>
    <w:p>
      <w:pPr>
        <w:pStyle w:val="2"/>
        <w:adjustRightInd w:val="0"/>
        <w:snapToGrid w:val="0"/>
        <w:spacing w:before="93" w:line="576" w:lineRule="exact"/>
        <w:ind w:firstLine="672" w:firstLineChars="210"/>
        <w:outlineLvl w:val="2"/>
        <w:rPr>
          <w:rFonts w:ascii="仿宋" w:hAnsi="仿宋"/>
          <w:bCs/>
          <w:sz w:val="32"/>
          <w:szCs w:val="32"/>
        </w:rPr>
      </w:pPr>
      <w:r>
        <w:rPr>
          <w:rFonts w:hint="eastAsia" w:ascii="仿宋" w:hAnsi="仿宋"/>
          <w:bCs/>
          <w:sz w:val="32"/>
          <w:szCs w:val="32"/>
        </w:rPr>
        <w:t>（二）</w:t>
      </w:r>
      <w:r>
        <w:rPr>
          <w:rFonts w:ascii="仿宋" w:hAnsi="仿宋"/>
          <w:bCs/>
          <w:sz w:val="32"/>
          <w:szCs w:val="32"/>
        </w:rPr>
        <w:t>20</w:t>
      </w:r>
      <w:r>
        <w:rPr>
          <w:rFonts w:hint="eastAsia" w:ascii="仿宋" w:hAnsi="仿宋"/>
          <w:bCs/>
          <w:sz w:val="32"/>
          <w:szCs w:val="32"/>
        </w:rPr>
        <w:t>21年重点工作完成情况。</w:t>
      </w:r>
      <w:bookmarkEnd w:id="18"/>
      <w:bookmarkEnd w:id="19"/>
    </w:p>
    <w:p>
      <w:pPr>
        <w:spacing w:line="576" w:lineRule="exact"/>
        <w:ind w:firstLine="640" w:firstLineChars="200"/>
        <w:rPr>
          <w:rFonts w:ascii="楷体" w:hAnsi="楷体" w:eastAsia="楷体" w:cs="楷体"/>
          <w:sz w:val="32"/>
        </w:rPr>
      </w:pPr>
      <w:r>
        <w:rPr>
          <w:rFonts w:hint="eastAsia" w:ascii="楷体" w:hAnsi="楷体" w:eastAsia="楷体" w:cs="楷体"/>
          <w:sz w:val="32"/>
        </w:rPr>
        <w:t>1、办文办会工作精准有序</w:t>
      </w:r>
    </w:p>
    <w:p>
      <w:pPr>
        <w:spacing w:line="576" w:lineRule="exact"/>
        <w:ind w:firstLine="640" w:firstLineChars="200"/>
        <w:rPr>
          <w:rFonts w:ascii="仿宋" w:hAnsi="仿宋" w:eastAsia="仿宋_GB2312"/>
          <w:bCs/>
          <w:color w:val="000000"/>
          <w:kern w:val="0"/>
          <w:sz w:val="32"/>
          <w:szCs w:val="32"/>
        </w:rPr>
      </w:pPr>
      <w:r>
        <w:rPr>
          <w:rFonts w:hint="eastAsia" w:ascii="仿宋" w:hAnsi="仿宋" w:eastAsia="仿宋_GB2312"/>
          <w:bCs/>
          <w:color w:val="000000"/>
          <w:kern w:val="0"/>
          <w:sz w:val="32"/>
          <w:szCs w:val="32"/>
        </w:rPr>
        <w:t>一是周密做好会务服务保障工作。按照会前充分准备、会中工作有序、会后强化落实的要求，承办各类重要会议的会务工作。2021年，完成2次区人民代表大会、13次常委会会议、17次主任会议、18次党组会议、12次党组理论学习中心组学习会议、2次党组专题民主生活会、3次常委会领导班子月度例会、8次机关干部职工会议的会务工作。</w:t>
      </w:r>
    </w:p>
    <w:p>
      <w:pPr>
        <w:spacing w:line="576" w:lineRule="exact"/>
        <w:ind w:firstLine="640" w:firstLineChars="200"/>
        <w:rPr>
          <w:rFonts w:ascii="宋体" w:hAnsi="宋体"/>
          <w:sz w:val="32"/>
        </w:rPr>
      </w:pPr>
      <w:r>
        <w:rPr>
          <w:rFonts w:hint="eastAsia" w:ascii="仿宋" w:hAnsi="仿宋" w:eastAsia="仿宋_GB2312"/>
          <w:bCs/>
          <w:color w:val="000000"/>
          <w:kern w:val="0"/>
          <w:sz w:val="32"/>
          <w:szCs w:val="32"/>
        </w:rPr>
        <w:t>二是精心做好文稿起草工作。发挥以文辅政作用，服务区人大及其常委会和机关依法履职，始终把握全区工作大局，紧跟常委会领导工作思路，着力改进文风和提高质量，精心起草区人代会、区人大常委会会议、主任会议、党组会议和机关重要活动等各类文稿52篇。</w:t>
      </w:r>
    </w:p>
    <w:p>
      <w:pPr>
        <w:spacing w:line="576" w:lineRule="exact"/>
        <w:ind w:firstLine="640" w:firstLineChars="200"/>
        <w:rPr>
          <w:rFonts w:ascii="仿宋" w:hAnsi="仿宋" w:eastAsia="仿宋_GB2312"/>
          <w:bCs/>
          <w:color w:val="000000"/>
          <w:kern w:val="0"/>
          <w:sz w:val="32"/>
          <w:szCs w:val="32"/>
        </w:rPr>
      </w:pPr>
      <w:r>
        <w:rPr>
          <w:rFonts w:hint="eastAsia" w:ascii="仿宋" w:hAnsi="仿宋" w:eastAsia="仿宋_GB2312"/>
          <w:bCs/>
          <w:color w:val="000000"/>
          <w:kern w:val="0"/>
          <w:sz w:val="32"/>
          <w:szCs w:val="32"/>
        </w:rPr>
        <w:t>三是确保公文、档案、保密管理工作安全有序。认真做好机关发文办理工作，印发常委会文件、党组文件、办公室文件、会议纪要等88件。加强文件收发、送阅、办理和用印管理，收发、交换、寄送各类文件1200多份。认真督查常委会领导批示办理情况，有力推动工作落实。认真做好保密工作，修订完善保密工作制度，抓好机关干部保密教育和保密承诺书签订工作，落实技防措施，加强重点部位管理，提升机关保密安全水平。严谨规范细致做好文件资料的整理归档工作，提升档案管理水平。</w:t>
      </w:r>
    </w:p>
    <w:p>
      <w:pPr>
        <w:spacing w:line="576" w:lineRule="exact"/>
        <w:ind w:firstLine="640" w:firstLineChars="200"/>
        <w:rPr>
          <w:rFonts w:ascii="楷体" w:hAnsi="楷体" w:eastAsia="楷体" w:cs="楷体"/>
          <w:sz w:val="32"/>
        </w:rPr>
      </w:pPr>
      <w:r>
        <w:rPr>
          <w:rFonts w:hint="eastAsia" w:ascii="楷体" w:hAnsi="楷体" w:eastAsia="楷体" w:cs="楷体"/>
          <w:sz w:val="32"/>
        </w:rPr>
        <w:t>2、全力保障机关高效运转</w:t>
      </w:r>
    </w:p>
    <w:p>
      <w:pPr>
        <w:spacing w:line="576" w:lineRule="exact"/>
        <w:ind w:firstLine="640" w:firstLineChars="200"/>
        <w:rPr>
          <w:rFonts w:ascii="仿宋" w:hAnsi="仿宋" w:eastAsia="仿宋_GB2312"/>
          <w:bCs/>
          <w:color w:val="000000"/>
          <w:kern w:val="0"/>
          <w:sz w:val="32"/>
          <w:szCs w:val="32"/>
        </w:rPr>
      </w:pPr>
      <w:r>
        <w:rPr>
          <w:rFonts w:hint="eastAsia" w:ascii="仿宋" w:hAnsi="仿宋" w:eastAsia="仿宋_GB2312"/>
          <w:bCs/>
          <w:color w:val="000000"/>
          <w:kern w:val="0"/>
          <w:sz w:val="32"/>
          <w:szCs w:val="32"/>
        </w:rPr>
        <w:t>一是统筹服务保障机关日常运行。根据区委工作安排和区人大常委会工作计划，每月汇总机关上个月度工作完成情况，提出下个月度重点工作安排建议，增强机关工作的计划性和协调性，抓好常委会党组、主任会议部署要求的跟进落实。注重听取各专工委的意见建议，进一步规范和优化办公室工作流程，在抓谋划、抓协调、抓落实上下功夫，寓协调于服务之中，支持保障各部门开展工作、履行职责。严格落实机关疫情防控措施，扎实做好干部职工疫苗接种和重大活动前核酸集中检测工作。严格值班制度，认真做好机关值班值守工作。</w:t>
      </w:r>
    </w:p>
    <w:p>
      <w:pPr>
        <w:spacing w:line="576" w:lineRule="exact"/>
        <w:ind w:firstLine="640" w:firstLineChars="200"/>
        <w:rPr>
          <w:rFonts w:ascii="仿宋" w:hAnsi="仿宋" w:eastAsia="仿宋_GB2312"/>
          <w:bCs/>
          <w:color w:val="000000"/>
          <w:kern w:val="0"/>
          <w:sz w:val="32"/>
          <w:szCs w:val="32"/>
        </w:rPr>
      </w:pPr>
      <w:r>
        <w:rPr>
          <w:rFonts w:hint="eastAsia" w:ascii="仿宋" w:hAnsi="仿宋" w:eastAsia="仿宋_GB2312"/>
          <w:bCs/>
          <w:color w:val="000000"/>
          <w:kern w:val="0"/>
          <w:sz w:val="32"/>
          <w:szCs w:val="32"/>
        </w:rPr>
        <w:t>二是协调做好监督事项相关工作。系统梳理区人大监督工作情况及问题建议，汇总各乡镇街道人大工作亮点，为常委会领导决策提供参考。聚焦区委中心工作，密切与各专工委的沟通协调，研究起草年度监督工作计划。服务保障监督项目落实，协助有关委员会做好执法检查、专题调研等相关工作。</w:t>
      </w:r>
    </w:p>
    <w:p>
      <w:pPr>
        <w:spacing w:line="576" w:lineRule="exact"/>
        <w:ind w:firstLine="640" w:firstLineChars="200"/>
        <w:rPr>
          <w:rFonts w:ascii="仿宋" w:hAnsi="仿宋" w:eastAsia="仿宋_GB2312"/>
          <w:bCs/>
          <w:color w:val="000000"/>
          <w:kern w:val="0"/>
          <w:sz w:val="32"/>
          <w:szCs w:val="32"/>
        </w:rPr>
      </w:pPr>
      <w:r>
        <w:rPr>
          <w:rFonts w:hint="eastAsia" w:ascii="仿宋" w:hAnsi="仿宋" w:eastAsia="仿宋_GB2312"/>
          <w:bCs/>
          <w:color w:val="000000"/>
          <w:kern w:val="0"/>
          <w:sz w:val="32"/>
          <w:szCs w:val="32"/>
        </w:rPr>
        <w:t>三是不断改进人大信息宣传工作。围绕区人大及其常委会依法履职及机关重要活动，加强重大议题宣传策划，及时发布人大工作新闻信息，不断扩大人大制度和人大工作社会影响力，营造有利于人大工作的良好社会氛围。发挥新媒体优势，办好利州人大微信公众号，全年编发信息216条。</w:t>
      </w:r>
    </w:p>
    <w:p>
      <w:pPr>
        <w:spacing w:line="576" w:lineRule="exact"/>
        <w:ind w:firstLine="640" w:firstLineChars="200"/>
        <w:rPr>
          <w:rFonts w:ascii="楷体" w:hAnsi="楷体" w:eastAsia="楷体" w:cs="楷体"/>
          <w:sz w:val="32"/>
        </w:rPr>
      </w:pPr>
      <w:r>
        <w:rPr>
          <w:rFonts w:hint="eastAsia" w:ascii="楷体" w:hAnsi="楷体" w:eastAsia="楷体" w:cs="楷体"/>
          <w:sz w:val="32"/>
        </w:rPr>
        <w:t>3、精心做好干部管理服务和后勤保障工作</w:t>
      </w:r>
    </w:p>
    <w:p>
      <w:pPr>
        <w:spacing w:line="576" w:lineRule="exact"/>
        <w:ind w:firstLine="640" w:firstLineChars="200"/>
        <w:rPr>
          <w:rFonts w:ascii="仿宋" w:hAnsi="仿宋" w:eastAsia="仿宋_GB2312"/>
          <w:bCs/>
          <w:color w:val="000000"/>
          <w:kern w:val="0"/>
          <w:sz w:val="32"/>
          <w:szCs w:val="32"/>
        </w:rPr>
      </w:pPr>
      <w:r>
        <w:rPr>
          <w:rFonts w:hint="eastAsia" w:ascii="仿宋" w:hAnsi="仿宋" w:eastAsia="仿宋_GB2312"/>
          <w:bCs/>
          <w:color w:val="000000"/>
          <w:kern w:val="0"/>
          <w:sz w:val="32"/>
          <w:szCs w:val="32"/>
        </w:rPr>
        <w:t>一是做好干部日常管理相关工作。协助党组规范各专工委职能职责，为排查廉政风险点、制定防控措施提供依据。加强干部日常监督管理，制定请销假管理办法，开展工作人员工作纪律抽查，严格执行出市请示报备、个人事项报告等制度。坚持严管和厚爱相结合，及时做好干部职工工资调整审核工作，妥善安排干部体检工作。</w:t>
      </w:r>
    </w:p>
    <w:p>
      <w:pPr>
        <w:spacing w:line="576" w:lineRule="exact"/>
        <w:ind w:firstLine="640" w:firstLineChars="200"/>
        <w:rPr>
          <w:rFonts w:ascii="宋体" w:hAnsi="宋体"/>
          <w:sz w:val="32"/>
        </w:rPr>
      </w:pPr>
      <w:r>
        <w:rPr>
          <w:rFonts w:hint="eastAsia" w:ascii="仿宋" w:hAnsi="仿宋" w:eastAsia="仿宋_GB2312"/>
          <w:bCs/>
          <w:color w:val="000000"/>
          <w:kern w:val="0"/>
          <w:sz w:val="32"/>
          <w:szCs w:val="32"/>
        </w:rPr>
        <w:t>二是用心用情做好老干部工作。以“让党放心、让老同志满意”为标准，满腔热情做好机关36名退休老同志服务工作。保障好老同志政治和生活待遇，扎实做好老同志的文件阅读、党费收缴、年度体检等工作。结合老同志实际开展党史学习教育，做好“光荣在党50年”纪念章颁发工作。关心老同志身心健康，协助安排医疗服务，为老同志排忧解难。有序开展老同志走访慰问活动，主动听取老同志意见诉求，让老同志安心舒心暖心。协助做好去世老同志治丧工作。</w:t>
      </w:r>
    </w:p>
    <w:p>
      <w:pPr>
        <w:spacing w:line="576" w:lineRule="exact"/>
        <w:ind w:firstLine="640" w:firstLineChars="200"/>
        <w:rPr>
          <w:rFonts w:ascii="仿宋" w:hAnsi="仿宋" w:eastAsia="仿宋_GB2312"/>
          <w:bCs/>
          <w:color w:val="000000"/>
          <w:kern w:val="0"/>
          <w:sz w:val="32"/>
          <w:szCs w:val="32"/>
        </w:rPr>
      </w:pPr>
      <w:r>
        <w:rPr>
          <w:rFonts w:hint="eastAsia" w:ascii="仿宋" w:hAnsi="仿宋" w:eastAsia="仿宋_GB2312"/>
          <w:bCs/>
          <w:color w:val="000000"/>
          <w:kern w:val="0"/>
          <w:sz w:val="32"/>
          <w:szCs w:val="32"/>
        </w:rPr>
        <w:t>三是加强机关后勤保障工作。规范做好机关年度预决算工作，及时上报并公开预算执行情况和“三公”经费支出使用情况，严格执行财务管理制度，严把财经纪律关，提升财政资金使用绩效。规范做好机关物资采购工作，加强固定资产管理，防止国有资产流失。规范做好公务接待工作，既严格按照中央</w:t>
      </w:r>
      <w:r>
        <w:rPr>
          <w:rFonts w:hint="eastAsia" w:ascii="宋体" w:hAnsi="宋体"/>
          <w:sz w:val="32"/>
        </w:rPr>
        <w:t>八</w:t>
      </w:r>
      <w:r>
        <w:rPr>
          <w:rFonts w:hint="eastAsia" w:ascii="仿宋" w:hAnsi="仿宋" w:eastAsia="仿宋_GB2312"/>
          <w:bCs/>
          <w:color w:val="000000"/>
          <w:kern w:val="0"/>
          <w:sz w:val="32"/>
          <w:szCs w:val="32"/>
        </w:rPr>
        <w:t>项规定精神办事，又服务保障好兄弟县区人大交流活动。</w:t>
      </w:r>
    </w:p>
    <w:p>
      <w:pPr>
        <w:pStyle w:val="4"/>
        <w:keepNext w:val="0"/>
        <w:keepLines w:val="0"/>
        <w:spacing w:before="0" w:after="0" w:line="576" w:lineRule="exact"/>
        <w:ind w:firstLine="640" w:firstLineChars="200"/>
        <w:rPr>
          <w:rStyle w:val="30"/>
          <w:rFonts w:ascii="黑体" w:hAnsi="黑体" w:eastAsia="黑体"/>
          <w:b w:val="0"/>
          <w:bCs/>
        </w:rPr>
      </w:pPr>
      <w:bookmarkStart w:id="20" w:name="_Toc15396601"/>
      <w:bookmarkStart w:id="21" w:name="_Toc15377200"/>
      <w:r>
        <w:rPr>
          <w:rStyle w:val="30"/>
          <w:rFonts w:hint="eastAsia" w:ascii="黑体" w:hAnsi="黑体" w:eastAsia="黑体"/>
          <w:b w:val="0"/>
          <w:bCs/>
        </w:rPr>
        <w:t>二、机构设置</w:t>
      </w:r>
      <w:bookmarkEnd w:id="20"/>
      <w:bookmarkEnd w:id="21"/>
    </w:p>
    <w:p>
      <w:pPr>
        <w:spacing w:line="576" w:lineRule="exact"/>
        <w:ind w:firstLine="640" w:firstLineChars="200"/>
        <w:rPr>
          <w:rFonts w:ascii="仿宋" w:hAnsi="仿宋" w:eastAsia="仿宋_GB2312"/>
          <w:sz w:val="32"/>
          <w:szCs w:val="32"/>
        </w:rPr>
      </w:pPr>
      <w:r>
        <w:rPr>
          <w:rFonts w:hint="eastAsia" w:ascii="仿宋" w:hAnsi="仿宋" w:eastAsia="仿宋_GB2312"/>
          <w:sz w:val="32"/>
          <w:szCs w:val="32"/>
        </w:rPr>
        <w:t>区人大常委会办公室下属二级单位1个，其中行政单位0个，参照公务员法管理的事业单位</w:t>
      </w:r>
      <w:r>
        <w:rPr>
          <w:rFonts w:hint="eastAsia" w:ascii="仿宋" w:hAnsi="仿宋" w:eastAsia="仿宋_GB2312"/>
          <w:bCs/>
          <w:sz w:val="32"/>
          <w:szCs w:val="32"/>
        </w:rPr>
        <w:t>0</w:t>
      </w:r>
      <w:r>
        <w:rPr>
          <w:rFonts w:hint="eastAsia" w:ascii="仿宋" w:hAnsi="仿宋" w:eastAsia="仿宋_GB2312"/>
          <w:sz w:val="32"/>
          <w:szCs w:val="32"/>
        </w:rPr>
        <w:t>个，其他事业单位1个。</w:t>
      </w:r>
    </w:p>
    <w:p>
      <w:pPr>
        <w:overflowPunct w:val="0"/>
        <w:autoSpaceDE w:val="0"/>
        <w:autoSpaceDN w:val="0"/>
        <w:spacing w:line="576" w:lineRule="exact"/>
        <w:ind w:firstLine="640" w:firstLineChars="200"/>
        <w:rPr>
          <w:rFonts w:ascii="仿宋" w:hAnsi="仿宋" w:eastAsia="仿宋_GB2312"/>
          <w:color w:val="000000"/>
          <w:sz w:val="32"/>
          <w:szCs w:val="32"/>
        </w:rPr>
      </w:pPr>
      <w:r>
        <w:rPr>
          <w:rFonts w:hint="eastAsia" w:ascii="仿宋" w:hAnsi="仿宋" w:eastAsia="仿宋_GB2312"/>
          <w:color w:val="000000"/>
          <w:kern w:val="0"/>
          <w:sz w:val="32"/>
          <w:szCs w:val="32"/>
        </w:rPr>
        <w:t>纳入区</w:t>
      </w:r>
      <w:r>
        <w:rPr>
          <w:rFonts w:hint="eastAsia" w:ascii="仿宋" w:hAnsi="仿宋" w:eastAsia="仿宋_GB2312"/>
          <w:sz w:val="32"/>
          <w:szCs w:val="32"/>
        </w:rPr>
        <w:t>人大常委会</w:t>
      </w:r>
      <w:r>
        <w:rPr>
          <w:rFonts w:hint="eastAsia" w:ascii="仿宋" w:hAnsi="仿宋" w:eastAsia="仿宋_GB2312"/>
          <w:color w:val="000000"/>
          <w:kern w:val="0"/>
          <w:sz w:val="32"/>
          <w:szCs w:val="32"/>
        </w:rPr>
        <w:t>办公室2021年度部门决算编制</w:t>
      </w:r>
      <w:r>
        <w:rPr>
          <w:rFonts w:hint="eastAsia" w:ascii="仿宋" w:hAnsi="仿宋" w:eastAsia="仿宋_GB2312"/>
          <w:color w:val="000000"/>
          <w:sz w:val="32"/>
          <w:szCs w:val="32"/>
        </w:rPr>
        <w:t>范围的二级预算单位包括：</w:t>
      </w:r>
      <w:r>
        <w:rPr>
          <w:rFonts w:hint="eastAsia" w:ascii="仿宋" w:hAnsi="仿宋" w:eastAsia="仿宋_GB2312"/>
          <w:color w:val="000000"/>
          <w:kern w:val="0"/>
          <w:sz w:val="32"/>
          <w:szCs w:val="32"/>
        </w:rPr>
        <w:t>（无）</w:t>
      </w:r>
    </w:p>
    <w:p>
      <w:pPr>
        <w:widowControl/>
        <w:jc w:val="left"/>
        <w:rPr>
          <w:rFonts w:ascii="仿宋" w:hAnsi="仿宋" w:eastAsia="仿宋_GB2312"/>
          <w:kern w:val="0"/>
          <w:sz w:val="32"/>
          <w:szCs w:val="32"/>
        </w:rPr>
      </w:pPr>
      <w:r>
        <w:rPr>
          <w:rFonts w:ascii="仿宋" w:hAnsi="仿宋" w:eastAsia="仿宋_GB2312"/>
          <w:sz w:val="32"/>
          <w:szCs w:val="32"/>
        </w:rPr>
        <w:br w:type="page"/>
      </w:r>
    </w:p>
    <w:p>
      <w:pPr>
        <w:pStyle w:val="3"/>
        <w:ind w:right="440"/>
        <w:jc w:val="center"/>
        <w:rPr>
          <w:rStyle w:val="29"/>
          <w:rFonts w:ascii="黑体" w:hAnsi="黑体" w:eastAsia="黑体"/>
          <w:b w:val="0"/>
          <w:bCs/>
        </w:rPr>
      </w:pPr>
      <w:bookmarkStart w:id="22" w:name="_Toc15396602"/>
      <w:bookmarkStart w:id="23" w:name="_Toc15377204"/>
      <w:r>
        <w:rPr>
          <w:rFonts w:hint="eastAsia" w:ascii="黑体" w:hAnsi="黑体" w:eastAsia="黑体"/>
          <w:b w:val="0"/>
        </w:rPr>
        <w:t>第二部分 2021年度</w:t>
      </w:r>
      <w:r>
        <w:rPr>
          <w:rStyle w:val="29"/>
          <w:rFonts w:hint="eastAsia" w:ascii="黑体" w:hAnsi="黑体" w:eastAsia="黑体"/>
          <w:b w:val="0"/>
          <w:bCs/>
        </w:rPr>
        <w:t>部门决算情况说明</w:t>
      </w:r>
      <w:bookmarkEnd w:id="22"/>
      <w:bookmarkEnd w:id="23"/>
    </w:p>
    <w:p/>
    <w:p>
      <w:pPr>
        <w:pStyle w:val="28"/>
        <w:numPr>
          <w:ilvl w:val="0"/>
          <w:numId w:val="2"/>
        </w:numPr>
        <w:spacing w:line="600" w:lineRule="exact"/>
        <w:ind w:firstLineChars="0"/>
        <w:outlineLvl w:val="1"/>
        <w:rPr>
          <w:rStyle w:val="30"/>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_GB2312"/>
          <w:color w:val="000000"/>
          <w:sz w:val="32"/>
          <w:szCs w:val="32"/>
        </w:rPr>
      </w:pPr>
      <w:r>
        <w:rPr>
          <w:rFonts w:hint="eastAsia" w:ascii="仿宋" w:hAnsi="仿宋" w:eastAsia="仿宋_GB2312"/>
          <w:color w:val="000000"/>
          <w:sz w:val="32"/>
          <w:szCs w:val="32"/>
        </w:rPr>
        <w:t>20</w:t>
      </w:r>
      <w:r>
        <w:rPr>
          <w:rFonts w:ascii="仿宋" w:hAnsi="仿宋" w:eastAsia="仿宋_GB2312"/>
          <w:color w:val="000000"/>
          <w:sz w:val="32"/>
          <w:szCs w:val="32"/>
        </w:rPr>
        <w:t>2</w:t>
      </w:r>
      <w:r>
        <w:rPr>
          <w:rFonts w:hint="eastAsia" w:ascii="仿宋" w:hAnsi="仿宋" w:eastAsia="仿宋_GB2312"/>
          <w:color w:val="000000"/>
          <w:sz w:val="32"/>
          <w:szCs w:val="32"/>
        </w:rPr>
        <w:t>1年度收入总计1233.77万元。与2020年收入1079.95万元相比，收入总计增加</w:t>
      </w:r>
      <w:r>
        <w:rPr>
          <w:rFonts w:ascii="仿宋" w:hAnsi="仿宋" w:eastAsia="仿宋_GB2312"/>
          <w:color w:val="000000"/>
          <w:sz w:val="32"/>
          <w:szCs w:val="32"/>
        </w:rPr>
        <w:t>153.</w:t>
      </w:r>
      <w:r>
        <w:rPr>
          <w:rFonts w:hint="eastAsia" w:ascii="仿宋" w:hAnsi="仿宋" w:eastAsia="仿宋_GB2312"/>
          <w:color w:val="000000"/>
          <w:sz w:val="32"/>
          <w:szCs w:val="32"/>
        </w:rPr>
        <w:t>82万元，增长14.24</w:t>
      </w:r>
      <w:r>
        <w:rPr>
          <w:rFonts w:ascii="仿宋" w:hAnsi="仿宋" w:eastAsia="仿宋_GB2312"/>
          <w:color w:val="000000"/>
          <w:sz w:val="32"/>
          <w:szCs w:val="32"/>
        </w:rPr>
        <w:t>%</w:t>
      </w:r>
      <w:r>
        <w:rPr>
          <w:rFonts w:hint="eastAsia" w:ascii="仿宋" w:hAnsi="仿宋" w:eastAsia="仿宋_GB2312"/>
          <w:color w:val="000000"/>
          <w:sz w:val="32"/>
          <w:szCs w:val="32"/>
        </w:rPr>
        <w:t>。20</w:t>
      </w:r>
      <w:r>
        <w:rPr>
          <w:rFonts w:ascii="仿宋" w:hAnsi="仿宋" w:eastAsia="仿宋_GB2312"/>
          <w:color w:val="000000"/>
          <w:sz w:val="32"/>
          <w:szCs w:val="32"/>
        </w:rPr>
        <w:t>2</w:t>
      </w:r>
      <w:r>
        <w:rPr>
          <w:rFonts w:hint="eastAsia" w:ascii="仿宋" w:hAnsi="仿宋" w:eastAsia="仿宋_GB2312"/>
          <w:color w:val="000000"/>
          <w:sz w:val="32"/>
          <w:szCs w:val="32"/>
        </w:rPr>
        <w:t>1年度支出总计1258.39万元。与2020年支出1106.09万元相比，支出总计增加152.3万元，增长13.77</w:t>
      </w:r>
      <w:r>
        <w:rPr>
          <w:rFonts w:ascii="仿宋" w:hAnsi="仿宋" w:eastAsia="仿宋_GB2312"/>
          <w:color w:val="000000"/>
          <w:sz w:val="32"/>
          <w:szCs w:val="32"/>
        </w:rPr>
        <w:t>%</w:t>
      </w:r>
      <w:r>
        <w:rPr>
          <w:rFonts w:hint="eastAsia" w:ascii="仿宋" w:hAnsi="仿宋" w:eastAsia="仿宋_GB2312"/>
          <w:color w:val="000000"/>
          <w:sz w:val="32"/>
          <w:szCs w:val="32"/>
        </w:rPr>
        <w:t>。主要变动原因是增加了换届选举经费、九届人大一次会议费、人员</w:t>
      </w:r>
    </w:p>
    <w:p>
      <w:pPr>
        <w:pStyle w:val="20"/>
        <w:rPr>
          <w:rFonts w:ascii="仿宋" w:hAnsi="仿宋" w:eastAsia="仿宋_GB2312"/>
          <w:color w:val="000000"/>
          <w:sz w:val="32"/>
          <w:szCs w:val="32"/>
        </w:rPr>
      </w:pPr>
      <w:r>
        <w:rPr>
          <w:rFonts w:hint="eastAsia" w:ascii="仿宋" w:hAnsi="仿宋" w:eastAsia="仿宋_GB2312"/>
          <w:color w:val="000000"/>
          <w:sz w:val="32"/>
          <w:szCs w:val="32"/>
        </w:rPr>
        <w:t>调入等经费。</w:t>
      </w:r>
      <w:bookmarkStart w:id="73" w:name="_GoBack"/>
      <w:bookmarkEnd w:id="73"/>
    </w:p>
    <w:p>
      <w:pPr>
        <w:spacing w:line="600" w:lineRule="exact"/>
        <w:ind w:firstLine="640" w:firstLineChars="200"/>
        <w:rPr>
          <w:rFonts w:ascii="仿宋" w:hAnsi="仿宋" w:eastAsia="仿宋_GB2312"/>
          <w:color w:val="000000" w:themeColor="text1"/>
          <w:sz w:val="32"/>
          <w:szCs w:val="32"/>
          <w14:textFill>
            <w14:solidFill>
              <w14:schemeClr w14:val="tx1"/>
            </w14:solidFill>
          </w14:textFill>
        </w:rPr>
      </w:pPr>
      <w:r>
        <w:rPr>
          <w:rFonts w:hint="eastAsia" w:ascii="仿宋" w:hAnsi="仿宋" w:eastAsia="仿宋_GB2312"/>
          <w:color w:val="000000"/>
          <w:sz w:val="32"/>
          <w:szCs w:val="32"/>
        </w:rPr>
        <w:drawing>
          <wp:anchor distT="0" distB="0" distL="114300" distR="114300" simplePos="0" relativeHeight="251659264" behindDoc="0" locked="0" layoutInCell="1" allowOverlap="1">
            <wp:simplePos x="0" y="0"/>
            <wp:positionH relativeFrom="column">
              <wp:posOffset>17145</wp:posOffset>
            </wp:positionH>
            <wp:positionV relativeFrom="paragraph">
              <wp:posOffset>111760</wp:posOffset>
            </wp:positionV>
            <wp:extent cx="5274310" cy="3429000"/>
            <wp:effectExtent l="4445" t="4445" r="1714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_GB2312"/>
          <w:color w:val="000000" w:themeColor="text1"/>
          <w:sz w:val="32"/>
          <w:szCs w:val="32"/>
          <w14:textFill>
            <w14:solidFill>
              <w14:schemeClr w14:val="tx1"/>
            </w14:solidFill>
          </w14:textFill>
        </w:rPr>
        <w:t>（图</w:t>
      </w:r>
      <w:r>
        <w:rPr>
          <w:rFonts w:ascii="仿宋" w:hAnsi="仿宋" w:eastAsia="仿宋_GB2312"/>
          <w:color w:val="000000" w:themeColor="text1"/>
          <w:sz w:val="32"/>
          <w:szCs w:val="32"/>
          <w14:textFill>
            <w14:solidFill>
              <w14:schemeClr w14:val="tx1"/>
            </w14:solidFill>
          </w14:textFill>
        </w:rPr>
        <w:t>1</w:t>
      </w:r>
      <w:r>
        <w:rPr>
          <w:rFonts w:hint="eastAsia" w:ascii="仿宋" w:hAnsi="仿宋" w:eastAsia="仿宋_GB2312"/>
          <w:color w:val="000000" w:themeColor="text1"/>
          <w:sz w:val="32"/>
          <w:szCs w:val="32"/>
          <w14:textFill>
            <w14:solidFill>
              <w14:schemeClr w14:val="tx1"/>
            </w14:solidFill>
          </w14:textFill>
        </w:rPr>
        <w:t>：收、支决算总计变动情况图）（柱状图）</w:t>
      </w:r>
    </w:p>
    <w:p/>
    <w:p>
      <w:pPr>
        <w:spacing w:line="600" w:lineRule="exact"/>
        <w:ind w:firstLine="640" w:firstLineChars="200"/>
        <w:rPr>
          <w:rFonts w:ascii="仿宋" w:hAnsi="仿宋" w:eastAsia="仿宋_GB2312"/>
          <w:color w:val="000000"/>
          <w:sz w:val="32"/>
          <w:szCs w:val="32"/>
        </w:rPr>
      </w:pPr>
    </w:p>
    <w:p>
      <w:pPr>
        <w:pStyle w:val="28"/>
        <w:numPr>
          <w:ilvl w:val="0"/>
          <w:numId w:val="2"/>
        </w:numPr>
        <w:spacing w:line="600" w:lineRule="exact"/>
        <w:ind w:firstLineChars="0"/>
        <w:outlineLvl w:val="1"/>
        <w:rPr>
          <w:rStyle w:val="30"/>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30"/>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_GB2312"/>
          <w:sz w:val="32"/>
          <w:szCs w:val="32"/>
        </w:rPr>
      </w:pPr>
      <w:r>
        <w:rPr>
          <w:rFonts w:ascii="仿宋" w:hAnsi="仿宋" w:eastAsia="仿宋_GB2312"/>
          <w:sz w:val="32"/>
          <w:szCs w:val="32"/>
        </w:rPr>
        <w:t>20</w:t>
      </w:r>
      <w:r>
        <w:rPr>
          <w:rFonts w:hint="eastAsia" w:ascii="仿宋" w:hAnsi="仿宋" w:eastAsia="仿宋_GB2312"/>
          <w:sz w:val="32"/>
          <w:szCs w:val="32"/>
        </w:rPr>
        <w:t>21年本年收入合计1233.77万元，其中：一般公共预算财政拨款收入1233.77万元，占100</w:t>
      </w:r>
      <w:r>
        <w:rPr>
          <w:rFonts w:ascii="仿宋" w:hAnsi="仿宋" w:eastAsia="仿宋_GB2312"/>
          <w:sz w:val="32"/>
          <w:szCs w:val="32"/>
        </w:rPr>
        <w:t>%</w:t>
      </w:r>
      <w:r>
        <w:rPr>
          <w:rFonts w:hint="eastAsia" w:ascii="仿宋" w:hAnsi="仿宋" w:eastAsia="仿宋_GB2312"/>
          <w:sz w:val="32"/>
          <w:szCs w:val="32"/>
        </w:rPr>
        <w:t>；政府性基金预算财政拨款收入0万元，占0</w:t>
      </w:r>
      <w:r>
        <w:rPr>
          <w:rFonts w:ascii="仿宋" w:hAnsi="仿宋" w:eastAsia="仿宋_GB2312"/>
          <w:sz w:val="32"/>
          <w:szCs w:val="32"/>
        </w:rPr>
        <w:t>%</w:t>
      </w:r>
      <w:r>
        <w:rPr>
          <w:rFonts w:hint="eastAsia" w:ascii="仿宋" w:hAnsi="仿宋" w:eastAsia="仿宋_GB2312"/>
          <w:sz w:val="32"/>
          <w:szCs w:val="32"/>
        </w:rPr>
        <w:t>；国有资本经营预算财政拨款收入0万元，占0</w:t>
      </w:r>
      <w:r>
        <w:rPr>
          <w:rFonts w:ascii="仿宋" w:hAnsi="仿宋" w:eastAsia="仿宋_GB2312"/>
          <w:sz w:val="32"/>
          <w:szCs w:val="32"/>
        </w:rPr>
        <w:t>%</w:t>
      </w:r>
      <w:r>
        <w:rPr>
          <w:rFonts w:hint="eastAsia" w:ascii="仿宋" w:hAnsi="仿宋" w:eastAsia="仿宋_GB2312"/>
          <w:sz w:val="32"/>
          <w:szCs w:val="32"/>
        </w:rPr>
        <w:t>；上级补助收入0万元，占0</w:t>
      </w:r>
      <w:r>
        <w:rPr>
          <w:rFonts w:ascii="仿宋" w:hAnsi="仿宋" w:eastAsia="仿宋_GB2312"/>
          <w:sz w:val="32"/>
          <w:szCs w:val="32"/>
        </w:rPr>
        <w:t>%</w:t>
      </w:r>
      <w:r>
        <w:rPr>
          <w:rFonts w:hint="eastAsia" w:ascii="仿宋" w:hAnsi="仿宋" w:eastAsia="仿宋_GB2312"/>
          <w:sz w:val="32"/>
          <w:szCs w:val="32"/>
        </w:rPr>
        <w:t>；事业收入0万元，占0</w:t>
      </w:r>
      <w:r>
        <w:rPr>
          <w:rFonts w:ascii="仿宋" w:hAnsi="仿宋" w:eastAsia="仿宋_GB2312"/>
          <w:sz w:val="32"/>
          <w:szCs w:val="32"/>
        </w:rPr>
        <w:t>%</w:t>
      </w:r>
      <w:r>
        <w:rPr>
          <w:rFonts w:hint="eastAsia" w:ascii="仿宋" w:hAnsi="仿宋" w:eastAsia="仿宋_GB2312"/>
          <w:sz w:val="32"/>
          <w:szCs w:val="32"/>
        </w:rPr>
        <w:t>；经营收入0万元，占0</w:t>
      </w:r>
      <w:r>
        <w:rPr>
          <w:rFonts w:ascii="仿宋" w:hAnsi="仿宋" w:eastAsia="仿宋_GB2312"/>
          <w:sz w:val="32"/>
          <w:szCs w:val="32"/>
        </w:rPr>
        <w:t>%</w:t>
      </w:r>
      <w:r>
        <w:rPr>
          <w:rFonts w:hint="eastAsia" w:ascii="仿宋" w:hAnsi="仿宋" w:eastAsia="仿宋_GB2312"/>
          <w:sz w:val="32"/>
          <w:szCs w:val="32"/>
        </w:rPr>
        <w:t>；附属单位上缴收入0万元，占0</w:t>
      </w:r>
      <w:r>
        <w:rPr>
          <w:rFonts w:ascii="仿宋" w:hAnsi="仿宋" w:eastAsia="仿宋_GB2312"/>
          <w:sz w:val="32"/>
          <w:szCs w:val="32"/>
        </w:rPr>
        <w:t>%</w:t>
      </w:r>
      <w:r>
        <w:rPr>
          <w:rFonts w:hint="eastAsia" w:ascii="仿宋" w:hAnsi="仿宋" w:eastAsia="仿宋_GB2312"/>
          <w:sz w:val="32"/>
          <w:szCs w:val="32"/>
        </w:rPr>
        <w:t>；其他收入0万元，占0</w:t>
      </w:r>
      <w:r>
        <w:rPr>
          <w:rFonts w:ascii="仿宋" w:hAnsi="仿宋" w:eastAsia="仿宋_GB2312"/>
          <w:sz w:val="32"/>
          <w:szCs w:val="32"/>
        </w:rPr>
        <w:t>%</w:t>
      </w:r>
      <w:r>
        <w:rPr>
          <w:rFonts w:hint="eastAsia" w:ascii="仿宋" w:hAnsi="仿宋" w:eastAsia="仿宋_GB2312"/>
          <w:sz w:val="32"/>
          <w:szCs w:val="32"/>
        </w:rPr>
        <w:t>。</w:t>
      </w:r>
    </w:p>
    <w:p>
      <w:pPr>
        <w:spacing w:line="600" w:lineRule="exact"/>
        <w:ind w:firstLine="640" w:firstLineChars="200"/>
        <w:outlineLvl w:val="1"/>
        <w:rPr>
          <w:rFonts w:ascii="仿宋" w:hAnsi="仿宋" w:eastAsia="仿宋_GB2312"/>
          <w:b/>
          <w:sz w:val="32"/>
          <w:szCs w:val="32"/>
        </w:rPr>
      </w:pPr>
      <w:r>
        <w:rPr>
          <w:rFonts w:ascii="仿宋" w:hAnsi="仿宋" w:eastAsia="仿宋_GB2312"/>
          <w:color w:val="000000"/>
          <w:sz w:val="32"/>
          <w:szCs w:val="32"/>
        </w:rPr>
        <w:drawing>
          <wp:anchor distT="0" distB="0" distL="114300" distR="114300" simplePos="0" relativeHeight="251660288" behindDoc="0" locked="0" layoutInCell="1" allowOverlap="1">
            <wp:simplePos x="0" y="0"/>
            <wp:positionH relativeFrom="column">
              <wp:posOffset>60960</wp:posOffset>
            </wp:positionH>
            <wp:positionV relativeFrom="paragraph">
              <wp:posOffset>883920</wp:posOffset>
            </wp:positionV>
            <wp:extent cx="5274310" cy="3048000"/>
            <wp:effectExtent l="0" t="0" r="254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_GB2312"/>
          <w:b/>
          <w:sz w:val="32"/>
          <w:szCs w:val="32"/>
        </w:rPr>
        <w:t>（注：数据来源于财决</w:t>
      </w:r>
      <w:r>
        <w:rPr>
          <w:rFonts w:ascii="仿宋" w:hAnsi="仿宋" w:eastAsia="仿宋_GB2312"/>
          <w:b/>
          <w:sz w:val="32"/>
          <w:szCs w:val="32"/>
        </w:rPr>
        <w:t>01表</w:t>
      </w:r>
      <w:r>
        <w:rPr>
          <w:rFonts w:hint="eastAsia" w:ascii="仿宋" w:hAnsi="仿宋" w:eastAsia="仿宋_GB2312"/>
          <w:b/>
          <w:sz w:val="32"/>
          <w:szCs w:val="32"/>
        </w:rPr>
        <w:t>，仅罗列本部门涉及的收入。</w:t>
      </w:r>
      <w:r>
        <w:rPr>
          <w:rFonts w:ascii="仿宋" w:hAnsi="仿宋" w:eastAsia="仿宋_GB2312"/>
          <w:b/>
          <w:sz w:val="32"/>
          <w:szCs w:val="32"/>
        </w:rPr>
        <w:t>）</w:t>
      </w:r>
    </w:p>
    <w:p>
      <w:pPr>
        <w:spacing w:line="600" w:lineRule="exact"/>
        <w:ind w:firstLine="640" w:firstLineChars="200"/>
        <w:outlineLvl w:val="1"/>
        <w:rPr>
          <w:rFonts w:ascii="仿宋" w:hAnsi="仿宋" w:eastAsia="仿宋_GB2312"/>
          <w:sz w:val="32"/>
          <w:szCs w:val="32"/>
        </w:rPr>
      </w:pP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（图2：收入决算结构图）（饼状图）</w:t>
      </w:r>
    </w:p>
    <w:p>
      <w:pPr>
        <w:pStyle w:val="28"/>
        <w:numPr>
          <w:ilvl w:val="0"/>
          <w:numId w:val="2"/>
        </w:numPr>
        <w:spacing w:line="600" w:lineRule="exact"/>
        <w:ind w:firstLineChars="0"/>
        <w:outlineLvl w:val="1"/>
        <w:rPr>
          <w:rStyle w:val="30"/>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30"/>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_GB2312"/>
          <w:sz w:val="32"/>
          <w:szCs w:val="32"/>
        </w:rPr>
      </w:pPr>
      <w:r>
        <w:rPr>
          <w:rFonts w:ascii="仿宋" w:hAnsi="仿宋" w:eastAsia="仿宋_GB2312"/>
          <w:sz w:val="32"/>
          <w:szCs w:val="32"/>
        </w:rPr>
        <w:t>20</w:t>
      </w:r>
      <w:r>
        <w:rPr>
          <w:rFonts w:hint="eastAsia" w:ascii="仿宋" w:hAnsi="仿宋" w:eastAsia="仿宋_GB2312"/>
          <w:sz w:val="32"/>
          <w:szCs w:val="32"/>
        </w:rPr>
        <w:t>21年本年支出合计1258.39万元，其中：基本支出878.14万元，占69.78</w:t>
      </w:r>
      <w:r>
        <w:rPr>
          <w:rFonts w:ascii="仿宋" w:hAnsi="仿宋" w:eastAsia="仿宋_GB2312"/>
          <w:sz w:val="32"/>
          <w:szCs w:val="32"/>
        </w:rPr>
        <w:t>%</w:t>
      </w:r>
      <w:r>
        <w:rPr>
          <w:rFonts w:hint="eastAsia" w:ascii="仿宋" w:hAnsi="仿宋" w:eastAsia="仿宋_GB2312"/>
          <w:sz w:val="32"/>
          <w:szCs w:val="32"/>
        </w:rPr>
        <w:t>；项目支出380.25万元，占30.22</w:t>
      </w:r>
      <w:r>
        <w:rPr>
          <w:rFonts w:ascii="仿宋" w:hAnsi="仿宋" w:eastAsia="仿宋_GB2312"/>
          <w:sz w:val="32"/>
          <w:szCs w:val="32"/>
        </w:rPr>
        <w:t>%</w:t>
      </w:r>
      <w:r>
        <w:rPr>
          <w:rFonts w:hint="eastAsia" w:ascii="仿宋" w:hAnsi="仿宋" w:eastAsia="仿宋_GB2312"/>
          <w:sz w:val="32"/>
          <w:szCs w:val="32"/>
        </w:rPr>
        <w:t>；上缴上级支出0万元，占0</w:t>
      </w:r>
      <w:r>
        <w:rPr>
          <w:rFonts w:ascii="仿宋" w:hAnsi="仿宋" w:eastAsia="仿宋_GB2312"/>
          <w:sz w:val="32"/>
          <w:szCs w:val="32"/>
        </w:rPr>
        <w:t>%</w:t>
      </w:r>
      <w:r>
        <w:rPr>
          <w:rFonts w:hint="eastAsia" w:ascii="仿宋" w:hAnsi="仿宋" w:eastAsia="仿宋_GB2312"/>
          <w:sz w:val="32"/>
          <w:szCs w:val="32"/>
        </w:rPr>
        <w:t>；经营支出0万元，占0</w:t>
      </w:r>
      <w:r>
        <w:rPr>
          <w:rFonts w:ascii="仿宋" w:hAnsi="仿宋" w:eastAsia="仿宋_GB2312"/>
          <w:sz w:val="32"/>
          <w:szCs w:val="32"/>
        </w:rPr>
        <w:t>%</w:t>
      </w:r>
      <w:r>
        <w:rPr>
          <w:rFonts w:hint="eastAsia" w:ascii="仿宋" w:hAnsi="仿宋" w:eastAsia="仿宋_GB2312"/>
          <w:sz w:val="32"/>
          <w:szCs w:val="32"/>
        </w:rPr>
        <w:t>；对附属单位补助支出0万元，占0</w:t>
      </w:r>
      <w:r>
        <w:rPr>
          <w:rFonts w:ascii="仿宋" w:hAnsi="仿宋" w:eastAsia="仿宋_GB2312"/>
          <w:sz w:val="32"/>
          <w:szCs w:val="32"/>
        </w:rPr>
        <w:t>%</w:t>
      </w:r>
      <w:r>
        <w:rPr>
          <w:rFonts w:hint="eastAsia" w:ascii="仿宋" w:hAnsi="仿宋" w:eastAsia="仿宋_GB2312"/>
          <w:sz w:val="32"/>
          <w:szCs w:val="32"/>
        </w:rPr>
        <w:t>。</w:t>
      </w:r>
    </w:p>
    <w:p>
      <w:pPr>
        <w:spacing w:line="600" w:lineRule="exact"/>
        <w:ind w:firstLine="640" w:firstLineChars="200"/>
        <w:outlineLvl w:val="1"/>
        <w:rPr>
          <w:rFonts w:ascii="仿宋" w:hAnsi="仿宋" w:eastAsia="仿宋_GB2312"/>
          <w:b/>
          <w:sz w:val="32"/>
          <w:szCs w:val="32"/>
        </w:rPr>
      </w:pPr>
      <w:r>
        <w:rPr>
          <w:rFonts w:hint="eastAsia" w:ascii="仿宋" w:hAnsi="仿宋" w:eastAsia="仿宋_GB2312"/>
          <w:color w:val="000000"/>
          <w:sz w:val="32"/>
          <w:szCs w:val="32"/>
        </w:rPr>
        <w:drawing>
          <wp:anchor distT="0" distB="0" distL="114300" distR="114300" simplePos="0" relativeHeight="251661312" behindDoc="0" locked="0" layoutInCell="1" allowOverlap="1">
            <wp:simplePos x="0" y="0"/>
            <wp:positionH relativeFrom="column">
              <wp:posOffset>297180</wp:posOffset>
            </wp:positionH>
            <wp:positionV relativeFrom="paragraph">
              <wp:posOffset>434340</wp:posOffset>
            </wp:positionV>
            <wp:extent cx="5285105" cy="3543300"/>
            <wp:effectExtent l="0" t="0" r="10795"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_GB2312"/>
          <w:b/>
          <w:sz w:val="32"/>
          <w:szCs w:val="32"/>
        </w:rPr>
        <w:t>（注：数据来源于财决</w:t>
      </w:r>
      <w:r>
        <w:rPr>
          <w:rFonts w:ascii="仿宋" w:hAnsi="仿宋" w:eastAsia="仿宋_GB2312"/>
          <w:b/>
          <w:sz w:val="32"/>
          <w:szCs w:val="32"/>
        </w:rPr>
        <w:t>04</w:t>
      </w:r>
      <w:r>
        <w:rPr>
          <w:rFonts w:hint="eastAsia" w:ascii="仿宋" w:hAnsi="仿宋" w:eastAsia="仿宋_GB2312"/>
          <w:b/>
          <w:sz w:val="32"/>
          <w:szCs w:val="32"/>
        </w:rPr>
        <w:t>表，仅罗列本部门涉及的支出。）</w:t>
      </w:r>
    </w:p>
    <w:p>
      <w:pPr>
        <w:spacing w:line="600" w:lineRule="exact"/>
        <w:ind w:firstLine="640"/>
        <w:rPr>
          <w:rFonts w:ascii="仿宋" w:hAnsi="仿宋" w:eastAsia="仿宋_GB2312"/>
          <w:sz w:val="32"/>
          <w:szCs w:val="32"/>
          <w:shd w:val="pct10" w:color="auto" w:fill="FFFFFF"/>
        </w:rPr>
      </w:pP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0"/>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_GB2312"/>
          <w:color w:val="000000"/>
          <w:sz w:val="32"/>
          <w:szCs w:val="32"/>
        </w:rPr>
      </w:pPr>
      <w:r>
        <w:rPr>
          <w:rFonts w:hint="eastAsia" w:ascii="仿宋" w:hAnsi="仿宋" w:eastAsia="仿宋_GB2312"/>
          <w:color w:val="000000"/>
          <w:sz w:val="32"/>
          <w:szCs w:val="32"/>
        </w:rPr>
        <w:t>20</w:t>
      </w:r>
      <w:r>
        <w:rPr>
          <w:rFonts w:ascii="仿宋" w:hAnsi="仿宋" w:eastAsia="仿宋_GB2312"/>
          <w:color w:val="000000"/>
          <w:sz w:val="32"/>
          <w:szCs w:val="32"/>
        </w:rPr>
        <w:t>2</w:t>
      </w:r>
      <w:r>
        <w:rPr>
          <w:rFonts w:hint="eastAsia" w:ascii="仿宋" w:hAnsi="仿宋" w:eastAsia="仿宋_GB2312"/>
          <w:color w:val="000000"/>
          <w:sz w:val="32"/>
          <w:szCs w:val="32"/>
        </w:rPr>
        <w:t>1年财政拨款收入总计1233.77万元。与2020年收入1079.95万元相比，收入总计增加153.82万元，增长14.24</w:t>
      </w:r>
      <w:r>
        <w:rPr>
          <w:rFonts w:ascii="仿宋" w:hAnsi="仿宋" w:eastAsia="仿宋_GB2312"/>
          <w:color w:val="000000"/>
          <w:sz w:val="32"/>
          <w:szCs w:val="32"/>
        </w:rPr>
        <w:t>%</w:t>
      </w:r>
      <w:r>
        <w:rPr>
          <w:rFonts w:hint="eastAsia" w:ascii="仿宋" w:hAnsi="仿宋" w:eastAsia="仿宋_GB2312"/>
          <w:color w:val="000000"/>
          <w:sz w:val="32"/>
          <w:szCs w:val="32"/>
        </w:rPr>
        <w:t>。20</w:t>
      </w:r>
      <w:r>
        <w:rPr>
          <w:rFonts w:ascii="仿宋" w:hAnsi="仿宋" w:eastAsia="仿宋_GB2312"/>
          <w:color w:val="000000"/>
          <w:sz w:val="32"/>
          <w:szCs w:val="32"/>
        </w:rPr>
        <w:t>2</w:t>
      </w:r>
      <w:r>
        <w:rPr>
          <w:rFonts w:hint="eastAsia" w:ascii="仿宋" w:hAnsi="仿宋" w:eastAsia="仿宋_GB2312"/>
          <w:color w:val="000000"/>
          <w:sz w:val="32"/>
          <w:szCs w:val="32"/>
        </w:rPr>
        <w:t>1年财政拨款支出总计1258.39万元。与2020年支出1106.09万元相比，支出总计增加152.3万元，增长13.77</w:t>
      </w:r>
      <w:r>
        <w:rPr>
          <w:rFonts w:ascii="仿宋" w:hAnsi="仿宋" w:eastAsia="仿宋_GB2312"/>
          <w:color w:val="000000"/>
          <w:sz w:val="32"/>
          <w:szCs w:val="32"/>
        </w:rPr>
        <w:t>%</w:t>
      </w:r>
      <w:r>
        <w:rPr>
          <w:rFonts w:hint="eastAsia" w:ascii="仿宋" w:hAnsi="仿宋" w:eastAsia="仿宋_GB2312"/>
          <w:color w:val="000000"/>
          <w:sz w:val="32"/>
          <w:szCs w:val="32"/>
        </w:rPr>
        <w:t>。主要变动原因是增加了换届选举经费、九届人大一次会议费、人员调入等经费。</w:t>
      </w:r>
    </w:p>
    <w:p>
      <w:pPr>
        <w:spacing w:line="600" w:lineRule="exact"/>
        <w:rPr>
          <w:rFonts w:ascii="仿宋" w:hAnsi="仿宋" w:eastAsia="仿宋_GB2312"/>
          <w:sz w:val="32"/>
          <w:szCs w:val="32"/>
        </w:rPr>
      </w:pPr>
      <w:r>
        <w:rPr>
          <w:rFonts w:ascii="仿宋" w:hAnsi="仿宋" w:eastAsia="仿宋_GB2312"/>
          <w:color w:val="000000"/>
          <w:sz w:val="32"/>
          <w:szCs w:val="32"/>
        </w:rPr>
        <w:drawing>
          <wp:anchor distT="0" distB="0" distL="114300" distR="114300" simplePos="0" relativeHeight="251662336" behindDoc="0" locked="0" layoutInCell="1" allowOverlap="1">
            <wp:simplePos x="0" y="0"/>
            <wp:positionH relativeFrom="column">
              <wp:posOffset>-219710</wp:posOffset>
            </wp:positionH>
            <wp:positionV relativeFrom="paragraph">
              <wp:posOffset>-224155</wp:posOffset>
            </wp:positionV>
            <wp:extent cx="5274310" cy="4287520"/>
            <wp:effectExtent l="4445" t="4445" r="17145" b="1333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_GB2312"/>
          <w:sz w:val="32"/>
          <w:szCs w:val="32"/>
        </w:rPr>
      </w:pPr>
      <w:r>
        <w:rPr>
          <w:rFonts w:hint="eastAsia" w:ascii="仿宋" w:hAnsi="仿宋" w:eastAsia="仿宋_GB2312"/>
          <w:b/>
          <w:sz w:val="32"/>
          <w:szCs w:val="32"/>
        </w:rPr>
        <w:t>（注：数据来源于财决</w:t>
      </w:r>
      <w:r>
        <w:rPr>
          <w:rFonts w:ascii="仿宋" w:hAnsi="仿宋" w:eastAsia="仿宋_GB2312"/>
          <w:b/>
          <w:sz w:val="32"/>
          <w:szCs w:val="32"/>
        </w:rPr>
        <w:t>01-1</w:t>
      </w:r>
      <w:r>
        <w:rPr>
          <w:rFonts w:hint="eastAsia" w:ascii="仿宋" w:hAnsi="仿宋" w:eastAsia="仿宋_GB2312"/>
          <w:b/>
          <w:sz w:val="32"/>
          <w:szCs w:val="32"/>
        </w:rPr>
        <w:t>表</w:t>
      </w:r>
      <w:r>
        <w:rPr>
          <w:rFonts w:ascii="仿宋" w:hAnsi="仿宋" w:eastAsia="仿宋_GB2312"/>
          <w:b/>
          <w:sz w:val="32"/>
          <w:szCs w:val="32"/>
        </w:rPr>
        <w:t>）</w:t>
      </w:r>
    </w:p>
    <w:p>
      <w:pPr>
        <w:spacing w:line="600" w:lineRule="exact"/>
        <w:ind w:firstLine="640" w:firstLineChars="200"/>
        <w:rPr>
          <w:rFonts w:ascii="仿宋" w:hAnsi="仿宋" w:eastAsia="仿宋_GB2312"/>
          <w:b/>
          <w:sz w:val="32"/>
          <w:szCs w:val="32"/>
        </w:rPr>
      </w:pPr>
      <w:r>
        <w:rPr>
          <w:rFonts w:hint="eastAsia" w:ascii="仿宋" w:hAnsi="仿宋" w:eastAsia="仿宋_GB2312"/>
          <w:sz w:val="32"/>
          <w:szCs w:val="32"/>
        </w:rPr>
        <w:t>（图4：财政拨款收、支决算总计变动情况）（柱状图）</w:t>
      </w:r>
    </w:p>
    <w:p>
      <w:pPr>
        <w:spacing w:line="600" w:lineRule="exact"/>
        <w:ind w:firstLine="640" w:firstLineChars="200"/>
        <w:outlineLvl w:val="1"/>
        <w:rPr>
          <w:rStyle w:val="30"/>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_GB2312"/>
          <w:b/>
          <w:sz w:val="32"/>
          <w:szCs w:val="32"/>
        </w:rPr>
      </w:pPr>
      <w:bookmarkStart w:id="34" w:name="_Toc15377210"/>
      <w:r>
        <w:rPr>
          <w:rFonts w:hint="eastAsia" w:ascii="仿宋" w:hAnsi="仿宋" w:eastAsia="仿宋_GB2312"/>
          <w:b/>
          <w:sz w:val="32"/>
          <w:szCs w:val="32"/>
        </w:rPr>
        <w:t>（一）一般公共预算财政拨款支出决算总体情况</w:t>
      </w:r>
      <w:bookmarkEnd w:id="34"/>
    </w:p>
    <w:p>
      <w:pPr>
        <w:spacing w:line="600" w:lineRule="exact"/>
        <w:ind w:firstLine="640" w:firstLineChars="200"/>
        <w:rPr>
          <w:rFonts w:ascii="仿宋" w:hAnsi="仿宋" w:eastAsia="仿宋_GB2312"/>
          <w:color w:val="000000"/>
          <w:sz w:val="32"/>
          <w:szCs w:val="32"/>
        </w:rPr>
      </w:pPr>
      <w:r>
        <w:rPr>
          <w:rFonts w:ascii="仿宋" w:hAnsi="仿宋" w:eastAsia="仿宋_GB2312"/>
          <w:sz w:val="32"/>
          <w:szCs w:val="32"/>
        </w:rPr>
        <w:t>20</w:t>
      </w:r>
      <w:r>
        <w:rPr>
          <w:rFonts w:hint="eastAsia" w:ascii="仿宋" w:hAnsi="仿宋" w:eastAsia="仿宋_GB2312"/>
          <w:sz w:val="32"/>
          <w:szCs w:val="32"/>
        </w:rPr>
        <w:t>21年一般公共预算财政拨款支出1258.39万元，占本年支出合计的100</w:t>
      </w:r>
      <w:r>
        <w:rPr>
          <w:rFonts w:ascii="仿宋" w:hAnsi="仿宋" w:eastAsia="仿宋_GB2312"/>
          <w:sz w:val="32"/>
          <w:szCs w:val="32"/>
        </w:rPr>
        <w:t>%</w:t>
      </w:r>
      <w:r>
        <w:rPr>
          <w:rFonts w:hint="eastAsia" w:ascii="仿宋" w:hAnsi="仿宋" w:eastAsia="仿宋_GB2312"/>
          <w:sz w:val="32"/>
          <w:szCs w:val="32"/>
        </w:rPr>
        <w:t>。与</w:t>
      </w:r>
      <w:r>
        <w:rPr>
          <w:rFonts w:ascii="仿宋" w:hAnsi="仿宋" w:eastAsia="仿宋_GB2312"/>
          <w:sz w:val="32"/>
          <w:szCs w:val="32"/>
        </w:rPr>
        <w:t>20</w:t>
      </w:r>
      <w:r>
        <w:rPr>
          <w:rFonts w:hint="eastAsia" w:ascii="仿宋" w:hAnsi="仿宋" w:eastAsia="仿宋_GB2312"/>
          <w:sz w:val="32"/>
          <w:szCs w:val="32"/>
        </w:rPr>
        <w:t>20年相比，一般公共预算财政拨款支出增加152.3万元，增长13.77</w:t>
      </w:r>
      <w:r>
        <w:rPr>
          <w:rFonts w:ascii="仿宋" w:hAnsi="仿宋" w:eastAsia="仿宋_GB2312"/>
          <w:sz w:val="32"/>
          <w:szCs w:val="32"/>
        </w:rPr>
        <w:t>%</w:t>
      </w:r>
      <w:r>
        <w:rPr>
          <w:rFonts w:hint="eastAsia" w:ascii="仿宋" w:hAnsi="仿宋" w:eastAsia="仿宋_GB2312"/>
          <w:sz w:val="32"/>
          <w:szCs w:val="32"/>
        </w:rPr>
        <w:t>。主要变动原因增加了是</w:t>
      </w:r>
      <w:r>
        <w:rPr>
          <w:rFonts w:hint="eastAsia" w:ascii="仿宋" w:hAnsi="仿宋" w:eastAsia="仿宋_GB2312"/>
          <w:color w:val="000000"/>
          <w:sz w:val="32"/>
          <w:szCs w:val="32"/>
        </w:rPr>
        <w:t>换届选举经费、九届人大一次会议费、人员调入等经费。</w:t>
      </w:r>
    </w:p>
    <w:p>
      <w:pPr>
        <w:pStyle w:val="20"/>
      </w:pPr>
      <w:r>
        <w:rPr>
          <w:rFonts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127635</wp:posOffset>
            </wp:positionV>
            <wp:extent cx="5274310" cy="3705860"/>
            <wp:effectExtent l="4445" t="4445" r="17145" b="234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_GB2312"/>
          <w:sz w:val="32"/>
          <w:szCs w:val="32"/>
        </w:rPr>
      </w:pP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（图5：一般公共预算财政拨款支出决算变动情况）（柱状图）</w:t>
      </w:r>
    </w:p>
    <w:p>
      <w:pPr>
        <w:spacing w:line="600" w:lineRule="exact"/>
        <w:ind w:firstLine="640" w:firstLineChars="200"/>
        <w:rPr>
          <w:rFonts w:ascii="仿宋" w:hAnsi="仿宋" w:eastAsia="仿宋_GB2312"/>
          <w:sz w:val="32"/>
          <w:szCs w:val="32"/>
        </w:rPr>
      </w:pPr>
    </w:p>
    <w:p>
      <w:pPr>
        <w:spacing w:line="600" w:lineRule="exact"/>
        <w:ind w:firstLine="643" w:firstLineChars="200"/>
        <w:outlineLvl w:val="2"/>
        <w:rPr>
          <w:rFonts w:ascii="仿宋" w:hAnsi="仿宋" w:eastAsia="仿宋_GB2312"/>
          <w:b/>
          <w:sz w:val="32"/>
          <w:szCs w:val="32"/>
        </w:rPr>
      </w:pPr>
      <w:bookmarkStart w:id="35" w:name="_Toc15377211"/>
      <w:r>
        <w:rPr>
          <w:rFonts w:hint="eastAsia" w:ascii="仿宋" w:hAnsi="仿宋" w:eastAsia="仿宋_GB2312"/>
          <w:b/>
          <w:sz w:val="32"/>
          <w:szCs w:val="32"/>
        </w:rPr>
        <w:t>（二）一般公共预算财政拨款支出决算结构情况</w:t>
      </w:r>
      <w:bookmarkEnd w:id="35"/>
    </w:p>
    <w:p>
      <w:pPr>
        <w:spacing w:line="600" w:lineRule="exact"/>
        <w:ind w:firstLine="640"/>
        <w:rPr>
          <w:rFonts w:ascii="仿宋" w:hAnsi="仿宋" w:eastAsia="仿宋_GB2312"/>
          <w:sz w:val="32"/>
          <w:szCs w:val="32"/>
        </w:rPr>
      </w:pPr>
      <w:r>
        <w:rPr>
          <w:rFonts w:ascii="仿宋" w:hAnsi="仿宋" w:eastAsia="仿宋_GB2312"/>
          <w:sz w:val="32"/>
          <w:szCs w:val="32"/>
        </w:rPr>
        <w:t>20</w:t>
      </w:r>
      <w:r>
        <w:rPr>
          <w:rFonts w:hint="eastAsia" w:ascii="仿宋" w:hAnsi="仿宋" w:eastAsia="仿宋_GB2312"/>
          <w:sz w:val="32"/>
          <w:szCs w:val="32"/>
        </w:rPr>
        <w:t>21年一般公共预算财政拨款支出1258.39万元，主要用于以下方面</w:t>
      </w:r>
      <w:r>
        <w:rPr>
          <w:rFonts w:ascii="仿宋" w:hAnsi="仿宋" w:eastAsia="仿宋_GB2312"/>
          <w:sz w:val="32"/>
          <w:szCs w:val="32"/>
        </w:rPr>
        <w:t>:</w:t>
      </w:r>
      <w:r>
        <w:rPr>
          <w:rFonts w:hint="eastAsia" w:ascii="仿宋" w:hAnsi="仿宋" w:eastAsia="仿宋_GB2312"/>
          <w:b/>
          <w:sz w:val="32"/>
          <w:szCs w:val="32"/>
        </w:rPr>
        <w:t>一般公共服务（类）</w:t>
      </w:r>
      <w:r>
        <w:rPr>
          <w:rFonts w:hint="eastAsia" w:ascii="仿宋" w:hAnsi="仿宋" w:eastAsia="仿宋_GB2312"/>
          <w:sz w:val="32"/>
          <w:szCs w:val="32"/>
        </w:rPr>
        <w:t>支出1089.06万元，占86.54</w:t>
      </w:r>
      <w:r>
        <w:rPr>
          <w:rFonts w:ascii="仿宋" w:hAnsi="仿宋" w:eastAsia="仿宋_GB2312"/>
          <w:sz w:val="32"/>
          <w:szCs w:val="32"/>
        </w:rPr>
        <w:t>%</w:t>
      </w:r>
      <w:r>
        <w:rPr>
          <w:rFonts w:hint="eastAsia" w:ascii="仿宋" w:hAnsi="仿宋" w:eastAsia="仿宋_GB2312"/>
          <w:sz w:val="32"/>
          <w:szCs w:val="32"/>
        </w:rPr>
        <w:t>；</w:t>
      </w:r>
      <w:r>
        <w:rPr>
          <w:rFonts w:hint="eastAsia" w:ascii="仿宋" w:hAnsi="仿宋" w:eastAsia="仿宋_GB2312"/>
          <w:b/>
          <w:sz w:val="32"/>
          <w:szCs w:val="32"/>
        </w:rPr>
        <w:t>教育支出（类）</w:t>
      </w:r>
      <w:r>
        <w:rPr>
          <w:rFonts w:hint="eastAsia" w:ascii="仿宋" w:hAnsi="仿宋" w:eastAsia="仿宋_GB2312"/>
          <w:sz w:val="32"/>
          <w:szCs w:val="32"/>
        </w:rPr>
        <w:t>0万元，占0</w:t>
      </w:r>
      <w:r>
        <w:rPr>
          <w:rFonts w:ascii="仿宋" w:hAnsi="仿宋" w:eastAsia="仿宋_GB2312"/>
          <w:sz w:val="32"/>
          <w:szCs w:val="32"/>
        </w:rPr>
        <w:t>%</w:t>
      </w:r>
      <w:r>
        <w:rPr>
          <w:rFonts w:hint="eastAsia" w:ascii="仿宋" w:hAnsi="仿宋" w:eastAsia="仿宋_GB2312"/>
          <w:sz w:val="32"/>
          <w:szCs w:val="32"/>
        </w:rPr>
        <w:t>；</w:t>
      </w:r>
      <w:r>
        <w:rPr>
          <w:rFonts w:hint="eastAsia" w:ascii="仿宋" w:hAnsi="仿宋" w:eastAsia="仿宋_GB2312"/>
          <w:b/>
          <w:sz w:val="32"/>
          <w:szCs w:val="32"/>
        </w:rPr>
        <w:t>科学技术（类）</w:t>
      </w:r>
      <w:r>
        <w:rPr>
          <w:rFonts w:hint="eastAsia" w:ascii="仿宋" w:hAnsi="仿宋" w:eastAsia="仿宋_GB2312"/>
          <w:sz w:val="32"/>
          <w:szCs w:val="32"/>
        </w:rPr>
        <w:t>支出0万元，占0</w:t>
      </w:r>
      <w:r>
        <w:rPr>
          <w:rFonts w:ascii="仿宋" w:hAnsi="仿宋" w:eastAsia="仿宋_GB2312"/>
          <w:sz w:val="32"/>
          <w:szCs w:val="32"/>
        </w:rPr>
        <w:t>%</w:t>
      </w:r>
      <w:r>
        <w:rPr>
          <w:rFonts w:hint="eastAsia" w:ascii="仿宋" w:hAnsi="仿宋" w:eastAsia="仿宋_GB2312"/>
          <w:sz w:val="32"/>
          <w:szCs w:val="32"/>
        </w:rPr>
        <w:t>；</w:t>
      </w:r>
      <w:r>
        <w:rPr>
          <w:rFonts w:hint="eastAsia" w:ascii="仿宋" w:hAnsi="仿宋" w:eastAsia="仿宋_GB2312"/>
          <w:b/>
          <w:bCs/>
          <w:sz w:val="32"/>
          <w:szCs w:val="32"/>
        </w:rPr>
        <w:t>文化旅游体育与传媒（类）支出0万元，占0</w:t>
      </w:r>
      <w:r>
        <w:rPr>
          <w:rFonts w:ascii="仿宋" w:hAnsi="仿宋" w:eastAsia="仿宋_GB2312"/>
          <w:b/>
          <w:bCs/>
          <w:sz w:val="32"/>
          <w:szCs w:val="32"/>
        </w:rPr>
        <w:t>%</w:t>
      </w:r>
      <w:r>
        <w:rPr>
          <w:rFonts w:hint="eastAsia" w:ascii="仿宋" w:hAnsi="仿宋" w:eastAsia="仿宋_GB2312"/>
          <w:sz w:val="32"/>
          <w:szCs w:val="32"/>
        </w:rPr>
        <w:t>；</w:t>
      </w:r>
      <w:r>
        <w:rPr>
          <w:rFonts w:hint="eastAsia" w:ascii="仿宋" w:hAnsi="仿宋" w:eastAsia="仿宋_GB2312"/>
          <w:b/>
          <w:sz w:val="32"/>
          <w:szCs w:val="32"/>
        </w:rPr>
        <w:t>社会保障和就业（类）</w:t>
      </w:r>
      <w:r>
        <w:rPr>
          <w:rFonts w:hint="eastAsia" w:ascii="仿宋" w:hAnsi="仿宋" w:eastAsia="仿宋_GB2312"/>
          <w:sz w:val="32"/>
          <w:szCs w:val="32"/>
        </w:rPr>
        <w:t>支出95.87万元，占7.62</w:t>
      </w:r>
      <w:r>
        <w:rPr>
          <w:rFonts w:ascii="仿宋" w:hAnsi="仿宋" w:eastAsia="仿宋_GB2312"/>
          <w:sz w:val="32"/>
          <w:szCs w:val="32"/>
        </w:rPr>
        <w:t>%</w:t>
      </w:r>
      <w:r>
        <w:rPr>
          <w:rFonts w:hint="eastAsia" w:ascii="仿宋" w:hAnsi="仿宋" w:eastAsia="仿宋_GB2312"/>
          <w:sz w:val="32"/>
          <w:szCs w:val="32"/>
        </w:rPr>
        <w:t>；</w:t>
      </w:r>
      <w:r>
        <w:rPr>
          <w:rFonts w:hint="eastAsia" w:ascii="仿宋" w:hAnsi="仿宋" w:eastAsia="仿宋_GB2312"/>
          <w:b/>
          <w:bCs/>
          <w:sz w:val="32"/>
          <w:szCs w:val="32"/>
        </w:rPr>
        <w:t>卫生健康支出</w:t>
      </w:r>
      <w:r>
        <w:rPr>
          <w:rFonts w:hint="eastAsia" w:ascii="仿宋" w:hAnsi="仿宋" w:eastAsia="仿宋_GB2312"/>
          <w:sz w:val="32"/>
          <w:szCs w:val="32"/>
        </w:rPr>
        <w:t>30.47万元，占2.42</w:t>
      </w:r>
      <w:r>
        <w:rPr>
          <w:rFonts w:ascii="仿宋" w:hAnsi="仿宋" w:eastAsia="仿宋_GB2312"/>
          <w:sz w:val="32"/>
          <w:szCs w:val="32"/>
        </w:rPr>
        <w:t>%</w:t>
      </w:r>
      <w:r>
        <w:rPr>
          <w:rFonts w:hint="eastAsia" w:ascii="仿宋" w:hAnsi="仿宋" w:eastAsia="仿宋_GB2312"/>
          <w:sz w:val="32"/>
          <w:szCs w:val="32"/>
        </w:rPr>
        <w:t>；</w:t>
      </w:r>
      <w:r>
        <w:rPr>
          <w:rFonts w:hint="eastAsia" w:ascii="仿宋" w:hAnsi="仿宋" w:eastAsia="仿宋_GB2312"/>
          <w:color w:val="000000" w:themeColor="text1"/>
          <w:sz w:val="32"/>
          <w:szCs w:val="32"/>
          <w14:textFill>
            <w14:solidFill>
              <w14:schemeClr w14:val="tx1"/>
            </w14:solidFill>
          </w14:textFill>
        </w:rPr>
        <w:t>农林水支出0</w:t>
      </w:r>
      <w:r>
        <w:rPr>
          <w:rFonts w:ascii="仿宋" w:hAnsi="仿宋" w:eastAsia="仿宋_GB2312"/>
          <w:color w:val="000000" w:themeColor="text1"/>
          <w:sz w:val="32"/>
          <w:szCs w:val="32"/>
          <w14:textFill>
            <w14:solidFill>
              <w14:schemeClr w14:val="tx1"/>
            </w14:solidFill>
          </w14:textFill>
        </w:rPr>
        <w:t>.5</w:t>
      </w:r>
      <w:r>
        <w:rPr>
          <w:rFonts w:hint="eastAsia" w:ascii="仿宋" w:hAnsi="仿宋" w:eastAsia="仿宋_GB2312"/>
          <w:color w:val="000000" w:themeColor="text1"/>
          <w:sz w:val="32"/>
          <w:szCs w:val="32"/>
          <w14:textFill>
            <w14:solidFill>
              <w14:schemeClr w14:val="tx1"/>
            </w14:solidFill>
          </w14:textFill>
        </w:rPr>
        <w:t>万元，占0.040%；</w:t>
      </w:r>
      <w:r>
        <w:rPr>
          <w:rFonts w:hint="eastAsia" w:ascii="仿宋" w:hAnsi="仿宋" w:eastAsia="仿宋_GB2312"/>
          <w:sz w:val="32"/>
          <w:szCs w:val="32"/>
        </w:rPr>
        <w:t>住房保障支出42.49万元，占3.38</w:t>
      </w:r>
      <w:r>
        <w:rPr>
          <w:rFonts w:ascii="仿宋" w:hAnsi="仿宋" w:eastAsia="仿宋_GB2312"/>
          <w:sz w:val="32"/>
          <w:szCs w:val="32"/>
        </w:rPr>
        <w:t>%</w:t>
      </w:r>
      <w:r>
        <w:rPr>
          <w:rFonts w:hint="eastAsia" w:ascii="仿宋" w:hAnsi="仿宋" w:eastAsia="仿宋_GB2312"/>
          <w:sz w:val="32"/>
          <w:szCs w:val="32"/>
        </w:rPr>
        <w:t>；。</w:t>
      </w:r>
    </w:p>
    <w:p>
      <w:pPr>
        <w:spacing w:line="600" w:lineRule="exact"/>
        <w:ind w:firstLine="640"/>
        <w:rPr>
          <w:rFonts w:ascii="仿宋" w:hAnsi="仿宋" w:eastAsia="仿宋_GB2312"/>
          <w:b/>
          <w:sz w:val="32"/>
          <w:szCs w:val="32"/>
        </w:rPr>
      </w:pPr>
      <w:r>
        <w:rPr>
          <w:rFonts w:ascii="仿宋" w:hAnsi="仿宋" w:eastAsia="仿宋_GB2312"/>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0</wp:posOffset>
            </wp:positionH>
            <wp:positionV relativeFrom="paragraph">
              <wp:posOffset>800100</wp:posOffset>
            </wp:positionV>
            <wp:extent cx="5274310" cy="3947160"/>
            <wp:effectExtent l="0" t="0" r="2540" b="1524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_GB2312"/>
          <w:b/>
          <w:sz w:val="32"/>
          <w:szCs w:val="32"/>
        </w:rPr>
        <w:t>（注：数据来源于财决01-1表，仅罗列本部门涉及的全部功能分类科目，至类级。）</w:t>
      </w:r>
    </w:p>
    <w:p>
      <w:pPr>
        <w:spacing w:line="600" w:lineRule="exact"/>
        <w:ind w:firstLine="640"/>
        <w:rPr>
          <w:rFonts w:ascii="仿宋" w:hAnsi="仿宋" w:eastAsia="仿宋_GB2312"/>
          <w:sz w:val="32"/>
          <w:szCs w:val="32"/>
        </w:rPr>
      </w:pP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（图6：一般公共预算财政拨款支出决算结构）（饼状图）</w:t>
      </w:r>
    </w:p>
    <w:p>
      <w:pPr>
        <w:spacing w:line="600" w:lineRule="exact"/>
        <w:ind w:firstLine="643" w:firstLineChars="200"/>
        <w:outlineLvl w:val="2"/>
        <w:rPr>
          <w:rFonts w:ascii="仿宋" w:hAnsi="仿宋" w:eastAsia="仿宋_GB2312"/>
          <w:b/>
          <w:sz w:val="32"/>
          <w:szCs w:val="32"/>
        </w:rPr>
      </w:pPr>
      <w:bookmarkStart w:id="36" w:name="_Toc15377212"/>
      <w:r>
        <w:rPr>
          <w:rFonts w:hint="eastAsia" w:ascii="仿宋" w:hAnsi="仿宋" w:eastAsia="仿宋_GB2312"/>
          <w:b/>
          <w:sz w:val="32"/>
          <w:szCs w:val="32"/>
        </w:rPr>
        <w:t>（三）一般公共预算财政拨款支出决算具体情况</w:t>
      </w:r>
      <w:bookmarkEnd w:id="36"/>
    </w:p>
    <w:p>
      <w:pPr>
        <w:spacing w:line="600" w:lineRule="exact"/>
        <w:ind w:firstLine="643" w:firstLineChars="200"/>
        <w:outlineLvl w:val="2"/>
        <w:rPr>
          <w:rFonts w:ascii="仿宋" w:hAnsi="仿宋" w:eastAsia="仿宋_GB2312"/>
          <w:sz w:val="32"/>
          <w:szCs w:val="32"/>
        </w:rPr>
      </w:pPr>
      <w:bookmarkStart w:id="37" w:name="_Toc15377213"/>
      <w:bookmarkStart w:id="38" w:name="_Toc15378460"/>
      <w:bookmarkStart w:id="39" w:name="_Toc15377444"/>
      <w:r>
        <w:rPr>
          <w:rFonts w:hint="eastAsia" w:ascii="仿宋" w:hAnsi="仿宋" w:eastAsia="仿宋_GB2312"/>
          <w:b/>
          <w:sz w:val="32"/>
          <w:szCs w:val="32"/>
        </w:rPr>
        <w:t>2021年一般公共预算支出决算数为1258.39</w:t>
      </w:r>
      <w:r>
        <w:rPr>
          <w:rFonts w:hint="eastAsia" w:ascii="仿宋" w:hAnsi="仿宋" w:eastAsia="仿宋_GB2312"/>
          <w:sz w:val="32"/>
          <w:szCs w:val="32"/>
        </w:rPr>
        <w:t>，</w:t>
      </w:r>
      <w:r>
        <w:rPr>
          <w:rStyle w:val="18"/>
          <w:rFonts w:hint="eastAsia" w:ascii="仿宋" w:hAnsi="仿宋" w:eastAsia="仿宋_GB2312"/>
          <w:bCs/>
          <w:sz w:val="32"/>
          <w:szCs w:val="32"/>
        </w:rPr>
        <w:t>完成预算101.99</w:t>
      </w:r>
      <w:r>
        <w:rPr>
          <w:rStyle w:val="18"/>
          <w:rFonts w:ascii="仿宋" w:hAnsi="仿宋" w:eastAsia="仿宋_GB2312"/>
          <w:bCs/>
          <w:sz w:val="32"/>
          <w:szCs w:val="32"/>
        </w:rPr>
        <w:t>%</w:t>
      </w:r>
      <w:r>
        <w:rPr>
          <w:rStyle w:val="18"/>
          <w:rFonts w:hint="eastAsia" w:ascii="仿宋" w:hAnsi="仿宋" w:eastAsia="仿宋_GB2312"/>
          <w:bCs/>
          <w:sz w:val="32"/>
          <w:szCs w:val="32"/>
        </w:rPr>
        <w:t>。其中：</w:t>
      </w:r>
      <w:bookmarkEnd w:id="37"/>
      <w:bookmarkEnd w:id="38"/>
      <w:bookmarkEnd w:id="39"/>
    </w:p>
    <w:p>
      <w:pPr>
        <w:spacing w:line="600" w:lineRule="exact"/>
        <w:ind w:firstLine="643" w:firstLineChars="200"/>
        <w:rPr>
          <w:rFonts w:ascii="仿宋" w:hAnsi="仿宋" w:eastAsia="仿宋_GB2312"/>
          <w:b/>
          <w:color w:val="000000"/>
          <w:sz w:val="32"/>
          <w:szCs w:val="32"/>
        </w:rPr>
      </w:pPr>
      <w:r>
        <w:rPr>
          <w:rStyle w:val="18"/>
          <w:rFonts w:ascii="仿宋" w:hAnsi="仿宋" w:eastAsia="仿宋_GB2312"/>
          <w:bCs/>
          <w:sz w:val="32"/>
          <w:szCs w:val="32"/>
        </w:rPr>
        <w:t>1.</w:t>
      </w:r>
      <w:r>
        <w:rPr>
          <w:rStyle w:val="18"/>
          <w:rFonts w:hint="eastAsia" w:ascii="仿宋" w:hAnsi="仿宋" w:eastAsia="仿宋_GB2312"/>
          <w:bCs/>
          <w:color w:val="000000"/>
          <w:sz w:val="32"/>
          <w:szCs w:val="32"/>
        </w:rPr>
        <w:t>一般公共服务（类）人大事务（款）行政运行（项）</w:t>
      </w:r>
      <w:r>
        <w:rPr>
          <w:rStyle w:val="18"/>
          <w:rFonts w:hint="eastAsia" w:ascii="仿宋" w:hAnsi="仿宋" w:eastAsia="仿宋_GB2312"/>
          <w:b w:val="0"/>
          <w:bCs/>
          <w:color w:val="000000"/>
          <w:sz w:val="32"/>
          <w:szCs w:val="32"/>
        </w:rPr>
        <w:t>支出决算为625.74万元，完成预算102.13%，决算数大于预算数主要原因调入人员工资及办公费；</w:t>
      </w:r>
      <w:r>
        <w:rPr>
          <w:rStyle w:val="18"/>
          <w:rFonts w:hint="eastAsia" w:ascii="仿宋" w:hAnsi="仿宋" w:eastAsia="仿宋_GB2312"/>
          <w:bCs/>
          <w:color w:val="000000"/>
          <w:sz w:val="32"/>
          <w:szCs w:val="32"/>
        </w:rPr>
        <w:t>一般公共服务（类）人大事务（款）一般行政管理事务（项）</w:t>
      </w:r>
      <w:r>
        <w:rPr>
          <w:rStyle w:val="18"/>
          <w:rFonts w:hint="eastAsia" w:ascii="仿宋" w:hAnsi="仿宋" w:eastAsia="仿宋_GB2312"/>
          <w:b w:val="0"/>
          <w:bCs/>
          <w:color w:val="000000"/>
          <w:sz w:val="32"/>
          <w:szCs w:val="32"/>
        </w:rPr>
        <w:t>支出决算为99.43万元，完成预算100%；</w:t>
      </w:r>
      <w:r>
        <w:rPr>
          <w:rStyle w:val="18"/>
          <w:rFonts w:hint="eastAsia" w:ascii="仿宋" w:hAnsi="仿宋" w:eastAsia="仿宋_GB2312"/>
          <w:bCs/>
          <w:color w:val="000000"/>
          <w:sz w:val="32"/>
          <w:szCs w:val="32"/>
        </w:rPr>
        <w:t>一般公共服务（类）人大事务（款）人大会议（项）</w:t>
      </w:r>
      <w:r>
        <w:rPr>
          <w:rStyle w:val="18"/>
          <w:rFonts w:hint="eastAsia" w:ascii="仿宋" w:hAnsi="仿宋" w:eastAsia="仿宋_GB2312"/>
          <w:b w:val="0"/>
          <w:bCs/>
          <w:color w:val="000000"/>
          <w:sz w:val="32"/>
          <w:szCs w:val="32"/>
        </w:rPr>
        <w:t>支出决算为172.16万元，完成预算100%；</w:t>
      </w:r>
      <w:r>
        <w:rPr>
          <w:rStyle w:val="18"/>
          <w:rFonts w:hint="eastAsia" w:ascii="仿宋" w:hAnsi="仿宋" w:eastAsia="仿宋_GB2312"/>
          <w:bCs/>
          <w:color w:val="000000"/>
          <w:sz w:val="32"/>
          <w:szCs w:val="32"/>
        </w:rPr>
        <w:t>一般公共服务（类）人大事务（款）人大立法（项）</w:t>
      </w:r>
      <w:r>
        <w:rPr>
          <w:rStyle w:val="18"/>
          <w:rFonts w:hint="eastAsia" w:ascii="仿宋" w:hAnsi="仿宋" w:eastAsia="仿宋_GB2312"/>
          <w:b w:val="0"/>
          <w:bCs/>
          <w:color w:val="000000"/>
          <w:sz w:val="32"/>
          <w:szCs w:val="32"/>
        </w:rPr>
        <w:t>支出决算为21.56万元，完成预算100%；</w:t>
      </w:r>
      <w:r>
        <w:rPr>
          <w:rStyle w:val="18"/>
          <w:rFonts w:hint="eastAsia" w:ascii="仿宋" w:hAnsi="仿宋" w:eastAsia="仿宋_GB2312"/>
          <w:bCs/>
          <w:color w:val="000000"/>
          <w:sz w:val="32"/>
          <w:szCs w:val="32"/>
        </w:rPr>
        <w:t>一般公共服务（类）人大事务（款）人大监督（项）</w:t>
      </w:r>
      <w:r>
        <w:rPr>
          <w:rStyle w:val="18"/>
          <w:rFonts w:hint="eastAsia" w:ascii="仿宋" w:hAnsi="仿宋" w:eastAsia="仿宋_GB2312"/>
          <w:b w:val="0"/>
          <w:bCs/>
          <w:color w:val="000000"/>
          <w:sz w:val="32"/>
          <w:szCs w:val="32"/>
        </w:rPr>
        <w:t xml:space="preserve">支出决算为35万元，完成预算100%；  </w:t>
      </w:r>
      <w:r>
        <w:rPr>
          <w:rStyle w:val="18"/>
          <w:rFonts w:hint="eastAsia" w:ascii="仿宋" w:hAnsi="仿宋" w:eastAsia="仿宋_GB2312"/>
          <w:bCs/>
          <w:color w:val="000000"/>
          <w:sz w:val="32"/>
          <w:szCs w:val="32"/>
        </w:rPr>
        <w:t>一般公共服务（类）人大事务（款）</w:t>
      </w:r>
      <w:r>
        <w:rPr>
          <w:rStyle w:val="18"/>
          <w:rFonts w:hint="eastAsia" w:ascii="仿宋" w:hAnsi="仿宋" w:eastAsia="仿宋_GB2312"/>
          <w:b w:val="0"/>
          <w:bCs/>
          <w:color w:val="000000"/>
          <w:sz w:val="32"/>
          <w:szCs w:val="32"/>
        </w:rPr>
        <w:t>人大代表履职能力提升</w:t>
      </w:r>
      <w:r>
        <w:rPr>
          <w:rStyle w:val="18"/>
          <w:rFonts w:hint="eastAsia" w:ascii="仿宋" w:hAnsi="仿宋" w:eastAsia="仿宋_GB2312"/>
          <w:bCs/>
          <w:color w:val="000000"/>
          <w:sz w:val="32"/>
          <w:szCs w:val="32"/>
        </w:rPr>
        <w:t>（项）</w:t>
      </w:r>
      <w:r>
        <w:rPr>
          <w:rStyle w:val="18"/>
          <w:rFonts w:hint="eastAsia" w:ascii="仿宋" w:hAnsi="仿宋" w:eastAsia="仿宋_GB2312"/>
          <w:b w:val="0"/>
          <w:bCs/>
          <w:color w:val="000000"/>
          <w:sz w:val="32"/>
          <w:szCs w:val="32"/>
        </w:rPr>
        <w:t>决算数为10万元，完成预算100%；</w:t>
      </w:r>
      <w:r>
        <w:rPr>
          <w:rStyle w:val="18"/>
          <w:rFonts w:hint="eastAsia" w:ascii="仿宋" w:hAnsi="仿宋" w:eastAsia="仿宋_GB2312"/>
          <w:bCs/>
          <w:color w:val="000000"/>
          <w:sz w:val="32"/>
          <w:szCs w:val="32"/>
        </w:rPr>
        <w:t>一般公共服务（类）人大事务（款）人大代表（项）</w:t>
      </w:r>
      <w:r>
        <w:rPr>
          <w:rStyle w:val="18"/>
          <w:rFonts w:hint="eastAsia" w:ascii="仿宋" w:hAnsi="仿宋" w:eastAsia="仿宋_GB2312"/>
          <w:b w:val="0"/>
          <w:bCs/>
          <w:color w:val="000000"/>
          <w:sz w:val="32"/>
          <w:szCs w:val="32"/>
        </w:rPr>
        <w:t>支出决算为</w:t>
      </w:r>
      <w:r>
        <w:rPr>
          <w:rStyle w:val="18"/>
          <w:rFonts w:ascii="仿宋" w:hAnsi="仿宋" w:eastAsia="仿宋_GB2312"/>
          <w:b w:val="0"/>
          <w:bCs/>
          <w:color w:val="000000"/>
          <w:sz w:val="32"/>
          <w:szCs w:val="32"/>
        </w:rPr>
        <w:t>36.6</w:t>
      </w:r>
      <w:r>
        <w:rPr>
          <w:rStyle w:val="18"/>
          <w:rFonts w:hint="eastAsia" w:ascii="仿宋" w:hAnsi="仿宋" w:eastAsia="仿宋_GB2312"/>
          <w:b w:val="0"/>
          <w:bCs/>
          <w:color w:val="000000"/>
          <w:sz w:val="32"/>
          <w:szCs w:val="32"/>
        </w:rPr>
        <w:t>万元，完成预算100</w:t>
      </w:r>
      <w:r>
        <w:rPr>
          <w:rStyle w:val="18"/>
          <w:rFonts w:ascii="仿宋" w:hAnsi="仿宋" w:eastAsia="仿宋_GB2312"/>
          <w:b w:val="0"/>
          <w:bCs/>
          <w:color w:val="000000"/>
          <w:sz w:val="32"/>
          <w:szCs w:val="32"/>
        </w:rPr>
        <w:t>%</w:t>
      </w:r>
      <w:r>
        <w:rPr>
          <w:rStyle w:val="18"/>
          <w:rFonts w:hint="eastAsia" w:ascii="仿宋" w:hAnsi="仿宋" w:eastAsia="仿宋_GB2312"/>
          <w:b w:val="0"/>
          <w:bCs/>
          <w:color w:val="000000"/>
          <w:sz w:val="32"/>
          <w:szCs w:val="32"/>
        </w:rPr>
        <w:t>；</w:t>
      </w:r>
      <w:r>
        <w:rPr>
          <w:rStyle w:val="18"/>
          <w:rFonts w:hint="eastAsia" w:ascii="仿宋" w:hAnsi="仿宋" w:eastAsia="仿宋_GB2312"/>
          <w:bCs/>
          <w:color w:val="000000"/>
          <w:sz w:val="32"/>
          <w:szCs w:val="32"/>
        </w:rPr>
        <w:t>一般公共服务（类）人大事务（款）人大信访（项）</w:t>
      </w:r>
      <w:r>
        <w:rPr>
          <w:rStyle w:val="18"/>
          <w:rFonts w:hint="eastAsia" w:ascii="仿宋" w:hAnsi="仿宋" w:eastAsia="仿宋_GB2312"/>
          <w:b w:val="0"/>
          <w:bCs/>
          <w:color w:val="000000"/>
          <w:sz w:val="32"/>
          <w:szCs w:val="32"/>
        </w:rPr>
        <w:t>支出决算为</w:t>
      </w:r>
      <w:r>
        <w:rPr>
          <w:rStyle w:val="18"/>
          <w:rFonts w:ascii="仿宋" w:hAnsi="仿宋" w:eastAsia="仿宋_GB2312"/>
          <w:b w:val="0"/>
          <w:bCs/>
          <w:color w:val="000000"/>
          <w:sz w:val="32"/>
          <w:szCs w:val="32"/>
        </w:rPr>
        <w:t>5</w:t>
      </w:r>
      <w:r>
        <w:rPr>
          <w:rStyle w:val="18"/>
          <w:rFonts w:hint="eastAsia" w:ascii="仿宋" w:hAnsi="仿宋" w:eastAsia="仿宋_GB2312"/>
          <w:b w:val="0"/>
          <w:bCs/>
          <w:color w:val="000000"/>
          <w:sz w:val="32"/>
          <w:szCs w:val="32"/>
        </w:rPr>
        <w:t>万元，完成预算100%；</w:t>
      </w:r>
      <w:r>
        <w:rPr>
          <w:rStyle w:val="18"/>
          <w:rFonts w:hint="eastAsia" w:ascii="仿宋" w:hAnsi="仿宋" w:eastAsia="仿宋_GB2312"/>
          <w:bCs/>
          <w:color w:val="000000"/>
          <w:sz w:val="32"/>
          <w:szCs w:val="32"/>
        </w:rPr>
        <w:t>一般公共服务（类）人大事务（款）事业运行（项）</w:t>
      </w:r>
      <w:r>
        <w:rPr>
          <w:rStyle w:val="18"/>
          <w:rFonts w:hint="eastAsia" w:ascii="仿宋" w:hAnsi="仿宋" w:eastAsia="仿宋_GB2312"/>
          <w:b w:val="0"/>
          <w:bCs/>
          <w:color w:val="000000"/>
          <w:sz w:val="32"/>
          <w:szCs w:val="32"/>
        </w:rPr>
        <w:t>支出决算为83.57万元；完成预算100</w:t>
      </w:r>
      <w:r>
        <w:rPr>
          <w:rStyle w:val="18"/>
          <w:rFonts w:ascii="仿宋" w:hAnsi="仿宋" w:eastAsia="仿宋_GB2312"/>
          <w:b w:val="0"/>
          <w:bCs/>
          <w:color w:val="000000"/>
          <w:sz w:val="32"/>
          <w:szCs w:val="32"/>
        </w:rPr>
        <w:t>%</w:t>
      </w:r>
      <w:r>
        <w:rPr>
          <w:rStyle w:val="18"/>
          <w:rFonts w:hint="eastAsia" w:ascii="仿宋" w:hAnsi="仿宋" w:eastAsia="仿宋_GB2312"/>
          <w:b w:val="0"/>
          <w:bCs/>
          <w:color w:val="000000"/>
          <w:sz w:val="32"/>
          <w:szCs w:val="32"/>
        </w:rPr>
        <w:t>。</w:t>
      </w:r>
    </w:p>
    <w:p>
      <w:pPr>
        <w:spacing w:line="600" w:lineRule="exact"/>
        <w:ind w:firstLine="643" w:firstLineChars="200"/>
        <w:rPr>
          <w:rFonts w:ascii="仿宋" w:hAnsi="仿宋" w:eastAsia="仿宋_GB2312"/>
          <w:b/>
          <w:sz w:val="32"/>
          <w:szCs w:val="32"/>
        </w:rPr>
      </w:pPr>
      <w:r>
        <w:rPr>
          <w:rStyle w:val="18"/>
          <w:rFonts w:ascii="仿宋" w:hAnsi="仿宋" w:eastAsia="仿宋_GB2312"/>
          <w:bCs/>
          <w:sz w:val="32"/>
          <w:szCs w:val="32"/>
        </w:rPr>
        <w:t>2.</w:t>
      </w:r>
      <w:r>
        <w:rPr>
          <w:rStyle w:val="18"/>
          <w:rFonts w:hint="eastAsia" w:ascii="仿宋" w:hAnsi="仿宋" w:eastAsia="仿宋_GB2312"/>
          <w:bCs/>
          <w:sz w:val="32"/>
          <w:szCs w:val="32"/>
        </w:rPr>
        <w:t>教育（类）</w:t>
      </w:r>
      <w:r>
        <w:rPr>
          <w:rStyle w:val="18"/>
          <w:rFonts w:hint="eastAsia" w:ascii="仿宋" w:hAnsi="仿宋" w:eastAsia="仿宋_GB2312"/>
          <w:b w:val="0"/>
          <w:bCs/>
          <w:color w:val="000000"/>
          <w:sz w:val="32"/>
          <w:szCs w:val="32"/>
        </w:rPr>
        <w:t>本年度无教育类支出。</w:t>
      </w:r>
    </w:p>
    <w:p>
      <w:pPr>
        <w:spacing w:line="600" w:lineRule="exact"/>
        <w:ind w:firstLine="643" w:firstLineChars="200"/>
        <w:rPr>
          <w:rStyle w:val="18"/>
          <w:rFonts w:ascii="仿宋" w:hAnsi="仿宋" w:eastAsia="仿宋_GB2312"/>
          <w:b w:val="0"/>
          <w:bCs/>
          <w:color w:val="000000"/>
          <w:sz w:val="32"/>
          <w:szCs w:val="32"/>
        </w:rPr>
      </w:pPr>
      <w:r>
        <w:rPr>
          <w:rStyle w:val="18"/>
          <w:rFonts w:ascii="仿宋" w:hAnsi="仿宋" w:eastAsia="仿宋_GB2312"/>
          <w:bCs/>
          <w:sz w:val="32"/>
          <w:szCs w:val="32"/>
        </w:rPr>
        <w:t>3.</w:t>
      </w:r>
      <w:r>
        <w:rPr>
          <w:rStyle w:val="18"/>
          <w:rFonts w:hint="eastAsia" w:ascii="仿宋" w:hAnsi="仿宋" w:eastAsia="仿宋_GB2312"/>
          <w:bCs/>
          <w:sz w:val="32"/>
          <w:szCs w:val="32"/>
        </w:rPr>
        <w:t>科学技术（类）</w:t>
      </w:r>
      <w:r>
        <w:rPr>
          <w:rStyle w:val="18"/>
          <w:rFonts w:hint="eastAsia" w:ascii="仿宋" w:hAnsi="仿宋" w:eastAsia="仿宋_GB2312"/>
          <w:bCs/>
          <w:color w:val="000000"/>
          <w:sz w:val="32"/>
          <w:szCs w:val="32"/>
        </w:rPr>
        <w:t>本年度无科学技术类支出</w:t>
      </w:r>
      <w:r>
        <w:rPr>
          <w:rStyle w:val="18"/>
          <w:rFonts w:hint="eastAsia" w:ascii="仿宋" w:hAnsi="仿宋" w:eastAsia="仿宋_GB2312"/>
          <w:b w:val="0"/>
          <w:bCs/>
          <w:color w:val="000000"/>
          <w:sz w:val="32"/>
          <w:szCs w:val="32"/>
        </w:rPr>
        <w:t>。</w:t>
      </w:r>
    </w:p>
    <w:p>
      <w:pPr>
        <w:spacing w:line="600" w:lineRule="exact"/>
        <w:ind w:firstLine="643" w:firstLineChars="200"/>
        <w:rPr>
          <w:rFonts w:ascii="仿宋" w:hAnsi="仿宋" w:eastAsia="仿宋_GB2312"/>
          <w:b/>
          <w:color w:val="000000"/>
          <w:sz w:val="32"/>
          <w:szCs w:val="32"/>
        </w:rPr>
      </w:pPr>
      <w:r>
        <w:rPr>
          <w:rStyle w:val="18"/>
          <w:rFonts w:ascii="仿宋" w:hAnsi="仿宋" w:eastAsia="仿宋_GB2312"/>
          <w:bCs/>
          <w:sz w:val="32"/>
          <w:szCs w:val="32"/>
        </w:rPr>
        <w:t>4.</w:t>
      </w:r>
      <w:r>
        <w:rPr>
          <w:rStyle w:val="18"/>
          <w:rFonts w:hint="eastAsia" w:ascii="仿宋" w:hAnsi="仿宋" w:eastAsia="仿宋_GB2312"/>
          <w:bCs/>
          <w:sz w:val="32"/>
          <w:szCs w:val="32"/>
        </w:rPr>
        <w:t>文化旅游体育与传媒（类）</w:t>
      </w:r>
      <w:r>
        <w:rPr>
          <w:rStyle w:val="18"/>
          <w:rFonts w:hint="eastAsia" w:ascii="仿宋" w:hAnsi="仿宋" w:eastAsia="仿宋_GB2312"/>
          <w:bCs/>
          <w:color w:val="000000"/>
          <w:sz w:val="32"/>
          <w:szCs w:val="32"/>
        </w:rPr>
        <w:t>本年度无文化旅游体育与传媒类支出</w:t>
      </w:r>
      <w:r>
        <w:rPr>
          <w:rStyle w:val="18"/>
          <w:rFonts w:hint="eastAsia" w:ascii="仿宋" w:hAnsi="仿宋" w:eastAsia="仿宋_GB2312"/>
          <w:b w:val="0"/>
          <w:bCs/>
          <w:color w:val="000000"/>
          <w:sz w:val="32"/>
          <w:szCs w:val="32"/>
        </w:rPr>
        <w:t>。</w:t>
      </w:r>
    </w:p>
    <w:p>
      <w:pPr>
        <w:spacing w:line="600" w:lineRule="exact"/>
        <w:ind w:firstLine="643" w:firstLineChars="200"/>
        <w:rPr>
          <w:rFonts w:ascii="仿宋" w:hAnsi="仿宋" w:eastAsia="仿宋_GB2312"/>
          <w:b/>
          <w:sz w:val="32"/>
          <w:szCs w:val="32"/>
        </w:rPr>
      </w:pPr>
      <w:r>
        <w:rPr>
          <w:rStyle w:val="18"/>
          <w:rFonts w:ascii="仿宋" w:hAnsi="仿宋" w:eastAsia="仿宋_GB2312"/>
          <w:bCs/>
          <w:sz w:val="32"/>
          <w:szCs w:val="32"/>
        </w:rPr>
        <w:t>5.</w:t>
      </w:r>
      <w:r>
        <w:rPr>
          <w:rStyle w:val="18"/>
          <w:rFonts w:hint="eastAsia" w:ascii="仿宋" w:hAnsi="仿宋" w:eastAsia="仿宋_GB2312"/>
          <w:bCs/>
          <w:color w:val="000000"/>
          <w:sz w:val="32"/>
          <w:szCs w:val="32"/>
        </w:rPr>
        <w:t>社会保障和就业（类）行政事业单位离退休（款）机关事业单位基本养老保险缴费支出（项）</w:t>
      </w:r>
      <w:r>
        <w:rPr>
          <w:rStyle w:val="18"/>
          <w:rFonts w:hint="eastAsia" w:ascii="仿宋" w:hAnsi="仿宋" w:eastAsia="仿宋_GB2312"/>
          <w:b w:val="0"/>
          <w:bCs/>
          <w:color w:val="000000"/>
          <w:sz w:val="32"/>
          <w:szCs w:val="32"/>
        </w:rPr>
        <w:t>支出决算为59.12万元，完成预算</w:t>
      </w:r>
      <w:r>
        <w:rPr>
          <w:rStyle w:val="18"/>
          <w:rFonts w:ascii="仿宋" w:hAnsi="仿宋" w:eastAsia="仿宋_GB2312"/>
          <w:b w:val="0"/>
          <w:bCs/>
          <w:color w:val="000000"/>
          <w:sz w:val="32"/>
          <w:szCs w:val="32"/>
        </w:rPr>
        <w:t>100%</w:t>
      </w:r>
      <w:r>
        <w:rPr>
          <w:rStyle w:val="18"/>
          <w:rFonts w:hint="eastAsia" w:ascii="仿宋" w:hAnsi="仿宋" w:eastAsia="仿宋_GB2312"/>
          <w:b w:val="0"/>
          <w:bCs/>
          <w:color w:val="000000"/>
          <w:sz w:val="32"/>
          <w:szCs w:val="32"/>
        </w:rPr>
        <w:t>；</w:t>
      </w:r>
      <w:r>
        <w:rPr>
          <w:rStyle w:val="18"/>
          <w:rFonts w:hint="eastAsia" w:ascii="仿宋" w:hAnsi="仿宋" w:eastAsia="仿宋_GB2312"/>
          <w:bCs/>
          <w:color w:val="000000"/>
          <w:sz w:val="32"/>
          <w:szCs w:val="32"/>
        </w:rPr>
        <w:t>社会保障和就业（类）行政事业单位离退休（款）机关事业单位职业年金缴费支出（项）</w:t>
      </w:r>
      <w:r>
        <w:rPr>
          <w:rStyle w:val="18"/>
          <w:rFonts w:hint="eastAsia" w:ascii="仿宋" w:hAnsi="仿宋" w:eastAsia="仿宋_GB2312"/>
          <w:b w:val="0"/>
          <w:bCs/>
          <w:color w:val="000000"/>
          <w:sz w:val="32"/>
          <w:szCs w:val="32"/>
        </w:rPr>
        <w:t>支出决算为11万元，完成预算</w:t>
      </w:r>
      <w:r>
        <w:rPr>
          <w:rStyle w:val="18"/>
          <w:rFonts w:ascii="仿宋" w:hAnsi="仿宋" w:eastAsia="仿宋_GB2312"/>
          <w:b w:val="0"/>
          <w:bCs/>
          <w:color w:val="000000"/>
          <w:sz w:val="32"/>
          <w:szCs w:val="32"/>
        </w:rPr>
        <w:t>100%</w:t>
      </w:r>
      <w:r>
        <w:rPr>
          <w:rStyle w:val="18"/>
          <w:rFonts w:hint="eastAsia" w:ascii="仿宋" w:hAnsi="仿宋" w:eastAsia="仿宋_GB2312"/>
          <w:b w:val="0"/>
          <w:bCs/>
          <w:color w:val="000000"/>
          <w:sz w:val="32"/>
          <w:szCs w:val="32"/>
        </w:rPr>
        <w:t>；</w:t>
      </w:r>
      <w:r>
        <w:rPr>
          <w:rStyle w:val="18"/>
          <w:rFonts w:hint="eastAsia" w:ascii="仿宋" w:hAnsi="仿宋" w:eastAsia="仿宋_GB2312"/>
          <w:bCs/>
          <w:color w:val="000000"/>
          <w:sz w:val="32"/>
          <w:szCs w:val="32"/>
        </w:rPr>
        <w:t>社会保障和就业（类）抚恤（款）死亡抚恤（项）支出决算为24.01万元</w:t>
      </w:r>
      <w:r>
        <w:rPr>
          <w:rStyle w:val="18"/>
          <w:rFonts w:hint="eastAsia" w:ascii="仿宋" w:hAnsi="仿宋" w:eastAsia="仿宋_GB2312"/>
          <w:b w:val="0"/>
          <w:bCs/>
          <w:color w:val="000000"/>
          <w:sz w:val="32"/>
          <w:szCs w:val="32"/>
        </w:rPr>
        <w:t>，完成预算</w:t>
      </w:r>
      <w:r>
        <w:rPr>
          <w:rStyle w:val="18"/>
          <w:rFonts w:ascii="仿宋" w:hAnsi="仿宋" w:eastAsia="仿宋_GB2312"/>
          <w:b w:val="0"/>
          <w:bCs/>
          <w:color w:val="000000"/>
          <w:sz w:val="32"/>
          <w:szCs w:val="32"/>
        </w:rPr>
        <w:t>100%</w:t>
      </w:r>
      <w:r>
        <w:rPr>
          <w:rStyle w:val="18"/>
          <w:rFonts w:hint="eastAsia" w:ascii="仿宋" w:hAnsi="仿宋" w:eastAsia="仿宋_GB2312"/>
          <w:bCs/>
          <w:color w:val="000000"/>
          <w:sz w:val="32"/>
          <w:szCs w:val="32"/>
        </w:rPr>
        <w:t>；社会保障和就业（类）其他社会保障和就业支出（款）其他社会保障和就业支出（项）</w:t>
      </w:r>
      <w:r>
        <w:rPr>
          <w:rStyle w:val="18"/>
          <w:rFonts w:hint="eastAsia" w:ascii="仿宋" w:hAnsi="仿宋" w:eastAsia="仿宋_GB2312"/>
          <w:b w:val="0"/>
          <w:bCs/>
          <w:color w:val="000000"/>
          <w:sz w:val="32"/>
          <w:szCs w:val="32"/>
        </w:rPr>
        <w:t>支出决算为</w:t>
      </w:r>
      <w:r>
        <w:rPr>
          <w:rStyle w:val="18"/>
          <w:rFonts w:ascii="仿宋" w:hAnsi="仿宋" w:eastAsia="仿宋_GB2312"/>
          <w:b w:val="0"/>
          <w:bCs/>
          <w:color w:val="000000"/>
          <w:sz w:val="32"/>
          <w:szCs w:val="32"/>
        </w:rPr>
        <w:t>1.</w:t>
      </w:r>
      <w:r>
        <w:rPr>
          <w:rStyle w:val="18"/>
          <w:rFonts w:hint="eastAsia" w:ascii="仿宋" w:hAnsi="仿宋" w:eastAsia="仿宋_GB2312"/>
          <w:b w:val="0"/>
          <w:bCs/>
          <w:color w:val="000000"/>
          <w:sz w:val="32"/>
          <w:szCs w:val="32"/>
        </w:rPr>
        <w:t>74万元，</w:t>
      </w:r>
      <w:r>
        <w:rPr>
          <w:rStyle w:val="18"/>
          <w:rFonts w:hint="eastAsia" w:ascii="仿宋" w:hAnsi="仿宋" w:eastAsia="仿宋_GB2312"/>
          <w:b w:val="0"/>
          <w:bCs/>
          <w:sz w:val="32"/>
          <w:szCs w:val="32"/>
        </w:rPr>
        <w:t>完成预算100</w:t>
      </w:r>
      <w:r>
        <w:rPr>
          <w:rStyle w:val="18"/>
          <w:rFonts w:ascii="仿宋" w:hAnsi="仿宋" w:eastAsia="仿宋_GB2312"/>
          <w:b w:val="0"/>
          <w:bCs/>
          <w:sz w:val="32"/>
          <w:szCs w:val="32"/>
        </w:rPr>
        <w:t>%</w:t>
      </w:r>
      <w:r>
        <w:rPr>
          <w:rStyle w:val="18"/>
          <w:rFonts w:hint="eastAsia" w:ascii="仿宋" w:hAnsi="仿宋" w:eastAsia="仿宋_GB2312"/>
          <w:b w:val="0"/>
          <w:bCs/>
          <w:sz w:val="32"/>
          <w:szCs w:val="32"/>
        </w:rPr>
        <w:t>。</w:t>
      </w:r>
    </w:p>
    <w:p>
      <w:pPr>
        <w:spacing w:line="600" w:lineRule="exact"/>
        <w:ind w:firstLine="643" w:firstLineChars="200"/>
        <w:rPr>
          <w:rStyle w:val="18"/>
          <w:rFonts w:ascii="仿宋" w:hAnsi="仿宋" w:eastAsia="仿宋_GB2312"/>
          <w:b w:val="0"/>
          <w:bCs/>
          <w:color w:val="000000"/>
          <w:sz w:val="32"/>
          <w:szCs w:val="32"/>
        </w:rPr>
      </w:pPr>
      <w:r>
        <w:rPr>
          <w:rStyle w:val="18"/>
          <w:rFonts w:ascii="仿宋" w:hAnsi="仿宋" w:eastAsia="仿宋_GB2312"/>
          <w:bCs/>
          <w:sz w:val="32"/>
          <w:szCs w:val="32"/>
        </w:rPr>
        <w:t>6.</w:t>
      </w:r>
      <w:r>
        <w:rPr>
          <w:rFonts w:hint="eastAsia" w:ascii="仿宋" w:hAnsi="仿宋" w:eastAsia="仿宋_GB2312"/>
          <w:b/>
          <w:bCs/>
          <w:color w:val="000000" w:themeColor="text1"/>
          <w:sz w:val="32"/>
          <w:szCs w:val="32"/>
          <w14:textFill>
            <w14:solidFill>
              <w14:schemeClr w14:val="tx1"/>
            </w14:solidFill>
          </w14:textFill>
        </w:rPr>
        <w:t>卫生健康</w:t>
      </w:r>
      <w:r>
        <w:rPr>
          <w:rStyle w:val="18"/>
          <w:rFonts w:hint="eastAsia" w:ascii="仿宋" w:hAnsi="仿宋" w:eastAsia="仿宋_GB2312"/>
          <w:bCs/>
          <w:color w:val="000000"/>
          <w:sz w:val="32"/>
          <w:szCs w:val="32"/>
        </w:rPr>
        <w:t>（类）行政事业单位医疗（款）行政单位医疗（项）</w:t>
      </w:r>
      <w:r>
        <w:rPr>
          <w:rStyle w:val="18"/>
          <w:rFonts w:ascii="仿宋" w:hAnsi="仿宋" w:eastAsia="仿宋_GB2312"/>
          <w:bCs/>
          <w:color w:val="000000"/>
          <w:sz w:val="32"/>
          <w:szCs w:val="32"/>
        </w:rPr>
        <w:t>:</w:t>
      </w:r>
      <w:r>
        <w:rPr>
          <w:rStyle w:val="18"/>
          <w:rFonts w:hint="eastAsia" w:ascii="仿宋" w:hAnsi="仿宋" w:eastAsia="仿宋_GB2312"/>
          <w:b w:val="0"/>
          <w:bCs/>
          <w:color w:val="000000"/>
          <w:sz w:val="32"/>
          <w:szCs w:val="32"/>
        </w:rPr>
        <w:t>支出决算为30.47万元，完成预算</w:t>
      </w:r>
      <w:r>
        <w:rPr>
          <w:rStyle w:val="18"/>
          <w:rFonts w:ascii="仿宋" w:hAnsi="仿宋" w:eastAsia="仿宋_GB2312"/>
          <w:b w:val="0"/>
          <w:bCs/>
          <w:color w:val="000000"/>
          <w:sz w:val="32"/>
          <w:szCs w:val="32"/>
        </w:rPr>
        <w:t>100%</w:t>
      </w:r>
      <w:r>
        <w:rPr>
          <w:rStyle w:val="18"/>
          <w:rFonts w:hint="eastAsia" w:ascii="仿宋" w:hAnsi="仿宋" w:eastAsia="仿宋_GB2312"/>
          <w:b w:val="0"/>
          <w:bCs/>
          <w:color w:val="000000"/>
          <w:sz w:val="32"/>
          <w:szCs w:val="32"/>
        </w:rPr>
        <w:t>。</w:t>
      </w:r>
    </w:p>
    <w:p>
      <w:pPr>
        <w:spacing w:line="600" w:lineRule="exact"/>
        <w:ind w:firstLine="640" w:firstLineChars="200"/>
        <w:rPr>
          <w:rStyle w:val="18"/>
          <w:rFonts w:ascii="仿宋" w:hAnsi="仿宋" w:eastAsia="仿宋_GB2312"/>
          <w:b w:val="0"/>
          <w:bCs/>
          <w:color w:val="000000"/>
          <w:sz w:val="32"/>
          <w:szCs w:val="32"/>
        </w:rPr>
      </w:pPr>
      <w:r>
        <w:rPr>
          <w:rFonts w:hint="eastAsia" w:ascii="仿宋" w:hAnsi="仿宋" w:eastAsia="仿宋_GB2312"/>
          <w:color w:val="000000"/>
          <w:sz w:val="32"/>
          <w:szCs w:val="32"/>
        </w:rPr>
        <w:t>7、</w:t>
      </w:r>
      <w:r>
        <w:rPr>
          <w:rStyle w:val="18"/>
          <w:rFonts w:hint="eastAsia" w:ascii="仿宋" w:hAnsi="仿宋" w:eastAsia="仿宋_GB2312"/>
          <w:bCs/>
          <w:color w:val="000000"/>
          <w:sz w:val="32"/>
          <w:szCs w:val="32"/>
        </w:rPr>
        <w:t>农林水支出（类）扶贫（款）其他扶贫支出（项）</w:t>
      </w:r>
      <w:r>
        <w:rPr>
          <w:rStyle w:val="18"/>
          <w:rFonts w:hint="eastAsia" w:ascii="仿宋" w:hAnsi="仿宋" w:eastAsia="仿宋_GB2312"/>
          <w:b w:val="0"/>
          <w:bCs/>
          <w:color w:val="000000"/>
          <w:sz w:val="32"/>
          <w:szCs w:val="32"/>
        </w:rPr>
        <w:t>支出决算为</w:t>
      </w:r>
      <w:r>
        <w:rPr>
          <w:rStyle w:val="18"/>
          <w:rFonts w:ascii="仿宋" w:hAnsi="仿宋" w:eastAsia="仿宋_GB2312"/>
          <w:b w:val="0"/>
          <w:bCs/>
          <w:color w:val="000000"/>
          <w:sz w:val="32"/>
          <w:szCs w:val="32"/>
        </w:rPr>
        <w:t>0.5</w:t>
      </w:r>
      <w:r>
        <w:rPr>
          <w:rStyle w:val="18"/>
          <w:rFonts w:hint="eastAsia" w:ascii="仿宋" w:hAnsi="仿宋" w:eastAsia="仿宋_GB2312"/>
          <w:b w:val="0"/>
          <w:bCs/>
          <w:color w:val="000000"/>
          <w:sz w:val="32"/>
          <w:szCs w:val="32"/>
        </w:rPr>
        <w:t>万元，完成预算</w:t>
      </w:r>
      <w:r>
        <w:rPr>
          <w:rStyle w:val="18"/>
          <w:rFonts w:ascii="仿宋" w:hAnsi="仿宋" w:eastAsia="仿宋_GB2312"/>
          <w:b w:val="0"/>
          <w:bCs/>
          <w:color w:val="000000"/>
          <w:sz w:val="32"/>
          <w:szCs w:val="32"/>
        </w:rPr>
        <w:t>100%</w:t>
      </w:r>
      <w:r>
        <w:rPr>
          <w:rStyle w:val="18"/>
          <w:rFonts w:hint="eastAsia" w:ascii="仿宋" w:hAnsi="仿宋" w:eastAsia="仿宋_GB2312"/>
          <w:b w:val="0"/>
          <w:bCs/>
          <w:color w:val="000000"/>
          <w:sz w:val="32"/>
          <w:szCs w:val="32"/>
        </w:rPr>
        <w:t>。</w:t>
      </w:r>
    </w:p>
    <w:p>
      <w:pPr>
        <w:spacing w:line="600" w:lineRule="exact"/>
        <w:ind w:firstLine="640" w:firstLineChars="200"/>
        <w:rPr>
          <w:rFonts w:ascii="仿宋" w:hAnsi="仿宋" w:eastAsia="仿宋_GB2312"/>
          <w:bCs/>
          <w:color w:val="000000"/>
          <w:sz w:val="32"/>
          <w:szCs w:val="32"/>
        </w:rPr>
      </w:pPr>
      <w:r>
        <w:rPr>
          <w:rStyle w:val="18"/>
          <w:rFonts w:hint="eastAsia" w:ascii="仿宋" w:hAnsi="仿宋" w:eastAsia="仿宋_GB2312"/>
          <w:b w:val="0"/>
          <w:bCs/>
          <w:color w:val="000000"/>
          <w:sz w:val="32"/>
          <w:szCs w:val="32"/>
        </w:rPr>
        <w:t>8、</w:t>
      </w:r>
      <w:r>
        <w:rPr>
          <w:rFonts w:hint="eastAsia" w:ascii="仿宋_GB2312" w:eastAsia="仿宋_GB2312" w:cs="仿宋_GB2312"/>
          <w:b/>
          <w:bCs/>
          <w:color w:val="404040"/>
          <w:sz w:val="32"/>
          <w:szCs w:val="32"/>
        </w:rPr>
        <w:t>住房保障支出：</w:t>
      </w:r>
      <w:r>
        <w:rPr>
          <w:rFonts w:hint="eastAsia" w:ascii="仿宋_GB2312" w:eastAsia="仿宋_GB2312" w:cs="仿宋_GB2312"/>
          <w:color w:val="000000"/>
          <w:sz w:val="32"/>
          <w:szCs w:val="32"/>
        </w:rPr>
        <w:t>决算数为</w:t>
      </w:r>
      <w:r>
        <w:rPr>
          <w:rStyle w:val="18"/>
          <w:rFonts w:hint="eastAsia" w:ascii="仿宋_GB2312" w:eastAsia="仿宋_GB2312" w:cs="仿宋_GB2312"/>
          <w:color w:val="000000"/>
          <w:sz w:val="32"/>
          <w:szCs w:val="32"/>
        </w:rPr>
        <w:t>42.5</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643" w:firstLineChars="200"/>
        <w:rPr>
          <w:rFonts w:ascii="仿宋" w:hAnsi="仿宋" w:eastAsia="仿宋_GB2312"/>
          <w:b/>
          <w:sz w:val="32"/>
          <w:szCs w:val="32"/>
        </w:rPr>
      </w:pPr>
      <w:r>
        <w:rPr>
          <w:rFonts w:hint="eastAsia" w:ascii="仿宋" w:hAnsi="仿宋" w:eastAsia="仿宋_GB2312"/>
          <w:b/>
          <w:sz w:val="32"/>
          <w:szCs w:val="32"/>
        </w:rPr>
        <w:t>（注：数据来源于财决</w:t>
      </w:r>
      <w:r>
        <w:rPr>
          <w:rFonts w:ascii="仿宋" w:hAnsi="仿宋" w:eastAsia="仿宋_GB2312"/>
          <w:b/>
          <w:sz w:val="32"/>
          <w:szCs w:val="32"/>
        </w:rPr>
        <w:t>0</w:t>
      </w:r>
      <w:r>
        <w:rPr>
          <w:rFonts w:hint="eastAsia" w:ascii="仿宋" w:hAnsi="仿宋" w:eastAsia="仿宋_GB2312"/>
          <w:b/>
          <w:sz w:val="32"/>
          <w:szCs w:val="32"/>
        </w:rPr>
        <w:t>1-1表和财决08表，仅罗列本部门涉及的全部功能分类科目，至项级。上述“预算”口径为调整预算数。增减变动原因为决算数</w:t>
      </w:r>
      <w:r>
        <w:rPr>
          <w:rFonts w:ascii="仿宋" w:hAnsi="仿宋" w:eastAsia="仿宋_GB2312"/>
          <w:b/>
          <w:sz w:val="32"/>
          <w:szCs w:val="32"/>
        </w:rPr>
        <w:t>&lt;</w:t>
      </w:r>
      <w:r>
        <w:rPr>
          <w:rFonts w:hint="eastAsia" w:ascii="仿宋" w:hAnsi="仿宋" w:eastAsia="仿宋_GB2312"/>
          <w:b/>
          <w:sz w:val="32"/>
          <w:szCs w:val="32"/>
        </w:rPr>
        <w:t>项级</w:t>
      </w:r>
      <w:r>
        <w:rPr>
          <w:rFonts w:ascii="仿宋" w:hAnsi="仿宋" w:eastAsia="仿宋_GB2312"/>
          <w:b/>
          <w:sz w:val="32"/>
          <w:szCs w:val="32"/>
        </w:rPr>
        <w:t>&gt;</w:t>
      </w:r>
      <w:r>
        <w:rPr>
          <w:rFonts w:hint="eastAsia" w:ascii="仿宋" w:hAnsi="仿宋" w:eastAsia="仿宋_GB2312"/>
          <w:b/>
          <w:sz w:val="32"/>
          <w:szCs w:val="32"/>
        </w:rPr>
        <w:t>和调整预算数</w:t>
      </w:r>
      <w:r>
        <w:rPr>
          <w:rFonts w:ascii="仿宋" w:hAnsi="仿宋" w:eastAsia="仿宋_GB2312"/>
          <w:b/>
          <w:sz w:val="32"/>
          <w:szCs w:val="32"/>
        </w:rPr>
        <w:t>&lt;</w:t>
      </w:r>
      <w:r>
        <w:rPr>
          <w:rFonts w:hint="eastAsia" w:ascii="仿宋" w:hAnsi="仿宋" w:eastAsia="仿宋_GB2312"/>
          <w:b/>
          <w:sz w:val="32"/>
          <w:szCs w:val="32"/>
        </w:rPr>
        <w:t>项级</w:t>
      </w:r>
      <w:r>
        <w:rPr>
          <w:rFonts w:ascii="仿宋" w:hAnsi="仿宋" w:eastAsia="仿宋_GB2312"/>
          <w:b/>
          <w:sz w:val="32"/>
          <w:szCs w:val="32"/>
        </w:rPr>
        <w:t>&gt;</w:t>
      </w:r>
      <w:r>
        <w:rPr>
          <w:rFonts w:hint="eastAsia" w:ascii="仿宋" w:hAnsi="仿宋" w:eastAsia="仿宋_GB2312"/>
          <w:b/>
          <w:sz w:val="32"/>
          <w:szCs w:val="32"/>
        </w:rPr>
        <w:t>比较，与预算数持平可以不写原因。）</w:t>
      </w:r>
    </w:p>
    <w:p>
      <w:pPr>
        <w:tabs>
          <w:tab w:val="right" w:pos="8306"/>
        </w:tabs>
        <w:spacing w:line="600" w:lineRule="exact"/>
        <w:ind w:firstLine="640"/>
        <w:outlineLvl w:val="1"/>
        <w:rPr>
          <w:rStyle w:val="30"/>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40"/>
      <w:bookmarkEnd w:id="41"/>
      <w:r>
        <w:rPr>
          <w:rStyle w:val="30"/>
          <w:rFonts w:ascii="黑体" w:hAnsi="黑体" w:eastAsia="黑体"/>
          <w:b w:val="0"/>
        </w:rPr>
        <w:tab/>
      </w:r>
    </w:p>
    <w:p>
      <w:pPr>
        <w:spacing w:line="600" w:lineRule="exact"/>
        <w:ind w:firstLine="645"/>
        <w:rPr>
          <w:rFonts w:ascii="仿宋" w:hAnsi="仿宋" w:eastAsia="仿宋_GB2312"/>
          <w:sz w:val="32"/>
          <w:szCs w:val="32"/>
        </w:rPr>
      </w:pPr>
      <w:r>
        <w:rPr>
          <w:rFonts w:ascii="仿宋" w:hAnsi="仿宋" w:eastAsia="仿宋_GB2312"/>
          <w:sz w:val="32"/>
          <w:szCs w:val="32"/>
        </w:rPr>
        <w:t>20</w:t>
      </w:r>
      <w:r>
        <w:rPr>
          <w:rFonts w:hint="eastAsia" w:ascii="仿宋" w:hAnsi="仿宋" w:eastAsia="仿宋_GB2312"/>
          <w:sz w:val="32"/>
          <w:szCs w:val="32"/>
        </w:rPr>
        <w:t>21年一般公共预算财政拨款基本支出878.14万元，其中：</w:t>
      </w:r>
    </w:p>
    <w:p>
      <w:pPr>
        <w:spacing w:line="600" w:lineRule="exact"/>
        <w:ind w:firstLine="645"/>
        <w:rPr>
          <w:rFonts w:ascii="仿宋" w:hAnsi="仿宋" w:eastAsia="仿宋_GB2312"/>
          <w:sz w:val="32"/>
          <w:szCs w:val="32"/>
        </w:rPr>
      </w:pPr>
      <w:r>
        <w:rPr>
          <w:rFonts w:hint="eastAsia" w:ascii="仿宋" w:hAnsi="仿宋" w:eastAsia="仿宋_GB2312"/>
          <w:sz w:val="32"/>
          <w:szCs w:val="32"/>
        </w:rPr>
        <w:t>人员经费771.56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rPr>
          <w:rFonts w:ascii="仿宋" w:hAnsi="仿宋" w:eastAsia="仿宋_GB2312"/>
          <w:sz w:val="32"/>
          <w:szCs w:val="32"/>
        </w:rPr>
      </w:pPr>
      <w:r>
        <w:rPr>
          <w:rFonts w:hint="eastAsia" w:ascii="仿宋" w:hAnsi="仿宋" w:eastAsia="仿宋_GB2312"/>
          <w:sz w:val="32"/>
          <w:szCs w:val="32"/>
        </w:rPr>
        <w:t xml:space="preserve">   公用经费106.58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_GB2312"/>
          <w:b/>
          <w:sz w:val="32"/>
          <w:szCs w:val="32"/>
        </w:rPr>
      </w:pPr>
      <w:r>
        <w:rPr>
          <w:rFonts w:hint="eastAsia" w:ascii="仿宋" w:hAnsi="仿宋" w:eastAsia="仿宋_GB2312"/>
          <w:b/>
          <w:sz w:val="32"/>
          <w:szCs w:val="32"/>
        </w:rPr>
        <w:t>（注：数据来源于财决</w:t>
      </w:r>
      <w:r>
        <w:rPr>
          <w:rFonts w:ascii="仿宋" w:hAnsi="仿宋" w:eastAsia="仿宋_GB2312"/>
          <w:b/>
          <w:sz w:val="32"/>
          <w:szCs w:val="32"/>
        </w:rPr>
        <w:t>0</w:t>
      </w:r>
      <w:r>
        <w:rPr>
          <w:rFonts w:hint="eastAsia" w:ascii="仿宋" w:hAnsi="仿宋" w:eastAsia="仿宋_GB2312"/>
          <w:b/>
          <w:sz w:val="32"/>
          <w:szCs w:val="32"/>
        </w:rPr>
        <w:t>7表和财决08-1表，仅罗列本部门实际支出涉及的经济分类科目。）</w:t>
      </w:r>
    </w:p>
    <w:p>
      <w:pPr>
        <w:spacing w:line="600" w:lineRule="exact"/>
        <w:ind w:firstLine="640"/>
        <w:outlineLvl w:val="1"/>
        <w:rPr>
          <w:rStyle w:val="30"/>
          <w:rFonts w:ascii="黑体" w:hAnsi="黑体" w:eastAsia="黑体"/>
          <w:b w:val="0"/>
        </w:rPr>
      </w:pPr>
      <w:bookmarkStart w:id="42" w:name="_Toc15396609"/>
      <w:bookmarkStart w:id="43" w:name="_Toc15377215"/>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_GB2312"/>
          <w:b/>
          <w:sz w:val="32"/>
          <w:szCs w:val="32"/>
        </w:rPr>
      </w:pPr>
      <w:bookmarkStart w:id="44" w:name="_Toc15377216"/>
      <w:r>
        <w:rPr>
          <w:rFonts w:hint="eastAsia" w:ascii="仿宋" w:hAnsi="仿宋" w:eastAsia="仿宋_GB2312"/>
          <w:b/>
          <w:sz w:val="32"/>
          <w:szCs w:val="32"/>
        </w:rPr>
        <w:t>（一）“三公”经费财政拨款支出决算总体情况说明</w:t>
      </w:r>
      <w:bookmarkEnd w:id="44"/>
    </w:p>
    <w:p>
      <w:pPr>
        <w:spacing w:line="600" w:lineRule="exact"/>
        <w:ind w:firstLine="640"/>
        <w:rPr>
          <w:rFonts w:ascii="仿宋" w:hAnsi="仿宋" w:eastAsia="仿宋_GB2312"/>
          <w:sz w:val="32"/>
          <w:szCs w:val="32"/>
        </w:rPr>
      </w:pPr>
      <w:r>
        <w:rPr>
          <w:rFonts w:ascii="仿宋" w:hAnsi="仿宋" w:eastAsia="仿宋_GB2312"/>
          <w:sz w:val="32"/>
          <w:szCs w:val="32"/>
        </w:rPr>
        <w:t>20</w:t>
      </w:r>
      <w:r>
        <w:rPr>
          <w:rFonts w:hint="eastAsia" w:ascii="仿宋" w:hAnsi="仿宋" w:eastAsia="仿宋_GB2312"/>
          <w:sz w:val="32"/>
          <w:szCs w:val="32"/>
        </w:rPr>
        <w:t>21年“三公”经费财政拨款支出决算为4.15万元，完成预算100</w:t>
      </w:r>
      <w:r>
        <w:rPr>
          <w:rFonts w:ascii="仿宋" w:hAnsi="仿宋" w:eastAsia="仿宋_GB2312"/>
          <w:sz w:val="32"/>
          <w:szCs w:val="32"/>
        </w:rPr>
        <w:t>%</w:t>
      </w:r>
      <w:r>
        <w:rPr>
          <w:rFonts w:hint="eastAsia" w:ascii="仿宋" w:hAnsi="仿宋" w:eastAsia="仿宋_GB2312"/>
          <w:sz w:val="32"/>
          <w:szCs w:val="32"/>
        </w:rPr>
        <w:t>，与预算数持平。</w:t>
      </w:r>
    </w:p>
    <w:p>
      <w:pPr>
        <w:spacing w:line="600" w:lineRule="exact"/>
        <w:ind w:firstLine="640"/>
        <w:rPr>
          <w:rFonts w:ascii="仿宋" w:hAnsi="仿宋" w:eastAsia="仿宋_GB2312"/>
          <w:b/>
          <w:sz w:val="32"/>
          <w:szCs w:val="32"/>
        </w:rPr>
      </w:pPr>
      <w:r>
        <w:rPr>
          <w:rFonts w:hint="eastAsia" w:ascii="仿宋" w:hAnsi="仿宋" w:eastAsia="仿宋_GB2312"/>
          <w:b/>
          <w:sz w:val="32"/>
          <w:szCs w:val="32"/>
        </w:rPr>
        <w:t>（注：上述“预算”口径为调整预算数。）</w:t>
      </w:r>
    </w:p>
    <w:p>
      <w:pPr>
        <w:spacing w:line="600" w:lineRule="exact"/>
        <w:ind w:firstLine="640"/>
        <w:outlineLvl w:val="2"/>
        <w:rPr>
          <w:rFonts w:ascii="仿宋" w:hAnsi="仿宋" w:eastAsia="仿宋_GB2312"/>
          <w:b/>
          <w:sz w:val="32"/>
          <w:szCs w:val="32"/>
        </w:rPr>
      </w:pPr>
      <w:bookmarkStart w:id="45" w:name="_Toc15377217"/>
      <w:r>
        <w:rPr>
          <w:rFonts w:hint="eastAsia" w:ascii="仿宋" w:hAnsi="仿宋" w:eastAsia="仿宋_GB2312"/>
          <w:b/>
          <w:sz w:val="32"/>
          <w:szCs w:val="32"/>
        </w:rPr>
        <w:t>（二）“三公”经费财政拨款支出决算具体情况说明</w:t>
      </w:r>
      <w:bookmarkEnd w:id="45"/>
    </w:p>
    <w:p>
      <w:pPr>
        <w:spacing w:line="600" w:lineRule="exact"/>
        <w:ind w:firstLine="640"/>
        <w:rPr>
          <w:rFonts w:ascii="仿宋" w:hAnsi="仿宋" w:eastAsia="仿宋_GB2312"/>
          <w:sz w:val="32"/>
          <w:szCs w:val="32"/>
        </w:rPr>
      </w:pPr>
      <w:r>
        <w:rPr>
          <w:rFonts w:ascii="仿宋" w:hAnsi="仿宋" w:eastAsia="仿宋_GB2312"/>
          <w:color w:val="000000"/>
          <w:sz w:val="32"/>
          <w:szCs w:val="32"/>
        </w:rPr>
        <w:drawing>
          <wp:anchor distT="0" distB="0" distL="114300" distR="114300" simplePos="0" relativeHeight="251665408" behindDoc="0" locked="0" layoutInCell="1" allowOverlap="1">
            <wp:simplePos x="0" y="0"/>
            <wp:positionH relativeFrom="column">
              <wp:posOffset>35560</wp:posOffset>
            </wp:positionH>
            <wp:positionV relativeFrom="paragraph">
              <wp:posOffset>1560195</wp:posOffset>
            </wp:positionV>
            <wp:extent cx="5274310" cy="3076575"/>
            <wp:effectExtent l="5080" t="4445" r="16510" b="508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hAnsi="仿宋" w:eastAsia="仿宋_GB2312"/>
          <w:sz w:val="32"/>
          <w:szCs w:val="32"/>
        </w:rPr>
        <w:t>20</w:t>
      </w:r>
      <w:r>
        <w:rPr>
          <w:rFonts w:hint="eastAsia" w:ascii="仿宋" w:hAnsi="仿宋" w:eastAsia="仿宋_GB2312"/>
          <w:sz w:val="32"/>
          <w:szCs w:val="32"/>
        </w:rPr>
        <w:t>21年“三公”经费财政拨款支出决算中，因公出国（境）费支出决算0万元，占0</w:t>
      </w:r>
      <w:r>
        <w:rPr>
          <w:rFonts w:ascii="仿宋" w:hAnsi="仿宋" w:eastAsia="仿宋_GB2312"/>
          <w:sz w:val="32"/>
          <w:szCs w:val="32"/>
        </w:rPr>
        <w:t>%</w:t>
      </w:r>
      <w:r>
        <w:rPr>
          <w:rFonts w:hint="eastAsia" w:ascii="仿宋" w:hAnsi="仿宋" w:eastAsia="仿宋_GB2312"/>
          <w:sz w:val="32"/>
          <w:szCs w:val="32"/>
        </w:rPr>
        <w:t>；公务用车购置及运行维护费支出决算0万元，占0</w:t>
      </w:r>
      <w:r>
        <w:rPr>
          <w:rFonts w:ascii="仿宋" w:hAnsi="仿宋" w:eastAsia="仿宋_GB2312"/>
          <w:sz w:val="32"/>
          <w:szCs w:val="32"/>
        </w:rPr>
        <w:t>%</w:t>
      </w:r>
      <w:r>
        <w:rPr>
          <w:rFonts w:hint="eastAsia" w:ascii="仿宋" w:hAnsi="仿宋" w:eastAsia="仿宋_GB2312"/>
          <w:sz w:val="32"/>
          <w:szCs w:val="32"/>
        </w:rPr>
        <w:t>；公务接待费支出决算4.15万元，占100</w:t>
      </w:r>
      <w:r>
        <w:rPr>
          <w:rFonts w:ascii="仿宋" w:hAnsi="仿宋" w:eastAsia="仿宋_GB2312"/>
          <w:sz w:val="32"/>
          <w:szCs w:val="32"/>
        </w:rPr>
        <w:t>%</w:t>
      </w:r>
      <w:r>
        <w:rPr>
          <w:rFonts w:hint="eastAsia" w:ascii="仿宋" w:hAnsi="仿宋" w:eastAsia="仿宋_GB2312"/>
          <w:sz w:val="32"/>
          <w:szCs w:val="32"/>
        </w:rPr>
        <w:t>。具体情况如下：</w:t>
      </w:r>
    </w:p>
    <w:p>
      <w:pPr>
        <w:pStyle w:val="20"/>
      </w:pPr>
    </w:p>
    <w:p>
      <w:pPr>
        <w:spacing w:line="600" w:lineRule="exact"/>
        <w:ind w:firstLine="640"/>
        <w:rPr>
          <w:rFonts w:ascii="仿宋" w:hAnsi="仿宋" w:eastAsia="仿宋_GB2312"/>
          <w:sz w:val="32"/>
          <w:szCs w:val="32"/>
        </w:rPr>
      </w:pPr>
      <w:r>
        <w:rPr>
          <w:rFonts w:hint="eastAsia" w:ascii="仿宋" w:hAnsi="仿宋" w:eastAsia="仿宋_GB2312"/>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_GB2312"/>
          <w:b w:val="0"/>
          <w:bCs/>
          <w:sz w:val="32"/>
          <w:szCs w:val="32"/>
        </w:rPr>
        <w:t>完成预算0</w:t>
      </w:r>
      <w:r>
        <w:rPr>
          <w:rStyle w:val="18"/>
          <w:rFonts w:ascii="仿宋" w:hAnsi="仿宋" w:eastAsia="仿宋_GB2312"/>
          <w:b w:val="0"/>
          <w:bCs/>
          <w:sz w:val="32"/>
          <w:szCs w:val="32"/>
        </w:rPr>
        <w:t>%</w:t>
      </w:r>
      <w:r>
        <w:rPr>
          <w:rStyle w:val="18"/>
          <w:rFonts w:hint="eastAsia" w:ascii="仿宋" w:hAnsi="仿宋" w:eastAsia="仿宋_GB2312"/>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无开支内容。</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8"/>
          <w:rFonts w:hint="eastAsia" w:ascii="仿宋" w:hAnsi="仿宋" w:eastAsia="仿宋_GB2312"/>
          <w:b w:val="0"/>
          <w:bCs/>
          <w:sz w:val="32"/>
          <w:szCs w:val="32"/>
        </w:rPr>
        <w:t>完成预算0</w:t>
      </w:r>
      <w:r>
        <w:rPr>
          <w:rStyle w:val="18"/>
          <w:rFonts w:ascii="仿宋" w:hAnsi="仿宋" w:eastAsia="仿宋_GB2312"/>
          <w:b w:val="0"/>
          <w:bCs/>
          <w:sz w:val="32"/>
          <w:szCs w:val="32"/>
        </w:rPr>
        <w:t>%</w:t>
      </w:r>
      <w:r>
        <w:rPr>
          <w:rStyle w:val="18"/>
          <w:rFonts w:hint="eastAsia" w:ascii="仿宋" w:hAnsi="仿宋" w:eastAsia="仿宋_GB2312"/>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numPr>
          <w:ilvl w:val="0"/>
          <w:numId w:val="3"/>
        </w:numPr>
        <w:spacing w:line="600" w:lineRule="exact"/>
        <w:ind w:firstLine="640"/>
        <w:rPr>
          <w:rFonts w:ascii="仿宋_GB2312" w:eastAsia="仿宋_GB2312"/>
          <w:color w:val="000000"/>
          <w:sz w:val="32"/>
          <w:szCs w:val="32"/>
        </w:rPr>
      </w:pPr>
      <w:r>
        <w:rPr>
          <w:rFonts w:hint="eastAsia" w:ascii="仿宋_GB2312" w:eastAsia="仿宋_GB2312"/>
          <w:b/>
          <w:sz w:val="32"/>
          <w:szCs w:val="32"/>
        </w:rPr>
        <w:t>公务接待费支出</w:t>
      </w:r>
      <w:r>
        <w:rPr>
          <w:rFonts w:hint="eastAsia" w:ascii="仿宋_GB2312" w:eastAsia="仿宋_GB2312"/>
          <w:sz w:val="32"/>
          <w:szCs w:val="32"/>
        </w:rPr>
        <w:t>4.15万元，</w:t>
      </w:r>
      <w:r>
        <w:rPr>
          <w:rStyle w:val="18"/>
          <w:rFonts w:hint="eastAsia" w:ascii="仿宋" w:hAnsi="仿宋" w:eastAsia="仿宋_GB2312"/>
          <w:b w:val="0"/>
          <w:bCs/>
          <w:sz w:val="32"/>
          <w:szCs w:val="32"/>
        </w:rPr>
        <w:t>完成预算100</w:t>
      </w:r>
      <w:r>
        <w:rPr>
          <w:rStyle w:val="18"/>
          <w:rFonts w:ascii="仿宋" w:hAnsi="仿宋" w:eastAsia="仿宋_GB2312"/>
          <w:b w:val="0"/>
          <w:bCs/>
          <w:sz w:val="32"/>
          <w:szCs w:val="32"/>
        </w:rPr>
        <w:t>%</w:t>
      </w:r>
      <w:r>
        <w:rPr>
          <w:rStyle w:val="18"/>
          <w:rFonts w:hint="eastAsia" w:ascii="仿宋" w:hAnsi="仿宋" w:eastAsia="仿宋_GB2312"/>
          <w:b w:val="0"/>
          <w:bCs/>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20年基本持平</w:t>
      </w:r>
    </w:p>
    <w:p>
      <w:pPr>
        <w:numPr>
          <w:ilvl w:val="0"/>
          <w:numId w:val="3"/>
        </w:numPr>
        <w:spacing w:line="600" w:lineRule="exact"/>
        <w:ind w:firstLine="640"/>
        <w:rPr>
          <w:rFonts w:ascii="仿宋_GB2312" w:eastAsia="仿宋_GB2312"/>
          <w:sz w:val="32"/>
          <w:szCs w:val="32"/>
        </w:rPr>
      </w:pPr>
      <w:r>
        <w:rPr>
          <w:rFonts w:hint="eastAsia" w:ascii="仿宋" w:hAnsi="仿宋" w:eastAsia="仿宋_GB2312"/>
          <w:b/>
          <w:sz w:val="32"/>
          <w:szCs w:val="32"/>
        </w:rPr>
        <w:t>国内公务接待支出</w:t>
      </w:r>
      <w:r>
        <w:rPr>
          <w:rFonts w:hint="eastAsia" w:ascii="仿宋" w:hAnsi="仿宋" w:eastAsia="仿宋_GB2312"/>
          <w:sz w:val="32"/>
          <w:szCs w:val="32"/>
        </w:rPr>
        <w:t>4.15</w:t>
      </w:r>
      <w:r>
        <w:rPr>
          <w:rFonts w:hint="eastAsia" w:ascii="仿宋_GB2312" w:eastAsia="仿宋_GB2312"/>
          <w:sz w:val="32"/>
          <w:szCs w:val="32"/>
        </w:rPr>
        <w:t>万元，主要用于</w:t>
      </w:r>
      <w:r>
        <w:rPr>
          <w:rFonts w:hint="eastAsia" w:ascii="仿宋_GB2312" w:eastAsia="仿宋_GB2312"/>
          <w:color w:val="000000"/>
          <w:sz w:val="32"/>
          <w:szCs w:val="32"/>
        </w:rPr>
        <w:t>执行公务的交通费、用餐费等</w:t>
      </w:r>
      <w:r>
        <w:rPr>
          <w:rFonts w:hint="eastAsia" w:ascii="仿宋_GB2312" w:eastAsia="仿宋_GB2312"/>
          <w:sz w:val="32"/>
          <w:szCs w:val="32"/>
        </w:rPr>
        <w:t>。国内公务接待28批次，526人次（不包括陪同人员），共计支出4.15万元，具体内容包括</w:t>
      </w:r>
      <w:r>
        <w:rPr>
          <w:rFonts w:hint="eastAsia" w:ascii="仿宋_GB2312" w:eastAsia="仿宋_GB2312"/>
          <w:color w:val="000000"/>
          <w:sz w:val="32"/>
          <w:szCs w:val="32"/>
        </w:rPr>
        <w:t>市内各县区人大常委会交流考察学习、各地市州及省外人大常委会交流考察学习等</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_GB2312"/>
          <w:b/>
          <w:sz w:val="32"/>
          <w:szCs w:val="32"/>
        </w:rPr>
        <w:t>外事接待支出</w:t>
      </w:r>
      <w:r>
        <w:rPr>
          <w:rFonts w:hint="eastAsia" w:ascii="仿宋" w:hAnsi="仿宋" w:eastAsia="仿宋_GB2312"/>
          <w:sz w:val="32"/>
          <w:szCs w:val="32"/>
        </w:rPr>
        <w:t>0</w:t>
      </w:r>
      <w:r>
        <w:rPr>
          <w:rFonts w:hint="eastAsia" w:ascii="仿宋_GB2312" w:eastAsia="仿宋_GB2312"/>
          <w:sz w:val="32"/>
          <w:szCs w:val="32"/>
        </w:rPr>
        <w:t>万元，外事接待0批次，0人，共计支出0万元。</w:t>
      </w:r>
      <w:bookmarkStart w:id="46" w:name="_Toc15396610"/>
      <w:bookmarkStart w:id="47" w:name="_Toc15377218"/>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4"/>
        </w:numPr>
        <w:spacing w:line="600" w:lineRule="exact"/>
        <w:ind w:firstLine="640"/>
        <w:outlineLvl w:val="1"/>
        <w:rPr>
          <w:rStyle w:val="30"/>
          <w:rFonts w:ascii="黑体" w:hAnsi="黑体" w:eastAsia="黑体"/>
          <w:b w:val="0"/>
        </w:rPr>
      </w:pPr>
      <w:bookmarkStart w:id="48" w:name="_Toc15377219"/>
      <w:bookmarkStart w:id="49" w:name="_Toc15396611"/>
      <w:r>
        <w:rPr>
          <w:rStyle w:val="30"/>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autoSpaceDE w:val="0"/>
        <w:autoSpaceDN w:val="0"/>
        <w:adjustRightInd w:val="0"/>
        <w:spacing w:line="600" w:lineRule="exact"/>
        <w:ind w:firstLine="643" w:firstLineChars="200"/>
        <w:jc w:val="left"/>
        <w:outlineLvl w:val="2"/>
        <w:rPr>
          <w:rFonts w:ascii="仿宋" w:hAnsi="仿宋" w:eastAsia="仿宋_GB2312"/>
          <w:b/>
          <w:sz w:val="32"/>
          <w:szCs w:val="32"/>
        </w:rPr>
      </w:pPr>
      <w:bookmarkStart w:id="50" w:name="_Toc15377221"/>
      <w:bookmarkStart w:id="51" w:name="_Toc15396612"/>
      <w:r>
        <w:rPr>
          <w:rFonts w:hint="eastAsia" w:ascii="仿宋" w:hAnsi="仿宋" w:eastAsia="仿宋_GB2312"/>
          <w:b/>
          <w:sz w:val="32"/>
          <w:szCs w:val="32"/>
        </w:rPr>
        <w:t>十、预算绩效管理情况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 w:hAnsi="仿宋" w:eastAsia="仿宋_GB2312" w:cs="仿宋"/>
          <w:sz w:val="32"/>
          <w:szCs w:val="32"/>
        </w:rPr>
        <w:t>八届人大六次会议、换届选举、九届人大一次会议、离退休干部管理、联网预算监督平台、联系重点工作、区人大代表活动视察、人大常委会会议、人大代表培训、人大代表学习考察、人大代表意见办理、人大公报、人大评议财政预算审查规范性文件审查、人大普法立法与监督、人大信息化维护、人大宣传</w:t>
      </w:r>
      <w:r>
        <w:rPr>
          <w:rFonts w:hint="eastAsia" w:ascii="仿宋_GB2312" w:hAnsi="仿宋_GB2312" w:eastAsia="仿宋_GB2312" w:cs="仿宋_GB2312"/>
          <w:sz w:val="32"/>
          <w:szCs w:val="32"/>
        </w:rPr>
        <w:t>等16个项目开展了预算事前绩效评估，对16个项目编制了绩效目标，预算执行过程中，选取16个项目开展绩效监控，年终执行完毕后，对16个项目开展了绩效自评。同时，本部门对2021年部门整体开展绩效自评，《2021年区人大整体绩效评价报告》见附件（第四部分）。</w:t>
      </w:r>
    </w:p>
    <w:p>
      <w:pPr>
        <w:spacing w:line="600" w:lineRule="exact"/>
        <w:ind w:firstLine="640" w:firstLineChars="200"/>
        <w:outlineLvl w:val="1"/>
        <w:rPr>
          <w:rStyle w:val="30"/>
          <w:rFonts w:ascii="黑体" w:hAnsi="黑体" w:eastAsia="黑体"/>
          <w:b w:val="0"/>
        </w:rPr>
      </w:pPr>
      <w:r>
        <w:rPr>
          <w:rStyle w:val="30"/>
          <w:rFonts w:hint="eastAsia" w:ascii="黑体" w:hAnsi="黑体" w:eastAsia="黑体"/>
          <w:b w:val="0"/>
        </w:rPr>
        <w:t>十一、其他重要事项的情况说明</w:t>
      </w:r>
      <w:bookmarkEnd w:id="50"/>
      <w:bookmarkEnd w:id="51"/>
    </w:p>
    <w:p>
      <w:pPr>
        <w:spacing w:line="600" w:lineRule="exact"/>
        <w:ind w:firstLine="643" w:firstLineChars="200"/>
        <w:outlineLvl w:val="2"/>
        <w:rPr>
          <w:rFonts w:ascii="仿宋" w:hAnsi="仿宋" w:eastAsia="仿宋_GB2312"/>
          <w:sz w:val="32"/>
          <w:szCs w:val="32"/>
        </w:rPr>
      </w:pPr>
      <w:bookmarkStart w:id="52" w:name="_Toc15377222"/>
      <w:r>
        <w:rPr>
          <w:rFonts w:hint="eastAsia" w:ascii="仿宋" w:hAnsi="仿宋" w:eastAsia="仿宋_GB2312"/>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21年，人大机关运行经费支出106.58万元，比</w:t>
      </w:r>
      <w:r>
        <w:rPr>
          <w:rFonts w:ascii="仿宋_GB2312" w:eastAsia="仿宋_GB2312"/>
          <w:sz w:val="32"/>
          <w:szCs w:val="32"/>
        </w:rPr>
        <w:t>20</w:t>
      </w:r>
      <w:r>
        <w:rPr>
          <w:rFonts w:hint="eastAsia" w:ascii="仿宋_GB2312" w:eastAsia="仿宋_GB2312"/>
          <w:sz w:val="32"/>
          <w:szCs w:val="32"/>
        </w:rPr>
        <w:t>20年减少0.89万元，下降0.83</w:t>
      </w:r>
      <w:r>
        <w:rPr>
          <w:rFonts w:ascii="仿宋_GB2312" w:eastAsia="仿宋_GB2312"/>
          <w:sz w:val="32"/>
          <w:szCs w:val="32"/>
        </w:rPr>
        <w:t>%</w:t>
      </w:r>
      <w:r>
        <w:rPr>
          <w:rFonts w:hint="eastAsia" w:ascii="仿宋_GB2312" w:eastAsia="仿宋_GB2312"/>
          <w:sz w:val="32"/>
          <w:szCs w:val="32"/>
        </w:rPr>
        <w:t>，主要原因是节能减耗。</w:t>
      </w:r>
    </w:p>
    <w:p>
      <w:pPr>
        <w:spacing w:line="600" w:lineRule="exact"/>
        <w:ind w:firstLine="643" w:firstLineChars="200"/>
        <w:rPr>
          <w:rFonts w:ascii="仿宋" w:hAnsi="仿宋" w:eastAsia="仿宋_GB2312"/>
          <w:b/>
          <w:sz w:val="32"/>
          <w:szCs w:val="32"/>
        </w:rPr>
      </w:pPr>
      <w:r>
        <w:rPr>
          <w:rFonts w:hint="eastAsia" w:ascii="仿宋" w:hAnsi="仿宋" w:eastAsia="仿宋_GB2312"/>
          <w:b/>
          <w:sz w:val="32"/>
          <w:szCs w:val="32"/>
        </w:rPr>
        <w:t>（注：数据来源于财决附</w:t>
      </w:r>
      <w:r>
        <w:rPr>
          <w:rFonts w:ascii="仿宋" w:hAnsi="仿宋" w:eastAsia="仿宋_GB2312"/>
          <w:b/>
          <w:sz w:val="32"/>
          <w:szCs w:val="32"/>
        </w:rPr>
        <w:t>03</w:t>
      </w:r>
      <w:r>
        <w:rPr>
          <w:rFonts w:hint="eastAsia" w:ascii="仿宋" w:hAnsi="仿宋" w:eastAsia="仿宋_GB2312"/>
          <w:b/>
          <w:sz w:val="32"/>
          <w:szCs w:val="32"/>
        </w:rPr>
        <w:t>表）</w:t>
      </w:r>
    </w:p>
    <w:p>
      <w:pPr>
        <w:autoSpaceDE w:val="0"/>
        <w:autoSpaceDN w:val="0"/>
        <w:adjustRightInd w:val="0"/>
        <w:spacing w:line="600" w:lineRule="exact"/>
        <w:ind w:firstLine="643" w:firstLineChars="200"/>
        <w:jc w:val="left"/>
        <w:outlineLvl w:val="2"/>
        <w:rPr>
          <w:rFonts w:ascii="仿宋" w:hAnsi="仿宋" w:eastAsia="仿宋_GB2312"/>
          <w:b/>
          <w:sz w:val="32"/>
          <w:szCs w:val="32"/>
        </w:rPr>
      </w:pPr>
      <w:bookmarkStart w:id="53" w:name="_Toc15377223"/>
      <w:r>
        <w:rPr>
          <w:rFonts w:hint="eastAsia" w:ascii="仿宋" w:hAnsi="仿宋" w:eastAsia="仿宋_GB2312"/>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人大机关政府采购支出总额5.6万元，其中：政府采购货物支出5.6万元、主要用于购置办公家具及电脑，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_GB2312"/>
          <w:b/>
          <w:sz w:val="32"/>
          <w:szCs w:val="32"/>
        </w:rPr>
      </w:pPr>
      <w:r>
        <w:rPr>
          <w:rFonts w:hint="eastAsia" w:ascii="仿宋" w:hAnsi="仿宋" w:eastAsia="仿宋_GB2312"/>
          <w:b/>
          <w:sz w:val="32"/>
          <w:szCs w:val="32"/>
        </w:rPr>
        <w:t>（注：数据来源于财决附</w:t>
      </w:r>
      <w:r>
        <w:rPr>
          <w:rFonts w:ascii="仿宋" w:hAnsi="仿宋" w:eastAsia="仿宋_GB2312"/>
          <w:b/>
          <w:sz w:val="32"/>
          <w:szCs w:val="32"/>
        </w:rPr>
        <w:t>03</w:t>
      </w:r>
      <w:r>
        <w:rPr>
          <w:rFonts w:hint="eastAsia" w:ascii="仿宋" w:hAnsi="仿宋" w:eastAsia="仿宋_GB2312"/>
          <w:b/>
          <w:sz w:val="32"/>
          <w:szCs w:val="32"/>
        </w:rPr>
        <w:t>表）</w:t>
      </w:r>
    </w:p>
    <w:p>
      <w:pPr>
        <w:autoSpaceDE w:val="0"/>
        <w:autoSpaceDN w:val="0"/>
        <w:adjustRightInd w:val="0"/>
        <w:spacing w:line="600" w:lineRule="exact"/>
        <w:ind w:firstLine="643" w:firstLineChars="200"/>
        <w:jc w:val="left"/>
        <w:outlineLvl w:val="2"/>
        <w:rPr>
          <w:rFonts w:ascii="仿宋" w:hAnsi="仿宋" w:eastAsia="仿宋_GB2312"/>
          <w:b/>
          <w:sz w:val="32"/>
          <w:szCs w:val="32"/>
        </w:rPr>
      </w:pPr>
      <w:bookmarkStart w:id="54" w:name="_Toc15377224"/>
      <w:r>
        <w:rPr>
          <w:rFonts w:hint="eastAsia" w:ascii="仿宋" w:hAnsi="仿宋" w:eastAsia="仿宋_GB2312"/>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日，人大机关共有车辆0辆，其中：主要领导干部用车0辆、机要通信用车0辆、应急保障用车0辆、其他用车0辆，单价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rPr>
          <w:rFonts w:ascii="仿宋" w:hAnsi="仿宋" w:eastAsia="仿宋_GB2312"/>
          <w:b/>
          <w:sz w:val="32"/>
          <w:szCs w:val="32"/>
        </w:rPr>
      </w:pPr>
      <w:r>
        <w:rPr>
          <w:rFonts w:hint="eastAsia" w:ascii="仿宋" w:hAnsi="仿宋" w:eastAsia="仿宋_GB2312"/>
          <w:b/>
          <w:sz w:val="32"/>
          <w:szCs w:val="32"/>
        </w:rPr>
        <w:t>（注：数据来源于财决附</w:t>
      </w:r>
      <w:r>
        <w:rPr>
          <w:rFonts w:ascii="仿宋" w:hAnsi="仿宋" w:eastAsia="仿宋_GB2312"/>
          <w:b/>
          <w:sz w:val="32"/>
          <w:szCs w:val="32"/>
        </w:rPr>
        <w:t>03</w:t>
      </w:r>
      <w:r>
        <w:rPr>
          <w:rFonts w:hint="eastAsia" w:ascii="仿宋" w:hAnsi="仿宋" w:eastAsia="仿宋_GB2312"/>
          <w:b/>
          <w:sz w:val="32"/>
          <w:szCs w:val="32"/>
        </w:rPr>
        <w:t>表，按部门决算报表填报数据罗列车辆情况。）</w:t>
      </w:r>
    </w:p>
    <w:p>
      <w:pPr>
        <w:spacing w:line="580" w:lineRule="exact"/>
        <w:rPr>
          <w:rFonts w:ascii="仿宋_GB2312" w:hAnsi="仿宋_GB2312" w:eastAsia="仿宋_GB2312" w:cs="仿宋_GB2312"/>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9"/>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9"/>
          <w:rFonts w:hint="eastAsia" w:ascii="黑体" w:hAnsi="黑体" w:eastAsia="黑体"/>
          <w:b w:val="0"/>
        </w:rPr>
        <w:t>词解释</w:t>
      </w:r>
      <w:bookmarkEnd w:id="55"/>
      <w:bookmarkEnd w:id="56"/>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w:t>
      </w:r>
      <w:r>
        <w:rPr>
          <w:rFonts w:hint="eastAsia" w:ascii="仿宋_GB2312" w:eastAsia="仿宋_GB2312"/>
          <w:color w:val="auto"/>
          <w:spacing w:val="-8"/>
          <w:sz w:val="32"/>
          <w:szCs w:val="32"/>
        </w:rPr>
        <w:t>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医疗卫生与计划生育（类）…（款）…（项）：指……。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国土海洋气象等（类）…（款）…（项）：指……。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_GB2312"/>
          <w:b/>
          <w:sz w:val="32"/>
          <w:szCs w:val="32"/>
        </w:rPr>
      </w:pPr>
      <w:r>
        <w:rPr>
          <w:rFonts w:hint="eastAsia" w:ascii="仿宋" w:hAnsi="仿宋" w:eastAsia="仿宋_GB2312"/>
          <w:b/>
          <w:sz w:val="32"/>
          <w:szCs w:val="32"/>
        </w:rPr>
        <w:t>（解释本部门决算报表中涉及的全部功能分类科目至项级，不涉及的科目请自行删除。请参照《</w:t>
      </w:r>
      <w:r>
        <w:rPr>
          <w:rFonts w:ascii="仿宋" w:hAnsi="仿宋" w:eastAsia="仿宋_GB2312"/>
          <w:b/>
          <w:sz w:val="32"/>
          <w:szCs w:val="32"/>
        </w:rPr>
        <w:t>20</w:t>
      </w:r>
      <w:r>
        <w:rPr>
          <w:rFonts w:hint="eastAsia" w:ascii="仿宋" w:hAnsi="仿宋" w:eastAsia="仿宋_GB2312"/>
          <w:b/>
          <w:sz w:val="32"/>
          <w:szCs w:val="32"/>
        </w:rPr>
        <w:t>21年政府收支分类科目》增减内容。）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ind w:firstLine="643" w:firstLineChars="200"/>
        <w:rPr>
          <w:rFonts w:ascii="仿宋" w:hAnsi="仿宋" w:eastAsia="仿宋_GB2312"/>
          <w:b/>
          <w:sz w:val="32"/>
          <w:szCs w:val="32"/>
        </w:rPr>
      </w:pPr>
      <w:r>
        <w:rPr>
          <w:rFonts w:hint="eastAsia" w:ascii="仿宋" w:hAnsi="仿宋" w:eastAsia="仿宋_GB2312"/>
          <w:b/>
          <w:sz w:val="32"/>
          <w:szCs w:val="32"/>
        </w:rPr>
        <w:t>（名词解释部分请根据各部门实际列支情况罗列，并根据本部门职责职能增减名词解释内容。）</w:t>
      </w:r>
    </w:p>
    <w:p>
      <w:pPr>
        <w:spacing w:line="600" w:lineRule="exact"/>
        <w:jc w:val="center"/>
        <w:outlineLvl w:val="0"/>
        <w:rPr>
          <w:rStyle w:val="29"/>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9"/>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2021年区人大整体绩效评价报告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lang w:val="zh-CN"/>
        </w:rPr>
      </w:pPr>
      <w:r>
        <w:rPr>
          <w:rFonts w:hint="eastAsia" w:ascii="仿宋" w:hAnsi="仿宋" w:eastAsia="仿宋_GB2312" w:cs="仿宋_GB2312"/>
          <w:sz w:val="32"/>
          <w:szCs w:val="32"/>
        </w:rPr>
        <w:t>广元市利州区人民代表大会常务委员会办公室是区人大常委会的服务机构，本单位属独立编制机构，属一级预算单位。</w:t>
      </w:r>
    </w:p>
    <w:p>
      <w:pPr>
        <w:widowControl/>
        <w:numPr>
          <w:ilvl w:val="0"/>
          <w:numId w:val="6"/>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pStyle w:val="2"/>
        <w:adjustRightInd w:val="0"/>
        <w:snapToGrid w:val="0"/>
        <w:spacing w:before="93" w:line="576" w:lineRule="exact"/>
        <w:ind w:firstLine="640" w:firstLineChars="200"/>
        <w:outlineLvl w:val="2"/>
        <w:rPr>
          <w:rFonts w:ascii="仿宋" w:hAnsi="仿宋"/>
          <w:bCs/>
          <w:color w:val="000000"/>
          <w:sz w:val="32"/>
          <w:szCs w:val="32"/>
        </w:rPr>
      </w:pPr>
      <w:r>
        <w:rPr>
          <w:rFonts w:ascii="仿宋" w:hAnsi="仿宋"/>
          <w:bCs/>
          <w:color w:val="000000"/>
          <w:sz w:val="32"/>
          <w:szCs w:val="32"/>
        </w:rPr>
        <w:t>1</w:t>
      </w:r>
      <w:r>
        <w:rPr>
          <w:rFonts w:hint="eastAsia" w:ascii="仿宋" w:hAnsi="仿宋"/>
          <w:bCs/>
          <w:color w:val="000000"/>
          <w:sz w:val="32"/>
          <w:szCs w:val="32"/>
        </w:rPr>
        <w:t>、承担代表大会会议、常委会会议、主任会议和常委党组会议的筹备和会务工作；负责区人大常委会工作报告；有关文件和领导同志讲话稿的起草工作；负责区人大常委会的文电、档案、保密、文印工作。</w:t>
      </w:r>
    </w:p>
    <w:p>
      <w:pPr>
        <w:pStyle w:val="2"/>
        <w:adjustRightInd w:val="0"/>
        <w:snapToGrid w:val="0"/>
        <w:spacing w:before="93" w:line="576" w:lineRule="exact"/>
        <w:ind w:firstLine="640" w:firstLineChars="200"/>
        <w:outlineLvl w:val="2"/>
        <w:rPr>
          <w:rFonts w:ascii="仿宋" w:hAnsi="仿宋"/>
          <w:bCs/>
          <w:color w:val="000000"/>
          <w:sz w:val="32"/>
          <w:szCs w:val="32"/>
        </w:rPr>
      </w:pPr>
      <w:r>
        <w:rPr>
          <w:rFonts w:ascii="仿宋" w:hAnsi="仿宋"/>
          <w:bCs/>
          <w:color w:val="000000"/>
          <w:sz w:val="32"/>
          <w:szCs w:val="32"/>
        </w:rPr>
        <w:t>2</w:t>
      </w:r>
      <w:r>
        <w:rPr>
          <w:rFonts w:hint="eastAsia" w:ascii="仿宋" w:hAnsi="仿宋"/>
          <w:bCs/>
          <w:color w:val="000000"/>
          <w:sz w:val="32"/>
          <w:szCs w:val="32"/>
        </w:rPr>
        <w:t>、根据主任会议决定，拟定有关议案和决议、决定草案。</w:t>
      </w:r>
    </w:p>
    <w:p>
      <w:pPr>
        <w:pStyle w:val="2"/>
        <w:adjustRightInd w:val="0"/>
        <w:snapToGrid w:val="0"/>
        <w:spacing w:before="93" w:line="576" w:lineRule="exact"/>
        <w:ind w:firstLine="640" w:firstLineChars="200"/>
        <w:outlineLvl w:val="2"/>
        <w:rPr>
          <w:rFonts w:ascii="仿宋" w:hAnsi="仿宋"/>
          <w:bCs/>
          <w:color w:val="000000"/>
          <w:sz w:val="32"/>
          <w:szCs w:val="32"/>
        </w:rPr>
      </w:pPr>
      <w:r>
        <w:rPr>
          <w:rFonts w:ascii="仿宋" w:hAnsi="仿宋"/>
          <w:bCs/>
          <w:color w:val="000000"/>
          <w:sz w:val="32"/>
          <w:szCs w:val="32"/>
        </w:rPr>
        <w:t>3</w:t>
      </w:r>
      <w:r>
        <w:rPr>
          <w:rFonts w:hint="eastAsia" w:ascii="仿宋" w:hAnsi="仿宋"/>
          <w:bCs/>
          <w:color w:val="000000"/>
          <w:sz w:val="32"/>
          <w:szCs w:val="32"/>
        </w:rPr>
        <w:t>、承担区人大常委会会议公报及机关简报等的编写工作。</w:t>
      </w:r>
    </w:p>
    <w:p>
      <w:pPr>
        <w:pStyle w:val="2"/>
        <w:adjustRightInd w:val="0"/>
        <w:snapToGrid w:val="0"/>
        <w:spacing w:before="93" w:line="576" w:lineRule="exact"/>
        <w:ind w:firstLine="640" w:firstLineChars="200"/>
        <w:outlineLvl w:val="2"/>
        <w:rPr>
          <w:rFonts w:ascii="仿宋" w:hAnsi="仿宋"/>
          <w:bCs/>
          <w:color w:val="000000"/>
          <w:sz w:val="32"/>
          <w:szCs w:val="32"/>
        </w:rPr>
      </w:pPr>
      <w:r>
        <w:rPr>
          <w:rFonts w:ascii="仿宋" w:hAnsi="仿宋"/>
          <w:bCs/>
          <w:color w:val="000000"/>
          <w:sz w:val="32"/>
          <w:szCs w:val="32"/>
        </w:rPr>
        <w:t>4</w:t>
      </w:r>
      <w:r>
        <w:rPr>
          <w:rFonts w:hint="eastAsia" w:ascii="仿宋" w:hAnsi="仿宋"/>
          <w:bCs/>
          <w:color w:val="000000"/>
          <w:sz w:val="32"/>
          <w:szCs w:val="32"/>
        </w:rPr>
        <w:t>、加强同市、区新闻单位的联系，负责区人大常委会对外宣传报道工作。</w:t>
      </w:r>
    </w:p>
    <w:p>
      <w:pPr>
        <w:pStyle w:val="2"/>
        <w:adjustRightInd w:val="0"/>
        <w:snapToGrid w:val="0"/>
        <w:spacing w:before="93" w:line="576" w:lineRule="exact"/>
        <w:ind w:firstLine="640" w:firstLineChars="200"/>
        <w:outlineLvl w:val="2"/>
        <w:rPr>
          <w:rFonts w:ascii="仿宋" w:hAnsi="仿宋"/>
          <w:bCs/>
          <w:color w:val="000000"/>
          <w:sz w:val="32"/>
          <w:szCs w:val="32"/>
        </w:rPr>
      </w:pPr>
      <w:r>
        <w:rPr>
          <w:rFonts w:ascii="仿宋" w:hAnsi="仿宋"/>
          <w:bCs/>
          <w:color w:val="000000"/>
          <w:sz w:val="32"/>
          <w:szCs w:val="32"/>
        </w:rPr>
        <w:t>5</w:t>
      </w:r>
      <w:r>
        <w:rPr>
          <w:rFonts w:hint="eastAsia" w:ascii="仿宋" w:hAnsi="仿宋"/>
          <w:bCs/>
          <w:color w:val="000000"/>
          <w:sz w:val="32"/>
          <w:szCs w:val="32"/>
        </w:rPr>
        <w:t>、负责区人大常委会机关人事、财会管理、学习、教育行政事务工作，离退休人员的管理、服务工作；接待其他人大的来访。</w:t>
      </w:r>
    </w:p>
    <w:p>
      <w:pPr>
        <w:pStyle w:val="2"/>
        <w:adjustRightInd w:val="0"/>
        <w:snapToGrid w:val="0"/>
        <w:spacing w:before="93" w:line="576" w:lineRule="exact"/>
        <w:ind w:firstLine="672" w:firstLineChars="210"/>
        <w:outlineLvl w:val="2"/>
        <w:rPr>
          <w:lang w:val="zh-CN"/>
        </w:rPr>
      </w:pPr>
      <w:r>
        <w:rPr>
          <w:rFonts w:ascii="仿宋" w:hAnsi="仿宋"/>
          <w:bCs/>
          <w:color w:val="000000"/>
          <w:sz w:val="32"/>
          <w:szCs w:val="32"/>
        </w:rPr>
        <w:t>6</w:t>
      </w:r>
      <w:r>
        <w:rPr>
          <w:rFonts w:hint="eastAsia" w:ascii="仿宋" w:hAnsi="仿宋"/>
          <w:bCs/>
          <w:color w:val="000000"/>
          <w:sz w:val="32"/>
          <w:szCs w:val="32"/>
        </w:rPr>
        <w:t>、负责上级人大转办的人大代表及人民群众来信来访工作。</w:t>
      </w:r>
    </w:p>
    <w:p>
      <w:pPr>
        <w:widowControl/>
        <w:numPr>
          <w:ilvl w:val="0"/>
          <w:numId w:val="6"/>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spacing w:line="580" w:lineRule="exact"/>
        <w:ind w:firstLine="640" w:firstLineChars="200"/>
        <w:rPr>
          <w:lang w:val="zh-CN"/>
        </w:rPr>
      </w:pPr>
      <w:r>
        <w:rPr>
          <w:rFonts w:hint="eastAsia" w:ascii="仿宋" w:hAnsi="仿宋" w:eastAsia="仿宋_GB2312" w:cs="仿宋_GB2312"/>
          <w:sz w:val="32"/>
          <w:szCs w:val="32"/>
        </w:rPr>
        <w:t>本单位共有编制数35名，其中行政编制</w:t>
      </w:r>
      <w:r>
        <w:rPr>
          <w:rFonts w:ascii="仿宋" w:hAnsi="仿宋" w:eastAsia="仿宋_GB2312" w:cs="仿宋_GB2312"/>
          <w:sz w:val="32"/>
          <w:szCs w:val="32"/>
        </w:rPr>
        <w:t>22</w:t>
      </w:r>
      <w:r>
        <w:rPr>
          <w:rFonts w:hint="eastAsia" w:ascii="仿宋" w:hAnsi="仿宋" w:eastAsia="仿宋_GB2312" w:cs="仿宋_GB2312"/>
          <w:sz w:val="32"/>
          <w:szCs w:val="32"/>
        </w:rPr>
        <w:t>名、事业编制6名、机关工勤</w:t>
      </w:r>
      <w:r>
        <w:rPr>
          <w:rFonts w:ascii="仿宋" w:hAnsi="仿宋" w:eastAsia="仿宋_GB2312" w:cs="仿宋_GB2312"/>
          <w:sz w:val="32"/>
          <w:szCs w:val="32"/>
        </w:rPr>
        <w:t>2</w:t>
      </w:r>
      <w:r>
        <w:rPr>
          <w:rFonts w:hint="eastAsia" w:ascii="仿宋" w:hAnsi="仿宋" w:eastAsia="仿宋_GB2312" w:cs="仿宋_GB2312"/>
          <w:sz w:val="32"/>
          <w:szCs w:val="32"/>
        </w:rPr>
        <w:t>名、工勤控制数人员</w:t>
      </w:r>
      <w:r>
        <w:rPr>
          <w:rFonts w:ascii="仿宋" w:hAnsi="仿宋" w:eastAsia="仿宋_GB2312" w:cs="仿宋_GB2312"/>
          <w:sz w:val="32"/>
          <w:szCs w:val="32"/>
        </w:rPr>
        <w:t>5</w:t>
      </w:r>
      <w:r>
        <w:rPr>
          <w:rFonts w:hint="eastAsia" w:ascii="仿宋" w:hAnsi="仿宋" w:eastAsia="仿宋_GB2312" w:cs="仿宋_GB2312"/>
          <w:sz w:val="32"/>
          <w:szCs w:val="32"/>
        </w:rPr>
        <w:t>名；实有人员44名，其中行政人员35名，机关工勤1名、事业人员6名、临聘人员2名。</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76" w:lineRule="exact"/>
        <w:ind w:firstLine="640" w:firstLineChars="200"/>
        <w:contextualSpacing/>
        <w:jc w:val="left"/>
        <w:rPr>
          <w:rFonts w:ascii="仿宋" w:hAnsi="仿宋" w:eastAsia="仿宋_GB2312" w:cs="仿宋"/>
          <w:color w:val="000000"/>
          <w:sz w:val="32"/>
          <w:szCs w:val="32"/>
        </w:rPr>
      </w:pPr>
      <w:r>
        <w:rPr>
          <w:rFonts w:ascii="仿宋" w:hAnsi="仿宋" w:eastAsia="仿宋_GB2312" w:cs="仿宋"/>
          <w:color w:val="000000"/>
          <w:sz w:val="32"/>
          <w:szCs w:val="32"/>
        </w:rPr>
        <w:t>202</w:t>
      </w:r>
      <w:r>
        <w:rPr>
          <w:rFonts w:hint="eastAsia" w:ascii="仿宋" w:hAnsi="仿宋" w:eastAsia="仿宋_GB2312" w:cs="仿宋"/>
          <w:color w:val="000000"/>
          <w:sz w:val="32"/>
          <w:szCs w:val="32"/>
        </w:rPr>
        <w:t>1年财政资金收入1233.77万元。</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rPr>
        <w:t>二</w:t>
      </w:r>
      <w:r>
        <w:rPr>
          <w:rFonts w:hint="eastAsia" w:ascii="仿宋_GB2312" w:hAnsi="宋体" w:eastAsia="仿宋_GB2312" w:cs="宋体"/>
          <w:kern w:val="0"/>
          <w:sz w:val="32"/>
          <w:szCs w:val="32"/>
          <w:shd w:val="clear" w:color="auto" w:fill="FFFFFF"/>
          <w:lang w:val="zh-CN"/>
        </w:rPr>
        <w:t>）部门财政资金支出情况。</w:t>
      </w:r>
    </w:p>
    <w:p>
      <w:pPr>
        <w:widowControl/>
        <w:adjustRightInd w:val="0"/>
        <w:snapToGrid w:val="0"/>
        <w:spacing w:line="576" w:lineRule="exact"/>
        <w:ind w:firstLine="640" w:firstLineChars="200"/>
        <w:contextualSpacing/>
        <w:jc w:val="left"/>
        <w:rPr>
          <w:rFonts w:ascii="仿宋" w:hAnsi="仿宋" w:eastAsia="仿宋_GB2312" w:cs="仿宋"/>
          <w:color w:val="000000"/>
          <w:sz w:val="32"/>
          <w:szCs w:val="32"/>
        </w:rPr>
      </w:pPr>
      <w:r>
        <w:rPr>
          <w:rFonts w:ascii="仿宋" w:hAnsi="仿宋" w:eastAsia="仿宋_GB2312" w:cs="仿宋"/>
          <w:color w:val="000000"/>
          <w:sz w:val="32"/>
          <w:szCs w:val="32"/>
        </w:rPr>
        <w:t>202</w:t>
      </w:r>
      <w:r>
        <w:rPr>
          <w:rFonts w:hint="eastAsia" w:ascii="仿宋" w:hAnsi="仿宋" w:eastAsia="仿宋_GB2312" w:cs="仿宋"/>
          <w:color w:val="000000"/>
          <w:sz w:val="32"/>
          <w:szCs w:val="32"/>
        </w:rPr>
        <w:t>1年财政资金支出1258.39万元。</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60" w:lineRule="exact"/>
        <w:ind w:firstLine="640" w:firstLineChars="200"/>
        <w:contextualSpacing/>
        <w:jc w:val="left"/>
        <w:rPr>
          <w:lang w:val="zh-CN"/>
        </w:rPr>
      </w:pPr>
      <w:r>
        <w:rPr>
          <w:rFonts w:hint="eastAsia" w:ascii="仿宋" w:hAnsi="仿宋" w:eastAsia="仿宋_GB2312" w:cs="仿宋"/>
          <w:color w:val="333333"/>
          <w:sz w:val="32"/>
          <w:szCs w:val="32"/>
          <w:shd w:val="clear" w:color="auto" w:fill="FFFFFF"/>
        </w:rPr>
        <w:t>区人大在进行预算编制时，采取先摸底，再上会讨论，最后进行申报。整个过程严格遵循合法性、真实性、完整性、重点性、绩效性，根据实际需要编制部门预算。在绩效目标填报方面，按规定申报相关资料，做到绩效目标针对强、目的清、指标细。在绩效目标过程监控方面，建立监控制度，定期采集绩效运行的信息并进行汇总分析, 按要求报送报告。及时纠正或调整偏离绩效的项目，确保绩效目标如期实现。在绩效评价方面，严格按照支出绩效评价指标体系，用完整科学的指标体系充分反映整体和项目的绩效目标实现程度。</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60" w:lineRule="exact"/>
        <w:ind w:firstLine="640" w:firstLineChars="200"/>
        <w:contextualSpacing/>
        <w:jc w:val="left"/>
        <w:rPr>
          <w:rFonts w:ascii="仿宋" w:hAnsi="仿宋" w:eastAsia="仿宋_GB2312" w:cs="仿宋"/>
          <w:color w:val="000000"/>
          <w:kern w:val="0"/>
          <w:sz w:val="32"/>
          <w:szCs w:val="32"/>
          <w:shd w:val="clear" w:color="auto" w:fill="FFFFFF"/>
          <w:lang w:val="zh-CN"/>
        </w:rPr>
      </w:pPr>
      <w:r>
        <w:rPr>
          <w:rFonts w:hint="eastAsia" w:ascii="仿宋" w:hAnsi="仿宋" w:eastAsia="仿宋_GB2312" w:cs="仿宋"/>
          <w:color w:val="000000"/>
          <w:kern w:val="0"/>
          <w:sz w:val="32"/>
          <w:szCs w:val="32"/>
          <w:shd w:val="clear" w:color="auto" w:fill="FFFFFF"/>
          <w:lang w:val="zh-CN"/>
        </w:rPr>
        <w:t>结合</w:t>
      </w:r>
      <w:r>
        <w:rPr>
          <w:rFonts w:hint="eastAsia" w:ascii="仿宋" w:hAnsi="仿宋" w:eastAsia="仿宋_GB2312" w:cs="仿宋"/>
          <w:color w:val="000000"/>
          <w:kern w:val="0"/>
          <w:sz w:val="32"/>
          <w:szCs w:val="32"/>
          <w:shd w:val="clear" w:color="auto" w:fill="FFFFFF"/>
        </w:rPr>
        <w:t>人大工作</w:t>
      </w:r>
      <w:r>
        <w:rPr>
          <w:rFonts w:hint="eastAsia" w:ascii="仿宋" w:hAnsi="仿宋" w:eastAsia="仿宋_GB2312" w:cs="仿宋"/>
          <w:color w:val="000000"/>
          <w:kern w:val="0"/>
          <w:sz w:val="32"/>
          <w:szCs w:val="32"/>
          <w:shd w:val="clear" w:color="auto" w:fill="FFFFFF"/>
          <w:lang w:val="zh-CN"/>
        </w:rPr>
        <w:t>职能</w:t>
      </w:r>
      <w:r>
        <w:rPr>
          <w:rFonts w:hint="eastAsia" w:ascii="仿宋" w:hAnsi="仿宋" w:eastAsia="仿宋_GB2312" w:cs="仿宋"/>
          <w:color w:val="000000"/>
          <w:kern w:val="0"/>
          <w:sz w:val="32"/>
          <w:szCs w:val="32"/>
          <w:shd w:val="clear" w:color="auto" w:fill="FFFFFF"/>
        </w:rPr>
        <w:t>职责</w:t>
      </w:r>
      <w:r>
        <w:rPr>
          <w:rFonts w:hint="eastAsia" w:ascii="仿宋" w:hAnsi="仿宋" w:eastAsia="仿宋_GB2312" w:cs="仿宋"/>
          <w:color w:val="000000"/>
          <w:kern w:val="0"/>
          <w:sz w:val="32"/>
          <w:szCs w:val="32"/>
          <w:shd w:val="clear" w:color="auto" w:fill="FFFFFF"/>
          <w:lang w:val="zh-CN"/>
        </w:rPr>
        <w:t>，</w:t>
      </w:r>
      <w:r>
        <w:rPr>
          <w:rFonts w:hint="eastAsia" w:ascii="仿宋" w:hAnsi="仿宋" w:eastAsia="仿宋_GB2312" w:cs="仿宋"/>
          <w:color w:val="000000"/>
          <w:kern w:val="0"/>
          <w:sz w:val="32"/>
          <w:szCs w:val="32"/>
          <w:shd w:val="clear" w:color="auto" w:fill="FFFFFF"/>
        </w:rPr>
        <w:t>根据单位实际支出</w:t>
      </w:r>
      <w:r>
        <w:rPr>
          <w:rFonts w:hint="eastAsia" w:ascii="仿宋" w:hAnsi="仿宋" w:eastAsia="仿宋_GB2312" w:cs="仿宋"/>
          <w:color w:val="000000"/>
          <w:kern w:val="0"/>
          <w:sz w:val="32"/>
          <w:szCs w:val="32"/>
          <w:shd w:val="clear" w:color="auto" w:fill="FFFFFF"/>
          <w:lang w:val="zh-CN"/>
        </w:rPr>
        <w:t>设立部门整体绩效目标，并将绩效目标进一步细化，</w:t>
      </w:r>
      <w:r>
        <w:rPr>
          <w:rFonts w:hint="eastAsia" w:ascii="仿宋" w:hAnsi="仿宋" w:eastAsia="仿宋_GB2312" w:cs="仿宋"/>
          <w:color w:val="000000"/>
          <w:kern w:val="0"/>
          <w:sz w:val="32"/>
          <w:szCs w:val="32"/>
          <w:shd w:val="clear" w:color="auto" w:fill="FFFFFF"/>
        </w:rPr>
        <w:t>做到</w:t>
      </w:r>
      <w:r>
        <w:rPr>
          <w:rFonts w:hint="eastAsia" w:ascii="仿宋" w:hAnsi="仿宋" w:eastAsia="仿宋_GB2312" w:cs="仿宋"/>
          <w:color w:val="000000"/>
          <w:kern w:val="0"/>
          <w:sz w:val="32"/>
          <w:szCs w:val="32"/>
          <w:shd w:val="clear" w:color="auto" w:fill="FFFFFF"/>
          <w:lang w:val="zh-CN"/>
        </w:rPr>
        <w:t>指标的可量化性、数据的可采集性、方法的可操作性、目标的可实现性，绩效的可考核性。</w:t>
      </w:r>
    </w:p>
    <w:p>
      <w:pPr>
        <w:widowControl/>
        <w:adjustRightInd w:val="0"/>
        <w:snapToGrid w:val="0"/>
        <w:spacing w:line="560" w:lineRule="exact"/>
        <w:ind w:firstLine="640" w:firstLineChars="200"/>
        <w:contextualSpacing/>
        <w:jc w:val="left"/>
        <w:rPr>
          <w:lang w:val="zh-CN"/>
        </w:rPr>
      </w:pPr>
      <w:r>
        <w:rPr>
          <w:rFonts w:hint="eastAsia" w:ascii="仿宋" w:hAnsi="仿宋" w:eastAsia="仿宋_GB2312" w:cs="仿宋"/>
          <w:color w:val="000000"/>
          <w:kern w:val="0"/>
          <w:sz w:val="32"/>
          <w:szCs w:val="32"/>
          <w:shd w:val="clear" w:color="auto" w:fill="FFFFFF"/>
          <w:lang w:val="zh-CN"/>
        </w:rPr>
        <w:t>根据确定的绩效目标，对绩效目标实现程度、项目实施进度、资金支出进度等情况进行阶段性跟踪管理和督促检查，及时发现问题并采取有效的措施纠正偏离绩效目标情况。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（三）自评质量</w:t>
      </w:r>
    </w:p>
    <w:p>
      <w:pPr>
        <w:widowControl/>
        <w:adjustRightInd w:val="0"/>
        <w:snapToGrid w:val="0"/>
        <w:spacing w:line="560" w:lineRule="exact"/>
        <w:contextualSpacing/>
        <w:jc w:val="left"/>
        <w:rPr>
          <w:rFonts w:ascii="仿宋" w:hAnsi="仿宋" w:eastAsia="仿宋_GB2312" w:cs="仿宋"/>
          <w:color w:val="000000"/>
          <w:kern w:val="0"/>
          <w:sz w:val="32"/>
          <w:szCs w:val="32"/>
          <w:shd w:val="clear" w:color="auto" w:fill="FFFFFF"/>
        </w:rPr>
      </w:pPr>
      <w:r>
        <w:rPr>
          <w:rFonts w:hint="eastAsia" w:ascii="仿宋" w:hAnsi="仿宋" w:eastAsia="仿宋_GB2312" w:cs="仿宋"/>
          <w:color w:val="000000"/>
          <w:kern w:val="0"/>
          <w:sz w:val="32"/>
          <w:szCs w:val="32"/>
          <w:shd w:val="clear" w:color="auto" w:fill="FFFFFF"/>
        </w:rPr>
        <w:t xml:space="preserve"> 　　</w:t>
      </w:r>
      <w:r>
        <w:rPr>
          <w:rFonts w:hint="eastAsia" w:ascii="仿宋" w:hAnsi="仿宋" w:eastAsia="仿宋_GB2312" w:cs="仿宋"/>
          <w:color w:val="333333"/>
          <w:sz w:val="32"/>
          <w:szCs w:val="32"/>
          <w:shd w:val="clear" w:color="auto" w:fill="FFFFFF"/>
        </w:rPr>
        <w:t>综合上述事项，区人大机关能严格落实各项财经纪律，管理规范，没有发生违法违规现象，2021年的部门整体支出绩效自我评价自评结果：总评分95分。</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14"/>
        <w:widowControl/>
        <w:shd w:val="clear" w:color="auto" w:fill="FFFFFF"/>
        <w:spacing w:beforeAutospacing="0" w:afterAutospacing="0" w:line="560" w:lineRule="exact"/>
        <w:ind w:firstLine="640" w:firstLineChars="200"/>
        <w:jc w:val="both"/>
        <w:rPr>
          <w:rFonts w:ascii="仿宋" w:hAnsi="仿宋" w:eastAsia="仿宋_GB2312" w:cs="仿宋"/>
          <w:color w:val="333333"/>
          <w:sz w:val="32"/>
          <w:szCs w:val="32"/>
          <w:shd w:val="clear" w:color="auto" w:fill="FFFFFF"/>
        </w:rPr>
      </w:pPr>
      <w:r>
        <w:rPr>
          <w:rFonts w:hint="eastAsia" w:ascii="仿宋" w:hAnsi="仿宋" w:eastAsia="仿宋_GB2312" w:cs="仿宋"/>
          <w:color w:val="333333"/>
          <w:sz w:val="32"/>
          <w:szCs w:val="32"/>
          <w:shd w:val="clear" w:color="auto" w:fill="FFFFFF"/>
        </w:rPr>
        <w:t>区人大机关财务管理健全规范，没有发生违纪违规现象，我单位2021年的部门整体支出绩效自我评价自评结果：总评分95分。在以后的工作中加强预算管理，严格控制各项经费的开支，提高经费的使用效率。</w:t>
      </w:r>
    </w:p>
    <w:p>
      <w:pPr>
        <w:pStyle w:val="14"/>
        <w:widowControl/>
        <w:shd w:val="clear" w:color="auto" w:fill="FFFFFF"/>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zh-CN"/>
        </w:rPr>
        <w:t>（</w:t>
      </w:r>
      <w:r>
        <w:rPr>
          <w:rFonts w:hint="eastAsia" w:ascii="仿宋_GB2312" w:hAnsi="宋体" w:eastAsia="仿宋_GB2312" w:cs="宋体"/>
          <w:sz w:val="32"/>
          <w:szCs w:val="32"/>
          <w:shd w:val="clear" w:color="auto" w:fill="FFFFFF"/>
        </w:rPr>
        <w:t>二</w:t>
      </w:r>
      <w:r>
        <w:rPr>
          <w:rFonts w:hint="eastAsia" w:ascii="仿宋_GB2312" w:hAnsi="宋体" w:eastAsia="仿宋_GB2312" w:cs="宋体"/>
          <w:sz w:val="32"/>
          <w:szCs w:val="32"/>
          <w:shd w:val="clear" w:color="auto" w:fill="FFFFFF"/>
          <w:lang w:val="zh-CN"/>
        </w:rPr>
        <w:t>）存在问题</w:t>
      </w:r>
    </w:p>
    <w:p>
      <w:pPr>
        <w:pStyle w:val="2"/>
        <w:spacing w:before="93"/>
        <w:ind w:firstLine="640" w:firstLineChars="200"/>
        <w:rPr>
          <w:lang w:val="zh-CN"/>
        </w:rPr>
      </w:pPr>
      <w:r>
        <w:rPr>
          <w:rFonts w:hint="eastAsia" w:ascii="仿宋" w:hAnsi="仿宋"/>
          <w:color w:val="000000"/>
          <w:kern w:val="2"/>
          <w:sz w:val="32"/>
          <w:szCs w:val="32"/>
        </w:rPr>
        <w:t>预算编制的合理性需要提高，</w:t>
      </w:r>
      <w:r>
        <w:rPr>
          <w:rFonts w:hint="eastAsia" w:ascii="仿宋" w:hAnsi="仿宋" w:cs="仿宋_GB2312"/>
          <w:sz w:val="32"/>
          <w:szCs w:val="32"/>
          <w:lang w:val="zh-CN"/>
        </w:rPr>
        <w:t>预算编制有待更严格执行，</w:t>
      </w:r>
      <w:r>
        <w:rPr>
          <w:rFonts w:hint="eastAsia" w:ascii="仿宋" w:hAnsi="仿宋"/>
          <w:color w:val="000000"/>
          <w:kern w:val="2"/>
          <w:sz w:val="32"/>
          <w:szCs w:val="32"/>
        </w:rPr>
        <w:t>预算执行力度还要进一步加强。</w:t>
      </w:r>
    </w:p>
    <w:p>
      <w:pPr>
        <w:widowControl/>
        <w:adjustRightInd w:val="0"/>
        <w:snapToGrid w:val="0"/>
        <w:spacing w:line="576" w:lineRule="exact"/>
        <w:ind w:firstLine="320" w:firstLineChars="1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rPr>
        <w:t>三</w:t>
      </w:r>
      <w:r>
        <w:rPr>
          <w:rFonts w:hint="eastAsia" w:ascii="仿宋_GB2312" w:hAnsi="宋体" w:eastAsia="仿宋_GB2312" w:cs="宋体"/>
          <w:kern w:val="0"/>
          <w:sz w:val="32"/>
          <w:szCs w:val="32"/>
          <w:shd w:val="clear" w:color="auto" w:fill="FFFFFF"/>
          <w:lang w:val="zh-CN"/>
        </w:rPr>
        <w:t>）改进建议。</w:t>
      </w:r>
    </w:p>
    <w:p>
      <w:pPr>
        <w:pStyle w:val="14"/>
        <w:widowControl/>
        <w:shd w:val="clear" w:color="auto" w:fill="FFFFFF"/>
        <w:spacing w:beforeAutospacing="0" w:afterAutospacing="0" w:line="560" w:lineRule="exact"/>
        <w:ind w:firstLine="739" w:firstLineChars="231"/>
        <w:jc w:val="both"/>
        <w:rPr>
          <w:rFonts w:ascii="仿宋" w:hAnsi="仿宋" w:eastAsia="仿宋_GB2312" w:cs="仿宋"/>
          <w:color w:val="333333"/>
          <w:sz w:val="32"/>
          <w:szCs w:val="32"/>
          <w:shd w:val="clear" w:color="auto" w:fill="FFFFFF"/>
        </w:rPr>
      </w:pPr>
      <w:r>
        <w:rPr>
          <w:rFonts w:hint="eastAsia" w:ascii="仿宋" w:hAnsi="仿宋" w:eastAsia="仿宋_GB2312" w:cs="仿宋"/>
          <w:color w:val="333333"/>
          <w:sz w:val="32"/>
          <w:szCs w:val="32"/>
          <w:shd w:val="clear" w:color="auto" w:fill="FFFFFF"/>
        </w:rPr>
        <w:t>1、增强绩效管理意识。在管理和使用预算资金的过程中，更加突出资金使用的目标绩效性。按照绩效评价原则，开展资金安全性、规范性的监督，确保专项资金的使用符合绩效管理要求。</w:t>
      </w:r>
    </w:p>
    <w:p>
      <w:pPr>
        <w:pStyle w:val="14"/>
        <w:widowControl/>
        <w:shd w:val="clear" w:color="auto" w:fill="FFFFFF"/>
        <w:spacing w:beforeAutospacing="0" w:afterAutospacing="0"/>
        <w:ind w:firstLine="42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2、进一步严格财务管理制度。严格遵守国家、省、市、区财务管理法律法规，严格执行内部控制规范，确保资金使用、管理、监督等各个环节有章可循，从制度上管好用好每笔资金。</w:t>
      </w:r>
    </w:p>
    <w:p>
      <w:pPr>
        <w:pStyle w:val="14"/>
        <w:widowControl/>
        <w:shd w:val="clear" w:color="auto" w:fill="FFFFFF"/>
        <w:spacing w:beforeAutospacing="0" w:afterAutospacing="0"/>
        <w:ind w:firstLine="42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3、进一步加强财务素养和专业技能培训。针对预算资金绩效管理和相关法律法规，对财务人员开展培训，学习预算绩效管理的法律法规、规范要求，让绩效理念深入人心、让绩效管理人员熟知政策、知行合一。</w:t>
      </w:r>
    </w:p>
    <w:p>
      <w:pPr>
        <w:pStyle w:val="14"/>
        <w:widowControl/>
        <w:shd w:val="clear" w:color="auto" w:fill="FFFFFF"/>
        <w:spacing w:beforeAutospacing="0" w:afterAutospacing="0" w:line="560" w:lineRule="exact"/>
        <w:ind w:firstLine="739" w:firstLineChars="231"/>
        <w:jc w:val="both"/>
        <w:rPr>
          <w:rFonts w:ascii="仿宋" w:hAnsi="仿宋" w:eastAsia="仿宋_GB2312" w:cs="仿宋"/>
          <w:color w:val="333333"/>
          <w:sz w:val="32"/>
          <w:szCs w:val="32"/>
          <w:shd w:val="clear" w:color="auto" w:fill="FFFFFF"/>
        </w:rPr>
      </w:pPr>
    </w:p>
    <w:p>
      <w:pPr>
        <w:pStyle w:val="15"/>
        <w:ind w:left="420" w:leftChars="200" w:firstLine="0" w:firstLineChars="0"/>
        <w:rPr>
          <w:lang w:val="zh-CN"/>
        </w:rPr>
      </w:pPr>
    </w:p>
    <w:p>
      <w:pPr>
        <w:jc w:val="left"/>
        <w:rPr>
          <w:rFonts w:ascii="仿宋" w:hAnsi="仿宋" w:eastAsia="仿宋_GB2312"/>
          <w:b/>
          <w:sz w:val="32"/>
          <w:szCs w:val="32"/>
        </w:rPr>
      </w:pPr>
    </w:p>
    <w:p>
      <w:pPr>
        <w:adjustRightInd w:val="0"/>
        <w:snapToGrid w:val="0"/>
        <w:spacing w:line="576" w:lineRule="exact"/>
        <w:jc w:val="center"/>
        <w:rPr>
          <w:rFonts w:ascii="方正楷体简体" w:eastAsia="方正楷体简体"/>
          <w:sz w:val="32"/>
          <w:szCs w:val="32"/>
        </w:rPr>
      </w:pPr>
      <w:r>
        <w:rPr>
          <w:rFonts w:ascii="宋体"/>
          <w:b/>
          <w:sz w:val="44"/>
          <w:szCs w:val="44"/>
        </w:rPr>
        <w:br w:type="page"/>
      </w: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（八届人大六次会议项目）</w:t>
      </w:r>
    </w:p>
    <w:p>
      <w:pPr>
        <w:spacing w:line="600" w:lineRule="exact"/>
        <w:ind w:firstLine="640"/>
        <w:jc w:val="center"/>
        <w:rPr>
          <w:rFonts w:ascii="宋体" w:hAnsi="宋体"/>
          <w:sz w:val="32"/>
          <w:szCs w:val="32"/>
          <w:lang w:val="zh-CN"/>
        </w:rPr>
      </w:pPr>
    </w:p>
    <w:p>
      <w:pPr>
        <w:numPr>
          <w:ilvl w:val="0"/>
          <w:numId w:val="7"/>
        </w:numPr>
        <w:adjustRightInd w:val="0"/>
        <w:snapToGrid w:val="0"/>
        <w:spacing w:line="580" w:lineRule="exact"/>
        <w:ind w:firstLine="960"/>
        <w:rPr>
          <w:rFonts w:ascii="黑体" w:hAnsi="黑体" w:eastAsia="黑体" w:cs="黑体"/>
          <w:bCs/>
          <w:sz w:val="32"/>
          <w:szCs w:val="32"/>
          <w:lang w:val="zh-CN"/>
        </w:rPr>
      </w:pPr>
      <w:r>
        <w:rPr>
          <w:rFonts w:hint="eastAsia" w:ascii="黑体" w:hAnsi="黑体" w:eastAsia="黑体" w:cs="黑体"/>
          <w:bCs/>
          <w:sz w:val="32"/>
          <w:szCs w:val="32"/>
          <w:lang w:val="zh-CN"/>
        </w:rPr>
        <w:t>项目概况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八届人大六次会议工作经费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此项目预算78.64万元。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筹备区八届人大六次会议，保障会议胜利召开。</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八届人大五次会议预算78.64万元，截止评价时点已全部执行，资金到位率100%。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该项目资金主要用于筹办会议费用（资料文件印制、餐饮住宿、办公用品、会务服务等），均按相关规定执行，无超标准现象。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该项目主要由区人大常委会负责实施，经主要领导及主任会议、常委会同意后方可执行。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圆满组织召开了八届人大</w:t>
      </w:r>
      <w:r>
        <w:rPr>
          <w:rFonts w:hint="eastAsia" w:ascii="仿宋_GB2312" w:hAnsi="宋体" w:eastAsia="仿宋_GB2312"/>
          <w:sz w:val="32"/>
          <w:szCs w:val="32"/>
        </w:rPr>
        <w:t>六</w:t>
      </w:r>
      <w:r>
        <w:rPr>
          <w:rFonts w:hint="eastAsia" w:ascii="仿宋_GB2312" w:hAnsi="宋体" w:eastAsia="仿宋_GB2312"/>
          <w:sz w:val="32"/>
          <w:szCs w:val="32"/>
          <w:lang w:val="zh-CN"/>
        </w:rPr>
        <w:t>次会议，顺利完成了各项会议议程。</w:t>
      </w:r>
      <w:r>
        <w:rPr>
          <w:rFonts w:hint="eastAsia" w:ascii="仿宋_GB2312" w:hAnsi="仿宋_GB2312" w:eastAsia="仿宋_GB2312" w:cs="仿宋_GB2312"/>
          <w:sz w:val="32"/>
          <w:szCs w:val="32"/>
        </w:rPr>
        <w:t>该项目落实情况良好，</w:t>
      </w:r>
      <w:r>
        <w:rPr>
          <w:rFonts w:hint="eastAsia" w:ascii="仿宋_GB2312" w:hAnsi="宋体" w:eastAsia="仿宋_GB2312"/>
          <w:sz w:val="32"/>
          <w:szCs w:val="32"/>
          <w:lang w:val="zh-CN"/>
        </w:rPr>
        <w:t>社会满意度极高。</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adjustRightInd w:val="0"/>
        <w:snapToGrid w:val="0"/>
        <w:spacing w:line="576" w:lineRule="exact"/>
        <w:jc w:val="center"/>
        <w:rPr>
          <w:rFonts w:ascii="方正楷体简体" w:eastAsia="方正楷体简体"/>
          <w:sz w:val="32"/>
          <w:szCs w:val="32"/>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（换届选举项目）</w:t>
      </w:r>
    </w:p>
    <w:p>
      <w:pPr>
        <w:pStyle w:val="20"/>
      </w:pPr>
    </w:p>
    <w:p>
      <w:pPr>
        <w:adjustRightInd w:val="0"/>
        <w:snapToGrid w:val="0"/>
        <w:spacing w:line="580" w:lineRule="exact"/>
        <w:ind w:left="105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换届选举工作经费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此项目预算20万元。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该项目属一次性项目，通常在工作需要开展前，根据需要开支金额进行申报，能保证工作的正常开展，使用过程符合资金管理办法相关规定，无违规现象。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spacing w:line="576"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1.摸准代表候选人。根据选举法有关规定，各政党、人民团体、选民10人以上联名按92个选区提名推荐初步代表候选人，并经过了反复酝酿、协商，初步确定代表候选人235名。</w:t>
      </w:r>
    </w:p>
    <w:p>
      <w:pPr>
        <w:spacing w:line="576"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2.严把代表入口关。为保证新一届人大代表的质量，在区委的领导下，由区委组织部负责，区人大常委会人事代表工委密切配合，组织区纪委监委、区委政法委、群众工作局、司法局、公安分局、法院、检察院、市场监管局、住建局、税务局等部门集中会审，严格按“九个一律”原则确定初步代表候选人人选，最后由区人大常委会党组呈报区委常委会审定批复，确保人大代表质量达标。</w:t>
      </w:r>
    </w:p>
    <w:p>
      <w:pPr>
        <w:spacing w:line="576" w:lineRule="exact"/>
        <w:ind w:firstLine="640" w:firstLineChars="200"/>
      </w:pPr>
      <w:r>
        <w:rPr>
          <w:rFonts w:hint="eastAsia" w:ascii="仿宋" w:hAnsi="仿宋" w:eastAsia="仿宋_GB2312" w:cs="仿宋"/>
          <w:sz w:val="32"/>
          <w:szCs w:val="32"/>
        </w:rPr>
        <w:t>3.严把选举程序关。区人大常委会机关内成立了四个工作检查组，分别由四位副主任带队，按照换届选举工作方案，到各乡镇街道检查选民登记、公告选民名单、提名推荐代表候选人、公告初步代表候选人名单，公告正式代表候选人名单等工作环节，确保换届选举各个环节依法推进。</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换届选举预算20万元，截止评价时点已全部执行，资金到位率100%。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该项目资金主要用于换届选举费用（资料文件印制、涉及选民50万人等），均按相关规定执行，无超标准现象。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该项目主要由区人大常委会负责实施，经主要领导及主任会议、常委会同意后方可执行。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spacing w:line="576" w:lineRule="exact"/>
        <w:ind w:firstLine="640" w:firstLineChars="200"/>
      </w:pPr>
      <w:r>
        <w:rPr>
          <w:rFonts w:hint="eastAsia" w:ascii="仿宋" w:hAnsi="仿宋" w:eastAsia="仿宋_GB2312" w:cs="仿宋"/>
          <w:sz w:val="32"/>
          <w:szCs w:val="32"/>
        </w:rPr>
        <w:t>在8月29日选举这天，分别制定了应急处置预案，就换届选举工作的进一步宣传、氛围营造、选举投票的人员组织、会场选址、投票站设置、安全隐患排除，不稳定因素排查，矛盾纠纷问题化解等都做了大量细致的工作，确保全区社会安全稳定。本次换届选举，市人大常委会分配我区出席市八届人民代表大会代表57名，其中下派15名。根据选举法的有关规定，利州区提名推荐市八届人大代表候选人42名，经过会审，按程序上报。</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四、评价结论及建议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adjustRightInd w:val="0"/>
        <w:snapToGrid w:val="0"/>
        <w:spacing w:line="576" w:lineRule="exact"/>
        <w:jc w:val="center"/>
        <w:rPr>
          <w:rFonts w:ascii="方正楷体简体" w:eastAsia="方正楷体简体"/>
          <w:sz w:val="32"/>
          <w:szCs w:val="32"/>
        </w:rPr>
      </w:pPr>
      <w:r>
        <w:rPr>
          <w:rFonts w:ascii="宋体"/>
          <w:b/>
          <w:sz w:val="44"/>
          <w:szCs w:val="44"/>
        </w:rPr>
        <w:br w:type="page"/>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（九届人大一次会议项目）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left="147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九届人大一次会议工作经费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此项目预算78.64万元。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筹备区</w:t>
      </w:r>
      <w:r>
        <w:rPr>
          <w:rFonts w:hint="eastAsia" w:ascii="仿宋_GB2312" w:hAnsi="仿宋_GB2312" w:eastAsia="仿宋_GB2312" w:cs="仿宋_GB2312"/>
          <w:sz w:val="32"/>
          <w:szCs w:val="32"/>
        </w:rPr>
        <w:t>九届人大一次</w:t>
      </w:r>
      <w:r>
        <w:rPr>
          <w:rFonts w:hint="eastAsia" w:ascii="仿宋_GB2312" w:hAnsi="宋体" w:eastAsia="仿宋_GB2312"/>
          <w:sz w:val="32"/>
          <w:szCs w:val="32"/>
        </w:rPr>
        <w:t>会议，保障会议胜利召开。</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九届人大一次会议预算78.64万元，截止评价时点已全部执行，资金到位率100%。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该项目资金主要用于筹办会议费用（资料文件印制、餐饮住宿、办公用品、会务服务等），均按相关规定执行，无超标准现象。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该项目主要由区人大常委会负责实施，经主要领导及主任会议、常委会同意后方可执行。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圆满组织召开了</w:t>
      </w:r>
      <w:r>
        <w:rPr>
          <w:rFonts w:hint="eastAsia" w:ascii="仿宋_GB2312" w:hAnsi="仿宋_GB2312" w:eastAsia="仿宋_GB2312" w:cs="仿宋_GB2312"/>
          <w:sz w:val="32"/>
          <w:szCs w:val="32"/>
        </w:rPr>
        <w:t>九届人大一次</w:t>
      </w:r>
      <w:r>
        <w:rPr>
          <w:rFonts w:hint="eastAsia" w:ascii="仿宋_GB2312" w:hAnsi="宋体" w:eastAsia="仿宋_GB2312"/>
          <w:sz w:val="32"/>
          <w:szCs w:val="32"/>
          <w:lang w:val="zh-CN"/>
        </w:rPr>
        <w:t>会议，顺利完成了各项会议议程。</w:t>
      </w:r>
      <w:r>
        <w:rPr>
          <w:rFonts w:hint="eastAsia" w:ascii="仿宋_GB2312" w:hAnsi="仿宋_GB2312" w:eastAsia="仿宋_GB2312" w:cs="仿宋_GB2312"/>
          <w:sz w:val="32"/>
          <w:szCs w:val="32"/>
        </w:rPr>
        <w:t>该项目落实情况良好，</w:t>
      </w:r>
      <w:r>
        <w:rPr>
          <w:rFonts w:hint="eastAsia" w:ascii="仿宋_GB2312" w:hAnsi="宋体" w:eastAsia="仿宋_GB2312"/>
          <w:sz w:val="32"/>
          <w:szCs w:val="32"/>
          <w:lang w:val="zh-CN"/>
        </w:rPr>
        <w:t>社会满意度极高。</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jc w:val="left"/>
        <w:rPr>
          <w:rFonts w:ascii="仿宋" w:hAnsi="仿宋" w:eastAsia="仿宋_GB2312"/>
          <w:b/>
          <w:sz w:val="32"/>
          <w:szCs w:val="32"/>
        </w:rPr>
      </w:pPr>
    </w:p>
    <w:p>
      <w:pPr>
        <w:adjustRightInd w:val="0"/>
        <w:snapToGrid w:val="0"/>
        <w:spacing w:line="576" w:lineRule="exact"/>
        <w:jc w:val="center"/>
        <w:rPr>
          <w:rFonts w:ascii="方正楷体简体" w:eastAsia="方正楷体简体"/>
          <w:sz w:val="32"/>
          <w:szCs w:val="32"/>
        </w:rPr>
      </w:pPr>
      <w:r>
        <w:rPr>
          <w:rFonts w:ascii="宋体"/>
          <w:b/>
          <w:sz w:val="44"/>
          <w:szCs w:val="44"/>
        </w:rPr>
        <w:br w:type="page"/>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（离退休干部管理项目）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离退休干部管理工作经费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此项目预算6.8万元。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保障离退休干部相关活动召开、体检等。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离退休干部管理预算6.8万元，截止评价时点已全部执行，资金到位率100%。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该项目资金主要用于离退休干部及党支部相关活动召开产生及体检费用等，均按相关规定执行，无超标准现象。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该项目主要由分管领导及相关委室负责实施，提出方案，经主要领导或主任会议同意后方可执行。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该项目能得到区人大常委会离退休干部的认可，社会反映良好，保障了离退休干部的精神文化生活需要。</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ind w:firstLine="643" w:firstLineChars="200"/>
        <w:jc w:val="left"/>
        <w:rPr>
          <w:rFonts w:ascii="仿宋" w:hAnsi="仿宋" w:eastAsia="仿宋_GB2312"/>
          <w:b/>
          <w:sz w:val="32"/>
          <w:szCs w:val="32"/>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adjustRightInd w:val="0"/>
        <w:snapToGrid w:val="0"/>
        <w:spacing w:line="576" w:lineRule="exact"/>
        <w:jc w:val="center"/>
        <w:rPr>
          <w:rFonts w:ascii="方正楷体简体" w:eastAsia="方正楷体简体"/>
          <w:sz w:val="32"/>
          <w:szCs w:val="32"/>
        </w:rPr>
      </w:pPr>
      <w:r>
        <w:rPr>
          <w:rFonts w:ascii="宋体"/>
          <w:b/>
          <w:sz w:val="44"/>
          <w:szCs w:val="44"/>
        </w:rPr>
        <w:br w:type="page"/>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（联网预算监督平台项目）</w:t>
      </w:r>
    </w:p>
    <w:p>
      <w:pPr>
        <w:pStyle w:val="20"/>
      </w:pPr>
    </w:p>
    <w:p>
      <w:pPr>
        <w:pStyle w:val="20"/>
      </w:pPr>
    </w:p>
    <w:p>
      <w:pPr>
        <w:adjustRightInd w:val="0"/>
        <w:snapToGrid w:val="0"/>
        <w:spacing w:line="580" w:lineRule="exact"/>
        <w:ind w:left="168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联网预算监督平台经费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此项目预算30万元。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numPr>
          <w:ilvl w:val="0"/>
          <w:numId w:val="8"/>
        </w:num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项目绩效目标</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党的领导、人民当家作主、依法治国有机统一，以宪法和预算法、监督法等法律为依据，坚持正确监督、有效监督，加强对支出预算和政策的审查监督，利用预算联网监督平台提高预算监督的针对性和有效性，对政府预算全口径审查和全过程监管。与市人大联网监督，提高人大预算审查监督的专业化、科学化，进一步增强监督的实效，为常委会提供优质高效的服务和保障。</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联网预算监督平台经费预算30万元，截止评价时点已全部执行，资金到位率100%。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该项目资金主要用于开展工作期间的预算联网监督平台维护费及相关设备更新等，均按相关规定执行，无超标准现象</w:t>
      </w:r>
      <w:r>
        <w:rPr>
          <w:rFonts w:hint="eastAsia" w:ascii="仿宋_GB2312" w:hAnsi="仿宋_GB2312" w:eastAsia="仿宋_GB2312" w:cs="仿宋_GB2312"/>
          <w:color w:val="FF0000"/>
          <w:sz w:val="32"/>
          <w:szCs w:val="32"/>
        </w:rPr>
        <w:t>。</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pPr>
      <w:r>
        <w:rPr>
          <w:rFonts w:hint="eastAsia" w:ascii="仿宋_GB2312" w:hAnsi="仿宋_GB2312" w:eastAsia="仿宋_GB2312" w:cs="仿宋_GB2312"/>
          <w:sz w:val="32"/>
          <w:szCs w:val="32"/>
        </w:rPr>
        <w:t>该项目主要由分管领导及相关委室负责实施，提出相关方案，经主要领导及主任会议同意后方可执行。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pPr>
      <w:r>
        <w:rPr>
          <w:rFonts w:hint="eastAsia" w:ascii="仿宋_GB2312" w:hAnsi="仿宋_GB2312" w:eastAsia="仿宋_GB2312" w:cs="仿宋_GB2312"/>
          <w:sz w:val="32"/>
          <w:szCs w:val="32"/>
        </w:rPr>
        <w:t>该项目落实情况良好，促进</w:t>
      </w:r>
      <w:r>
        <w:rPr>
          <w:rFonts w:hint="eastAsia" w:ascii="仿宋_GB2312" w:hAnsi="仿宋_GB2312" w:eastAsia="仿宋_GB2312" w:cs="仿宋_GB2312"/>
          <w:sz w:val="32"/>
          <w:szCs w:val="32"/>
          <w:lang w:val="zh-CN"/>
        </w:rPr>
        <w:t>“一府两院”</w:t>
      </w:r>
      <w:r>
        <w:rPr>
          <w:rFonts w:hint="eastAsia" w:ascii="仿宋_GB2312" w:hAnsi="仿宋_GB2312" w:eastAsia="仿宋_GB2312" w:cs="仿宋_GB2312"/>
          <w:sz w:val="32"/>
          <w:szCs w:val="32"/>
        </w:rPr>
        <w:t>依法行政、依法理财，保障党中央重大方针政策和决策部署的贯彻落实。</w:t>
      </w:r>
      <w:r>
        <w:rPr>
          <w:rFonts w:hint="eastAsia" w:ascii="仿宋_GB2312" w:hAnsi="仿宋_GB2312" w:eastAsia="仿宋_GB2312" w:cs="仿宋_GB2312"/>
          <w:sz w:val="32"/>
          <w:szCs w:val="32"/>
          <w:lang w:val="zh-CN"/>
        </w:rPr>
        <w:t>保障和维护人民群众权利</w:t>
      </w:r>
      <w:r>
        <w:rPr>
          <w:rFonts w:hint="eastAsia" w:ascii="仿宋_GB2312" w:hAnsi="仿宋_GB2312" w:eastAsia="仿宋_GB2312" w:cs="仿宋_GB2312"/>
          <w:sz w:val="32"/>
          <w:szCs w:val="32"/>
        </w:rPr>
        <w:t>，提升了人民群众对政府工作及人大工作的满意度。</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adjustRightInd w:val="0"/>
        <w:snapToGrid w:val="0"/>
        <w:spacing w:line="576" w:lineRule="exact"/>
        <w:jc w:val="center"/>
        <w:rPr>
          <w:rFonts w:ascii="方正楷体简体" w:eastAsia="方正楷体简体"/>
          <w:sz w:val="32"/>
          <w:szCs w:val="32"/>
        </w:rPr>
      </w:pPr>
      <w:r>
        <w:rPr>
          <w:rFonts w:ascii="宋体"/>
          <w:b/>
          <w:sz w:val="44"/>
          <w:szCs w:val="44"/>
        </w:rPr>
        <w:br w:type="page"/>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（联系重点工作项目）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联系重点工作经费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此项目预算5万元。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保障常委会领导重点中心工作开展等。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联系重点工作经费预算5万元，截止评价时点已全部执行，资金到位率100%。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该项目资金主要用于联系重点工作开展时产生的资料印制、会议费用等，均按相关规定执行，无超标准现象。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该项目主要由分管领导及相关委室负责实施，提出方案，经主要领导或主任会议同意后方可执行。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该项目能得到区人大常委会的认可，社会反映良好，保障了全区重点工作的推进。</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adjustRightInd w:val="0"/>
        <w:snapToGrid w:val="0"/>
        <w:spacing w:line="576" w:lineRule="exact"/>
        <w:jc w:val="center"/>
        <w:rPr>
          <w:rFonts w:ascii="方正楷体简体" w:eastAsia="方正楷体简体"/>
          <w:sz w:val="32"/>
          <w:szCs w:val="32"/>
        </w:rPr>
      </w:pPr>
      <w:r>
        <w:rPr>
          <w:rFonts w:ascii="宋体"/>
          <w:b/>
          <w:sz w:val="44"/>
          <w:szCs w:val="44"/>
        </w:rPr>
        <w:br w:type="page"/>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（区人大代表活动视察项目）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left="630" w:left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区人大代表活动视察工作经费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此项目预算35万元。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发挥代表主体作用、推动政府部门工作，增强代表参与全区经济社会建设主体性。</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区人大代表活动视察预算35万元，截止评价时点已全部执行，资金到位率100%。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w:t>
      </w:r>
      <w:r>
        <w:rPr>
          <w:rFonts w:hint="eastAsia" w:ascii="仿宋_GB2312" w:hAnsi="宋体" w:eastAsia="仿宋_GB2312"/>
          <w:sz w:val="32"/>
          <w:szCs w:val="32"/>
          <w:lang w:val="zh-CN"/>
        </w:rPr>
        <w:t>保障代表开展调研视察、会议培训等活动提供服务及保障。包括代表参加出席会议、开展调研视察，走访慰问代表及其他按规定与代表工作相关的经费</w:t>
      </w:r>
      <w:r>
        <w:rPr>
          <w:rFonts w:hint="eastAsia" w:ascii="仿宋_GB2312" w:hAnsi="仿宋_GB2312" w:eastAsia="仿宋_GB2312" w:cs="仿宋_GB2312"/>
          <w:sz w:val="32"/>
          <w:szCs w:val="32"/>
        </w:rPr>
        <w:t>，均按相关规定执行，无超标准现象。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该项目主要由分管领导及相关委室负责实施，提出相关方案，经主要领导及主任会议同意后方可执行。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宋体" w:eastAsia="仿宋_GB2312"/>
          <w:sz w:val="32"/>
          <w:szCs w:val="32"/>
        </w:rPr>
      </w:pPr>
      <w:r>
        <w:rPr>
          <w:rFonts w:hint="eastAsia" w:ascii="仿宋_GB2312" w:hAnsi="仿宋_GB2312" w:eastAsia="仿宋_GB2312" w:cs="仿宋_GB2312"/>
          <w:sz w:val="32"/>
          <w:szCs w:val="32"/>
        </w:rPr>
        <w:t>该项目落实情况良好，</w:t>
      </w:r>
      <w:r>
        <w:rPr>
          <w:rFonts w:hint="eastAsia" w:ascii="仿宋_GB2312" w:hAnsi="宋体" w:eastAsia="仿宋_GB2312"/>
          <w:sz w:val="32"/>
          <w:szCs w:val="32"/>
          <w:lang w:val="zh-CN"/>
        </w:rPr>
        <w:t>促进</w:t>
      </w:r>
      <w:r>
        <w:rPr>
          <w:rFonts w:hint="eastAsia" w:ascii="仿宋_GB2312" w:hAnsi="宋体" w:eastAsia="仿宋_GB2312"/>
          <w:sz w:val="32"/>
          <w:szCs w:val="32"/>
        </w:rPr>
        <w:t>了代表履职能力提升，</w:t>
      </w:r>
      <w:r>
        <w:rPr>
          <w:rFonts w:hint="eastAsia" w:ascii="仿宋_GB2312" w:hAnsi="宋体" w:eastAsia="仿宋_GB2312"/>
          <w:sz w:val="32"/>
          <w:szCs w:val="32"/>
          <w:lang w:val="zh-CN"/>
        </w:rPr>
        <w:t>社会满意度极高。</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方正小标宋简体" w:hAnsi="方正小标宋简体" w:eastAsia="方正小标宋简体" w:cs="方正小标宋简体"/>
          <w:sz w:val="40"/>
          <w:szCs w:val="40"/>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（人大常委会会议项目）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人大常委会会议费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此项目预算14.88万元。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筹办区人大常委会议等。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人大常委会会议费预算14.88万元，截止评价时点已全部执行，资金到位率100%。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该项目资金主要用于办会、开会期间发生的文件打印、会务服务费用等，均按相关规定执行，无超标准现象。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该项目主要由分管领导及相关委室负责实施，提出方案，经主要领导及主任会议同意后方可执行。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该项目能得到区人大各专委，区人大常委会各办事机构，常委会组成人员的认可，保障了区人大常委会议的依法召开，保证了区人大常委会职能发挥。</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pStyle w:val="20"/>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（人大代表培训项目）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人大代表培训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此项目预算10万元。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组织人大代表开展履职培训等。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人大代表培训预算10万元，截止评价时点已全部执行，资金到位率100%。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该项目资金主要用于组织代表培训期间发生的交通、住宿、学习费用、生活补助等，均按相关规定执行，无超标准现象。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该项目主要由分管领导及相关委室负责实施，根据需要开展工作实际情况，提出方案，经主要领导或主任会议同意后方可执行。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该项目能得到区人大各专委，区人大常委会各办事机构，常委会组成人员及区人大代表的认可，更好的提高代表履职能力和工作水平。</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（人大代表学习考察项目）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人大代表学习考察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此项目预算10万元。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组织人大代表学习、考察等。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人大代表学习考察预算10万元，截止评价时点已全部执行，资金到位率100%。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该项目资金主要用于组织代表外出学习交通、住宿、资料、生活补助等，均按相关规定执行，无超标准现象。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该项目主要由分管领导及相关委室负责实施，根据需要开展工作实际情况，提出方案，经主要领导或主任会议同意后方可执行。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该项目能得到区人大各专委，区人大常委会各办事机构，常委会组成人员及区人大代表的认可，更好的提高代表履职水平。</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（人大代表意见办理项目）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人大代表意见办理工作经费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加强和改进人大代表建议办理工作，使建议真正落到实处，促进“一府两院”保障和维护人民群众根本利益，解决群众关心的热点、难点问题。</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人大代表意见办理预算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该项目资金主要用于会议、视察、调研、询问、约见等工作方式开展，均按相关规定执行，无超标准现象。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该项目主要由分管领导及相关委室负责实施，提出方案，经主要领导或主任会议同意后方可执行。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该项目落实情况良好，</w:t>
      </w:r>
      <w:r>
        <w:rPr>
          <w:rFonts w:hint="eastAsia" w:ascii="仿宋_GB2312" w:hAnsi="宋体" w:eastAsia="仿宋_GB2312"/>
          <w:sz w:val="32"/>
          <w:szCs w:val="32"/>
          <w:lang w:val="zh-CN"/>
        </w:rPr>
        <w:t>持续提升代表建议办理满意度，</w:t>
      </w:r>
      <w:r>
        <w:rPr>
          <w:rFonts w:hint="eastAsia" w:ascii="仿宋_GB2312" w:hAnsi="宋体" w:eastAsia="仿宋_GB2312"/>
          <w:sz w:val="32"/>
          <w:szCs w:val="32"/>
        </w:rPr>
        <w:t>提升了人民群众对政府工作及人大工作的满意度</w:t>
      </w:r>
      <w:r>
        <w:rPr>
          <w:rFonts w:hint="eastAsia" w:ascii="仿宋_GB2312" w:hAnsi="仿宋_GB2312" w:eastAsia="仿宋_GB2312" w:cs="仿宋_GB2312"/>
          <w:sz w:val="32"/>
          <w:szCs w:val="32"/>
        </w:rPr>
        <w:t>。</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（人大公报项目）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人大公报工作经费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此项目预算6万元。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加强和</w:t>
      </w:r>
      <w:r>
        <w:rPr>
          <w:rFonts w:hint="eastAsia" w:ascii="仿宋_GB2312" w:hAnsi="宋体" w:eastAsia="仿宋_GB2312"/>
          <w:sz w:val="32"/>
          <w:szCs w:val="32"/>
        </w:rPr>
        <w:t>提高</w:t>
      </w:r>
      <w:r>
        <w:rPr>
          <w:rFonts w:hint="eastAsia" w:ascii="仿宋_GB2312" w:hAnsi="宋体" w:eastAsia="仿宋_GB2312"/>
          <w:sz w:val="32"/>
          <w:szCs w:val="32"/>
          <w:lang w:val="zh-CN"/>
        </w:rPr>
        <w:t>人大</w:t>
      </w:r>
      <w:r>
        <w:rPr>
          <w:rFonts w:hint="eastAsia" w:ascii="仿宋_GB2312" w:hAnsi="宋体" w:eastAsia="仿宋_GB2312"/>
          <w:sz w:val="32"/>
          <w:szCs w:val="32"/>
        </w:rPr>
        <w:t>工作实效</w:t>
      </w:r>
      <w:r>
        <w:rPr>
          <w:rFonts w:hint="eastAsia" w:ascii="仿宋_GB2312" w:hAnsi="宋体" w:eastAsia="仿宋_GB2312"/>
          <w:sz w:val="32"/>
          <w:szCs w:val="32"/>
          <w:lang w:val="zh-CN"/>
        </w:rPr>
        <w:t>，使</w:t>
      </w:r>
      <w:r>
        <w:rPr>
          <w:rFonts w:hint="eastAsia" w:ascii="仿宋_GB2312" w:hAnsi="宋体" w:eastAsia="仿宋_GB2312"/>
          <w:sz w:val="32"/>
          <w:szCs w:val="32"/>
        </w:rPr>
        <w:t>监督职能</w:t>
      </w:r>
      <w:r>
        <w:rPr>
          <w:rFonts w:hint="eastAsia" w:ascii="仿宋_GB2312" w:hAnsi="宋体" w:eastAsia="仿宋_GB2312"/>
          <w:sz w:val="32"/>
          <w:szCs w:val="32"/>
          <w:lang w:val="zh-CN"/>
        </w:rPr>
        <w:t>真正落到实处，促进“一府两院”保障和维护人民群众根本利益，解决群众关心的热点、难点问题。</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人大公报预算6万元，截止评价时点已全部执行，资金到位率100%。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该项目资金主要用于公报印制，均按相关规定执行，无超标准现象。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该项目主要由分管领导及相关委室负责实施，经主要领导及主任会议同意后，常委会议召开后方可执行。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该项目落实情况良好，</w:t>
      </w:r>
      <w:r>
        <w:rPr>
          <w:rFonts w:hint="eastAsia" w:ascii="仿宋_GB2312" w:hAnsi="宋体" w:eastAsia="仿宋_GB2312"/>
          <w:sz w:val="32"/>
          <w:szCs w:val="32"/>
        </w:rPr>
        <w:t>提升了人民群众对政府工作及人大工作的满意度</w:t>
      </w:r>
      <w:r>
        <w:rPr>
          <w:rFonts w:hint="eastAsia" w:ascii="仿宋_GB2312" w:hAnsi="仿宋_GB2312" w:eastAsia="仿宋_GB2312" w:cs="仿宋_GB2312"/>
          <w:sz w:val="32"/>
          <w:szCs w:val="32"/>
        </w:rPr>
        <w:t>。</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（人大评议、财政预算审查、规范性文件审查项目）</w:t>
      </w:r>
    </w:p>
    <w:p>
      <w:pPr>
        <w:pStyle w:val="35"/>
        <w:spacing w:line="600" w:lineRule="exact"/>
        <w:jc w:val="center"/>
        <w:rPr>
          <w:rFonts w:ascii="黑体" w:hAnsi="黑体" w:eastAsia="黑体" w:cs="黑体"/>
          <w:sz w:val="36"/>
          <w:szCs w:val="36"/>
          <w:lang w:val="en-US"/>
        </w:rPr>
      </w:pPr>
    </w:p>
    <w:p>
      <w:pPr>
        <w:adjustRightInd w:val="0"/>
        <w:snapToGrid w:val="0"/>
        <w:spacing w:line="580" w:lineRule="exact"/>
        <w:ind w:left="630" w:left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人大评议、财政预算审查、规范性文件审查工作经费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此项目预算30.6万元。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拓展人大监督职能、发挥代表主体作用、推动政府部门工作，增强干部的人大意识、服务意识和依法行政意识。</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人大评议、财政预算审查、规范性文件审查预算30.6万元，截止评价时点已全部执行，资金到位率100%。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该项目资金主要用于开展工作期间的文件印制、会议服务等，均按相关规定执行，无超标准现象。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该项目主要由分管领导及相关委室负责实施，提出相关方案，经主要领导及主任会议同意后方可执行。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该项目落实情况良好，</w:t>
      </w:r>
      <w:r>
        <w:rPr>
          <w:rFonts w:hint="eastAsia" w:ascii="仿宋_GB2312" w:hAnsi="宋体" w:eastAsia="仿宋_GB2312"/>
          <w:sz w:val="32"/>
          <w:szCs w:val="32"/>
          <w:lang w:val="zh-CN"/>
        </w:rPr>
        <w:t>促进“一府两院”保障和维护人民群众</w:t>
      </w:r>
      <w:r>
        <w:rPr>
          <w:rFonts w:hint="eastAsia" w:ascii="仿宋_GB2312" w:hAnsi="宋体" w:eastAsia="仿宋_GB2312"/>
          <w:sz w:val="32"/>
          <w:szCs w:val="32"/>
        </w:rPr>
        <w:t>能力</w:t>
      </w:r>
      <w:r>
        <w:rPr>
          <w:rFonts w:hint="eastAsia" w:ascii="仿宋_GB2312" w:hAnsi="仿宋_GB2312" w:eastAsia="仿宋_GB2312" w:cs="仿宋_GB2312"/>
          <w:sz w:val="32"/>
          <w:szCs w:val="32"/>
        </w:rPr>
        <w:t>，</w:t>
      </w:r>
      <w:r>
        <w:rPr>
          <w:rFonts w:hint="eastAsia" w:ascii="仿宋_GB2312" w:hAnsi="宋体" w:eastAsia="仿宋_GB2312"/>
          <w:sz w:val="32"/>
          <w:szCs w:val="32"/>
        </w:rPr>
        <w:t>提升了人民群众对政府工作及人大工作的满意度</w:t>
      </w:r>
      <w:r>
        <w:rPr>
          <w:rFonts w:hint="eastAsia" w:ascii="仿宋_GB2312" w:hAnsi="仿宋_GB2312" w:eastAsia="仿宋_GB2312" w:cs="仿宋_GB2312"/>
          <w:sz w:val="32"/>
          <w:szCs w:val="32"/>
        </w:rPr>
        <w:t>。</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adjustRightInd w:val="0"/>
        <w:snapToGrid w:val="0"/>
        <w:spacing w:line="576" w:lineRule="exact"/>
        <w:jc w:val="center"/>
        <w:rPr>
          <w:rFonts w:ascii="方正楷体简体" w:eastAsia="方正楷体简体"/>
          <w:sz w:val="32"/>
          <w:szCs w:val="32"/>
        </w:rPr>
      </w:pPr>
      <w:r>
        <w:rPr>
          <w:rFonts w:ascii="宋体"/>
          <w:b/>
          <w:sz w:val="44"/>
          <w:szCs w:val="44"/>
        </w:rPr>
        <w:br w:type="page"/>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widowControl/>
        <w:spacing w:line="572" w:lineRule="exact"/>
        <w:contextualSpacing/>
        <w:jc w:val="center"/>
        <w:rPr>
          <w:rFonts w:ascii="方正楷体简体" w:hAnsi="宋体" w:eastAsia="方正楷体简体"/>
          <w:sz w:val="32"/>
          <w:szCs w:val="32"/>
          <w:shd w:val="clear" w:color="auto" w:fill="FFFFFF"/>
        </w:rPr>
      </w:pPr>
      <w:r>
        <w:rPr>
          <w:rFonts w:hint="eastAsia" w:ascii="方正楷体简体" w:hAnsi="宋体" w:eastAsia="方正楷体简体"/>
          <w:sz w:val="32"/>
          <w:szCs w:val="32"/>
          <w:shd w:val="clear" w:color="auto" w:fill="FFFFFF"/>
        </w:rPr>
        <w:t>（人大普法、立法与监督项目）</w:t>
      </w:r>
    </w:p>
    <w:p>
      <w:pPr>
        <w:pStyle w:val="2"/>
        <w:spacing w:before="93"/>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人大普法、立法与监督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开展相关普法活动宣传、普法讲座，开展执法检查等。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人大普法、立法与监督预算</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该项目资金主要用于普法宣传资料、展板、手册、文件等印制，执法检查过程中交通费用等，均按相关规定执行，无超标准现象。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该项目主要由分管领导及相关委室负责实施，根据需要开展工作实际情况，提出方案，经主要领导及主任会议同意后方可执行。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该项目能得到区人大各专委，区人大常委会各办事机构，常委会组成人员的认可，能得到社会群众的高度评价。</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无。</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pStyle w:val="2"/>
        <w:spacing w:before="93"/>
        <w:jc w:val="center"/>
        <w:rPr>
          <w:rFonts w:hint="eastAsia" w:ascii="方正楷体简体" w:eastAsia="方正楷体简体"/>
        </w:rPr>
      </w:pPr>
      <w:r>
        <w:rPr>
          <w:rFonts w:hint="eastAsia" w:ascii="方正楷体简体" w:eastAsia="方正楷体简体"/>
        </w:rPr>
        <w:t>（人大信息化维护项目）</w:t>
      </w:r>
    </w:p>
    <w:p>
      <w:pPr>
        <w:pStyle w:val="2"/>
        <w:spacing w:before="93"/>
        <w:jc w:val="center"/>
      </w:pPr>
    </w:p>
    <w:p>
      <w:pPr>
        <w:adjustRightInd w:val="0"/>
        <w:snapToGrid w:val="0"/>
        <w:spacing w:line="580" w:lineRule="exact"/>
        <w:ind w:firstLine="72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人大信息化维护</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此项目预算</w:t>
      </w:r>
      <w:r>
        <w:rPr>
          <w:rFonts w:hint="eastAsia" w:ascii="仿宋_GB2312" w:hAnsi="仿宋_GB2312" w:eastAsia="仿宋_GB2312" w:cs="仿宋_GB2312"/>
          <w:sz w:val="32"/>
          <w:szCs w:val="32"/>
          <w:lang w:val="en-US" w:eastAsia="zh-CN"/>
        </w:rPr>
        <w:t>13.69</w:t>
      </w:r>
      <w:r>
        <w:rPr>
          <w:rFonts w:hint="eastAsia" w:ascii="仿宋_GB2312" w:hAnsi="仿宋_GB2312" w:eastAsia="仿宋_GB2312" w:cs="仿宋_GB2312"/>
          <w:sz w:val="32"/>
          <w:szCs w:val="32"/>
        </w:rPr>
        <w:t>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维护人大信息化平台建设，“利州人大”公众号运营等。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人大信息化维护预算</w:t>
      </w:r>
      <w:r>
        <w:rPr>
          <w:rFonts w:hint="eastAsia" w:ascii="仿宋_GB2312" w:hAnsi="仿宋_GB2312" w:eastAsia="仿宋_GB2312" w:cs="仿宋_GB2312"/>
          <w:sz w:val="32"/>
          <w:szCs w:val="32"/>
          <w:lang w:val="en-US" w:eastAsia="zh-CN"/>
        </w:rPr>
        <w:t>13.69</w:t>
      </w:r>
      <w:r>
        <w:rPr>
          <w:rFonts w:hint="eastAsia" w:ascii="仿宋_GB2312" w:hAnsi="仿宋_GB2312" w:eastAsia="仿宋_GB2312" w:cs="仿宋_GB2312"/>
          <w:sz w:val="32"/>
          <w:szCs w:val="32"/>
        </w:rPr>
        <w:t>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该项目资金主要用于信息化平台维护、表决系统维护、短信平台专线维护、公众号运营维护，均按相关规定执行，无超标准现象。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该项目主要由分管领导及相关委室负责实施，根据需要开展工作实际情况，提出方案，经主要领导或党组会同意后方可执行。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该项目能得到区人大各专委，区人大常委会各办事机构，常委会组成人员的认可，能得到社会群众的高度评价。</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能根据工作实际增加相关预算金额。</w:t>
      </w:r>
    </w:p>
    <w:p>
      <w:pPr>
        <w:adjustRightInd w:val="0"/>
        <w:snapToGrid w:val="0"/>
        <w:spacing w:line="580" w:lineRule="exact"/>
        <w:ind w:firstLine="720"/>
        <w:rPr>
          <w:rFonts w:ascii="仿宋_GB2312" w:hAnsi="仿宋_GB2312" w:eastAsia="仿宋_GB2312" w:cs="仿宋_GB2312"/>
          <w:b/>
          <w:bCs/>
          <w:sz w:val="32"/>
          <w:szCs w:val="32"/>
          <w:lang w:val="zh-CN"/>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pStyle w:val="2"/>
        <w:spacing w:before="93"/>
        <w:jc w:val="center"/>
        <w:rPr>
          <w:rFonts w:ascii="方正楷体简体" w:eastAsia="方正楷体简体"/>
        </w:rPr>
      </w:pPr>
      <w:r>
        <w:rPr>
          <w:rFonts w:hint="eastAsia" w:ascii="方正楷体简体" w:eastAsia="方正楷体简体"/>
        </w:rPr>
        <w:t>（人大宣传项目）</w:t>
      </w:r>
    </w:p>
    <w:p>
      <w:pPr>
        <w:pStyle w:val="20"/>
      </w:pPr>
    </w:p>
    <w:p>
      <w:pPr>
        <w:adjustRightInd w:val="0"/>
        <w:snapToGrid w:val="0"/>
        <w:spacing w:line="580" w:lineRule="exact"/>
        <w:ind w:firstLine="960" w:firstLineChars="3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pStyle w:val="35"/>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rPr>
        <w:t>人大宣传工作经费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此项目预算</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rPr>
        <w:t>万元。</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该项目属常年性项目，通常在工作需要开展前，根据需要开支金额进行申报，能保证工作的正常开展，使用过程符合资金管理办法相关规定，无违规现象。</w:t>
      </w:r>
    </w:p>
    <w:p>
      <w:pPr>
        <w:adjustRightInd w:val="0"/>
        <w:snapToGrid w:val="0"/>
        <w:spacing w:line="58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宣传区人大常委会工作情况、人大代表履职情况、人民代表大会制度等。</w:t>
      </w:r>
    </w:p>
    <w:p>
      <w:pPr>
        <w:adjustRightInd w:val="0"/>
        <w:snapToGrid w:val="0"/>
        <w:spacing w:line="58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项目资金从申报到使用符合相关规定，执行合理可行。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人大宣传预算</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万元，截止评价时点已全部执行，资金到位率100%。</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该项目资金主要用于宣传材料（展板、手册、资料、专题片、书籍）制作等，均按相关规定执行，无超标准现象。</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区人大常委会办公室建立了相关财务制度，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。严格执行财务管理制度、财务处理及时、会计核算规范。</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该项目主要由分管领导及相关委室负责实施，提出方案，经主要领导或主任会议同意后方可执行。</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该项目能按时、按质、按量完成，本着厉行节约的思想，具体经办人采取比价等方式控制成本。项目自评能达到优秀。</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该项目能得到区人大常委会的认可，社会反映良好，群众接纳度高，保证了人民代表大会制度的广泛宣传。</w:t>
      </w:r>
    </w:p>
    <w:p>
      <w:pPr>
        <w:adjustRightInd w:val="0"/>
        <w:snapToGrid w:val="0"/>
        <w:spacing w:line="580" w:lineRule="exact"/>
        <w:ind w:firstLine="72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w:t>
      </w:r>
      <w:r>
        <w:rPr>
          <w:rFonts w:hint="eastAsia" w:ascii="仿宋_GB2312" w:hAnsi="仿宋_GB2312" w:eastAsia="仿宋_GB2312" w:cs="仿宋_GB2312"/>
          <w:sz w:val="32"/>
          <w:szCs w:val="32"/>
        </w:rPr>
        <w:t>无。</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t>（二）相关建议：</w:t>
      </w:r>
      <w:r>
        <w:rPr>
          <w:rFonts w:hint="eastAsia" w:ascii="仿宋_GB2312" w:hAnsi="仿宋_GB2312" w:eastAsia="仿宋_GB2312" w:cs="仿宋_GB2312"/>
          <w:sz w:val="32"/>
          <w:szCs w:val="32"/>
        </w:rPr>
        <w:t>能根据工作实际增加相关预算金额。</w:t>
      </w:r>
    </w:p>
    <w:p>
      <w:pPr>
        <w:adjustRightInd w:val="0"/>
        <w:snapToGrid w:val="0"/>
        <w:spacing w:line="580" w:lineRule="exact"/>
        <w:ind w:firstLine="720"/>
        <w:rPr>
          <w:rFonts w:ascii="仿宋_GB2312" w:hAnsi="仿宋_GB2312" w:eastAsia="仿宋_GB2312" w:cs="仿宋_GB2312"/>
          <w:b/>
          <w:bCs/>
          <w:sz w:val="32"/>
          <w:szCs w:val="32"/>
          <w:lang w:val="zh-CN"/>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jc w:val="left"/>
        <w:rPr>
          <w:rFonts w:ascii="仿宋" w:hAnsi="仿宋" w:eastAsia="仿宋_GB2312"/>
          <w:b/>
          <w:sz w:val="32"/>
          <w:szCs w:val="32"/>
        </w:rPr>
      </w:pPr>
    </w:p>
    <w:p>
      <w:pPr>
        <w:spacing w:line="600" w:lineRule="exact"/>
        <w:jc w:val="center"/>
        <w:outlineLvl w:val="0"/>
        <w:rPr>
          <w:rFonts w:ascii="仿宋" w:hAnsi="仿宋" w:eastAsia="仿宋_GB2312"/>
        </w:rPr>
      </w:pPr>
      <w:bookmarkStart w:id="59" w:name="_Toc15396618"/>
      <w:r>
        <w:rPr>
          <w:rFonts w:hint="eastAsia" w:ascii="黑体" w:hAnsi="黑体" w:eastAsia="黑体"/>
          <w:sz w:val="44"/>
          <w:szCs w:val="44"/>
        </w:rPr>
        <w:t>第</w:t>
      </w:r>
      <w:r>
        <w:rPr>
          <w:rStyle w:val="29"/>
          <w:rFonts w:hint="eastAsia" w:ascii="黑体" w:hAnsi="黑体" w:eastAsia="黑体"/>
          <w:b w:val="0"/>
        </w:rPr>
        <w:t>五部分 附表</w:t>
      </w:r>
      <w:bookmarkEnd w:id="57"/>
      <w:bookmarkEnd w:id="59"/>
      <w:bookmarkStart w:id="60" w:name="_Toc15396619"/>
    </w:p>
    <w:p>
      <w:pPr>
        <w:pStyle w:val="4"/>
        <w:keepNext w:val="0"/>
        <w:keepLines w:val="0"/>
        <w:spacing w:before="0" w:after="0" w:line="576" w:lineRule="exact"/>
        <w:ind w:firstLine="640" w:firstLineChars="200"/>
        <w:rPr>
          <w:rFonts w:ascii="仿宋" w:hAnsi="仿宋" w:eastAsia="仿宋_GB2312"/>
          <w:b w:val="0"/>
        </w:rPr>
      </w:pPr>
    </w:p>
    <w:p>
      <w:pPr>
        <w:pStyle w:val="4"/>
        <w:keepNext w:val="0"/>
        <w:keepLines w:val="0"/>
        <w:spacing w:before="0" w:after="0" w:line="576" w:lineRule="exact"/>
        <w:ind w:firstLine="640" w:firstLineChars="200"/>
        <w:rPr>
          <w:rStyle w:val="30"/>
          <w:rFonts w:ascii="仿宋" w:hAnsi="仿宋" w:eastAsia="仿宋_GB2312"/>
          <w:b w:val="0"/>
          <w:bCs w:val="0"/>
        </w:rPr>
      </w:pPr>
      <w:r>
        <w:rPr>
          <w:rFonts w:hint="eastAsia" w:ascii="仿宋" w:hAnsi="仿宋" w:eastAsia="仿宋_GB2312"/>
          <w:b w:val="0"/>
        </w:rPr>
        <w:t>一、收</w:t>
      </w:r>
      <w:r>
        <w:rPr>
          <w:rStyle w:val="30"/>
          <w:rFonts w:hint="eastAsia" w:ascii="仿宋" w:hAnsi="仿宋" w:eastAsia="仿宋_GB2312"/>
          <w:b w:val="0"/>
          <w:bCs w:val="0"/>
        </w:rPr>
        <w:t>入支出决算总表</w:t>
      </w:r>
      <w:bookmarkEnd w:id="60"/>
      <w:bookmarkStart w:id="61" w:name="_Toc15396620"/>
    </w:p>
    <w:p>
      <w:pPr>
        <w:pStyle w:val="4"/>
        <w:keepNext w:val="0"/>
        <w:keepLines w:val="0"/>
        <w:spacing w:before="0" w:after="0" w:line="576" w:lineRule="exact"/>
        <w:ind w:firstLine="640" w:firstLineChars="200"/>
        <w:rPr>
          <w:rStyle w:val="30"/>
          <w:rFonts w:ascii="仿宋" w:hAnsi="仿宋" w:eastAsia="仿宋_GB2312"/>
          <w:b w:val="0"/>
          <w:bCs w:val="0"/>
        </w:rPr>
      </w:pPr>
      <w:r>
        <w:rPr>
          <w:rFonts w:hint="eastAsia" w:ascii="仿宋" w:hAnsi="仿宋" w:eastAsia="仿宋_GB2312"/>
          <w:b w:val="0"/>
        </w:rPr>
        <w:t>二、收</w:t>
      </w:r>
      <w:r>
        <w:rPr>
          <w:rStyle w:val="30"/>
          <w:rFonts w:hint="eastAsia" w:ascii="仿宋" w:hAnsi="仿宋" w:eastAsia="仿宋_GB2312"/>
          <w:b w:val="0"/>
          <w:bCs w:val="0"/>
        </w:rPr>
        <w:t>入决算表</w:t>
      </w:r>
      <w:bookmarkEnd w:id="61"/>
      <w:bookmarkStart w:id="62" w:name="_Toc15396621"/>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三、</w:t>
      </w:r>
      <w:r>
        <w:rPr>
          <w:rFonts w:hint="eastAsia" w:ascii="仿宋" w:hAnsi="仿宋" w:eastAsia="仿宋_GB2312"/>
          <w:b w:val="0"/>
        </w:rPr>
        <w:t>支</w:t>
      </w:r>
      <w:r>
        <w:rPr>
          <w:rStyle w:val="30"/>
          <w:rFonts w:hint="eastAsia" w:ascii="仿宋" w:hAnsi="仿宋" w:eastAsia="仿宋_GB2312"/>
          <w:b w:val="0"/>
          <w:bCs w:val="0"/>
        </w:rPr>
        <w:t>出决算表</w:t>
      </w:r>
      <w:bookmarkEnd w:id="62"/>
      <w:bookmarkStart w:id="63" w:name="_Toc15396622"/>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四、</w:t>
      </w:r>
      <w:r>
        <w:rPr>
          <w:rFonts w:hint="eastAsia" w:ascii="仿宋" w:hAnsi="仿宋" w:eastAsia="仿宋_GB2312"/>
          <w:b w:val="0"/>
        </w:rPr>
        <w:t>财</w:t>
      </w:r>
      <w:r>
        <w:rPr>
          <w:rStyle w:val="30"/>
          <w:rFonts w:hint="eastAsia" w:ascii="仿宋" w:hAnsi="仿宋" w:eastAsia="仿宋_GB2312"/>
          <w:b w:val="0"/>
          <w:bCs w:val="0"/>
        </w:rPr>
        <w:t>政拨款收入支出决算总表</w:t>
      </w:r>
      <w:bookmarkEnd w:id="63"/>
      <w:bookmarkStart w:id="64" w:name="_Toc15396623"/>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五、</w:t>
      </w:r>
      <w:r>
        <w:rPr>
          <w:rFonts w:hint="eastAsia" w:ascii="仿宋" w:hAnsi="仿宋" w:eastAsia="仿宋_GB2312"/>
          <w:b w:val="0"/>
        </w:rPr>
        <w:t>财</w:t>
      </w:r>
      <w:r>
        <w:rPr>
          <w:rStyle w:val="30"/>
          <w:rFonts w:hint="eastAsia" w:ascii="仿宋" w:hAnsi="仿宋" w:eastAsia="仿宋_GB2312"/>
          <w:b w:val="0"/>
          <w:bCs w:val="0"/>
        </w:rPr>
        <w:t>政拨款支出决算明细表</w:t>
      </w:r>
      <w:bookmarkEnd w:id="64"/>
      <w:bookmarkStart w:id="65" w:name="_Toc15396624"/>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六、</w:t>
      </w:r>
      <w:r>
        <w:rPr>
          <w:rFonts w:hint="eastAsia" w:ascii="仿宋" w:hAnsi="仿宋" w:eastAsia="仿宋_GB2312"/>
          <w:b w:val="0"/>
        </w:rPr>
        <w:t>一</w:t>
      </w:r>
      <w:r>
        <w:rPr>
          <w:rStyle w:val="30"/>
          <w:rFonts w:hint="eastAsia" w:ascii="仿宋" w:hAnsi="仿宋" w:eastAsia="仿宋_GB2312"/>
          <w:b w:val="0"/>
          <w:bCs w:val="0"/>
        </w:rPr>
        <w:t>般公共预算财政拨款支出决算表</w:t>
      </w:r>
      <w:bookmarkEnd w:id="65"/>
      <w:bookmarkStart w:id="66" w:name="_Toc15396625"/>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七、</w:t>
      </w:r>
      <w:r>
        <w:rPr>
          <w:rFonts w:hint="eastAsia" w:ascii="仿宋" w:hAnsi="仿宋" w:eastAsia="仿宋_GB2312"/>
          <w:b w:val="0"/>
        </w:rPr>
        <w:t>一</w:t>
      </w:r>
      <w:r>
        <w:rPr>
          <w:rStyle w:val="30"/>
          <w:rFonts w:hint="eastAsia" w:ascii="仿宋" w:hAnsi="仿宋" w:eastAsia="仿宋_GB2312"/>
          <w:b w:val="0"/>
          <w:bCs w:val="0"/>
        </w:rPr>
        <w:t>般公共预算财政拨款支出决算明细表</w:t>
      </w:r>
      <w:bookmarkEnd w:id="66"/>
      <w:bookmarkStart w:id="67" w:name="_Toc15396626"/>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八、</w:t>
      </w:r>
      <w:r>
        <w:rPr>
          <w:rFonts w:hint="eastAsia" w:ascii="仿宋" w:hAnsi="仿宋" w:eastAsia="仿宋_GB2312"/>
          <w:b w:val="0"/>
        </w:rPr>
        <w:t>一</w:t>
      </w:r>
      <w:r>
        <w:rPr>
          <w:rStyle w:val="30"/>
          <w:rFonts w:hint="eastAsia" w:ascii="仿宋" w:hAnsi="仿宋" w:eastAsia="仿宋_GB2312"/>
          <w:b w:val="0"/>
          <w:bCs w:val="0"/>
        </w:rPr>
        <w:t>般公共预算财政拨款基本支出决算表</w:t>
      </w:r>
      <w:bookmarkEnd w:id="67"/>
      <w:bookmarkStart w:id="68" w:name="_Toc15396627"/>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九、</w:t>
      </w:r>
      <w:r>
        <w:rPr>
          <w:rFonts w:hint="eastAsia" w:ascii="仿宋" w:hAnsi="仿宋" w:eastAsia="仿宋_GB2312"/>
          <w:b w:val="0"/>
        </w:rPr>
        <w:t>一</w:t>
      </w:r>
      <w:r>
        <w:rPr>
          <w:rStyle w:val="30"/>
          <w:rFonts w:hint="eastAsia" w:ascii="仿宋" w:hAnsi="仿宋" w:eastAsia="仿宋_GB2312"/>
          <w:b w:val="0"/>
          <w:bCs w:val="0"/>
        </w:rPr>
        <w:t>般公共预算财政拨款项目支出决算表</w:t>
      </w:r>
      <w:bookmarkEnd w:id="68"/>
      <w:bookmarkStart w:id="69" w:name="_Toc15396628"/>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十、</w:t>
      </w:r>
      <w:r>
        <w:rPr>
          <w:rFonts w:hint="eastAsia" w:ascii="仿宋" w:hAnsi="仿宋" w:eastAsia="仿宋_GB2312"/>
          <w:b w:val="0"/>
        </w:rPr>
        <w:t>一</w:t>
      </w:r>
      <w:r>
        <w:rPr>
          <w:rStyle w:val="30"/>
          <w:rFonts w:hint="eastAsia" w:ascii="仿宋" w:hAnsi="仿宋" w:eastAsia="仿宋_GB2312"/>
          <w:b w:val="0"/>
          <w:bCs w:val="0"/>
        </w:rPr>
        <w:t>般公共预算财政拨款“三公”经费支出决算表</w:t>
      </w:r>
      <w:bookmarkEnd w:id="69"/>
      <w:bookmarkStart w:id="70" w:name="_Toc15396629"/>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十一、</w:t>
      </w:r>
      <w:r>
        <w:rPr>
          <w:rFonts w:hint="eastAsia" w:ascii="仿宋" w:hAnsi="仿宋" w:eastAsia="仿宋_GB2312"/>
          <w:b w:val="0"/>
        </w:rPr>
        <w:t>政</w:t>
      </w:r>
      <w:r>
        <w:rPr>
          <w:rStyle w:val="30"/>
          <w:rFonts w:hint="eastAsia" w:ascii="仿宋" w:hAnsi="仿宋" w:eastAsia="仿宋_GB2312"/>
          <w:b w:val="0"/>
          <w:bCs w:val="0"/>
        </w:rPr>
        <w:t>府性基金预算财政拨款收入支出决算表</w:t>
      </w:r>
      <w:bookmarkEnd w:id="70"/>
      <w:bookmarkStart w:id="71" w:name="_Toc15396630"/>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十二、</w:t>
      </w:r>
      <w:r>
        <w:rPr>
          <w:rFonts w:hint="eastAsia" w:ascii="仿宋" w:hAnsi="仿宋" w:eastAsia="仿宋_GB2312"/>
          <w:b w:val="0"/>
        </w:rPr>
        <w:t>政</w:t>
      </w:r>
      <w:r>
        <w:rPr>
          <w:rStyle w:val="30"/>
          <w:rFonts w:hint="eastAsia" w:ascii="仿宋" w:hAnsi="仿宋" w:eastAsia="仿宋_GB2312"/>
          <w:b w:val="0"/>
          <w:bCs w:val="0"/>
        </w:rPr>
        <w:t>府性基金预算财政拨款“三公”经费支出决算表</w:t>
      </w:r>
      <w:bookmarkEnd w:id="71"/>
      <w:bookmarkStart w:id="72" w:name="_Toc15396631"/>
    </w:p>
    <w:p>
      <w:pPr>
        <w:pStyle w:val="4"/>
        <w:keepNext w:val="0"/>
        <w:keepLines w:val="0"/>
        <w:spacing w:before="0" w:after="0" w:line="576" w:lineRule="exact"/>
        <w:ind w:firstLine="640" w:firstLineChars="200"/>
        <w:rPr>
          <w:rStyle w:val="30"/>
          <w:rFonts w:ascii="仿宋" w:hAnsi="仿宋" w:eastAsia="仿宋_GB2312"/>
          <w:b w:val="0"/>
          <w:bCs w:val="0"/>
        </w:rPr>
      </w:pPr>
      <w:r>
        <w:rPr>
          <w:rStyle w:val="30"/>
          <w:rFonts w:hint="eastAsia" w:ascii="仿宋" w:hAnsi="仿宋" w:eastAsia="仿宋_GB2312"/>
          <w:b w:val="0"/>
          <w:bCs w:val="0"/>
        </w:rPr>
        <w:t>十三、</w:t>
      </w:r>
      <w:r>
        <w:rPr>
          <w:rFonts w:hint="eastAsia" w:ascii="仿宋" w:hAnsi="仿宋" w:eastAsia="仿宋_GB2312"/>
          <w:b w:val="0"/>
        </w:rPr>
        <w:t>国</w:t>
      </w:r>
      <w:r>
        <w:rPr>
          <w:rStyle w:val="30"/>
          <w:rFonts w:hint="eastAsia" w:ascii="仿宋" w:hAnsi="仿宋" w:eastAsia="仿宋_GB2312"/>
          <w:b w:val="0"/>
          <w:bCs w:val="0"/>
        </w:rPr>
        <w:t>有资本经营预算财政拨款收入支出决算表</w:t>
      </w:r>
      <w:bookmarkEnd w:id="72"/>
    </w:p>
    <w:p>
      <w:pPr>
        <w:pStyle w:val="4"/>
        <w:keepNext w:val="0"/>
        <w:keepLines w:val="0"/>
        <w:spacing w:before="0" w:after="0" w:line="576" w:lineRule="exact"/>
        <w:ind w:firstLine="640" w:firstLineChars="200"/>
        <w:rPr>
          <w:rFonts w:eastAsia="仿宋_GB2312"/>
        </w:rPr>
      </w:pPr>
      <w:r>
        <w:rPr>
          <w:rStyle w:val="30"/>
          <w:rFonts w:hint="eastAsia" w:ascii="仿宋" w:hAnsi="仿宋" w:eastAsia="仿宋_GB2312"/>
          <w:b w:val="0"/>
          <w:bCs w:val="0"/>
        </w:rPr>
        <w:t>十四、国有资本经营预算财政拨款支出决算表</w:t>
      </w:r>
    </w:p>
    <w:p>
      <w:pPr>
        <w:spacing w:line="576" w:lineRule="exact"/>
        <w:rPr>
          <w:rFonts w:eastAsia="仿宋_GB2312"/>
        </w:rPr>
      </w:pPr>
    </w:p>
    <w:sectPr>
      <w:pgSz w:w="11906" w:h="16838"/>
      <w:pgMar w:top="2098" w:right="1474" w:bottom="1985" w:left="1588" w:header="851" w:footer="158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124842"/>
      <w:docPartObj>
        <w:docPartGallery w:val="autotext"/>
      </w:docPartObj>
    </w:sdtPr>
    <w:sdtEndPr>
      <w:rPr>
        <w:rFonts w:asciiTheme="majorEastAsia" w:hAnsiTheme="majorEastAsia" w:eastAsiaTheme="majorEastAsia"/>
        <w:sz w:val="28"/>
        <w:szCs w:val="28"/>
      </w:rPr>
    </w:sdtEndPr>
    <w:sdtContent>
      <w:p>
        <w:pPr>
          <w:pStyle w:val="9"/>
          <w:wordWrap w:val="0"/>
          <w:jc w:val="right"/>
          <w:rPr>
            <w:rFonts w:asciiTheme="majorEastAsia" w:hAnsiTheme="majorEastAsia" w:eastAsiaTheme="majorEastAsia"/>
            <w:sz w:val="28"/>
            <w:szCs w:val="28"/>
          </w:rPr>
        </w:pP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291970"/>
      <w:docPartObj>
        <w:docPartGallery w:val="autotext"/>
      </w:docPartObj>
    </w:sdtPr>
    <w:sdtEndPr>
      <w:rPr>
        <w:rFonts w:asciiTheme="majorEastAsia" w:hAnsiTheme="majorEastAsia" w:eastAsiaTheme="majorEastAsia"/>
        <w:sz w:val="28"/>
        <w:szCs w:val="28"/>
      </w:rPr>
    </w:sdtEndPr>
    <w:sdtContent>
      <w:p>
        <w:pPr>
          <w:pStyle w:val="9"/>
          <w:ind w:firstLine="180" w:firstLineChars="100"/>
          <w:rPr>
            <w:rFonts w:asciiTheme="majorEastAsia" w:hAnsiTheme="majorEastAsia" w:eastAsiaTheme="majorEastAsia"/>
            <w:sz w:val="28"/>
            <w:szCs w:val="28"/>
          </w:rPr>
        </w:pP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2652F"/>
    <w:multiLevelType w:val="singleLevel"/>
    <w:tmpl w:val="C632652F"/>
    <w:lvl w:ilvl="0" w:tentative="0">
      <w:start w:val="5"/>
      <w:numFmt w:val="decimal"/>
      <w:suff w:val="nothing"/>
      <w:lvlText w:val="%1、"/>
      <w:lvlJc w:val="left"/>
      <w:pPr>
        <w:ind w:left="-60"/>
      </w:pPr>
    </w:lvl>
  </w:abstractNum>
  <w:abstractNum w:abstractNumId="1">
    <w:nsid w:val="CA005D27"/>
    <w:multiLevelType w:val="singleLevel"/>
    <w:tmpl w:val="CA005D27"/>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248C267"/>
    <w:multiLevelType w:val="singleLevel"/>
    <w:tmpl w:val="5248C267"/>
    <w:lvl w:ilvl="0" w:tentative="0">
      <w:start w:val="3"/>
      <w:numFmt w:val="decimal"/>
      <w:lvlText w:val="%1."/>
      <w:lvlJc w:val="left"/>
      <w:pPr>
        <w:tabs>
          <w:tab w:val="left" w:pos="312"/>
        </w:tabs>
      </w:pPr>
    </w:lvl>
  </w:abstractNum>
  <w:abstractNum w:abstractNumId="6">
    <w:nsid w:val="5CFB04D8"/>
    <w:multiLevelType w:val="singleLevel"/>
    <w:tmpl w:val="5CFB04D8"/>
    <w:lvl w:ilvl="0" w:tentative="0">
      <w:start w:val="2"/>
      <w:numFmt w:val="chineseCounting"/>
      <w:suff w:val="nothing"/>
      <w:lvlText w:val="（%1）"/>
      <w:lvlJc w:val="left"/>
      <w:rPr>
        <w:rFonts w:hint="eastAsia"/>
      </w:rPr>
    </w:lvl>
  </w:abstractNum>
  <w:abstractNum w:abstractNumId="7">
    <w:nsid w:val="7A9E262C"/>
    <w:multiLevelType w:val="singleLevel"/>
    <w:tmpl w:val="7A9E262C"/>
    <w:lvl w:ilvl="0" w:tentative="0">
      <w:start w:val="1"/>
      <w:numFmt w:val="chineseCounting"/>
      <w:suff w:val="nothing"/>
      <w:lvlText w:val="%1、"/>
      <w:lvlJc w:val="left"/>
      <w:pPr>
        <w:ind w:left="720"/>
      </w:pPr>
      <w:rPr>
        <w:rFonts w:hint="eastAsia"/>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M2I3ZTQ0M2I4NTYxYzQwM2UxNzYyYTJkN2Qy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FF6"/>
    <w:rsid w:val="000E6613"/>
    <w:rsid w:val="000E7119"/>
    <w:rsid w:val="00114E9B"/>
    <w:rsid w:val="00142216"/>
    <w:rsid w:val="00144D6A"/>
    <w:rsid w:val="0014729F"/>
    <w:rsid w:val="00157BAB"/>
    <w:rsid w:val="001654D1"/>
    <w:rsid w:val="00173916"/>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727B"/>
    <w:rsid w:val="00260C38"/>
    <w:rsid w:val="002616C0"/>
    <w:rsid w:val="00265372"/>
    <w:rsid w:val="002662AA"/>
    <w:rsid w:val="00280496"/>
    <w:rsid w:val="00294DC9"/>
    <w:rsid w:val="00295495"/>
    <w:rsid w:val="002A31DE"/>
    <w:rsid w:val="002B19F7"/>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35B3"/>
    <w:rsid w:val="005664BB"/>
    <w:rsid w:val="00566FFA"/>
    <w:rsid w:val="0057481D"/>
    <w:rsid w:val="0058486E"/>
    <w:rsid w:val="00585B33"/>
    <w:rsid w:val="0059014D"/>
    <w:rsid w:val="005B5C64"/>
    <w:rsid w:val="005B62AD"/>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2331"/>
    <w:rsid w:val="007D1682"/>
    <w:rsid w:val="007D24F7"/>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00C3"/>
    <w:rsid w:val="0098660A"/>
    <w:rsid w:val="009931C3"/>
    <w:rsid w:val="009B2C43"/>
    <w:rsid w:val="009B3E4C"/>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F78"/>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261"/>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1DAF"/>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293C"/>
    <w:rsid w:val="00CB1A79"/>
    <w:rsid w:val="00CB4E70"/>
    <w:rsid w:val="00CC09B6"/>
    <w:rsid w:val="00CC666F"/>
    <w:rsid w:val="00CD1E3F"/>
    <w:rsid w:val="00CE44F6"/>
    <w:rsid w:val="00CE49DA"/>
    <w:rsid w:val="00CE7B61"/>
    <w:rsid w:val="00CF3AC7"/>
    <w:rsid w:val="00D00095"/>
    <w:rsid w:val="00D114F0"/>
    <w:rsid w:val="00D20620"/>
    <w:rsid w:val="00D254F7"/>
    <w:rsid w:val="00D26091"/>
    <w:rsid w:val="00D2685C"/>
    <w:rsid w:val="00D33063"/>
    <w:rsid w:val="00D34E7C"/>
    <w:rsid w:val="00D35489"/>
    <w:rsid w:val="00D36AFE"/>
    <w:rsid w:val="00D51276"/>
    <w:rsid w:val="00D7035F"/>
    <w:rsid w:val="00D720BD"/>
    <w:rsid w:val="00DA634F"/>
    <w:rsid w:val="00DA65AC"/>
    <w:rsid w:val="00DB1913"/>
    <w:rsid w:val="00DC410D"/>
    <w:rsid w:val="00DC598C"/>
    <w:rsid w:val="00DC5A81"/>
    <w:rsid w:val="00DC68CA"/>
    <w:rsid w:val="00DC7CBA"/>
    <w:rsid w:val="00DD73B7"/>
    <w:rsid w:val="00DF28BC"/>
    <w:rsid w:val="00DF34B9"/>
    <w:rsid w:val="00E01053"/>
    <w:rsid w:val="00E07ACF"/>
    <w:rsid w:val="00E17C6C"/>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2D92"/>
    <w:rsid w:val="00FD3CC1"/>
    <w:rsid w:val="00FF1E02"/>
    <w:rsid w:val="00FF30B4"/>
    <w:rsid w:val="016A02BB"/>
    <w:rsid w:val="066E0107"/>
    <w:rsid w:val="06A876A7"/>
    <w:rsid w:val="078064CB"/>
    <w:rsid w:val="07996F6E"/>
    <w:rsid w:val="0A2032A3"/>
    <w:rsid w:val="101860EC"/>
    <w:rsid w:val="10C055FF"/>
    <w:rsid w:val="10FA56E8"/>
    <w:rsid w:val="118107EC"/>
    <w:rsid w:val="13D50BC4"/>
    <w:rsid w:val="16023DDC"/>
    <w:rsid w:val="16BB723D"/>
    <w:rsid w:val="1AB53561"/>
    <w:rsid w:val="1B4867BE"/>
    <w:rsid w:val="1BE8440E"/>
    <w:rsid w:val="1D155CEE"/>
    <w:rsid w:val="1DA67191"/>
    <w:rsid w:val="1FC82847"/>
    <w:rsid w:val="23860B96"/>
    <w:rsid w:val="240371BF"/>
    <w:rsid w:val="25751235"/>
    <w:rsid w:val="25C47915"/>
    <w:rsid w:val="29AA46BA"/>
    <w:rsid w:val="29EB56DE"/>
    <w:rsid w:val="29FD04D3"/>
    <w:rsid w:val="2C8A61B5"/>
    <w:rsid w:val="2DF04E50"/>
    <w:rsid w:val="313E1763"/>
    <w:rsid w:val="319F7F4E"/>
    <w:rsid w:val="33112B59"/>
    <w:rsid w:val="36AA5135"/>
    <w:rsid w:val="37E16F03"/>
    <w:rsid w:val="38967CAF"/>
    <w:rsid w:val="3D0654C5"/>
    <w:rsid w:val="3D98207C"/>
    <w:rsid w:val="3DCB0660"/>
    <w:rsid w:val="3F6E302C"/>
    <w:rsid w:val="42361CC6"/>
    <w:rsid w:val="43865F28"/>
    <w:rsid w:val="44E268DA"/>
    <w:rsid w:val="4A627F82"/>
    <w:rsid w:val="4B4F25DA"/>
    <w:rsid w:val="4BE068DB"/>
    <w:rsid w:val="4D577224"/>
    <w:rsid w:val="4DDE1897"/>
    <w:rsid w:val="4EAB630A"/>
    <w:rsid w:val="4ECE2238"/>
    <w:rsid w:val="568D26C1"/>
    <w:rsid w:val="59EC208B"/>
    <w:rsid w:val="5AF92295"/>
    <w:rsid w:val="5CD71FC4"/>
    <w:rsid w:val="5FFD0DBF"/>
    <w:rsid w:val="634734D7"/>
    <w:rsid w:val="635D7703"/>
    <w:rsid w:val="63EA1005"/>
    <w:rsid w:val="644A1BF1"/>
    <w:rsid w:val="652B619E"/>
    <w:rsid w:val="65777647"/>
    <w:rsid w:val="6C4A05C8"/>
    <w:rsid w:val="6E7E3605"/>
    <w:rsid w:val="6FF5CC65"/>
    <w:rsid w:val="70F864C1"/>
    <w:rsid w:val="715C0E4B"/>
    <w:rsid w:val="72734D90"/>
    <w:rsid w:val="73AD73D5"/>
    <w:rsid w:val="73B6EB34"/>
    <w:rsid w:val="7508787F"/>
    <w:rsid w:val="77690189"/>
    <w:rsid w:val="78DD2F0B"/>
    <w:rsid w:val="79D47C76"/>
    <w:rsid w:val="79EE5BA4"/>
    <w:rsid w:val="7A894339"/>
    <w:rsid w:val="7C7E2A4D"/>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99"/>
    <w:pPr>
      <w:spacing w:before="100" w:beforeAutospacing="1" w:after="100" w:afterAutospacing="1"/>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qFormat/>
    <w:uiPriority w:val="0"/>
    <w:pPr>
      <w:spacing w:after="0" w:line="360" w:lineRule="auto"/>
      <w:ind w:left="0" w:leftChars="0" w:firstLine="1040" w:firstLineChars="200"/>
    </w:pPr>
    <w:rPr>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Salutation1"/>
    <w:basedOn w:val="1"/>
    <w:next w:val="1"/>
    <w:qFormat/>
    <w:uiPriority w:val="0"/>
    <w:rPr>
      <w:sz w:val="24"/>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8"/>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a:t>
            </a:r>
            <a:r>
              <a:rPr lang="zh-CN" altLang="zh-CN" sz="1400" b="1" i="0" u="none" strike="noStrike" baseline="0">
                <a:effectLst/>
              </a:rPr>
              <a:t>入</a:t>
            </a:r>
            <a:r>
              <a:rPr lang="zh-CN" altLang="en-US" sz="1400" b="1" i="0" u="none" strike="noStrike" baseline="0">
                <a:effectLst/>
              </a:rPr>
              <a:t>、</a:t>
            </a:r>
            <a:r>
              <a:rPr lang="zh-CN" altLang="zh-CN" sz="1400" b="1" i="0" u="none" strike="noStrike" baseline="0">
                <a:effectLst/>
              </a:rPr>
              <a:t>支出决算总体情况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Pt>
            <c:idx val="0"/>
            <c:invertIfNegative val="0"/>
            <c:bubble3D val="0"/>
            <c:spPr>
              <a:solidFill>
                <a:srgbClr val="0070C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收入总计</c:v>
                </c:pt>
                <c:pt idx="1">
                  <c:v>支出总计</c:v>
                </c:pt>
              </c:strCache>
            </c:strRef>
          </c:cat>
          <c:val>
            <c:numRef>
              <c:f>Sheet1!$B$2:$B$3</c:f>
              <c:numCache>
                <c:formatCode>General</c:formatCode>
                <c:ptCount val="2"/>
                <c:pt idx="0">
                  <c:v>1079.95</c:v>
                </c:pt>
                <c:pt idx="1">
                  <c:v>1106.09</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收入总计</c:v>
                </c:pt>
                <c:pt idx="1">
                  <c:v>支出总计</c:v>
                </c:pt>
              </c:strCache>
            </c:strRef>
          </c:cat>
          <c:val>
            <c:numRef>
              <c:f>Sheet1!$C$2:$C$3</c:f>
              <c:numCache>
                <c:formatCode>General</c:formatCode>
                <c:ptCount val="2"/>
                <c:pt idx="0">
                  <c:v>1233.77</c:v>
                </c:pt>
                <c:pt idx="1">
                  <c:v>1258.39</c:v>
                </c:pt>
              </c:numCache>
            </c:numRef>
          </c:val>
        </c:ser>
        <c:dLbls>
          <c:showLegendKey val="0"/>
          <c:showVal val="0"/>
          <c:showCatName val="0"/>
          <c:showSerName val="0"/>
          <c:showPercent val="0"/>
          <c:showBubbleSize val="0"/>
        </c:dLbls>
        <c:gapWidth val="219"/>
        <c:overlap val="-27"/>
        <c:axId val="345142784"/>
        <c:axId val="345144320"/>
      </c:barChart>
      <c:catAx>
        <c:axId val="34514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crossAx val="345144320"/>
        <c:crosses val="autoZero"/>
        <c:auto val="1"/>
        <c:lblAlgn val="ctr"/>
        <c:lblOffset val="100"/>
        <c:noMultiLvlLbl val="0"/>
      </c:catAx>
      <c:valAx>
        <c:axId val="345144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142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rgbClr val="FFFF00"/>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500" b="1" i="0" u="none" strike="noStrike" kern="1200" spc="0" baseline="0">
                <a:solidFill>
                  <a:schemeClr val="tx1">
                    <a:lumMod val="65000"/>
                    <a:lumOff val="35000"/>
                  </a:schemeClr>
                </a:solidFill>
                <a:latin typeface="+mn-lt"/>
                <a:ea typeface="+mn-ea"/>
                <a:cs typeface="+mn-cs"/>
              </a:defRPr>
            </a:pPr>
            <a:r>
              <a:rPr lang="zh-CN" altLang="zh-CN" sz="1500" b="1" i="0" u="none" strike="noStrike" baseline="0">
                <a:effectLst/>
              </a:rPr>
              <a:t>收入情况</a:t>
            </a:r>
            <a:endParaRPr lang="en-US" altLang="zh-CN" sz="1500" b="1" i="0" baseline="0"/>
          </a:p>
        </c:rich>
      </c:tx>
      <c:layout>
        <c:manualLayout>
          <c:xMode val="edge"/>
          <c:yMode val="edge"/>
          <c:x val="0.465831928726222"/>
          <c:y val="0.020639834881321"/>
        </c:manualLayout>
      </c:layout>
      <c:overlay val="0"/>
      <c:spPr>
        <a:noFill/>
        <a:ln>
          <a:noFill/>
        </a:ln>
        <a:effectLst/>
      </c:spPr>
    </c:title>
    <c:autoTitleDeleted val="0"/>
    <c:plotArea>
      <c:layout>
        <c:manualLayout>
          <c:layoutTarget val="inner"/>
          <c:xMode val="edge"/>
          <c:yMode val="edge"/>
          <c:x val="0.362706477245365"/>
          <c:y val="0.239774912075029"/>
          <c:w val="0.28542258608235"/>
          <c:h val="0.555854630715123"/>
        </c:manualLayout>
      </c:layout>
      <c:pieChart>
        <c:varyColors val="1"/>
        <c:ser>
          <c:idx val="0"/>
          <c:order val="0"/>
          <c:tx>
            <c:strRef>
              <c:f>Sheet1!$B$1</c:f>
              <c:strCache>
                <c:ptCount val="1"/>
                <c:pt idx="0">
                  <c:v>2019</c:v>
                </c:pt>
              </c:strCache>
            </c:strRef>
          </c:tx>
          <c:spPr>
            <a:solidFill>
              <a:srgbClr val="00B0F0"/>
            </a:solidFill>
          </c:spPr>
          <c:explosion val="0"/>
          <c:dPt>
            <c:idx val="0"/>
            <c:bubble3D val="0"/>
            <c:spPr>
              <a:solidFill>
                <a:srgbClr val="00B0F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rgbClr val="FFFF00"/>
    </a:solidFill>
    <a:ln w="9525" cap="flat" cmpd="sng" algn="ctr">
      <a:solidFill>
        <a:srgbClr val="FFFF00"/>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500" b="0" i="0" u="none" strike="noStrike" kern="1200" spc="0" baseline="0">
                <a:solidFill>
                  <a:schemeClr val="tx1">
                    <a:lumMod val="65000"/>
                    <a:lumOff val="35000"/>
                  </a:schemeClr>
                </a:solidFill>
                <a:latin typeface="+mn-lt"/>
                <a:ea typeface="+mn-ea"/>
                <a:cs typeface="+mn-cs"/>
              </a:defRPr>
            </a:pPr>
            <a:r>
              <a:rPr lang="zh-CN" altLang="zh-CN" sz="1500" b="0" i="0" u="none" strike="noStrike" baseline="0">
                <a:effectLst/>
              </a:rPr>
              <a:t>支出决算结构图</a:t>
            </a:r>
            <a:endParaRPr lang="zh-CN" altLang="en-US" sz="1500" baseline="0"/>
          </a:p>
        </c:rich>
      </c:tx>
      <c:layout/>
      <c:overlay val="0"/>
      <c:spPr>
        <a:noFill/>
        <a:ln>
          <a:noFill/>
        </a:ln>
        <a:effectLst/>
      </c:spPr>
    </c:title>
    <c:autoTitleDeleted val="0"/>
    <c:view3D>
      <c:rotX val="75"/>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8559186619755"/>
          <c:y val="0.221171818763296"/>
          <c:w val="0.868072552586625"/>
          <c:h val="0.602447499817918"/>
        </c:manualLayout>
      </c:layout>
      <c:pie3DChart>
        <c:varyColors val="1"/>
        <c:ser>
          <c:idx val="0"/>
          <c:order val="0"/>
          <c:tx>
            <c:strRef>
              <c:f>Sheet1!$B$1</c:f>
              <c:strCache>
                <c:ptCount val="1"/>
                <c:pt idx="0">
                  <c:v>支出决算</c:v>
                </c:pt>
              </c:strCache>
            </c:strRef>
          </c:tx>
          <c:explosion val="15"/>
          <c:dPt>
            <c:idx val="0"/>
            <c:bubble3D val="0"/>
            <c:spPr>
              <a:solidFill>
                <a:srgbClr val="FF0000"/>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rgbClr val="FFFF00"/>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0.6978</c:v>
                </c:pt>
                <c:pt idx="1">
                  <c:v>0.3022</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5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accent5">
        <a:lumMod val="40000"/>
        <a:lumOff val="6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财政拨款收、支决算总计变动情况</a:t>
            </a:r>
            <a:endParaRPr lang="zh-CN" altLang="en-US" b="1" i="0" baseline="0"/>
          </a:p>
        </c:rich>
      </c:tx>
      <c:layout/>
      <c:overlay val="0"/>
      <c:spPr>
        <a:noFill/>
        <a:ln>
          <a:noFill/>
        </a:ln>
        <a:effectLst/>
      </c:spPr>
    </c:title>
    <c:autoTitleDeleted val="0"/>
    <c:plotArea>
      <c:layout>
        <c:manualLayout>
          <c:layoutTarget val="inner"/>
          <c:xMode val="edge"/>
          <c:yMode val="edge"/>
          <c:x val="0.0686952416524626"/>
          <c:y val="0.148003507855357"/>
          <c:w val="0.90481788139112"/>
          <c:h val="0.672702684261522"/>
        </c:manualLayout>
      </c:layout>
      <c:barChart>
        <c:barDir val="col"/>
        <c:grouping val="clustered"/>
        <c:varyColors val="0"/>
        <c:ser>
          <c:idx val="0"/>
          <c:order val="0"/>
          <c:tx>
            <c:strRef>
              <c:f>Sheet1!$B$1</c:f>
              <c:strCache>
                <c:ptCount val="1"/>
                <c:pt idx="0">
                  <c:v>2020年度</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1079.95</c:v>
                </c:pt>
                <c:pt idx="1">
                  <c:v>1106.09</c:v>
                </c:pt>
              </c:numCache>
            </c:numRef>
          </c:val>
        </c:ser>
        <c:ser>
          <c:idx val="1"/>
          <c:order val="1"/>
          <c:tx>
            <c:strRef>
              <c:f>Sheet1!$C$1</c:f>
              <c:strCache>
                <c:ptCount val="1"/>
                <c:pt idx="0">
                  <c:v>2021年度</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1233.77</c:v>
                </c:pt>
                <c:pt idx="1">
                  <c:v>1258.39</c:v>
                </c:pt>
              </c:numCache>
            </c:numRef>
          </c:val>
        </c:ser>
        <c:dLbls>
          <c:showLegendKey val="0"/>
          <c:showVal val="0"/>
          <c:showCatName val="0"/>
          <c:showSerName val="0"/>
          <c:showPercent val="0"/>
          <c:showBubbleSize val="0"/>
        </c:dLbls>
        <c:gapWidth val="219"/>
        <c:overlap val="-27"/>
        <c:axId val="357227136"/>
        <c:axId val="363266432"/>
      </c:barChart>
      <c:catAx>
        <c:axId val="35722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363266432"/>
        <c:crosses val="autoZero"/>
        <c:auto val="1"/>
        <c:lblAlgn val="ctr"/>
        <c:lblOffset val="100"/>
        <c:noMultiLvlLbl val="0"/>
      </c:catAx>
      <c:valAx>
        <c:axId val="363266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227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5">
        <a:lumMod val="40000"/>
        <a:lumOff val="6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一般公共预算财政拨款支出决算变动情况</a:t>
            </a:r>
            <a:endParaRPr lang="zh-CN" altLang="en-US" b="1" i="0" baseline="0"/>
          </a:p>
        </c:rich>
      </c:tx>
      <c:layout/>
      <c:overlay val="0"/>
      <c:spPr>
        <a:noFill/>
        <a:ln>
          <a:noFill/>
        </a:ln>
        <a:effectLst/>
      </c:spPr>
    </c:title>
    <c:autoTitleDeleted val="0"/>
    <c:plotArea>
      <c:layout>
        <c:manualLayout>
          <c:layoutTarget val="inner"/>
          <c:xMode val="edge"/>
          <c:yMode val="edge"/>
          <c:x val="0.0986756561521791"/>
          <c:y val="0.232179575051405"/>
          <c:w val="0.897712496990128"/>
          <c:h val="0.667786154900617"/>
        </c:manualLayout>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1106.09</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1258.39</c:v>
                </c:pt>
              </c:numCache>
            </c:numRef>
          </c:val>
        </c:ser>
        <c:dLbls>
          <c:showLegendKey val="0"/>
          <c:showVal val="0"/>
          <c:showCatName val="0"/>
          <c:showSerName val="0"/>
          <c:showPercent val="0"/>
          <c:showBubbleSize val="0"/>
        </c:dLbls>
        <c:gapWidth val="219"/>
        <c:overlap val="-27"/>
        <c:axId val="363284352"/>
        <c:axId val="363285888"/>
      </c:barChart>
      <c:catAx>
        <c:axId val="36328435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3285888"/>
        <c:crosses val="autoZero"/>
        <c:auto val="1"/>
        <c:lblAlgn val="ctr"/>
        <c:lblOffset val="100"/>
        <c:noMultiLvlLbl val="0"/>
      </c:catAx>
      <c:valAx>
        <c:axId val="363285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3284352"/>
        <c:crosses val="autoZero"/>
        <c:crossBetween val="between"/>
      </c:valAx>
      <c:spPr>
        <a:noFill/>
        <a:ln>
          <a:noFill/>
        </a:ln>
        <a:effectLst/>
      </c:spPr>
    </c:plotArea>
    <c:legend>
      <c:legendPos val="b"/>
      <c:layout>
        <c:manualLayout>
          <c:xMode val="edge"/>
          <c:yMode val="edge"/>
          <c:x val="0.330062605345533"/>
          <c:y val="0.918094585332419"/>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rgbClr val="00B0F0"/>
              </a:solidFill>
              <a:ln w="19050">
                <a:solidFill>
                  <a:schemeClr val="lt1"/>
                </a:solidFill>
              </a:ln>
              <a:effectLst/>
            </c:spPr>
          </c:dPt>
          <c:dPt>
            <c:idx val="1"/>
            <c:bubble3D val="0"/>
            <c:spPr>
              <a:solidFill>
                <a:srgbClr val="92D050"/>
              </a:solidFill>
              <a:ln w="19050">
                <a:solidFill>
                  <a:schemeClr val="lt1"/>
                </a:solidFill>
              </a:ln>
              <a:effectLst/>
            </c:spPr>
          </c:dPt>
          <c:dPt>
            <c:idx val="2"/>
            <c:bubble3D val="0"/>
            <c:spPr>
              <a:solidFill>
                <a:srgbClr val="FFFF00"/>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FF0000"/>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delete val="1"/>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0.00%</c:formatCode>
                <c:ptCount val="5"/>
                <c:pt idx="0">
                  <c:v>0.8654</c:v>
                </c:pt>
                <c:pt idx="1">
                  <c:v>0.0762</c:v>
                </c:pt>
                <c:pt idx="2">
                  <c:v>0.0242</c:v>
                </c:pt>
                <c:pt idx="3">
                  <c:v>0.0004</c:v>
                </c:pt>
                <c:pt idx="4">
                  <c:v>0.0338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accent6">
        <a:lumMod val="40000"/>
        <a:lumOff val="6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explosion val="0"/>
          <c:dPt>
            <c:idx val="0"/>
            <c:bubble3D val="0"/>
            <c:spPr>
              <a:solidFill>
                <a:srgbClr val="FF0000"/>
              </a:solidFill>
              <a:ln>
                <a:noFill/>
              </a:ln>
              <a:effectLst/>
            </c:spPr>
          </c:dPt>
          <c:dLbls>
            <c:dLbl>
              <c:idx val="0"/>
              <c:layout>
                <c:manualLayout>
                  <c:x val="0.0505658560077052"/>
                  <c:y val="-0.18163054695562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11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ext>
            </c:extLst>
          </c:dLbls>
          <c:cat>
            <c:strRef>
              <c:f>Sheet1!$A$2</c:f>
              <c:strCache>
                <c:ptCount val="1"/>
                <c:pt idx="0">
                  <c:v>公务接待费支出</c:v>
                </c:pt>
              </c:strCache>
            </c:strRef>
          </c:cat>
          <c:val>
            <c:numRef>
              <c:f>Sheet1!$B$2</c:f>
              <c:numCache>
                <c:formatCode>0.00%</c:formatCode>
                <c:ptCount val="1"/>
                <c:pt idx="0">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accent5">
        <a:lumMod val="40000"/>
        <a:lumOff val="6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65</Pages>
  <Words>20861</Words>
  <Characters>21696</Characters>
  <Lines>159</Lines>
  <Paragraphs>45</Paragraphs>
  <TotalTime>223</TotalTime>
  <ScaleCrop>false</ScaleCrop>
  <LinksUpToDate>false</LinksUpToDate>
  <CharactersWithSpaces>21737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2022-09-21T07:55:00Z</cp:lastPrinted>
  <dcterms:modified xsi:type="dcterms:W3CDTF">2022-09-26T03:10:23Z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E9E0D889564444EE978297C406B217D1</vt:lpwstr>
  </property>
</Properties>
</file>