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597"/>
      <w:bookmarkStart w:id="2" w:name="_Toc15396475"/>
      <w:bookmarkStart w:id="3" w:name="_Toc15377425"/>
      <w:bookmarkStart w:id="4" w:name="_Toc15378441"/>
      <w:bookmarkStart w:id="5" w:name="_Toc15377193"/>
      <w:r>
        <w:rPr>
          <w:rFonts w:hint="eastAsia" w:ascii="方正小标宋简体" w:hAnsi="宋体" w:eastAsia="方正小标宋简体"/>
          <w:color w:val="000000"/>
          <w:sz w:val="72"/>
          <w:szCs w:val="72"/>
        </w:rPr>
        <w:t>2020年度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426"/>
      <w:bookmarkStart w:id="7" w:name="_Toc15396476"/>
      <w:bookmarkStart w:id="8" w:name="_Toc15377194"/>
      <w:bookmarkStart w:id="9" w:name="_Toc15396598"/>
      <w:bookmarkStart w:id="10" w:name="_Toc15378442"/>
      <w:r>
        <w:rPr>
          <w:rFonts w:hint="eastAsia" w:ascii="方正小标宋简体" w:hAnsi="宋体" w:eastAsia="方正小标宋简体"/>
          <w:color w:val="000000"/>
          <w:sz w:val="72"/>
          <w:szCs w:val="72"/>
        </w:rPr>
        <w:t>广元市利州区</w:t>
      </w:r>
      <w:bookmarkEnd w:id="0"/>
      <w:bookmarkStart w:id="11" w:name="_Toc15306268"/>
      <w:r>
        <w:rPr>
          <w:rFonts w:hint="eastAsia" w:ascii="方正小标宋简体" w:hAnsi="宋体" w:eastAsia="方正小标宋简体"/>
          <w:color w:val="000000"/>
          <w:sz w:val="72"/>
          <w:szCs w:val="72"/>
        </w:rPr>
        <w:t>供销合作社</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联合社部门决算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p>
    <w:p>
      <w:pPr>
        <w:widowControl/>
        <w:spacing w:line="576" w:lineRule="exact"/>
        <w:jc w:val="center"/>
        <w:rPr>
          <w:rFonts w:ascii="黑体" w:hAnsi="黑体" w:eastAsia="黑体"/>
          <w:color w:val="000000"/>
          <w:sz w:val="48"/>
          <w:szCs w:val="48"/>
        </w:rPr>
      </w:pPr>
      <w:bookmarkStart w:id="74" w:name="_GoBack"/>
      <w:bookmarkEnd w:id="74"/>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spacing w:line="576" w:lineRule="exact"/>
        <w:jc w:val="center"/>
        <w:rPr>
          <w:rFonts w:ascii="黑体" w:hAnsi="黑体" w:eastAsia="黑体" w:cstheme="minorBidi"/>
          <w:sz w:val="28"/>
          <w:szCs w:val="28"/>
        </w:rPr>
      </w:pPr>
    </w:p>
    <w:p>
      <w:pPr>
        <w:pStyle w:val="11"/>
        <w:spacing w:before="0" w:line="580" w:lineRule="exact"/>
        <w:rPr>
          <w:rFonts w:ascii="楷体" w:hAnsi="楷体" w:eastAsia="楷体" w:cs="楷体"/>
          <w:b/>
          <w:bCs/>
        </w:rPr>
      </w:pPr>
      <w:r>
        <w:rPr>
          <w:rFonts w:hint="eastAsia" w:ascii="楷体" w:hAnsi="楷体" w:eastAsia="楷体" w:cs="楷体"/>
          <w:b/>
          <w:bCs/>
        </w:rPr>
        <w:t>公开时间：2021年9月2</w:t>
      </w:r>
      <w:r>
        <w:rPr>
          <w:rFonts w:hint="eastAsia" w:ascii="楷体" w:hAnsi="楷体" w:eastAsia="楷体" w:cs="楷体"/>
          <w:b/>
          <w:bCs/>
          <w:lang w:val="en-US" w:eastAsia="zh-CN"/>
        </w:rPr>
        <w:t>7</w:t>
      </w:r>
      <w:r>
        <w:rPr>
          <w:rFonts w:hint="eastAsia" w:ascii="楷体" w:hAnsi="楷体" w:eastAsia="楷体" w:cs="楷体"/>
          <w:b/>
          <w:bCs/>
        </w:rPr>
        <w:t>日</w:t>
      </w:r>
    </w:p>
    <w:p>
      <w:pPr>
        <w:spacing w:line="576" w:lineRule="exact"/>
        <w:rPr>
          <w:sz w:val="28"/>
          <w:szCs w:val="28"/>
        </w:rPr>
      </w:pPr>
    </w:p>
    <w:p>
      <w:pPr>
        <w:pStyle w:val="11"/>
        <w:adjustRightInd w:val="0"/>
        <w:snapToGrid w:val="0"/>
        <w:spacing w:before="0" w:line="576" w:lineRule="exact"/>
        <w:jc w:val="distribute"/>
        <w:rPr>
          <w:rFonts w:ascii="黑体" w:hAnsi="黑体" w:eastAsia="黑体" w:cs="黑体"/>
          <w:sz w:val="32"/>
          <w:szCs w:val="32"/>
        </w:rPr>
      </w:pPr>
      <w:r>
        <w:rPr>
          <w:rFonts w:hint="eastAsia" w:ascii="黑体" w:hAnsi="黑体" w:eastAsia="黑体" w:cs="黑体"/>
          <w:sz w:val="32"/>
          <w:szCs w:val="32"/>
        </w:rPr>
        <w:t>第一部分 部门概况....................................1</w:t>
      </w:r>
    </w:p>
    <w:p>
      <w:pPr>
        <w:pStyle w:val="12"/>
        <w:adjustRightInd w:val="0"/>
        <w:snapToGrid w:val="0"/>
        <w:spacing w:line="576" w:lineRule="exact"/>
        <w:ind w:left="0" w:leftChars="0"/>
        <w:jc w:val="distribute"/>
        <w:rPr>
          <w:rFonts w:ascii="宋体" w:hAnsi="宋体" w:cs="宋体"/>
          <w:sz w:val="32"/>
          <w:szCs w:val="32"/>
        </w:rPr>
      </w:pPr>
      <w:r>
        <w:rPr>
          <w:rFonts w:hint="eastAsia" w:ascii="宋体" w:hAnsi="宋体" w:cs="宋体"/>
          <w:sz w:val="32"/>
          <w:szCs w:val="32"/>
        </w:rPr>
        <w:t>一、基本职能及主要工作.............................1</w:t>
      </w:r>
    </w:p>
    <w:p>
      <w:pPr>
        <w:pStyle w:val="12"/>
        <w:adjustRightInd w:val="0"/>
        <w:snapToGrid w:val="0"/>
        <w:spacing w:line="576" w:lineRule="exact"/>
        <w:ind w:left="0" w:leftChars="0"/>
        <w:jc w:val="distribute"/>
        <w:rPr>
          <w:rFonts w:ascii="宋体" w:hAnsi="宋体" w:cs="宋体"/>
          <w:sz w:val="32"/>
          <w:szCs w:val="32"/>
        </w:rPr>
      </w:pPr>
      <w:r>
        <w:rPr>
          <w:rFonts w:hint="eastAsia" w:ascii="宋体" w:hAnsi="宋体" w:cs="宋体"/>
          <w:sz w:val="32"/>
          <w:szCs w:val="32"/>
        </w:rPr>
        <w:t>二、机构设置.......................................5</w:t>
      </w:r>
    </w:p>
    <w:p>
      <w:pPr>
        <w:pStyle w:val="11"/>
        <w:adjustRightInd w:val="0"/>
        <w:snapToGrid w:val="0"/>
        <w:spacing w:before="0" w:line="576" w:lineRule="exact"/>
        <w:jc w:val="distribute"/>
        <w:rPr>
          <w:rFonts w:ascii="黑体" w:hAnsi="黑体" w:eastAsia="黑体" w:cs="黑体"/>
          <w:sz w:val="32"/>
          <w:szCs w:val="32"/>
        </w:rPr>
      </w:pPr>
      <w:r>
        <w:rPr>
          <w:rFonts w:hint="eastAsia" w:ascii="黑体" w:hAnsi="黑体" w:eastAsia="黑体" w:cs="黑体"/>
          <w:sz w:val="32"/>
          <w:szCs w:val="32"/>
        </w:rPr>
        <w:t>第二部分部门决算情况说明..........................6</w:t>
      </w:r>
    </w:p>
    <w:p>
      <w:pPr>
        <w:pStyle w:val="12"/>
        <w:adjustRightInd w:val="0"/>
        <w:snapToGrid w:val="0"/>
        <w:spacing w:line="576" w:lineRule="exact"/>
        <w:ind w:left="0" w:leftChars="0"/>
        <w:jc w:val="distribute"/>
        <w:rPr>
          <w:rFonts w:ascii="宋体" w:hAnsi="宋体" w:cs="宋体"/>
          <w:sz w:val="32"/>
          <w:szCs w:val="32"/>
        </w:rPr>
      </w:pPr>
      <w:r>
        <w:rPr>
          <w:rFonts w:hint="eastAsia" w:ascii="宋体" w:hAnsi="宋体" w:cs="宋体"/>
          <w:sz w:val="32"/>
          <w:szCs w:val="32"/>
        </w:rPr>
        <w:t>一、收入支出决算总体情况说明.......................6</w:t>
      </w:r>
    </w:p>
    <w:p>
      <w:pPr>
        <w:pStyle w:val="12"/>
        <w:adjustRightInd w:val="0"/>
        <w:snapToGrid w:val="0"/>
        <w:spacing w:line="576" w:lineRule="exact"/>
        <w:ind w:left="0" w:leftChars="0"/>
        <w:jc w:val="distribute"/>
        <w:rPr>
          <w:rFonts w:ascii="宋体" w:hAnsi="宋体" w:cs="宋体"/>
          <w:sz w:val="32"/>
          <w:szCs w:val="32"/>
        </w:rPr>
      </w:pPr>
      <w:r>
        <w:rPr>
          <w:rFonts w:hint="eastAsia" w:ascii="宋体" w:hAnsi="宋体" w:cs="宋体"/>
          <w:sz w:val="32"/>
          <w:szCs w:val="32"/>
        </w:rPr>
        <w:t>二、收入决算情况说明...............................6</w:t>
      </w:r>
    </w:p>
    <w:p>
      <w:pPr>
        <w:pStyle w:val="12"/>
        <w:adjustRightInd w:val="0"/>
        <w:snapToGrid w:val="0"/>
        <w:spacing w:line="576" w:lineRule="exact"/>
        <w:ind w:left="0" w:leftChars="0"/>
        <w:jc w:val="distribute"/>
        <w:rPr>
          <w:rFonts w:ascii="宋体" w:hAnsi="宋体" w:cs="宋体"/>
          <w:sz w:val="32"/>
          <w:szCs w:val="32"/>
        </w:rPr>
      </w:pPr>
      <w:r>
        <w:rPr>
          <w:rFonts w:hint="eastAsia" w:ascii="宋体" w:hAnsi="宋体" w:cs="宋体"/>
          <w:sz w:val="32"/>
          <w:szCs w:val="32"/>
        </w:rPr>
        <w:t>三、支出决算情况说明...............................7</w:t>
      </w:r>
    </w:p>
    <w:p>
      <w:pPr>
        <w:pStyle w:val="12"/>
        <w:adjustRightInd w:val="0"/>
        <w:snapToGrid w:val="0"/>
        <w:spacing w:line="576" w:lineRule="exact"/>
        <w:ind w:left="0" w:leftChars="0"/>
        <w:jc w:val="distribute"/>
        <w:rPr>
          <w:rFonts w:ascii="宋体" w:hAnsi="宋体" w:cs="宋体"/>
          <w:sz w:val="32"/>
          <w:szCs w:val="32"/>
        </w:rPr>
      </w:pPr>
      <w:r>
        <w:rPr>
          <w:rFonts w:hint="eastAsia" w:ascii="宋体" w:hAnsi="宋体" w:cs="宋体"/>
          <w:sz w:val="32"/>
          <w:szCs w:val="32"/>
        </w:rPr>
        <w:t>四、财政拨款收入支出决算总体情况说明...............8</w:t>
      </w:r>
    </w:p>
    <w:p>
      <w:pPr>
        <w:pStyle w:val="12"/>
        <w:adjustRightInd w:val="0"/>
        <w:snapToGrid w:val="0"/>
        <w:spacing w:line="576" w:lineRule="exact"/>
        <w:ind w:left="0" w:leftChars="0"/>
        <w:jc w:val="distribute"/>
        <w:rPr>
          <w:rFonts w:ascii="宋体" w:hAnsi="宋体" w:cs="宋体"/>
          <w:sz w:val="32"/>
          <w:szCs w:val="32"/>
        </w:rPr>
      </w:pPr>
      <w:r>
        <w:rPr>
          <w:rFonts w:hint="eastAsia" w:ascii="宋体" w:hAnsi="宋体" w:cs="宋体"/>
          <w:sz w:val="32"/>
          <w:szCs w:val="32"/>
        </w:rPr>
        <w:t>五、一般公共预算财政拨款支出决算情况说明...........8</w:t>
      </w:r>
    </w:p>
    <w:p>
      <w:pPr>
        <w:pStyle w:val="12"/>
        <w:adjustRightInd w:val="0"/>
        <w:snapToGrid w:val="0"/>
        <w:spacing w:line="576" w:lineRule="exact"/>
        <w:ind w:left="0" w:leftChars="0"/>
        <w:jc w:val="distribute"/>
        <w:rPr>
          <w:rFonts w:ascii="宋体" w:hAnsi="宋体" w:cs="宋体"/>
          <w:sz w:val="32"/>
          <w:szCs w:val="32"/>
        </w:rPr>
      </w:pPr>
      <w:r>
        <w:rPr>
          <w:rFonts w:hint="eastAsia" w:ascii="宋体" w:hAnsi="宋体" w:cs="宋体"/>
          <w:sz w:val="32"/>
          <w:szCs w:val="32"/>
        </w:rPr>
        <w:t>六、一般公共预算财政拨款基本支出决算情况说明......11</w:t>
      </w:r>
    </w:p>
    <w:p>
      <w:pPr>
        <w:pStyle w:val="12"/>
        <w:adjustRightInd w:val="0"/>
        <w:snapToGrid w:val="0"/>
        <w:spacing w:line="576" w:lineRule="exact"/>
        <w:ind w:left="0" w:leftChars="0"/>
        <w:jc w:val="distribute"/>
        <w:rPr>
          <w:rFonts w:ascii="宋体" w:hAnsi="宋体" w:cs="宋体"/>
          <w:sz w:val="32"/>
          <w:szCs w:val="32"/>
        </w:rPr>
      </w:pPr>
      <w:r>
        <w:rPr>
          <w:rFonts w:hint="eastAsia" w:ascii="宋体" w:hAnsi="宋体" w:cs="宋体"/>
          <w:sz w:val="32"/>
          <w:szCs w:val="32"/>
        </w:rPr>
        <w:t>七、“三公”经费财政拨款支出决算情况说明..........11</w:t>
      </w:r>
    </w:p>
    <w:p>
      <w:pPr>
        <w:pStyle w:val="12"/>
        <w:adjustRightInd w:val="0"/>
        <w:snapToGrid w:val="0"/>
        <w:spacing w:line="576" w:lineRule="exact"/>
        <w:ind w:left="0" w:leftChars="0"/>
        <w:jc w:val="distribute"/>
        <w:rPr>
          <w:rFonts w:ascii="宋体" w:hAnsi="宋体" w:cs="宋体"/>
          <w:sz w:val="32"/>
          <w:szCs w:val="32"/>
        </w:rPr>
      </w:pPr>
      <w:r>
        <w:rPr>
          <w:rFonts w:hint="eastAsia" w:ascii="宋体" w:hAnsi="宋体" w:cs="宋体"/>
          <w:sz w:val="32"/>
          <w:szCs w:val="32"/>
        </w:rPr>
        <w:t>八、政府性基金预算支出决算情况说明................13</w:t>
      </w:r>
    </w:p>
    <w:p>
      <w:pPr>
        <w:pStyle w:val="12"/>
        <w:adjustRightInd w:val="0"/>
        <w:snapToGrid w:val="0"/>
        <w:spacing w:line="576" w:lineRule="exact"/>
        <w:ind w:left="0" w:leftChars="0"/>
        <w:jc w:val="distribute"/>
        <w:rPr>
          <w:rFonts w:ascii="宋体" w:hAnsi="宋体" w:cs="宋体"/>
          <w:sz w:val="32"/>
          <w:szCs w:val="32"/>
        </w:rPr>
      </w:pPr>
      <w:r>
        <w:rPr>
          <w:rFonts w:hint="eastAsia" w:ascii="宋体" w:hAnsi="宋体" w:cs="宋体"/>
          <w:sz w:val="32"/>
          <w:szCs w:val="32"/>
        </w:rPr>
        <w:t>九、 国有资本经营预算支出决算情况说明...............13</w:t>
      </w:r>
    </w:p>
    <w:p>
      <w:pPr>
        <w:adjustRightInd w:val="0"/>
        <w:snapToGrid w:val="0"/>
        <w:spacing w:line="576" w:lineRule="exact"/>
        <w:jc w:val="distribute"/>
        <w:rPr>
          <w:rFonts w:ascii="宋体" w:hAnsi="宋体" w:cs="宋体"/>
          <w:sz w:val="32"/>
          <w:szCs w:val="32"/>
        </w:rPr>
      </w:pPr>
      <w:r>
        <w:rPr>
          <w:rStyle w:val="20"/>
          <w:rFonts w:hint="eastAsia" w:ascii="宋体" w:hAnsi="宋体" w:cs="宋体"/>
          <w:color w:val="000000" w:themeColor="text1"/>
          <w:sz w:val="32"/>
          <w:szCs w:val="32"/>
          <w:u w:val="none"/>
        </w:rPr>
        <w:t>十、</w:t>
      </w:r>
      <w:r>
        <w:rPr>
          <w:rFonts w:hint="eastAsia" w:ascii="宋体" w:hAnsi="宋体" w:cs="宋体"/>
          <w:sz w:val="32"/>
          <w:szCs w:val="32"/>
        </w:rPr>
        <w:t>其他重要事项的情况说明........................13</w:t>
      </w:r>
    </w:p>
    <w:p>
      <w:pPr>
        <w:pStyle w:val="11"/>
        <w:adjustRightInd w:val="0"/>
        <w:snapToGrid w:val="0"/>
        <w:spacing w:before="0" w:line="576" w:lineRule="exact"/>
        <w:jc w:val="distribute"/>
        <w:rPr>
          <w:rFonts w:hint="eastAsia" w:ascii="黑体" w:hAnsi="黑体" w:eastAsia="黑体" w:cs="黑体"/>
          <w:sz w:val="32"/>
          <w:szCs w:val="32"/>
          <w:lang w:eastAsia="zh-CN"/>
        </w:rPr>
      </w:pPr>
      <w:r>
        <w:rPr>
          <w:rFonts w:hint="eastAsia" w:ascii="黑体" w:hAnsi="黑体" w:eastAsia="黑体" w:cs="黑体"/>
          <w:sz w:val="32"/>
          <w:szCs w:val="32"/>
        </w:rPr>
        <w:t>第三部分 名词解释..................................2</w:t>
      </w:r>
      <w:r>
        <w:rPr>
          <w:rFonts w:hint="eastAsia" w:ascii="黑体" w:hAnsi="黑体" w:eastAsia="黑体" w:cs="黑体"/>
          <w:sz w:val="32"/>
          <w:szCs w:val="32"/>
          <w:lang w:val="en-US" w:eastAsia="zh-CN"/>
        </w:rPr>
        <w:t>1</w:t>
      </w:r>
    </w:p>
    <w:p>
      <w:pPr>
        <w:pStyle w:val="11"/>
        <w:adjustRightInd w:val="0"/>
        <w:snapToGrid w:val="0"/>
        <w:spacing w:before="0" w:line="576" w:lineRule="exact"/>
        <w:jc w:val="distribute"/>
        <w:rPr>
          <w:rFonts w:hint="eastAsia" w:ascii="黑体" w:hAnsi="黑体" w:eastAsia="黑体" w:cs="黑体"/>
          <w:sz w:val="32"/>
          <w:szCs w:val="32"/>
          <w:lang w:val="en-US" w:eastAsia="zh-CN"/>
        </w:rPr>
      </w:pPr>
      <w:r>
        <w:rPr>
          <w:rFonts w:hint="eastAsia" w:ascii="黑体" w:hAnsi="黑体" w:eastAsia="黑体" w:cs="黑体"/>
          <w:sz w:val="32"/>
          <w:szCs w:val="32"/>
        </w:rPr>
        <w:t>第四部分 附件.......................................2</w:t>
      </w:r>
      <w:r>
        <w:rPr>
          <w:rFonts w:hint="eastAsia" w:ascii="黑体" w:hAnsi="黑体" w:eastAsia="黑体" w:cs="黑体"/>
          <w:sz w:val="32"/>
          <w:szCs w:val="32"/>
          <w:lang w:val="en-US" w:eastAsia="zh-CN"/>
        </w:rPr>
        <w:t>4</w:t>
      </w:r>
    </w:p>
    <w:p>
      <w:pPr>
        <w:pStyle w:val="12"/>
        <w:adjustRightInd w:val="0"/>
        <w:snapToGrid w:val="0"/>
        <w:spacing w:line="576" w:lineRule="exact"/>
        <w:ind w:left="0" w:leftChars="0"/>
        <w:jc w:val="distribute"/>
        <w:rPr>
          <w:rFonts w:hint="eastAsia" w:ascii="宋体" w:hAnsi="宋体" w:eastAsia="宋体" w:cs="宋体"/>
          <w:sz w:val="32"/>
          <w:szCs w:val="32"/>
          <w:lang w:val="en-US" w:eastAsia="zh-CN"/>
        </w:rPr>
      </w:pPr>
      <w:r>
        <w:rPr>
          <w:rFonts w:hint="eastAsia" w:ascii="宋体" w:hAnsi="宋体" w:cs="宋体"/>
          <w:sz w:val="32"/>
          <w:szCs w:val="32"/>
        </w:rPr>
        <w:t>附件1.............................................2</w:t>
      </w:r>
      <w:r>
        <w:rPr>
          <w:rFonts w:hint="eastAsia" w:ascii="宋体" w:hAnsi="宋体" w:cs="宋体"/>
          <w:sz w:val="32"/>
          <w:szCs w:val="32"/>
          <w:lang w:val="en-US" w:eastAsia="zh-CN"/>
        </w:rPr>
        <w:t>4</w:t>
      </w:r>
    </w:p>
    <w:p>
      <w:pPr>
        <w:pStyle w:val="12"/>
        <w:adjustRightInd w:val="0"/>
        <w:snapToGrid w:val="0"/>
        <w:spacing w:line="576" w:lineRule="exact"/>
        <w:ind w:left="0" w:leftChars="0"/>
        <w:jc w:val="distribute"/>
        <w:rPr>
          <w:rFonts w:hint="eastAsia" w:ascii="宋体" w:hAnsi="宋体" w:eastAsia="宋体" w:cs="宋体"/>
          <w:sz w:val="32"/>
          <w:szCs w:val="32"/>
          <w:lang w:val="en-US" w:eastAsia="zh-CN"/>
        </w:rPr>
      </w:pPr>
      <w:r>
        <w:rPr>
          <w:rFonts w:hint="eastAsia" w:ascii="宋体" w:hAnsi="宋体" w:cs="宋体"/>
          <w:sz w:val="32"/>
          <w:szCs w:val="32"/>
        </w:rPr>
        <w:t>附件2.............................................2</w:t>
      </w:r>
      <w:r>
        <w:rPr>
          <w:rFonts w:hint="eastAsia" w:ascii="宋体" w:hAnsi="宋体" w:cs="宋体"/>
          <w:sz w:val="32"/>
          <w:szCs w:val="32"/>
          <w:lang w:val="en-US" w:eastAsia="zh-CN"/>
        </w:rPr>
        <w:t>8</w:t>
      </w:r>
    </w:p>
    <w:p>
      <w:pPr>
        <w:pStyle w:val="11"/>
        <w:adjustRightInd w:val="0"/>
        <w:snapToGrid w:val="0"/>
        <w:spacing w:before="0" w:line="576" w:lineRule="exact"/>
        <w:jc w:val="left"/>
        <w:rPr>
          <w:rFonts w:ascii="黑体" w:hAnsi="黑体" w:eastAsia="黑体" w:cs="黑体"/>
          <w:sz w:val="32"/>
          <w:szCs w:val="32"/>
        </w:rPr>
      </w:pPr>
      <w:r>
        <w:rPr>
          <w:rFonts w:hint="eastAsia" w:ascii="黑体" w:hAnsi="黑体" w:eastAsia="黑体" w:cs="黑体"/>
          <w:sz w:val="32"/>
          <w:szCs w:val="32"/>
        </w:rPr>
        <w:t>第五部分 附表</w:t>
      </w:r>
    </w:p>
    <w:p>
      <w:pPr>
        <w:pStyle w:val="12"/>
        <w:adjustRightInd w:val="0"/>
        <w:snapToGrid w:val="0"/>
        <w:spacing w:line="576" w:lineRule="exact"/>
        <w:jc w:val="left"/>
        <w:rPr>
          <w:rFonts w:ascii="宋体" w:hAnsi="宋体" w:cs="宋体"/>
          <w:sz w:val="32"/>
          <w:szCs w:val="32"/>
        </w:rPr>
      </w:pPr>
      <w:r>
        <w:rPr>
          <w:rFonts w:hint="eastAsia" w:ascii="宋体" w:hAnsi="宋体" w:cs="宋体"/>
          <w:sz w:val="32"/>
          <w:szCs w:val="32"/>
        </w:rPr>
        <w:t>一、收入支出决算总表</w:t>
      </w:r>
    </w:p>
    <w:p>
      <w:pPr>
        <w:pStyle w:val="12"/>
        <w:adjustRightInd w:val="0"/>
        <w:snapToGrid w:val="0"/>
        <w:spacing w:line="576" w:lineRule="exact"/>
        <w:jc w:val="left"/>
        <w:rPr>
          <w:rFonts w:ascii="宋体" w:hAnsi="宋体" w:cs="宋体"/>
          <w:sz w:val="32"/>
          <w:szCs w:val="32"/>
        </w:rPr>
      </w:pPr>
      <w:r>
        <w:rPr>
          <w:rFonts w:hint="eastAsia" w:ascii="宋体" w:hAnsi="宋体" w:cs="宋体"/>
          <w:sz w:val="32"/>
          <w:szCs w:val="32"/>
        </w:rPr>
        <w:t>二、收入决算表</w:t>
      </w:r>
    </w:p>
    <w:p>
      <w:pPr>
        <w:pStyle w:val="12"/>
        <w:adjustRightInd w:val="0"/>
        <w:snapToGrid w:val="0"/>
        <w:spacing w:line="576" w:lineRule="exact"/>
        <w:jc w:val="left"/>
        <w:rPr>
          <w:rFonts w:ascii="宋体" w:hAnsi="宋体" w:cs="宋体"/>
          <w:sz w:val="32"/>
          <w:szCs w:val="32"/>
        </w:rPr>
      </w:pPr>
      <w:r>
        <w:rPr>
          <w:rFonts w:hint="eastAsia" w:ascii="宋体" w:hAnsi="宋体" w:cs="宋体"/>
          <w:sz w:val="32"/>
          <w:szCs w:val="32"/>
        </w:rPr>
        <w:t>三、支出决算表</w:t>
      </w:r>
    </w:p>
    <w:p>
      <w:pPr>
        <w:pStyle w:val="12"/>
        <w:adjustRightInd w:val="0"/>
        <w:snapToGrid w:val="0"/>
        <w:spacing w:line="576" w:lineRule="exact"/>
        <w:jc w:val="left"/>
        <w:rPr>
          <w:rFonts w:ascii="宋体" w:hAnsi="宋体" w:cs="宋体"/>
          <w:sz w:val="32"/>
          <w:szCs w:val="32"/>
        </w:rPr>
      </w:pPr>
      <w:r>
        <w:rPr>
          <w:rFonts w:hint="eastAsia" w:ascii="宋体" w:hAnsi="宋体" w:cs="宋体"/>
          <w:sz w:val="32"/>
          <w:szCs w:val="32"/>
        </w:rPr>
        <w:t>四、财政拨款收入支出决算总表</w:t>
      </w:r>
    </w:p>
    <w:p>
      <w:pPr>
        <w:pStyle w:val="12"/>
        <w:adjustRightInd w:val="0"/>
        <w:snapToGrid w:val="0"/>
        <w:spacing w:line="576" w:lineRule="exact"/>
        <w:jc w:val="left"/>
        <w:rPr>
          <w:rFonts w:ascii="宋体" w:hAnsi="宋体" w:cs="宋体"/>
          <w:sz w:val="32"/>
          <w:szCs w:val="32"/>
        </w:rPr>
      </w:pPr>
      <w:r>
        <w:rPr>
          <w:rFonts w:hint="eastAsia" w:ascii="宋体" w:hAnsi="宋体" w:cs="宋体"/>
          <w:sz w:val="32"/>
          <w:szCs w:val="32"/>
        </w:rPr>
        <w:t>五、财政拨款支出决算明细表</w:t>
      </w:r>
    </w:p>
    <w:p>
      <w:pPr>
        <w:pStyle w:val="12"/>
        <w:adjustRightInd w:val="0"/>
        <w:snapToGrid w:val="0"/>
        <w:spacing w:line="576" w:lineRule="exact"/>
        <w:jc w:val="left"/>
        <w:rPr>
          <w:rFonts w:ascii="宋体" w:hAnsi="宋体" w:cs="宋体"/>
          <w:sz w:val="32"/>
          <w:szCs w:val="32"/>
        </w:rPr>
      </w:pPr>
      <w:r>
        <w:rPr>
          <w:rFonts w:hint="eastAsia" w:ascii="宋体" w:hAnsi="宋体" w:cs="宋体"/>
          <w:sz w:val="32"/>
          <w:szCs w:val="32"/>
        </w:rPr>
        <w:t>六、一般公共预算财政拨款支出决算表</w:t>
      </w:r>
    </w:p>
    <w:p>
      <w:pPr>
        <w:pStyle w:val="12"/>
        <w:adjustRightInd w:val="0"/>
        <w:snapToGrid w:val="0"/>
        <w:spacing w:line="576" w:lineRule="exact"/>
        <w:jc w:val="left"/>
        <w:rPr>
          <w:rFonts w:ascii="宋体" w:hAnsi="宋体" w:cs="宋体"/>
          <w:sz w:val="32"/>
          <w:szCs w:val="32"/>
        </w:rPr>
      </w:pPr>
      <w:r>
        <w:rPr>
          <w:rFonts w:hint="eastAsia" w:ascii="宋体" w:hAnsi="宋体" w:cs="宋体"/>
          <w:sz w:val="32"/>
          <w:szCs w:val="32"/>
        </w:rPr>
        <w:t>七、一般公共预算财政拨款支出决算明细表</w:t>
      </w:r>
    </w:p>
    <w:p>
      <w:pPr>
        <w:pStyle w:val="12"/>
        <w:adjustRightInd w:val="0"/>
        <w:snapToGrid w:val="0"/>
        <w:spacing w:line="576" w:lineRule="exact"/>
        <w:jc w:val="left"/>
        <w:rPr>
          <w:rFonts w:ascii="宋体" w:hAnsi="宋体" w:cs="宋体"/>
          <w:sz w:val="32"/>
          <w:szCs w:val="32"/>
        </w:rPr>
      </w:pPr>
      <w:r>
        <w:rPr>
          <w:rFonts w:hint="eastAsia" w:ascii="宋体" w:hAnsi="宋体" w:cs="宋体"/>
          <w:sz w:val="32"/>
          <w:szCs w:val="32"/>
        </w:rPr>
        <w:t>八、一般公共预算财政拨款基本支出决算表</w:t>
      </w:r>
    </w:p>
    <w:p>
      <w:pPr>
        <w:pStyle w:val="12"/>
        <w:adjustRightInd w:val="0"/>
        <w:snapToGrid w:val="0"/>
        <w:spacing w:line="576" w:lineRule="exact"/>
        <w:jc w:val="left"/>
        <w:rPr>
          <w:rFonts w:ascii="宋体" w:hAnsi="宋体" w:cs="宋体"/>
          <w:sz w:val="32"/>
          <w:szCs w:val="32"/>
        </w:rPr>
      </w:pPr>
      <w:r>
        <w:rPr>
          <w:rFonts w:hint="eastAsia" w:ascii="宋体" w:hAnsi="宋体" w:cs="宋体"/>
          <w:sz w:val="32"/>
          <w:szCs w:val="32"/>
        </w:rPr>
        <w:t>九、一般公共预算财政拨款项目支出决算表</w:t>
      </w:r>
    </w:p>
    <w:p>
      <w:pPr>
        <w:pStyle w:val="12"/>
        <w:adjustRightInd w:val="0"/>
        <w:snapToGrid w:val="0"/>
        <w:spacing w:line="576" w:lineRule="exact"/>
        <w:jc w:val="left"/>
        <w:rPr>
          <w:rFonts w:ascii="宋体" w:hAnsi="宋体" w:cs="宋体"/>
          <w:sz w:val="32"/>
          <w:szCs w:val="32"/>
        </w:rPr>
      </w:pPr>
      <w:r>
        <w:rPr>
          <w:rFonts w:hint="eastAsia" w:ascii="宋体" w:hAnsi="宋体" w:cs="宋体"/>
          <w:sz w:val="32"/>
          <w:szCs w:val="32"/>
        </w:rPr>
        <w:t>十、一般公共预算财政拨款“三公”经费支出决算表</w:t>
      </w:r>
    </w:p>
    <w:p>
      <w:pPr>
        <w:pStyle w:val="12"/>
        <w:adjustRightInd w:val="0"/>
        <w:snapToGrid w:val="0"/>
        <w:spacing w:line="576" w:lineRule="exact"/>
        <w:jc w:val="left"/>
        <w:rPr>
          <w:rFonts w:ascii="宋体" w:hAnsi="宋体" w:cs="宋体"/>
          <w:sz w:val="32"/>
          <w:szCs w:val="32"/>
        </w:rPr>
      </w:pPr>
      <w:r>
        <w:rPr>
          <w:rFonts w:hint="eastAsia" w:ascii="宋体" w:hAnsi="宋体" w:cs="宋体"/>
          <w:sz w:val="32"/>
          <w:szCs w:val="32"/>
        </w:rPr>
        <w:t>十一、政府性基金预算财政拨款收入支出决算表</w:t>
      </w:r>
    </w:p>
    <w:p>
      <w:pPr>
        <w:pStyle w:val="12"/>
        <w:adjustRightInd w:val="0"/>
        <w:snapToGrid w:val="0"/>
        <w:spacing w:line="576" w:lineRule="exact"/>
        <w:jc w:val="left"/>
        <w:rPr>
          <w:rFonts w:ascii="宋体" w:hAnsi="宋体" w:cs="宋体"/>
          <w:sz w:val="32"/>
          <w:szCs w:val="32"/>
        </w:rPr>
      </w:pPr>
      <w:r>
        <w:rPr>
          <w:rFonts w:hint="eastAsia" w:ascii="宋体" w:hAnsi="宋体" w:cs="宋体"/>
          <w:sz w:val="32"/>
          <w:szCs w:val="32"/>
        </w:rPr>
        <w:t>十二、政府性基金预算财政拨款“三公”经费支出决算表</w:t>
      </w:r>
    </w:p>
    <w:p>
      <w:pPr>
        <w:pStyle w:val="12"/>
        <w:adjustRightInd w:val="0"/>
        <w:snapToGrid w:val="0"/>
        <w:spacing w:line="576" w:lineRule="exact"/>
        <w:jc w:val="left"/>
        <w:rPr>
          <w:rFonts w:ascii="宋体" w:hAnsi="宋体" w:cs="宋体"/>
          <w:sz w:val="32"/>
          <w:szCs w:val="32"/>
        </w:rPr>
      </w:pPr>
      <w:bookmarkStart w:id="12" w:name="_Toc15396599"/>
      <w:bookmarkStart w:id="13" w:name="_Toc15377196"/>
      <w:r>
        <w:rPr>
          <w:rFonts w:hint="eastAsia" w:ascii="宋体" w:hAnsi="宋体" w:cs="宋体"/>
          <w:sz w:val="32"/>
          <w:szCs w:val="32"/>
        </w:rPr>
        <w:t>十三、国有资本经营预算财政拨款收入支出决算表</w:t>
      </w:r>
    </w:p>
    <w:p>
      <w:pPr>
        <w:pStyle w:val="12"/>
        <w:adjustRightInd w:val="0"/>
        <w:snapToGrid w:val="0"/>
        <w:spacing w:line="576" w:lineRule="exact"/>
        <w:jc w:val="left"/>
        <w:rPr>
          <w:rFonts w:ascii="宋体" w:hAnsi="宋体" w:cs="宋体"/>
          <w:sz w:val="32"/>
          <w:szCs w:val="32"/>
        </w:rPr>
      </w:pPr>
      <w:r>
        <w:rPr>
          <w:rFonts w:hint="eastAsia" w:ascii="宋体" w:hAnsi="宋体" w:cs="宋体"/>
          <w:sz w:val="32"/>
          <w:szCs w:val="32"/>
        </w:rPr>
        <w:t>十四、国有资本经营预算财政拨款支出决算表</w:t>
      </w:r>
    </w:p>
    <w:p>
      <w:pPr>
        <w:pStyle w:val="12"/>
        <w:adjustRightInd w:val="0"/>
        <w:snapToGrid w:val="0"/>
        <w:spacing w:line="576" w:lineRule="exact"/>
        <w:jc w:val="left"/>
        <w:rPr>
          <w:rFonts w:ascii="宋体" w:hAnsi="宋体" w:cs="宋体"/>
          <w:sz w:val="32"/>
          <w:szCs w:val="32"/>
        </w:rPr>
      </w:pPr>
    </w:p>
    <w:p>
      <w:pPr>
        <w:pStyle w:val="2"/>
        <w:spacing w:before="0" w:after="0" w:line="576" w:lineRule="exact"/>
        <w:jc w:val="center"/>
        <w:rPr>
          <w:rFonts w:ascii="黑体" w:hAnsi="黑体" w:eastAsia="黑体"/>
          <w:b w:val="0"/>
        </w:rPr>
      </w:pPr>
    </w:p>
    <w:p>
      <w:pPr>
        <w:pStyle w:val="2"/>
        <w:spacing w:before="0" w:after="0" w:line="576" w:lineRule="exact"/>
        <w:jc w:val="center"/>
        <w:rPr>
          <w:rFonts w:ascii="黑体" w:hAnsi="黑体" w:eastAsia="黑体"/>
          <w:b w:val="0"/>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pStyle w:val="2"/>
        <w:spacing w:before="0" w:after="0" w:line="576" w:lineRule="exact"/>
        <w:jc w:val="center"/>
        <w:rPr>
          <w:rFonts w:ascii="黑体" w:hAnsi="黑体" w:eastAsia="黑体"/>
          <w:b w:val="0"/>
        </w:rPr>
        <w:sectPr>
          <w:footerReference r:id="rId5" w:type="first"/>
          <w:headerReference r:id="rId3" w:type="default"/>
          <w:footerReference r:id="rId4" w:type="default"/>
          <w:pgSz w:w="11906" w:h="16838"/>
          <w:pgMar w:top="2041" w:right="1474" w:bottom="1701" w:left="1531" w:header="851" w:footer="1417" w:gutter="0"/>
          <w:pgNumType w:fmt="numberInDash" w:start="1"/>
          <w:cols w:space="0" w:num="1"/>
          <w:titlePg/>
          <w:docGrid w:type="lines" w:linePitch="312" w:charSpace="0"/>
        </w:sectPr>
      </w:pPr>
    </w:p>
    <w:p>
      <w:pPr>
        <w:pStyle w:val="2"/>
        <w:spacing w:before="0" w:after="0" w:line="576" w:lineRule="exact"/>
        <w:jc w:val="center"/>
        <w:rPr>
          <w:rStyle w:val="29"/>
          <w:rFonts w:ascii="黑体" w:hAnsi="黑体" w:eastAsia="黑体"/>
          <w:b w:val="0"/>
          <w:bCs w:val="0"/>
        </w:rPr>
      </w:pPr>
      <w:r>
        <w:rPr>
          <w:rFonts w:hint="eastAsia" w:ascii="黑体" w:hAnsi="黑体" w:eastAsia="黑体"/>
          <w:b w:val="0"/>
        </w:rPr>
        <w:t xml:space="preserve">第一部分 </w:t>
      </w:r>
      <w:r>
        <w:rPr>
          <w:rStyle w:val="29"/>
          <w:rFonts w:hint="eastAsia" w:ascii="黑体" w:hAnsi="黑体" w:eastAsia="黑体"/>
          <w:b w:val="0"/>
          <w:bCs w:val="0"/>
        </w:rPr>
        <w:t>部门概况</w:t>
      </w:r>
      <w:bookmarkEnd w:id="12"/>
      <w:bookmarkEnd w:id="13"/>
    </w:p>
    <w:p/>
    <w:p>
      <w:pPr>
        <w:pStyle w:val="3"/>
        <w:spacing w:before="0" w:after="0" w:line="576" w:lineRule="exact"/>
        <w:ind w:firstLine="640" w:firstLineChars="200"/>
        <w:rPr>
          <w:rStyle w:val="30"/>
          <w:rFonts w:ascii="黑体" w:hAnsi="黑体" w:eastAsia="黑体"/>
          <w:b w:val="0"/>
          <w:bCs w:val="0"/>
        </w:rPr>
      </w:pPr>
      <w:bookmarkStart w:id="14" w:name="_Toc15396600"/>
      <w:bookmarkStart w:id="15" w:name="_Toc15377197"/>
      <w:r>
        <w:rPr>
          <w:rFonts w:hint="eastAsia" w:ascii="黑体" w:hAnsi="黑体" w:eastAsia="黑体"/>
          <w:b w:val="0"/>
          <w:color w:val="000000"/>
        </w:rPr>
        <w:t>一、基</w:t>
      </w:r>
      <w:r>
        <w:rPr>
          <w:rStyle w:val="30"/>
          <w:rFonts w:hint="eastAsia" w:ascii="黑体" w:hAnsi="黑体" w:eastAsia="黑体"/>
          <w:b w:val="0"/>
          <w:bCs w:val="0"/>
        </w:rPr>
        <w:t>本职能及主要工作</w:t>
      </w:r>
      <w:bookmarkEnd w:id="14"/>
      <w:bookmarkEnd w:id="15"/>
      <w:bookmarkStart w:id="16" w:name="_Toc15377198"/>
      <w:bookmarkStart w:id="17" w:name="_Toc15378445"/>
    </w:p>
    <w:p>
      <w:pPr>
        <w:pStyle w:val="3"/>
        <w:spacing w:before="0" w:after="0" w:line="576" w:lineRule="exact"/>
        <w:ind w:firstLine="643" w:firstLineChars="200"/>
        <w:rPr>
          <w:rFonts w:ascii="仿宋" w:hAnsi="仿宋" w:eastAsia="仿宋" w:cs="Times New Roman"/>
          <w:bCs w:val="0"/>
          <w:color w:val="000000"/>
        </w:rPr>
      </w:pPr>
      <w:r>
        <w:rPr>
          <w:rFonts w:hint="eastAsia" w:ascii="仿宋" w:hAnsi="仿宋" w:eastAsia="仿宋" w:cs="Times New Roman"/>
          <w:bCs w:val="0"/>
          <w:color w:val="000000"/>
        </w:rPr>
        <w:t>（一）主要职能。</w:t>
      </w:r>
      <w:bookmarkEnd w:id="16"/>
      <w:bookmarkEnd w:id="17"/>
      <w:bookmarkStart w:id="18" w:name="_Toc15377199"/>
      <w:bookmarkStart w:id="19" w:name="_Toc15378446"/>
    </w:p>
    <w:p>
      <w:pPr>
        <w:spacing w:line="576"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1.宣传贯彻落实中央、省、市、区有关农村经济工作和社会发展的方针、政策和决策部署。</w:t>
      </w:r>
    </w:p>
    <w:p>
      <w:pPr>
        <w:spacing w:line="576"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2.研究制定全区供销合作社发展规划；指导全区供销合作社的综合改革和高质量发展，加快体制、机制创新，探索社会主义市场经济条件下合作经济的多种实现形式。</w:t>
      </w:r>
    </w:p>
    <w:p>
      <w:pPr>
        <w:spacing w:line="576"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3.承担对重要农业生产资料、废旧物资、农副产品的经营管理工作；参与组织、储备、调运有关救灾物资的工作。</w:t>
      </w:r>
    </w:p>
    <w:p>
      <w:pPr>
        <w:spacing w:line="576"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4.协调同政府有关部门、社会组织的关系，研究扶持农村合作经济发展的政策性建议，了解、反映农民群众和农村新型经营主体的意见和要求，维护农民合作经济组织的合法权益。</w:t>
      </w:r>
    </w:p>
    <w:p>
      <w:pPr>
        <w:spacing w:line="576"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5.服务乡村振兴战略。指导全区供销社系统推进农业农村现代化建设，促进一二三产业融合发展；发挥供销社行业特点全力做好脱贫攻坚，参与农村人居环境整治农业面源污染治理和先进乡镇和示范村建设，构建农村现代流通体系，推动小农户与现代农业有机衔接，指导农村金融互助、消费、生产、供销等合作社发展，帮助农民提高收入水平。</w:t>
      </w:r>
    </w:p>
    <w:p>
      <w:pPr>
        <w:spacing w:line="576"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6.围绕建立和完善农业社会化服务体系，做好农业、农村、农民服务工作，指导发展土地托管、电子商务、农村现代物流等新型业务，引导农民发展商品生产，搞活农村商品流通。</w:t>
      </w:r>
    </w:p>
    <w:p>
      <w:pPr>
        <w:spacing w:line="576"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7.指导全区供销社系统组织建设，发展新型基层供销合作社，密切与农民利益联系，组织发展农民专业合作社、农村社区综合服务社等农村基层经营服务组织，发挥联合合作优势。</w:t>
      </w:r>
    </w:p>
    <w:p>
      <w:pPr>
        <w:spacing w:line="576"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8.监督社有资产，把握社有企业发展方向。履行本级社社有资产出资人代表职责，优化社有资本布局，促进社有资产保值增值。</w:t>
      </w:r>
    </w:p>
    <w:p>
      <w:pPr>
        <w:spacing w:line="576"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9.发挥合作经济组织联合会作用，参与、协调农村合作经济组织技术交流与对外合作工作。</w:t>
      </w:r>
    </w:p>
    <w:p>
      <w:pPr>
        <w:spacing w:line="576"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10.完成区委、区政府交办的其他任务。</w:t>
      </w:r>
    </w:p>
    <w:p>
      <w:pPr>
        <w:pStyle w:val="3"/>
        <w:spacing w:before="0" w:after="0" w:line="576" w:lineRule="exact"/>
        <w:ind w:firstLine="643" w:firstLineChars="200"/>
        <w:rPr>
          <w:rFonts w:ascii="仿宋" w:hAnsi="仿宋" w:eastAsia="仿宋" w:cs="Times New Roman"/>
          <w:bCs w:val="0"/>
          <w:color w:val="000000"/>
        </w:rPr>
      </w:pPr>
      <w:r>
        <w:rPr>
          <w:rFonts w:hint="eastAsia" w:ascii="仿宋" w:hAnsi="仿宋" w:eastAsia="仿宋" w:cs="Times New Roman"/>
          <w:bCs w:val="0"/>
          <w:color w:val="000000"/>
        </w:rPr>
        <w:t>（二）2020年重点工作完成情况。</w:t>
      </w:r>
      <w:bookmarkEnd w:id="18"/>
      <w:bookmarkEnd w:id="19"/>
    </w:p>
    <w:p>
      <w:pPr>
        <w:spacing w:line="576" w:lineRule="exact"/>
        <w:ind w:firstLine="640"/>
        <w:rPr>
          <w:rFonts w:ascii="仿宋" w:hAnsi="仿宋" w:eastAsia="仿宋" w:cs="仿宋"/>
          <w:sz w:val="32"/>
          <w:szCs w:val="32"/>
        </w:rPr>
      </w:pPr>
      <w:bookmarkStart w:id="20" w:name="_Toc15377200"/>
      <w:bookmarkStart w:id="21" w:name="_Toc15396601"/>
      <w:r>
        <w:rPr>
          <w:rFonts w:hint="eastAsia" w:ascii="楷体" w:hAnsi="楷体" w:eastAsia="楷体" w:cs="楷体"/>
          <w:sz w:val="32"/>
          <w:szCs w:val="32"/>
        </w:rPr>
        <w:t>1.经济指标全面完成。</w:t>
      </w:r>
      <w:r>
        <w:rPr>
          <w:rFonts w:hint="eastAsia" w:ascii="仿宋" w:hAnsi="仿宋" w:eastAsia="仿宋" w:cs="仿宋"/>
          <w:sz w:val="32"/>
          <w:szCs w:val="32"/>
        </w:rPr>
        <w:t>全年实行销售总额148200万元，占年度任务134700万元的110.2%；农资销售14450万元，占年度任务13100万元的110.3%；农副产品购进50100万元，占年度任务45500万元的110.1%。</w:t>
      </w:r>
    </w:p>
    <w:p>
      <w:pPr>
        <w:spacing w:line="576" w:lineRule="exact"/>
        <w:ind w:firstLine="640"/>
        <w:rPr>
          <w:rFonts w:ascii="仿宋" w:hAnsi="仿宋" w:eastAsia="仿宋" w:cs="仿宋"/>
          <w:sz w:val="32"/>
          <w:szCs w:val="32"/>
        </w:rPr>
      </w:pPr>
      <w:r>
        <w:rPr>
          <w:rFonts w:hint="eastAsia" w:ascii="楷体" w:hAnsi="楷体" w:eastAsia="楷体" w:cs="楷体"/>
          <w:sz w:val="32"/>
          <w:szCs w:val="32"/>
        </w:rPr>
        <w:t>2.整合系统内部资源，增强为农服务合力。</w:t>
      </w:r>
      <w:r>
        <w:rPr>
          <w:rFonts w:hint="eastAsia" w:ascii="仿宋" w:hAnsi="仿宋" w:eastAsia="仿宋" w:cs="仿宋"/>
          <w:sz w:val="32"/>
          <w:szCs w:val="32"/>
        </w:rPr>
        <w:t>一是统筹资产运营。建立资产管理台账、资产租赁台账和资产收益年度分析台账，实现资产家底、经营状况、经营潜力的数据化管理；授权资产管理公司负责全系统经营性资产运营管理，改变多主体经营资产的局面；出台了《社有资产竞租指南》《社有资产年度租金价格指导目录》等一系列规范性制度文件，并推行资产租赁信誉管理等级评价机制，通过市场化的方式淘汰劣质租户，树立行业正气；实行资产租赁价格制定权、租赁执行权和效益监督权实行“三权”分置，提升监督实效。二是统筹财务管理。统一会计核算，成立会计核算中心，各基层单位、社属企业的会计职能统一由会计核算中心代为履行，坚持全口径收支核算和年度经营预决算管理，真实反映各单位经营管理和运行状况；统一集中收支，成立全系统集中收付中心，履行全系统收支职能，设立系统资金监管账户，各基层供销社、社有企业所有收支纳入监管账户集中管理；统一财务制度，根据“县基一体化”实际需求，出台了全系统财务管理办法，从总的要求、职能职责、运行机制、责任追究等方面形成了系统化的财务管理规范。三是统筹人员使用。加大人员统筹使用力度，对富余人员由联社根据全系统为农服务业务发展需要和个人特点统筹调配使用，会计服务中心面向社会公开招聘中级会计师1人；健全工资绩效管理体系，建立全系统统一工资标准和工资正常增长、绩效考核、职工晋升机制；统一劳动人事管理，全系统劳动人事关系（含退休人员）统一由内部劳务公司负责管理，按劳务派遣方式解决各单位用人。通过人员统筹使用，提高了经营管理水平，提升了职工干事创业激情。</w:t>
      </w:r>
    </w:p>
    <w:p>
      <w:pPr>
        <w:spacing w:line="576" w:lineRule="exact"/>
        <w:ind w:firstLine="640"/>
        <w:rPr>
          <w:rFonts w:ascii="仿宋" w:hAnsi="仿宋" w:eastAsia="仿宋" w:cs="仿宋"/>
          <w:sz w:val="32"/>
          <w:szCs w:val="32"/>
        </w:rPr>
      </w:pPr>
      <w:r>
        <w:rPr>
          <w:rFonts w:hint="eastAsia" w:ascii="楷体" w:hAnsi="楷体" w:eastAsia="楷体" w:cs="楷体"/>
          <w:sz w:val="32"/>
          <w:szCs w:val="32"/>
        </w:rPr>
        <w:t>3.主动承担政府购买服务，重塑供销系统经营服务体系。</w:t>
      </w:r>
      <w:r>
        <w:rPr>
          <w:rFonts w:hint="eastAsia" w:ascii="仿宋" w:hAnsi="仿宋" w:eastAsia="仿宋" w:cs="仿宋"/>
          <w:sz w:val="32"/>
          <w:szCs w:val="32"/>
        </w:rPr>
        <w:t>一是完成村（社区）会计服务体系建设。组建了全资社有企业统筹运营管理，主要为全区村（社区）、集体经济组织以及村（居）民小组开展代理记账服务。协助政府主管部门出台全区村（社区）代理记账服务试点方案，并于6月起在万缘街道6个村（社区）开展试点，截止年底，已完成代理记账乡镇（街道）5个。二是加强环境卫生整治，有效阻止污染源。积极做好回收网点环境卫生整治，对全区各回收网点、废弃农膜回收网点破损店招、制度牌进行全面清理更换，同时督促各经营户做好垃圾分类工作；强化废弃农膜收集处理力量，通过对回收网点、村组开展业务培训、宣讲，不断提高回收率，实现回收率85%以上。</w:t>
      </w:r>
    </w:p>
    <w:p>
      <w:pPr>
        <w:spacing w:line="576" w:lineRule="exact"/>
        <w:ind w:firstLine="640" w:firstLineChars="200"/>
        <w:rPr>
          <w:rFonts w:ascii="仿宋" w:hAnsi="仿宋" w:eastAsia="仿宋" w:cs="仿宋"/>
          <w:sz w:val="32"/>
          <w:szCs w:val="32"/>
        </w:rPr>
      </w:pPr>
      <w:r>
        <w:rPr>
          <w:rFonts w:hint="eastAsia" w:ascii="楷体" w:hAnsi="楷体" w:eastAsia="楷体" w:cs="楷体"/>
          <w:sz w:val="32"/>
          <w:szCs w:val="32"/>
        </w:rPr>
        <w:t>4.抓安全生产促企业健康发展。</w:t>
      </w:r>
      <w:r>
        <w:rPr>
          <w:rFonts w:hint="eastAsia" w:ascii="仿宋" w:hAnsi="仿宋" w:eastAsia="仿宋" w:cs="仿宋"/>
          <w:sz w:val="32"/>
          <w:szCs w:val="32"/>
        </w:rPr>
        <w:t>区供销社认真落实一岗双责、党政同责工作要求，全年部署消防安全工作4次，深入各基层供销社、直属企业开展消防安全检查12次，签发隐患整改通知书7份，整改安全隐患4处，开展安全演练1次，开展安全知识宣传2次，发放宣传资料400余份，全年无安全事故发生。</w:t>
      </w:r>
    </w:p>
    <w:p>
      <w:pPr>
        <w:widowControl/>
        <w:spacing w:line="576" w:lineRule="exact"/>
        <w:ind w:firstLine="640" w:firstLineChars="200"/>
        <w:rPr>
          <w:rFonts w:ascii="仿宋" w:hAnsi="仿宋" w:eastAsia="仿宋" w:cs="仿宋"/>
          <w:bCs/>
          <w:sz w:val="32"/>
          <w:szCs w:val="32"/>
        </w:rPr>
      </w:pPr>
      <w:r>
        <w:rPr>
          <w:rFonts w:hint="eastAsia" w:ascii="楷体" w:hAnsi="楷体" w:eastAsia="楷体" w:cs="楷体"/>
          <w:sz w:val="32"/>
          <w:szCs w:val="32"/>
        </w:rPr>
        <w:t>5.高质量完成脱贫攻坚帮扶任务。</w:t>
      </w:r>
      <w:r>
        <w:rPr>
          <w:rFonts w:hint="eastAsia" w:ascii="仿宋" w:hAnsi="仿宋" w:eastAsia="仿宋" w:cs="仿宋"/>
          <w:bCs/>
          <w:sz w:val="32"/>
          <w:szCs w:val="32"/>
        </w:rPr>
        <w:t>全年组织全体帮扶干部进村入户开展帮扶工作34次，开展环境卫生整治12次，开展决战决胜脱贫攻坚帮扶工作培训4次，抓实抓细脱贫攻坚总复习“百日攻坚”冲刺工作，有力阻击返贫，并顺利通过脱贫验收。</w:t>
      </w:r>
    </w:p>
    <w:p>
      <w:pPr>
        <w:widowControl/>
        <w:spacing w:line="576" w:lineRule="exact"/>
        <w:ind w:firstLine="640" w:firstLineChars="200"/>
        <w:rPr>
          <w:rFonts w:ascii="仿宋" w:hAnsi="仿宋" w:eastAsia="仿宋" w:cs="仿宋"/>
          <w:bCs/>
          <w:sz w:val="32"/>
          <w:szCs w:val="32"/>
        </w:rPr>
      </w:pPr>
      <w:r>
        <w:rPr>
          <w:rFonts w:hint="eastAsia" w:ascii="楷体" w:hAnsi="楷体" w:eastAsia="楷体" w:cs="楷体"/>
          <w:sz w:val="32"/>
          <w:szCs w:val="32"/>
        </w:rPr>
        <w:t>6.积极开展疫情防控。</w:t>
      </w:r>
      <w:r>
        <w:rPr>
          <w:rFonts w:hint="eastAsia" w:ascii="仿宋" w:hAnsi="仿宋" w:eastAsia="仿宋" w:cs="仿宋"/>
          <w:bCs/>
          <w:sz w:val="32"/>
          <w:szCs w:val="32"/>
        </w:rPr>
        <w:t>按照上级相关部门统一部署，我社认真落实工作职责，加强宣传力度，选派党员干部职工120余人次到“双报到”社区开展防疫志愿活动。</w:t>
      </w:r>
    </w:p>
    <w:p>
      <w:pPr>
        <w:spacing w:line="576" w:lineRule="exact"/>
        <w:ind w:firstLine="640" w:firstLineChars="200"/>
        <w:rPr>
          <w:rFonts w:ascii="仿宋" w:hAnsi="仿宋" w:eastAsia="仿宋" w:cs="仿宋"/>
          <w:sz w:val="32"/>
          <w:szCs w:val="32"/>
        </w:rPr>
      </w:pPr>
      <w:r>
        <w:rPr>
          <w:rFonts w:hint="eastAsia" w:ascii="楷体" w:hAnsi="楷体" w:eastAsia="楷体" w:cs="楷体"/>
          <w:sz w:val="32"/>
          <w:szCs w:val="32"/>
        </w:rPr>
        <w:t>7.加强机关建设，全面从严治党纵深推进。</w:t>
      </w:r>
      <w:r>
        <w:rPr>
          <w:rFonts w:hint="eastAsia" w:ascii="仿宋" w:hAnsi="仿宋" w:eastAsia="仿宋" w:cs="仿宋"/>
          <w:sz w:val="32"/>
          <w:szCs w:val="32"/>
        </w:rPr>
        <w:t>一是不断加强党的政治建设。始终在思想上政治上行动上以习近平同志为核心的党中央保持高度一致，严格落实民主集中制，对“三重一大”等重大问题全部提交集体研究，民主决策，依法决策；二是加强基层党的建设。机关党委对下设支部进行业务指导16次，解决基层党组织建设中存在的问题3件，组织集中培训学习4次；三是加强党风廉政建设。切实履行“一岗双责”，把反腐倡廉理论列入到中心组学习内容，建立了股级以上干部廉政档案，着力提高党员干部廉洁意识；四是加强意识形态建设。建立意识形态工作分析研判机制，全年专题研究意识形态工作2次，对重大事件、重要情况、重要社情民意中的倾向性苗头性问题，有针对性地进行引导，作出工作安排，维护意识形态安全。</w:t>
      </w:r>
    </w:p>
    <w:p>
      <w:pPr>
        <w:pStyle w:val="3"/>
        <w:spacing w:before="0" w:after="0"/>
        <w:ind w:firstLine="640" w:firstLineChars="200"/>
        <w:rPr>
          <w:rStyle w:val="30"/>
          <w:rFonts w:ascii="黑体" w:hAnsi="黑体" w:eastAsia="黑体"/>
          <w:b w:val="0"/>
          <w:bCs w:val="0"/>
        </w:rPr>
      </w:pPr>
      <w:r>
        <w:rPr>
          <w:rFonts w:hint="eastAsia" w:ascii="黑体" w:eastAsia="黑体"/>
          <w:b w:val="0"/>
          <w:color w:val="000000"/>
        </w:rPr>
        <w:t>二、</w:t>
      </w:r>
      <w:r>
        <w:rPr>
          <w:rFonts w:hint="eastAsia" w:ascii="黑体" w:hAnsi="黑体" w:eastAsia="黑体"/>
          <w:b w:val="0"/>
          <w:color w:val="000000"/>
        </w:rPr>
        <w:t>机</w:t>
      </w:r>
      <w:r>
        <w:rPr>
          <w:rStyle w:val="30"/>
          <w:rFonts w:hint="eastAsia" w:ascii="黑体" w:hAnsi="黑体" w:eastAsia="黑体"/>
          <w:b w:val="0"/>
          <w:bCs w:val="0"/>
        </w:rPr>
        <w:t>构设置</w:t>
      </w:r>
      <w:bookmarkEnd w:id="20"/>
      <w:bookmarkEnd w:id="21"/>
    </w:p>
    <w:p>
      <w:pPr>
        <w:pStyle w:val="3"/>
        <w:spacing w:before="0" w:after="0" w:line="576" w:lineRule="exact"/>
        <w:ind w:firstLine="640" w:firstLineChars="200"/>
        <w:rPr>
          <w:rFonts w:ascii="仿宋" w:hAnsi="仿宋" w:eastAsia="仿宋" w:cs="Times New Roman"/>
          <w:b w:val="0"/>
          <w:bCs w:val="0"/>
          <w:color w:val="000000"/>
        </w:rPr>
      </w:pPr>
      <w:r>
        <w:rPr>
          <w:rFonts w:hint="eastAsia" w:ascii="仿宋" w:hAnsi="仿宋" w:eastAsia="仿宋" w:cs="Times New Roman"/>
          <w:b w:val="0"/>
          <w:bCs w:val="0"/>
          <w:color w:val="000000"/>
        </w:rPr>
        <w:t>本部门（单位）是参照公务员法管理的事业单位，属于1个独立的核算机构，有下属二级单位0个。</w:t>
      </w:r>
    </w:p>
    <w:p>
      <w:pPr>
        <w:pStyle w:val="2"/>
        <w:spacing w:before="0" w:after="0"/>
        <w:ind w:right="440"/>
        <w:jc w:val="right"/>
        <w:rPr>
          <w:rFonts w:ascii="黑体" w:hAnsi="黑体" w:eastAsia="黑体"/>
          <w:b w:val="0"/>
          <w:color w:val="000000"/>
        </w:rPr>
      </w:pPr>
      <w:bookmarkStart w:id="22" w:name="_Toc15396602"/>
      <w:bookmarkStart w:id="23" w:name="_Toc15377204"/>
    </w:p>
    <w:p>
      <w:pPr>
        <w:rPr>
          <w:rFonts w:ascii="黑体" w:hAnsi="黑体" w:eastAsia="黑体"/>
          <w:color w:val="000000"/>
        </w:rPr>
      </w:pPr>
    </w:p>
    <w:p>
      <w:pPr>
        <w:rPr>
          <w:rFonts w:ascii="黑体" w:hAnsi="黑体" w:eastAsia="黑体"/>
          <w:color w:val="000000"/>
        </w:rPr>
      </w:pPr>
    </w:p>
    <w:p>
      <w:pPr>
        <w:rPr>
          <w:rFonts w:ascii="黑体" w:hAnsi="黑体" w:eastAsia="黑体"/>
          <w:color w:val="000000"/>
        </w:rPr>
      </w:pPr>
    </w:p>
    <w:p>
      <w:pPr>
        <w:rPr>
          <w:rFonts w:ascii="黑体" w:hAnsi="黑体" w:eastAsia="黑体"/>
          <w:color w:val="000000"/>
        </w:rPr>
      </w:pPr>
    </w:p>
    <w:p>
      <w:pPr>
        <w:rPr>
          <w:rFonts w:ascii="黑体" w:hAnsi="黑体" w:eastAsia="黑体"/>
          <w:color w:val="000000"/>
        </w:rPr>
      </w:pPr>
    </w:p>
    <w:p>
      <w:pPr>
        <w:rPr>
          <w:rFonts w:ascii="黑体" w:hAnsi="黑体" w:eastAsia="黑体"/>
          <w:color w:val="000000"/>
        </w:rPr>
      </w:pPr>
    </w:p>
    <w:p>
      <w:pPr>
        <w:rPr>
          <w:rFonts w:ascii="黑体" w:hAnsi="黑体" w:eastAsia="黑体"/>
          <w:color w:val="000000"/>
        </w:rPr>
      </w:pPr>
    </w:p>
    <w:p>
      <w:pPr>
        <w:rPr>
          <w:rFonts w:ascii="黑体" w:hAnsi="黑体" w:eastAsia="黑体"/>
          <w:color w:val="000000"/>
        </w:rPr>
      </w:pPr>
    </w:p>
    <w:p>
      <w:pPr>
        <w:rPr>
          <w:rFonts w:ascii="黑体" w:hAnsi="黑体" w:eastAsia="黑体"/>
          <w:color w:val="000000"/>
        </w:rPr>
      </w:pPr>
    </w:p>
    <w:p>
      <w:pPr>
        <w:rPr>
          <w:rFonts w:ascii="黑体" w:hAnsi="黑体" w:eastAsia="黑体"/>
          <w:color w:val="000000"/>
        </w:rPr>
      </w:pPr>
    </w:p>
    <w:p>
      <w:pPr>
        <w:rPr>
          <w:rFonts w:ascii="黑体" w:hAnsi="黑体" w:eastAsia="黑体"/>
          <w:color w:val="000000"/>
        </w:rPr>
      </w:pPr>
    </w:p>
    <w:p>
      <w:pPr>
        <w:rPr>
          <w:rFonts w:ascii="黑体" w:hAnsi="黑体" w:eastAsia="黑体"/>
          <w:color w:val="000000"/>
        </w:rPr>
      </w:pPr>
    </w:p>
    <w:p>
      <w:pPr>
        <w:rPr>
          <w:rFonts w:ascii="黑体" w:hAnsi="黑体" w:eastAsia="黑体"/>
          <w:color w:val="000000"/>
        </w:rPr>
      </w:pPr>
    </w:p>
    <w:p>
      <w:pPr>
        <w:rPr>
          <w:rFonts w:ascii="黑体" w:hAnsi="黑体" w:eastAsia="黑体"/>
          <w:color w:val="000000"/>
        </w:rPr>
      </w:pPr>
    </w:p>
    <w:p>
      <w:pPr>
        <w:rPr>
          <w:rFonts w:ascii="黑体" w:hAnsi="黑体" w:eastAsia="黑体"/>
          <w:color w:val="000000"/>
        </w:rPr>
      </w:pPr>
    </w:p>
    <w:p>
      <w:pPr>
        <w:rPr>
          <w:rFonts w:ascii="黑体" w:hAnsi="黑体" w:eastAsia="黑体"/>
          <w:color w:val="000000"/>
        </w:rPr>
      </w:pPr>
    </w:p>
    <w:p>
      <w:pPr>
        <w:rPr>
          <w:rFonts w:ascii="黑体" w:hAnsi="黑体" w:eastAsia="黑体"/>
          <w:color w:val="000000"/>
        </w:rPr>
      </w:pPr>
    </w:p>
    <w:p>
      <w:pPr>
        <w:pStyle w:val="2"/>
        <w:spacing w:before="0" w:after="0" w:line="576" w:lineRule="exact"/>
        <w:ind w:right="440"/>
        <w:jc w:val="right"/>
        <w:rPr>
          <w:rStyle w:val="29"/>
          <w:rFonts w:ascii="黑体" w:hAnsi="黑体" w:eastAsia="黑体"/>
          <w:b w:val="0"/>
          <w:bCs w:val="0"/>
        </w:rPr>
      </w:pPr>
      <w:r>
        <w:rPr>
          <w:rFonts w:hint="eastAsia" w:ascii="黑体" w:hAnsi="黑体" w:eastAsia="黑体"/>
          <w:b w:val="0"/>
          <w:color w:val="000000"/>
        </w:rPr>
        <w:t>第二部分</w:t>
      </w:r>
      <w:r>
        <w:rPr>
          <w:rStyle w:val="29"/>
          <w:rFonts w:hint="eastAsia" w:ascii="黑体" w:hAnsi="黑体" w:eastAsia="黑体"/>
          <w:b w:val="0"/>
          <w:bCs w:val="0"/>
        </w:rPr>
        <w:t>2020年度部门决算情况说明</w:t>
      </w:r>
      <w:bookmarkEnd w:id="22"/>
      <w:bookmarkEnd w:id="23"/>
    </w:p>
    <w:p>
      <w:pPr>
        <w:spacing w:line="576" w:lineRule="exact"/>
      </w:pPr>
    </w:p>
    <w:p>
      <w:pPr>
        <w:pStyle w:val="28"/>
        <w:spacing w:line="576" w:lineRule="exact"/>
        <w:ind w:left="640" w:firstLine="0" w:firstLineChars="0"/>
        <w:outlineLvl w:val="1"/>
        <w:rPr>
          <w:rStyle w:val="30"/>
          <w:rFonts w:ascii="黑体" w:hAnsi="黑体" w:eastAsia="黑体"/>
          <w:b w:val="0"/>
        </w:rPr>
      </w:pPr>
      <w:bookmarkStart w:id="24" w:name="_Toc15377205"/>
      <w:bookmarkStart w:id="25" w:name="_Toc15396603"/>
      <w:r>
        <w:rPr>
          <w:rFonts w:hint="eastAsia" w:ascii="黑体" w:hAnsi="黑体" w:eastAsia="黑体"/>
          <w:color w:val="000000"/>
          <w:sz w:val="32"/>
          <w:szCs w:val="32"/>
        </w:rPr>
        <w:t>一、收</w:t>
      </w:r>
      <w:r>
        <w:rPr>
          <w:rStyle w:val="30"/>
          <w:rFonts w:hint="eastAsia" w:ascii="黑体" w:hAnsi="黑体" w:eastAsia="黑体"/>
          <w:b w:val="0"/>
        </w:rPr>
        <w:t>入支出决算总体情况说明</w:t>
      </w:r>
      <w:bookmarkEnd w:id="24"/>
      <w:bookmarkEnd w:id="25"/>
    </w:p>
    <w:p>
      <w:pPr>
        <w:spacing w:line="576"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2020年度收入总计347.60万元，支出总计320.28万元。与2019年相比，收入增加84.41万元，上升32.07%，主要变动是财政拨款增加；支出增加8.6万元，上升2.76%，主要变动原因是基本支出增加。</w:t>
      </w:r>
    </w:p>
    <w:p>
      <w:pPr>
        <w:spacing w:line="240" w:lineRule="atLeast"/>
        <w:jc w:val="center"/>
        <w:rPr>
          <w:rFonts w:ascii="仿宋_GB2312" w:eastAsia="仿宋_GB2312"/>
          <w:color w:val="000000"/>
          <w:sz w:val="32"/>
          <w:szCs w:val="32"/>
        </w:rPr>
      </w:pPr>
      <w:r>
        <w:rPr>
          <w:rFonts w:hint="eastAsia" w:ascii="仿宋_GB2312" w:eastAsia="仿宋_GB2312"/>
          <w:color w:val="000000"/>
          <w:sz w:val="32"/>
          <w:szCs w:val="32"/>
        </w:rPr>
        <w:drawing>
          <wp:inline distT="0" distB="0" distL="114300" distR="114300">
            <wp:extent cx="4786630" cy="2771775"/>
            <wp:effectExtent l="19050" t="0" r="1397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576" w:lineRule="exact"/>
        <w:jc w:val="center"/>
        <w:rPr>
          <w:rFonts w:ascii="楷体" w:hAnsi="楷体" w:eastAsia="楷体" w:cs="楷体"/>
          <w:color w:val="000000" w:themeColor="text1"/>
          <w:sz w:val="28"/>
          <w:szCs w:val="28"/>
        </w:rPr>
      </w:pPr>
      <w:r>
        <w:rPr>
          <w:rFonts w:hint="eastAsia" w:ascii="楷体" w:hAnsi="楷体" w:eastAsia="楷体" w:cs="楷体"/>
          <w:color w:val="000000" w:themeColor="text1"/>
          <w:sz w:val="28"/>
          <w:szCs w:val="28"/>
        </w:rPr>
        <w:t>图1：收、支决算总计变动情况图</w:t>
      </w:r>
    </w:p>
    <w:p>
      <w:pPr>
        <w:pStyle w:val="28"/>
        <w:spacing w:line="576" w:lineRule="exact"/>
        <w:ind w:firstLine="640"/>
        <w:outlineLvl w:val="1"/>
        <w:rPr>
          <w:rStyle w:val="30"/>
          <w:rFonts w:ascii="黑体" w:hAnsi="黑体" w:eastAsia="黑体"/>
          <w:b w:val="0"/>
        </w:rPr>
      </w:pPr>
      <w:bookmarkStart w:id="26" w:name="_Toc15396604"/>
      <w:bookmarkStart w:id="27" w:name="_Toc15377206"/>
      <w:r>
        <w:rPr>
          <w:rFonts w:hint="eastAsia" w:ascii="黑体" w:hAnsi="黑体" w:eastAsia="黑体"/>
          <w:color w:val="000000"/>
          <w:sz w:val="32"/>
          <w:szCs w:val="32"/>
        </w:rPr>
        <w:t>二、收</w:t>
      </w:r>
      <w:r>
        <w:rPr>
          <w:rStyle w:val="30"/>
          <w:rFonts w:hint="eastAsia" w:ascii="黑体" w:hAnsi="黑体" w:eastAsia="黑体"/>
          <w:b w:val="0"/>
        </w:rPr>
        <w:t>入决算情况说明</w:t>
      </w:r>
      <w:bookmarkEnd w:id="26"/>
      <w:bookmarkEnd w:id="27"/>
    </w:p>
    <w:p>
      <w:pPr>
        <w:spacing w:line="576"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2020年本年收入合计347.6万元，其中：一般公共预算财政拨款收入347.6万元，占100%；政府性基金预算财政拨款收入0万元，占0%；上级补助收入0万元，占0%；事业收入0万元，占0%；经营收入0万元，占0%；附属单位上缴收入0万元，占0%；其他收入0万元，占0%。</w:t>
      </w:r>
    </w:p>
    <w:p>
      <w:pPr>
        <w:spacing w:line="240" w:lineRule="atLeast"/>
        <w:jc w:val="center"/>
        <w:rPr>
          <w:rFonts w:ascii="仿宋" w:hAnsi="仿宋" w:eastAsia="仿宋"/>
          <w:color w:val="C0504D" w:themeColor="accent2"/>
          <w:sz w:val="32"/>
          <w:szCs w:val="32"/>
        </w:rPr>
      </w:pPr>
      <w:r>
        <w:rPr>
          <w:rFonts w:hint="eastAsia" w:ascii="仿宋" w:hAnsi="仿宋" w:eastAsia="仿宋"/>
          <w:color w:val="C0504D" w:themeColor="accent2"/>
          <w:sz w:val="32"/>
          <w:szCs w:val="32"/>
        </w:rPr>
        <w:drawing>
          <wp:inline distT="0" distB="0" distL="114300" distR="114300">
            <wp:extent cx="4422775" cy="2830195"/>
            <wp:effectExtent l="19050" t="0" r="15875" b="825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576" w:lineRule="exact"/>
        <w:jc w:val="center"/>
        <w:rPr>
          <w:rFonts w:ascii="楷体" w:hAnsi="楷体" w:eastAsia="楷体" w:cs="楷体"/>
          <w:color w:val="000000" w:themeColor="text1"/>
          <w:sz w:val="28"/>
          <w:szCs w:val="28"/>
        </w:rPr>
      </w:pPr>
      <w:r>
        <w:rPr>
          <w:rFonts w:hint="eastAsia" w:ascii="楷体" w:hAnsi="楷体" w:eastAsia="楷体" w:cs="楷体"/>
          <w:color w:val="000000" w:themeColor="text1"/>
          <w:sz w:val="28"/>
          <w:szCs w:val="28"/>
        </w:rPr>
        <w:t>图2：收入决算结构图</w:t>
      </w:r>
    </w:p>
    <w:p>
      <w:pPr>
        <w:pStyle w:val="28"/>
        <w:spacing w:line="576" w:lineRule="exact"/>
        <w:ind w:left="640" w:firstLine="0" w:firstLineChars="0"/>
        <w:outlineLvl w:val="1"/>
        <w:rPr>
          <w:rStyle w:val="30"/>
          <w:rFonts w:ascii="黑体" w:hAnsi="黑体" w:eastAsia="黑体"/>
          <w:b w:val="0"/>
        </w:rPr>
      </w:pPr>
      <w:bookmarkStart w:id="28" w:name="_Toc15377207"/>
      <w:bookmarkStart w:id="29" w:name="_Toc15396605"/>
      <w:r>
        <w:rPr>
          <w:rFonts w:hint="eastAsia" w:ascii="黑体" w:hAnsi="黑体" w:eastAsia="黑体"/>
          <w:color w:val="000000"/>
          <w:sz w:val="32"/>
          <w:szCs w:val="32"/>
        </w:rPr>
        <w:t>三、支</w:t>
      </w:r>
      <w:r>
        <w:rPr>
          <w:rStyle w:val="30"/>
          <w:rFonts w:hint="eastAsia" w:ascii="黑体" w:hAnsi="黑体" w:eastAsia="黑体"/>
          <w:b w:val="0"/>
        </w:rPr>
        <w:t>出决算情况说明</w:t>
      </w:r>
      <w:bookmarkEnd w:id="28"/>
      <w:bookmarkEnd w:id="29"/>
    </w:p>
    <w:p>
      <w:pPr>
        <w:spacing w:line="576"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2020年本年支出合计320.28万元，其中：基本支出302.23万元，占94.36%；项目支出18.05万元，占5.64%；上缴上级支出0万元，占0%；经营支出0万元，占0%。</w:t>
      </w:r>
    </w:p>
    <w:p>
      <w:pPr>
        <w:spacing w:line="240" w:lineRule="atLeast"/>
        <w:jc w:val="center"/>
        <w:rPr>
          <w:rFonts w:ascii="仿宋" w:hAnsi="仿宋" w:eastAsia="仿宋"/>
          <w:color w:val="C0504D" w:themeColor="accent2"/>
          <w:sz w:val="32"/>
          <w:szCs w:val="32"/>
        </w:rPr>
      </w:pPr>
      <w:r>
        <w:rPr>
          <w:rFonts w:hint="eastAsia" w:ascii="仿宋" w:hAnsi="仿宋" w:eastAsia="仿宋"/>
          <w:color w:val="C0504D" w:themeColor="accent2"/>
          <w:sz w:val="32"/>
          <w:szCs w:val="32"/>
        </w:rPr>
        <w:drawing>
          <wp:inline distT="0" distB="0" distL="114300" distR="114300">
            <wp:extent cx="4382770" cy="2733040"/>
            <wp:effectExtent l="19050" t="0" r="1778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576" w:lineRule="exact"/>
        <w:jc w:val="center"/>
        <w:rPr>
          <w:rFonts w:ascii="楷体" w:hAnsi="楷体" w:eastAsia="楷体" w:cs="楷体"/>
          <w:color w:val="000000" w:themeColor="text1"/>
          <w:sz w:val="28"/>
          <w:szCs w:val="28"/>
        </w:rPr>
      </w:pPr>
      <w:r>
        <w:rPr>
          <w:rFonts w:hint="eastAsia" w:ascii="楷体" w:hAnsi="楷体" w:eastAsia="楷体" w:cs="楷体"/>
          <w:color w:val="000000" w:themeColor="text1"/>
          <w:sz w:val="28"/>
          <w:szCs w:val="28"/>
        </w:rPr>
        <w:t>图3：支出决算结构图</w:t>
      </w:r>
    </w:p>
    <w:p>
      <w:pPr>
        <w:spacing w:line="576" w:lineRule="exact"/>
        <w:ind w:firstLine="640" w:firstLineChars="200"/>
        <w:outlineLvl w:val="1"/>
        <w:rPr>
          <w:rStyle w:val="30"/>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30"/>
          <w:rFonts w:hint="eastAsia" w:ascii="黑体" w:hAnsi="黑体" w:eastAsia="黑体"/>
          <w:b w:val="0"/>
        </w:rPr>
        <w:t>政拨款收入支出决算总体情况说明</w:t>
      </w:r>
      <w:bookmarkEnd w:id="30"/>
      <w:bookmarkEnd w:id="31"/>
    </w:p>
    <w:p>
      <w:pPr>
        <w:spacing w:line="576"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2020年财政拨款收入总计347.6万元，支出总计320.28万元。与2019年相比，财政拨款收入总计增加84.41万元，增加了32.07%，主要变动原因是2020年财政收入增加；财政拨款支出总计增加8.6万元，增加了2.76%。主要变动原因是2020年基本支出增加。</w:t>
      </w:r>
    </w:p>
    <w:p>
      <w:pPr>
        <w:spacing w:line="240" w:lineRule="atLeast"/>
        <w:jc w:val="center"/>
        <w:rPr>
          <w:rFonts w:ascii="仿宋_GB2312" w:eastAsia="仿宋_GB2312"/>
          <w:color w:val="000000"/>
          <w:sz w:val="32"/>
          <w:szCs w:val="32"/>
        </w:rPr>
      </w:pPr>
      <w:r>
        <w:rPr>
          <w:rFonts w:hint="eastAsia" w:ascii="仿宋_GB2312" w:eastAsia="仿宋_GB2312"/>
          <w:color w:val="000000"/>
          <w:sz w:val="32"/>
          <w:szCs w:val="32"/>
        </w:rPr>
        <w:drawing>
          <wp:inline distT="0" distB="0" distL="114300" distR="114300">
            <wp:extent cx="5252085" cy="3523615"/>
            <wp:effectExtent l="19050" t="0" r="24765" b="63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576" w:lineRule="exact"/>
        <w:jc w:val="center"/>
        <w:rPr>
          <w:rFonts w:ascii="楷体" w:hAnsi="楷体" w:eastAsia="楷体" w:cs="楷体"/>
          <w:color w:val="000000" w:themeColor="text1"/>
          <w:sz w:val="28"/>
          <w:szCs w:val="28"/>
        </w:rPr>
      </w:pPr>
      <w:r>
        <w:rPr>
          <w:rFonts w:hint="eastAsia" w:ascii="楷体" w:hAnsi="楷体" w:eastAsia="楷体" w:cs="楷体"/>
          <w:color w:val="000000" w:themeColor="text1"/>
          <w:sz w:val="28"/>
          <w:szCs w:val="28"/>
        </w:rPr>
        <w:t>图4：财政拨款收、支决算总计变动情况图</w:t>
      </w:r>
    </w:p>
    <w:p>
      <w:pPr>
        <w:spacing w:line="576" w:lineRule="exact"/>
        <w:ind w:firstLine="640" w:firstLineChars="200"/>
        <w:outlineLvl w:val="1"/>
        <w:rPr>
          <w:rStyle w:val="30"/>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30"/>
          <w:rFonts w:hint="eastAsia" w:ascii="黑体" w:hAnsi="黑体" w:eastAsia="黑体"/>
          <w:b w:val="0"/>
        </w:rPr>
        <w:t>般公共预算财政拨款支出决算情况说明</w:t>
      </w:r>
      <w:bookmarkEnd w:id="32"/>
      <w:bookmarkEnd w:id="33"/>
    </w:p>
    <w:p>
      <w:pPr>
        <w:spacing w:line="576"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576"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2020年一般公共预算财政拨款支出320.28万元，占本年支出合计的100%。与2019年相比，一般公共预算财政拨款增加8.6万元，增长2.76%。主要变动原因是基本支出增加。</w:t>
      </w:r>
    </w:p>
    <w:p>
      <w:pPr>
        <w:spacing w:line="240" w:lineRule="atLeast"/>
        <w:jc w:val="center"/>
        <w:rPr>
          <w:rFonts w:ascii="仿宋_GB2312" w:eastAsia="仿宋_GB2312"/>
          <w:color w:val="000000"/>
          <w:sz w:val="32"/>
          <w:szCs w:val="32"/>
        </w:rPr>
      </w:pPr>
      <w:r>
        <w:rPr>
          <w:rFonts w:hint="eastAsia" w:ascii="仿宋_GB2312" w:eastAsia="仿宋_GB2312"/>
          <w:color w:val="000000"/>
          <w:sz w:val="32"/>
          <w:szCs w:val="32"/>
        </w:rPr>
        <w:drawing>
          <wp:inline distT="0" distB="0" distL="114300" distR="114300">
            <wp:extent cx="5070475" cy="2421890"/>
            <wp:effectExtent l="4445" t="4445" r="11430" b="1206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576" w:lineRule="exact"/>
        <w:jc w:val="center"/>
        <w:rPr>
          <w:rFonts w:ascii="楷体" w:hAnsi="楷体" w:eastAsia="楷体" w:cs="楷体"/>
          <w:color w:val="000000" w:themeColor="text1"/>
          <w:sz w:val="28"/>
          <w:szCs w:val="28"/>
        </w:rPr>
      </w:pPr>
      <w:r>
        <w:rPr>
          <w:rFonts w:hint="eastAsia" w:ascii="楷体" w:hAnsi="楷体" w:eastAsia="楷体" w:cs="楷体"/>
          <w:color w:val="000000" w:themeColor="text1"/>
          <w:sz w:val="28"/>
          <w:szCs w:val="28"/>
        </w:rPr>
        <w:t>图5：一般公共预算财政拨款支出决算变动情况图</w:t>
      </w:r>
    </w:p>
    <w:p>
      <w:pPr>
        <w:spacing w:line="576"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576" w:lineRule="exact"/>
        <w:ind w:firstLine="640" w:firstLineChars="200"/>
        <w:rPr>
          <w:rFonts w:ascii="仿宋" w:hAnsi="仿宋" w:eastAsia="仿宋"/>
          <w:sz w:val="32"/>
          <w:szCs w:val="32"/>
        </w:rPr>
      </w:pPr>
      <w:r>
        <w:rPr>
          <w:rFonts w:hint="eastAsia" w:ascii="仿宋" w:hAnsi="仿宋" w:eastAsia="仿宋"/>
          <w:sz w:val="32"/>
          <w:szCs w:val="32"/>
        </w:rPr>
        <w:t>2020年一般公共预算财政拨款支出320.28万元，主要用于以下方面</w:t>
      </w:r>
      <w:r>
        <w:rPr>
          <w:rFonts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sz w:val="32"/>
          <w:szCs w:val="32"/>
        </w:rPr>
        <w:t>支出17.89万元，占5.58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10.12万元，占3.16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w:t>
      </w:r>
      <w:r>
        <w:rPr>
          <w:rFonts w:hint="eastAsia" w:ascii="仿宋" w:hAnsi="仿宋" w:eastAsia="仿宋"/>
          <w:sz w:val="32"/>
          <w:szCs w:val="32"/>
        </w:rPr>
        <w:t>支出12.70万元，占3.97</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节能环保</w:t>
      </w:r>
      <w:r>
        <w:rPr>
          <w:rFonts w:hint="eastAsia" w:ascii="仿宋" w:hAnsi="仿宋" w:eastAsia="仿宋"/>
          <w:sz w:val="32"/>
          <w:szCs w:val="32"/>
        </w:rPr>
        <w:t>支出9.55万元，占2.98%；</w:t>
      </w:r>
      <w:r>
        <w:rPr>
          <w:rFonts w:hint="eastAsia" w:ascii="仿宋" w:hAnsi="仿宋" w:eastAsia="仿宋"/>
          <w:b/>
          <w:bCs/>
          <w:sz w:val="32"/>
          <w:szCs w:val="32"/>
        </w:rPr>
        <w:t>农林水支出</w:t>
      </w:r>
      <w:r>
        <w:rPr>
          <w:rFonts w:hint="eastAsia" w:ascii="仿宋" w:hAnsi="仿宋" w:eastAsia="仿宋"/>
          <w:sz w:val="32"/>
          <w:szCs w:val="32"/>
        </w:rPr>
        <w:t>支出0.5万元，占0.16%；</w:t>
      </w:r>
      <w:r>
        <w:rPr>
          <w:rFonts w:hint="eastAsia" w:ascii="仿宋" w:hAnsi="仿宋" w:eastAsia="仿宋"/>
          <w:b/>
          <w:bCs/>
          <w:sz w:val="32"/>
          <w:szCs w:val="32"/>
        </w:rPr>
        <w:t>商业服务业等支出</w:t>
      </w:r>
      <w:r>
        <w:rPr>
          <w:rFonts w:hint="eastAsia" w:ascii="仿宋" w:hAnsi="仿宋" w:eastAsia="仿宋"/>
          <w:sz w:val="32"/>
          <w:szCs w:val="32"/>
        </w:rPr>
        <w:t>269.52万元，占84.15%。</w:t>
      </w:r>
    </w:p>
    <w:p>
      <w:pPr>
        <w:spacing w:line="240" w:lineRule="atLeast"/>
        <w:jc w:val="center"/>
        <w:rPr>
          <w:rFonts w:ascii="仿宋" w:hAnsi="仿宋" w:eastAsia="仿宋"/>
          <w:color w:val="C0504D" w:themeColor="accent2"/>
          <w:sz w:val="32"/>
          <w:szCs w:val="32"/>
        </w:rPr>
      </w:pPr>
      <w:r>
        <w:rPr>
          <w:rFonts w:hint="eastAsia" w:ascii="仿宋" w:hAnsi="仿宋" w:eastAsia="仿宋"/>
          <w:color w:val="C0504D" w:themeColor="accent2"/>
          <w:sz w:val="32"/>
          <w:szCs w:val="32"/>
        </w:rPr>
        <w:drawing>
          <wp:inline distT="0" distB="0" distL="114300" distR="114300">
            <wp:extent cx="4989830" cy="2588260"/>
            <wp:effectExtent l="4445" t="4445" r="15875" b="17145"/>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576" w:lineRule="exact"/>
        <w:jc w:val="center"/>
        <w:rPr>
          <w:rFonts w:ascii="楷体" w:hAnsi="楷体" w:eastAsia="楷体" w:cs="楷体"/>
          <w:color w:val="000000" w:themeColor="text1"/>
          <w:sz w:val="28"/>
          <w:szCs w:val="28"/>
        </w:rPr>
      </w:pPr>
      <w:r>
        <w:rPr>
          <w:rFonts w:hint="eastAsia" w:ascii="楷体" w:hAnsi="楷体" w:eastAsia="楷体" w:cs="楷体"/>
          <w:color w:val="000000" w:themeColor="text1"/>
          <w:sz w:val="28"/>
          <w:szCs w:val="28"/>
        </w:rPr>
        <w:t>图6：一般公共预算财政拨款支出决算结构</w:t>
      </w:r>
    </w:p>
    <w:p>
      <w:pPr>
        <w:spacing w:line="576"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576" w:lineRule="exact"/>
        <w:ind w:firstLine="643" w:firstLineChars="200"/>
        <w:rPr>
          <w:rStyle w:val="17"/>
          <w:rFonts w:hint="eastAsia" w:ascii="仿宋" w:hAnsi="仿宋" w:eastAsia="仿宋"/>
          <w:bCs/>
          <w:sz w:val="32"/>
          <w:szCs w:val="32"/>
        </w:rPr>
      </w:pPr>
      <w:bookmarkStart w:id="37" w:name="_Toc15378460"/>
      <w:bookmarkStart w:id="38" w:name="_Toc15377213"/>
      <w:bookmarkStart w:id="39" w:name="_Toc15377444"/>
      <w:r>
        <w:rPr>
          <w:rFonts w:hint="eastAsia" w:ascii="仿宋" w:hAnsi="仿宋" w:eastAsia="仿宋"/>
          <w:b/>
          <w:sz w:val="32"/>
          <w:szCs w:val="32"/>
        </w:rPr>
        <w:t>2020年一般公共预算支出决算数为320.28</w:t>
      </w:r>
      <w:r>
        <w:rPr>
          <w:rFonts w:hint="eastAsia" w:ascii="仿宋" w:hAnsi="仿宋" w:eastAsia="仿宋"/>
          <w:sz w:val="32"/>
          <w:szCs w:val="32"/>
        </w:rPr>
        <w:t>，</w:t>
      </w:r>
      <w:r>
        <w:rPr>
          <w:rStyle w:val="17"/>
          <w:rFonts w:hint="eastAsia" w:ascii="仿宋" w:hAnsi="仿宋" w:eastAsia="仿宋"/>
          <w:bCs/>
          <w:sz w:val="32"/>
          <w:szCs w:val="32"/>
        </w:rPr>
        <w:t>完成预算100</w:t>
      </w:r>
      <w:r>
        <w:rPr>
          <w:rStyle w:val="17"/>
          <w:rFonts w:ascii="仿宋" w:hAnsi="仿宋" w:eastAsia="仿宋"/>
          <w:bCs/>
          <w:sz w:val="32"/>
          <w:szCs w:val="32"/>
        </w:rPr>
        <w:t>%</w:t>
      </w:r>
      <w:r>
        <w:rPr>
          <w:rStyle w:val="17"/>
          <w:rFonts w:hint="eastAsia" w:ascii="仿宋" w:hAnsi="仿宋" w:eastAsia="仿宋"/>
          <w:bCs/>
          <w:sz w:val="32"/>
          <w:szCs w:val="32"/>
        </w:rPr>
        <w:t>。其中：</w:t>
      </w:r>
      <w:bookmarkEnd w:id="37"/>
      <w:bookmarkEnd w:id="38"/>
      <w:bookmarkEnd w:id="39"/>
    </w:p>
    <w:p>
      <w:pPr>
        <w:spacing w:line="576" w:lineRule="exact"/>
        <w:ind w:firstLine="643" w:firstLineChars="200"/>
        <w:rPr>
          <w:rStyle w:val="17"/>
          <w:rFonts w:ascii="仿宋" w:hAnsi="仿宋" w:eastAsia="仿宋"/>
          <w:b w:val="0"/>
          <w:color w:val="auto"/>
          <w:sz w:val="32"/>
          <w:szCs w:val="32"/>
        </w:rPr>
      </w:pPr>
      <w:r>
        <w:rPr>
          <w:rStyle w:val="17"/>
          <w:rFonts w:hint="eastAsia" w:ascii="仿宋" w:hAnsi="仿宋" w:eastAsia="仿宋"/>
          <w:bCs/>
          <w:color w:val="auto"/>
          <w:sz w:val="32"/>
          <w:szCs w:val="32"/>
        </w:rPr>
        <w:t xml:space="preserve">1.社会保障和就业支出（类）行政事业单位养老支出（款）机关事业单位基本养老保险缴费支出（项）: </w:t>
      </w:r>
      <w:r>
        <w:rPr>
          <w:rStyle w:val="17"/>
          <w:rFonts w:hint="eastAsia" w:ascii="仿宋" w:hAnsi="仿宋" w:eastAsia="仿宋"/>
          <w:b w:val="0"/>
          <w:color w:val="auto"/>
          <w:sz w:val="32"/>
          <w:szCs w:val="32"/>
        </w:rPr>
        <w:t>支出决算为17.80万元，完成预算100</w:t>
      </w:r>
      <w:r>
        <w:rPr>
          <w:rStyle w:val="17"/>
          <w:rFonts w:ascii="仿宋" w:hAnsi="仿宋" w:eastAsia="仿宋"/>
          <w:b w:val="0"/>
          <w:color w:val="auto"/>
          <w:sz w:val="32"/>
          <w:szCs w:val="32"/>
        </w:rPr>
        <w:t>%</w:t>
      </w:r>
      <w:r>
        <w:rPr>
          <w:rStyle w:val="17"/>
          <w:rFonts w:hint="eastAsia" w:ascii="仿宋" w:hAnsi="仿宋" w:eastAsia="仿宋"/>
          <w:b w:val="0"/>
          <w:color w:val="auto"/>
          <w:sz w:val="32"/>
          <w:szCs w:val="32"/>
        </w:rPr>
        <w:t>；</w:t>
      </w:r>
      <w:r>
        <w:rPr>
          <w:rStyle w:val="17"/>
          <w:rFonts w:hint="eastAsia" w:ascii="仿宋" w:hAnsi="仿宋" w:eastAsia="仿宋"/>
          <w:bCs/>
          <w:color w:val="auto"/>
          <w:sz w:val="32"/>
          <w:szCs w:val="32"/>
        </w:rPr>
        <w:t>社会保障和就业支出（类）其他社会保障和就业支出（款）其他社会保障和就业支出（项）:</w:t>
      </w:r>
      <w:r>
        <w:rPr>
          <w:rStyle w:val="17"/>
          <w:rFonts w:hint="eastAsia" w:ascii="仿宋" w:hAnsi="仿宋" w:eastAsia="仿宋"/>
          <w:b w:val="0"/>
          <w:color w:val="auto"/>
          <w:sz w:val="32"/>
          <w:szCs w:val="32"/>
        </w:rPr>
        <w:t>支出决算为0.09万元，完成预算100%。</w:t>
      </w:r>
    </w:p>
    <w:p>
      <w:pPr>
        <w:spacing w:line="576" w:lineRule="exact"/>
        <w:ind w:firstLine="643" w:firstLineChars="200"/>
        <w:rPr>
          <w:rFonts w:ascii="仿宋" w:hAnsi="仿宋" w:eastAsia="仿宋"/>
          <w:color w:val="auto"/>
          <w:sz w:val="32"/>
          <w:szCs w:val="32"/>
        </w:rPr>
      </w:pPr>
      <w:r>
        <w:rPr>
          <w:rStyle w:val="17"/>
          <w:rFonts w:hint="eastAsia" w:ascii="仿宋" w:hAnsi="仿宋" w:eastAsia="仿宋"/>
          <w:bCs/>
          <w:color w:val="auto"/>
          <w:sz w:val="32"/>
          <w:szCs w:val="32"/>
        </w:rPr>
        <w:t>2.卫生健康支出（类）行政事业单位医疗（款）事业单位医疗（项）:</w:t>
      </w:r>
      <w:r>
        <w:rPr>
          <w:rStyle w:val="17"/>
          <w:rFonts w:hint="eastAsia" w:ascii="仿宋" w:hAnsi="仿宋" w:eastAsia="仿宋"/>
          <w:b w:val="0"/>
          <w:color w:val="auto"/>
          <w:sz w:val="32"/>
          <w:szCs w:val="32"/>
        </w:rPr>
        <w:t>支出决算为10.12万元，完成预算100</w:t>
      </w:r>
      <w:r>
        <w:rPr>
          <w:rStyle w:val="17"/>
          <w:rFonts w:ascii="仿宋" w:hAnsi="仿宋" w:eastAsia="仿宋"/>
          <w:b w:val="0"/>
          <w:color w:val="auto"/>
          <w:sz w:val="32"/>
          <w:szCs w:val="32"/>
        </w:rPr>
        <w:t>%</w:t>
      </w:r>
      <w:r>
        <w:rPr>
          <w:rStyle w:val="17"/>
          <w:rFonts w:hint="eastAsia" w:ascii="仿宋" w:hAnsi="仿宋" w:eastAsia="仿宋"/>
          <w:b w:val="0"/>
          <w:color w:val="auto"/>
          <w:sz w:val="32"/>
          <w:szCs w:val="32"/>
        </w:rPr>
        <w:t>。</w:t>
      </w:r>
    </w:p>
    <w:p>
      <w:pPr>
        <w:spacing w:line="576" w:lineRule="exact"/>
        <w:ind w:firstLine="643" w:firstLineChars="200"/>
        <w:rPr>
          <w:rStyle w:val="17"/>
          <w:rFonts w:ascii="仿宋" w:hAnsi="仿宋" w:eastAsia="仿宋"/>
          <w:b w:val="0"/>
          <w:color w:val="auto"/>
          <w:sz w:val="32"/>
          <w:szCs w:val="32"/>
        </w:rPr>
      </w:pPr>
      <w:r>
        <w:rPr>
          <w:rStyle w:val="17"/>
          <w:rFonts w:hint="eastAsia" w:ascii="仿宋" w:hAnsi="仿宋" w:eastAsia="仿宋"/>
          <w:bCs/>
          <w:color w:val="auto"/>
          <w:sz w:val="32"/>
          <w:szCs w:val="32"/>
        </w:rPr>
        <w:t xml:space="preserve">3.节能环保支出（类）污染防治（款）固体废弃物与化学品（项）: </w:t>
      </w:r>
      <w:r>
        <w:rPr>
          <w:rStyle w:val="17"/>
          <w:rFonts w:hint="eastAsia" w:ascii="仿宋" w:hAnsi="仿宋" w:eastAsia="仿宋"/>
          <w:b w:val="0"/>
          <w:color w:val="auto"/>
          <w:sz w:val="32"/>
          <w:szCs w:val="32"/>
        </w:rPr>
        <w:t>支出决算为2.55万元，完成预算100</w:t>
      </w:r>
      <w:r>
        <w:rPr>
          <w:rStyle w:val="17"/>
          <w:rFonts w:ascii="仿宋" w:hAnsi="仿宋" w:eastAsia="仿宋"/>
          <w:b w:val="0"/>
          <w:color w:val="auto"/>
          <w:sz w:val="32"/>
          <w:szCs w:val="32"/>
        </w:rPr>
        <w:t>%</w:t>
      </w:r>
      <w:r>
        <w:rPr>
          <w:rStyle w:val="17"/>
          <w:rFonts w:hint="eastAsia" w:ascii="仿宋" w:hAnsi="仿宋" w:eastAsia="仿宋"/>
          <w:b w:val="0"/>
          <w:color w:val="auto"/>
          <w:sz w:val="32"/>
          <w:szCs w:val="32"/>
        </w:rPr>
        <w:t>；</w:t>
      </w:r>
      <w:r>
        <w:rPr>
          <w:rStyle w:val="17"/>
          <w:rFonts w:hint="eastAsia" w:ascii="仿宋" w:hAnsi="仿宋" w:eastAsia="仿宋"/>
          <w:bCs/>
          <w:color w:val="auto"/>
          <w:sz w:val="32"/>
          <w:szCs w:val="32"/>
        </w:rPr>
        <w:t xml:space="preserve">节能环保支出（类）循环经济（款）循环经济（项）: </w:t>
      </w:r>
      <w:r>
        <w:rPr>
          <w:rStyle w:val="17"/>
          <w:rFonts w:hint="eastAsia" w:ascii="仿宋" w:hAnsi="仿宋" w:eastAsia="仿宋"/>
          <w:b w:val="0"/>
          <w:color w:val="auto"/>
          <w:sz w:val="32"/>
          <w:szCs w:val="32"/>
        </w:rPr>
        <w:t>支出决算为7万元，完成预算100</w:t>
      </w:r>
      <w:r>
        <w:rPr>
          <w:rStyle w:val="17"/>
          <w:rFonts w:ascii="仿宋" w:hAnsi="仿宋" w:eastAsia="仿宋"/>
          <w:b w:val="0"/>
          <w:color w:val="auto"/>
          <w:sz w:val="32"/>
          <w:szCs w:val="32"/>
        </w:rPr>
        <w:t>%</w:t>
      </w:r>
      <w:r>
        <w:rPr>
          <w:rStyle w:val="17"/>
          <w:rFonts w:hint="eastAsia" w:ascii="仿宋" w:hAnsi="仿宋" w:eastAsia="仿宋"/>
          <w:b w:val="0"/>
          <w:color w:val="auto"/>
          <w:sz w:val="32"/>
          <w:szCs w:val="32"/>
        </w:rPr>
        <w:t>；</w:t>
      </w:r>
    </w:p>
    <w:p>
      <w:pPr>
        <w:spacing w:line="576" w:lineRule="exact"/>
        <w:ind w:firstLine="643" w:firstLineChars="200"/>
        <w:rPr>
          <w:rStyle w:val="17"/>
          <w:rFonts w:ascii="仿宋" w:hAnsi="仿宋" w:eastAsia="仿宋"/>
          <w:bCs/>
          <w:color w:val="auto"/>
          <w:sz w:val="32"/>
          <w:szCs w:val="32"/>
        </w:rPr>
      </w:pPr>
      <w:r>
        <w:rPr>
          <w:rStyle w:val="17"/>
          <w:rFonts w:hint="eastAsia" w:ascii="仿宋" w:hAnsi="仿宋" w:eastAsia="仿宋"/>
          <w:bCs/>
          <w:color w:val="auto"/>
          <w:sz w:val="32"/>
          <w:szCs w:val="32"/>
        </w:rPr>
        <w:t xml:space="preserve">4.农林水支出（类）扶贫（款）其他扶贫支出（项）: </w:t>
      </w:r>
      <w:r>
        <w:rPr>
          <w:rStyle w:val="17"/>
          <w:rFonts w:hint="eastAsia" w:ascii="仿宋" w:hAnsi="仿宋" w:eastAsia="仿宋"/>
          <w:b w:val="0"/>
          <w:color w:val="auto"/>
          <w:sz w:val="32"/>
          <w:szCs w:val="32"/>
        </w:rPr>
        <w:t>支出决算为0.5万元，完成预算100</w:t>
      </w:r>
      <w:r>
        <w:rPr>
          <w:rStyle w:val="17"/>
          <w:rFonts w:ascii="仿宋" w:hAnsi="仿宋" w:eastAsia="仿宋"/>
          <w:b w:val="0"/>
          <w:color w:val="auto"/>
          <w:sz w:val="32"/>
          <w:szCs w:val="32"/>
        </w:rPr>
        <w:t>%</w:t>
      </w:r>
      <w:r>
        <w:rPr>
          <w:rStyle w:val="17"/>
          <w:rFonts w:hint="eastAsia" w:ascii="仿宋" w:hAnsi="仿宋" w:eastAsia="仿宋"/>
          <w:b w:val="0"/>
          <w:color w:val="auto"/>
          <w:sz w:val="32"/>
          <w:szCs w:val="32"/>
        </w:rPr>
        <w:t>；</w:t>
      </w:r>
    </w:p>
    <w:p>
      <w:pPr>
        <w:spacing w:line="576" w:lineRule="exact"/>
        <w:ind w:firstLine="643" w:firstLineChars="200"/>
        <w:rPr>
          <w:rFonts w:ascii="仿宋" w:hAnsi="仿宋" w:eastAsia="仿宋"/>
          <w:color w:val="auto"/>
          <w:sz w:val="32"/>
          <w:szCs w:val="32"/>
          <w:highlight w:val="red"/>
        </w:rPr>
      </w:pPr>
      <w:r>
        <w:rPr>
          <w:rStyle w:val="17"/>
          <w:rFonts w:hint="eastAsia" w:ascii="仿宋" w:hAnsi="仿宋" w:eastAsia="仿宋"/>
          <w:bCs/>
          <w:color w:val="auto"/>
          <w:sz w:val="32"/>
          <w:szCs w:val="32"/>
        </w:rPr>
        <w:t xml:space="preserve"> 5.商业服务业等支出（类）商业流通事务（款）行政运行（项）:</w:t>
      </w:r>
      <w:r>
        <w:rPr>
          <w:rStyle w:val="17"/>
          <w:rFonts w:hint="eastAsia" w:ascii="仿宋" w:hAnsi="仿宋" w:eastAsia="仿宋"/>
          <w:b w:val="0"/>
          <w:color w:val="auto"/>
          <w:sz w:val="32"/>
          <w:szCs w:val="32"/>
        </w:rPr>
        <w:t>支出决算为261.52万元，完成预算100%；</w:t>
      </w:r>
      <w:r>
        <w:rPr>
          <w:rStyle w:val="17"/>
          <w:rFonts w:hint="eastAsia" w:ascii="仿宋" w:hAnsi="仿宋" w:eastAsia="仿宋"/>
          <w:bCs/>
          <w:color w:val="auto"/>
          <w:sz w:val="32"/>
          <w:szCs w:val="32"/>
        </w:rPr>
        <w:t>商业服务业等支出（类）商业流通事务（款）一般行政管理事务（项）</w:t>
      </w:r>
      <w:r>
        <w:rPr>
          <w:rStyle w:val="17"/>
          <w:rFonts w:hint="eastAsia" w:ascii="仿宋" w:hAnsi="仿宋" w:eastAsia="仿宋"/>
          <w:b w:val="0"/>
          <w:color w:val="auto"/>
          <w:sz w:val="32"/>
          <w:szCs w:val="32"/>
        </w:rPr>
        <w:t>:支出决算为8万元，完成预算100%。</w:t>
      </w:r>
    </w:p>
    <w:p>
      <w:pPr>
        <w:spacing w:line="576" w:lineRule="exact"/>
        <w:ind w:firstLine="643" w:firstLineChars="200"/>
        <w:rPr>
          <w:rFonts w:ascii="仿宋" w:hAnsi="仿宋" w:eastAsia="仿宋"/>
          <w:color w:val="auto"/>
          <w:sz w:val="32"/>
          <w:szCs w:val="32"/>
        </w:rPr>
      </w:pPr>
      <w:r>
        <w:rPr>
          <w:rStyle w:val="17"/>
          <w:rFonts w:hint="eastAsia" w:ascii="仿宋" w:hAnsi="仿宋" w:eastAsia="仿宋"/>
          <w:bCs/>
          <w:color w:val="auto"/>
          <w:sz w:val="32"/>
          <w:szCs w:val="32"/>
        </w:rPr>
        <w:t>6.住房保障支出（类）住房改革支出（款）住房公积金（项）:</w:t>
      </w:r>
      <w:r>
        <w:rPr>
          <w:rStyle w:val="17"/>
          <w:rFonts w:hint="eastAsia" w:ascii="仿宋" w:hAnsi="仿宋" w:eastAsia="仿宋"/>
          <w:b w:val="0"/>
          <w:color w:val="auto"/>
          <w:sz w:val="32"/>
          <w:szCs w:val="32"/>
        </w:rPr>
        <w:t>支出决算为12.7万元，完成预算100</w:t>
      </w:r>
      <w:r>
        <w:rPr>
          <w:rStyle w:val="17"/>
          <w:rFonts w:ascii="仿宋" w:hAnsi="仿宋" w:eastAsia="仿宋"/>
          <w:b w:val="0"/>
          <w:color w:val="auto"/>
          <w:sz w:val="32"/>
          <w:szCs w:val="32"/>
        </w:rPr>
        <w:t>%</w:t>
      </w:r>
      <w:r>
        <w:rPr>
          <w:rStyle w:val="17"/>
          <w:rFonts w:hint="eastAsia" w:ascii="仿宋" w:hAnsi="仿宋" w:eastAsia="仿宋"/>
          <w:b w:val="0"/>
          <w:color w:val="auto"/>
          <w:sz w:val="32"/>
          <w:szCs w:val="32"/>
        </w:rPr>
        <w:t>。</w:t>
      </w:r>
    </w:p>
    <w:p>
      <w:pPr>
        <w:tabs>
          <w:tab w:val="right" w:pos="8306"/>
        </w:tabs>
        <w:spacing w:line="576" w:lineRule="exact"/>
        <w:ind w:firstLine="640"/>
        <w:outlineLvl w:val="1"/>
        <w:rPr>
          <w:rStyle w:val="30"/>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30"/>
          <w:rFonts w:hint="eastAsia" w:ascii="黑体" w:hAnsi="黑体" w:eastAsia="黑体"/>
          <w:b w:val="0"/>
        </w:rPr>
        <w:t>般公共预算财政拨款基本支出决算情况说明</w:t>
      </w:r>
      <w:bookmarkEnd w:id="40"/>
      <w:bookmarkEnd w:id="41"/>
      <w:r>
        <w:rPr>
          <w:rStyle w:val="30"/>
          <w:rFonts w:ascii="黑体" w:hAnsi="黑体" w:eastAsia="黑体"/>
          <w:b w:val="0"/>
        </w:rPr>
        <w:tab/>
      </w:r>
    </w:p>
    <w:p>
      <w:pPr>
        <w:spacing w:line="576" w:lineRule="exact"/>
        <w:ind w:firstLine="645"/>
        <w:rPr>
          <w:rFonts w:ascii="仿宋" w:hAnsi="仿宋" w:eastAsia="仿宋"/>
          <w:sz w:val="32"/>
          <w:szCs w:val="32"/>
        </w:rPr>
      </w:pPr>
      <w:r>
        <w:rPr>
          <w:rFonts w:hint="eastAsia" w:ascii="仿宋" w:hAnsi="仿宋" w:eastAsia="仿宋"/>
          <w:sz w:val="32"/>
          <w:szCs w:val="32"/>
        </w:rPr>
        <w:t>2020年一般公共预算财政拨款基本支出302.23万元，其中：</w:t>
      </w:r>
    </w:p>
    <w:p>
      <w:pPr>
        <w:spacing w:line="576" w:lineRule="exact"/>
        <w:ind w:firstLine="645"/>
        <w:rPr>
          <w:rFonts w:ascii="仿宋" w:hAnsi="仿宋" w:eastAsia="仿宋"/>
          <w:sz w:val="32"/>
          <w:szCs w:val="32"/>
        </w:rPr>
      </w:pPr>
      <w:r>
        <w:rPr>
          <w:rFonts w:hint="eastAsia" w:ascii="仿宋" w:hAnsi="仿宋" w:eastAsia="仿宋"/>
          <w:sz w:val="32"/>
          <w:szCs w:val="32"/>
        </w:rPr>
        <w:t>人员经费217.32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sz w:val="32"/>
          <w:szCs w:val="32"/>
        </w:rPr>
        <w:t>　　日常公用经费84.91万元，</w:t>
      </w:r>
      <w:r>
        <w:rPr>
          <w:rFonts w:hint="eastAsia" w:ascii="仿宋" w:hAnsi="仿宋" w:eastAsia="仿宋"/>
          <w:color w:val="000000"/>
          <w:sz w:val="32"/>
          <w:szCs w:val="32"/>
        </w:rPr>
        <w:t>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576" w:lineRule="exact"/>
        <w:ind w:firstLine="640"/>
        <w:outlineLvl w:val="1"/>
        <w:rPr>
          <w:rStyle w:val="30"/>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30"/>
          <w:rFonts w:hint="eastAsia" w:ascii="黑体" w:hAnsi="黑体" w:eastAsia="黑体"/>
        </w:rPr>
        <w:t>“</w:t>
      </w:r>
      <w:r>
        <w:rPr>
          <w:rStyle w:val="30"/>
          <w:rFonts w:hint="eastAsia" w:ascii="黑体" w:hAnsi="黑体" w:eastAsia="黑体"/>
          <w:b w:val="0"/>
        </w:rPr>
        <w:t>三公”经费财政拨款支出决算情况说明</w:t>
      </w:r>
      <w:bookmarkEnd w:id="42"/>
      <w:bookmarkEnd w:id="43"/>
    </w:p>
    <w:p>
      <w:pPr>
        <w:spacing w:line="576" w:lineRule="exact"/>
        <w:ind w:firstLine="640"/>
        <w:outlineLvl w:val="2"/>
        <w:rPr>
          <w:rFonts w:ascii="仿宋" w:hAnsi="仿宋" w:eastAsia="仿宋"/>
          <w:b/>
          <w:sz w:val="32"/>
          <w:szCs w:val="32"/>
        </w:rPr>
      </w:pPr>
      <w:bookmarkStart w:id="44" w:name="_Toc15377216"/>
      <w:r>
        <w:rPr>
          <w:rFonts w:hint="eastAsia" w:ascii="仿宋" w:hAnsi="仿宋" w:eastAsia="仿宋"/>
          <w:b/>
          <w:sz w:val="32"/>
          <w:szCs w:val="32"/>
        </w:rPr>
        <w:t>（一）“三公”经费财政拨款支出决算总体情况说明</w:t>
      </w:r>
      <w:bookmarkEnd w:id="44"/>
    </w:p>
    <w:p>
      <w:pPr>
        <w:spacing w:line="576" w:lineRule="exact"/>
        <w:ind w:firstLine="640"/>
        <w:rPr>
          <w:rFonts w:ascii="仿宋" w:hAnsi="仿宋" w:eastAsia="仿宋"/>
          <w:sz w:val="32"/>
          <w:szCs w:val="32"/>
          <w:highlight w:val="none"/>
        </w:rPr>
      </w:pPr>
      <w:r>
        <w:rPr>
          <w:rFonts w:hint="eastAsia" w:ascii="仿宋" w:hAnsi="仿宋" w:eastAsia="仿宋"/>
          <w:sz w:val="32"/>
          <w:szCs w:val="32"/>
        </w:rPr>
        <w:t>2020年“三公”经费财政拨款支出决算为0.58万元，</w:t>
      </w:r>
      <w:r>
        <w:rPr>
          <w:rFonts w:hint="eastAsia" w:ascii="仿宋" w:hAnsi="仿宋" w:eastAsia="仿宋"/>
          <w:sz w:val="32"/>
          <w:szCs w:val="32"/>
          <w:highlight w:val="none"/>
        </w:rPr>
        <w:t>完成预算58%，决算数小于预算数的主要原因是严格执行公务接待管理办法，压缩公务接待支出。</w:t>
      </w:r>
    </w:p>
    <w:p>
      <w:pPr>
        <w:spacing w:line="576" w:lineRule="exact"/>
        <w:ind w:firstLine="640"/>
        <w:outlineLvl w:val="2"/>
        <w:rPr>
          <w:rFonts w:ascii="仿宋" w:hAnsi="仿宋" w:eastAsia="仿宋"/>
          <w:b/>
          <w:sz w:val="32"/>
          <w:szCs w:val="32"/>
        </w:rPr>
      </w:pPr>
      <w:bookmarkStart w:id="45" w:name="_Toc15377217"/>
      <w:r>
        <w:rPr>
          <w:rFonts w:hint="eastAsia" w:ascii="仿宋" w:hAnsi="仿宋" w:eastAsia="仿宋"/>
          <w:b/>
          <w:sz w:val="32"/>
          <w:szCs w:val="32"/>
        </w:rPr>
        <w:t>（二）“三公”经费财政拨款支出决算具体情况说明</w:t>
      </w:r>
      <w:bookmarkEnd w:id="45"/>
    </w:p>
    <w:p>
      <w:pPr>
        <w:spacing w:line="576" w:lineRule="exact"/>
        <w:ind w:firstLine="640"/>
        <w:rPr>
          <w:rFonts w:ascii="仿宋" w:hAnsi="仿宋" w:eastAsia="仿宋"/>
          <w:sz w:val="32"/>
          <w:szCs w:val="32"/>
        </w:rPr>
      </w:pPr>
      <w:r>
        <w:rPr>
          <w:rFonts w:hint="eastAsia" w:ascii="仿宋" w:hAnsi="仿宋" w:eastAsia="仿宋"/>
          <w:sz w:val="32"/>
          <w:szCs w:val="32"/>
        </w:rPr>
        <w:t>2020年“三公”经费财政拨款支出决算中，因公出国（境）费支出决算0万元，占0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；公务用车购置及运行维护费支出决算0万元，占0</w:t>
      </w:r>
      <w:r>
        <w:rPr>
          <w:rFonts w:ascii="仿宋" w:hAnsi="仿宋" w:eastAsia="仿宋"/>
          <w:sz w:val="32"/>
          <w:szCs w:val="32"/>
        </w:rPr>
        <w:t>%</w:t>
      </w:r>
      <w:r>
        <w:rPr>
          <w:rFonts w:hint="eastAsia" w:ascii="仿宋" w:hAnsi="仿宋" w:eastAsia="仿宋"/>
          <w:sz w:val="32"/>
          <w:szCs w:val="32"/>
        </w:rPr>
        <w:t>；公务接待费支出决算0.58万元，占100</w:t>
      </w:r>
      <w:r>
        <w:rPr>
          <w:rFonts w:ascii="仿宋" w:hAnsi="仿宋" w:eastAsia="仿宋"/>
          <w:sz w:val="32"/>
          <w:szCs w:val="32"/>
        </w:rPr>
        <w:t>%</w:t>
      </w:r>
      <w:r>
        <w:rPr>
          <w:rFonts w:hint="eastAsia" w:ascii="仿宋" w:hAnsi="仿宋" w:eastAsia="仿宋"/>
          <w:sz w:val="32"/>
          <w:szCs w:val="32"/>
        </w:rPr>
        <w:t>。具体情况如下：</w:t>
      </w:r>
    </w:p>
    <w:p>
      <w:pPr>
        <w:spacing w:line="240" w:lineRule="atLeast"/>
        <w:jc w:val="center"/>
        <w:rPr>
          <w:rFonts w:ascii="仿宋" w:hAnsi="仿宋" w:eastAsia="仿宋"/>
          <w:color w:val="C0504D" w:themeColor="accent2"/>
          <w:sz w:val="32"/>
          <w:szCs w:val="32"/>
        </w:rPr>
      </w:pPr>
      <w:r>
        <w:rPr>
          <w:rFonts w:hint="eastAsia" w:ascii="仿宋" w:hAnsi="仿宋" w:eastAsia="仿宋"/>
          <w:color w:val="C0504D" w:themeColor="accent2"/>
          <w:sz w:val="32"/>
          <w:szCs w:val="32"/>
        </w:rPr>
        <w:drawing>
          <wp:inline distT="0" distB="0" distL="114300" distR="114300">
            <wp:extent cx="4961255" cy="2735580"/>
            <wp:effectExtent l="19050" t="0" r="10795" b="7620"/>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spacing w:line="576" w:lineRule="exact"/>
        <w:jc w:val="center"/>
        <w:rPr>
          <w:rFonts w:ascii="楷体" w:hAnsi="楷体" w:eastAsia="楷体" w:cs="楷体"/>
          <w:color w:val="000000" w:themeColor="text1"/>
          <w:sz w:val="28"/>
          <w:szCs w:val="28"/>
        </w:rPr>
      </w:pPr>
      <w:r>
        <w:rPr>
          <w:rFonts w:hint="eastAsia" w:ascii="楷体" w:hAnsi="楷体" w:eastAsia="楷体" w:cs="楷体"/>
          <w:color w:val="000000" w:themeColor="text1"/>
          <w:sz w:val="28"/>
          <w:szCs w:val="28"/>
        </w:rPr>
        <w:t>图7：“三公”经费财政拨款支出结构</w:t>
      </w:r>
    </w:p>
    <w:p>
      <w:pPr>
        <w:spacing w:line="576" w:lineRule="exact"/>
        <w:ind w:firstLine="64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7"/>
          <w:rFonts w:hint="eastAsia" w:ascii="仿宋" w:hAnsi="仿宋" w:eastAsia="仿宋"/>
          <w:b w:val="0"/>
          <w:bCs/>
          <w:sz w:val="32"/>
          <w:szCs w:val="32"/>
        </w:rPr>
        <w:t>完成预算0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全年安排因公出国（境）团组0次，出国（境）0人。因公出国（境）支出决算比2020年增加</w:t>
      </w:r>
      <w:r>
        <w:rPr>
          <w:rFonts w:ascii="仿宋_GB2312" w:eastAsia="仿宋_GB2312"/>
          <w:sz w:val="32"/>
          <w:szCs w:val="32"/>
        </w:rPr>
        <w:t>/</w:t>
      </w:r>
      <w:r>
        <w:rPr>
          <w:rFonts w:hint="eastAsia" w:ascii="仿宋_GB2312" w:eastAsia="仿宋_GB2312"/>
          <w:sz w:val="32"/>
          <w:szCs w:val="32"/>
        </w:rPr>
        <w:t>减少0万元，增长</w:t>
      </w:r>
      <w:r>
        <w:rPr>
          <w:rFonts w:ascii="仿宋_GB2312" w:eastAsia="仿宋_GB2312"/>
          <w:sz w:val="32"/>
          <w:szCs w:val="32"/>
        </w:rPr>
        <w:t>/</w:t>
      </w:r>
      <w:r>
        <w:rPr>
          <w:rFonts w:hint="eastAsia" w:ascii="仿宋_GB2312" w:eastAsia="仿宋_GB2312"/>
          <w:sz w:val="32"/>
          <w:szCs w:val="32"/>
        </w:rPr>
        <w:t>下降0</w:t>
      </w:r>
      <w:r>
        <w:rPr>
          <w:rFonts w:ascii="仿宋_GB2312" w:eastAsia="仿宋_GB2312"/>
          <w:sz w:val="32"/>
          <w:szCs w:val="32"/>
        </w:rPr>
        <w:t>%</w:t>
      </w:r>
      <w:r>
        <w:rPr>
          <w:rFonts w:hint="eastAsia" w:ascii="仿宋_GB2312" w:eastAsia="仿宋_GB2312"/>
          <w:sz w:val="32"/>
          <w:szCs w:val="32"/>
        </w:rPr>
        <w:t>。</w:t>
      </w:r>
    </w:p>
    <w:p>
      <w:pPr>
        <w:spacing w:line="576"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0万元,</w:t>
      </w:r>
      <w:r>
        <w:rPr>
          <w:rStyle w:val="17"/>
          <w:rFonts w:hint="eastAsia" w:ascii="仿宋" w:hAnsi="仿宋" w:eastAsia="仿宋"/>
          <w:b w:val="0"/>
          <w:bCs/>
          <w:sz w:val="32"/>
          <w:szCs w:val="32"/>
        </w:rPr>
        <w:t>完成预算0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公务用车购置及运行维护费支出决算比2020年增加</w:t>
      </w:r>
      <w:r>
        <w:rPr>
          <w:rFonts w:ascii="仿宋_GB2312" w:eastAsia="仿宋_GB2312"/>
          <w:sz w:val="32"/>
          <w:szCs w:val="32"/>
        </w:rPr>
        <w:t>/</w:t>
      </w:r>
      <w:r>
        <w:rPr>
          <w:rFonts w:hint="eastAsia" w:ascii="仿宋_GB2312" w:eastAsia="仿宋_GB2312"/>
          <w:sz w:val="32"/>
          <w:szCs w:val="32"/>
        </w:rPr>
        <w:t>减少0万元，增长</w:t>
      </w:r>
      <w:r>
        <w:rPr>
          <w:rFonts w:ascii="仿宋_GB2312" w:eastAsia="仿宋_GB2312"/>
          <w:sz w:val="32"/>
          <w:szCs w:val="32"/>
        </w:rPr>
        <w:t>/</w:t>
      </w:r>
      <w:r>
        <w:rPr>
          <w:rFonts w:hint="eastAsia" w:ascii="仿宋_GB2312" w:eastAsia="仿宋_GB2312"/>
          <w:sz w:val="32"/>
          <w:szCs w:val="32"/>
        </w:rPr>
        <w:t>下降0</w:t>
      </w:r>
      <w:r>
        <w:rPr>
          <w:rFonts w:ascii="仿宋_GB2312" w:eastAsia="仿宋_GB2312"/>
          <w:sz w:val="32"/>
          <w:szCs w:val="32"/>
        </w:rPr>
        <w:t>%</w:t>
      </w:r>
      <w:r>
        <w:rPr>
          <w:rFonts w:hint="eastAsia" w:ascii="仿宋_GB2312" w:eastAsia="仿宋_GB2312"/>
          <w:sz w:val="32"/>
          <w:szCs w:val="32"/>
        </w:rPr>
        <w:t>。</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0万元。全年按规定更新购置公务用车0辆，金额0</w:t>
      </w:r>
      <w:r>
        <w:rPr>
          <w:rFonts w:ascii="仿宋_GB2312" w:eastAsia="仿宋_GB2312"/>
          <w:sz w:val="32"/>
          <w:szCs w:val="32"/>
        </w:rPr>
        <w:t>元。</w:t>
      </w:r>
      <w:r>
        <w:rPr>
          <w:rFonts w:hint="eastAsia" w:ascii="仿宋_GB2312" w:eastAsia="仿宋_GB2312"/>
          <w:sz w:val="32"/>
          <w:szCs w:val="32"/>
        </w:rPr>
        <w:t>截至2020年</w:t>
      </w:r>
      <w:r>
        <w:rPr>
          <w:rFonts w:ascii="仿宋_GB2312" w:eastAsia="仿宋_GB2312"/>
          <w:sz w:val="32"/>
          <w:szCs w:val="32"/>
        </w:rPr>
        <w:t>12</w:t>
      </w:r>
      <w:r>
        <w:rPr>
          <w:rFonts w:hint="eastAsia" w:ascii="仿宋_GB2312" w:eastAsia="仿宋_GB2312"/>
          <w:sz w:val="32"/>
          <w:szCs w:val="32"/>
        </w:rPr>
        <w:t>月底，单位共有公务用车0辆。</w:t>
      </w:r>
    </w:p>
    <w:p>
      <w:pPr>
        <w:spacing w:line="576"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0万元。</w:t>
      </w:r>
    </w:p>
    <w:p>
      <w:pPr>
        <w:spacing w:line="576"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0.58万元，</w:t>
      </w:r>
      <w:r>
        <w:rPr>
          <w:rStyle w:val="17"/>
          <w:rFonts w:hint="eastAsia" w:ascii="仿宋" w:hAnsi="仿宋" w:eastAsia="仿宋"/>
          <w:b w:val="0"/>
          <w:bCs/>
          <w:sz w:val="32"/>
          <w:szCs w:val="32"/>
        </w:rPr>
        <w:t>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公务接待费支出决算比2019年减少0.42万元，下降42</w:t>
      </w:r>
      <w:r>
        <w:rPr>
          <w:rFonts w:ascii="仿宋_GB2312" w:eastAsia="仿宋_GB2312"/>
          <w:sz w:val="32"/>
          <w:szCs w:val="32"/>
        </w:rPr>
        <w:t>%</w:t>
      </w:r>
      <w:r>
        <w:rPr>
          <w:rFonts w:hint="eastAsia" w:ascii="仿宋_GB2312" w:eastAsia="仿宋_GB2312"/>
          <w:sz w:val="32"/>
          <w:szCs w:val="32"/>
        </w:rPr>
        <w:t>。</w:t>
      </w:r>
    </w:p>
    <w:p>
      <w:pPr>
        <w:spacing w:line="576" w:lineRule="exact"/>
        <w:ind w:firstLine="640"/>
        <w:rPr>
          <w:rFonts w:ascii="仿宋_GB2312" w:eastAsia="仿宋_GB2312"/>
          <w:color w:val="auto"/>
          <w:sz w:val="32"/>
          <w:szCs w:val="32"/>
          <w:highlight w:val="none"/>
        </w:rPr>
      </w:pPr>
      <w:r>
        <w:rPr>
          <w:rFonts w:hint="eastAsia" w:ascii="仿宋" w:hAnsi="仿宋" w:eastAsia="仿宋"/>
          <w:b/>
          <w:sz w:val="32"/>
          <w:szCs w:val="32"/>
        </w:rPr>
        <w:t>国内公务接待支出</w:t>
      </w:r>
      <w:r>
        <w:rPr>
          <w:rFonts w:hint="eastAsia" w:ascii="仿宋" w:hAnsi="仿宋" w:eastAsia="仿宋"/>
          <w:sz w:val="32"/>
          <w:szCs w:val="32"/>
        </w:rPr>
        <w:t>0.58</w:t>
      </w:r>
      <w:r>
        <w:rPr>
          <w:rFonts w:hint="eastAsia" w:ascii="仿宋_GB2312" w:eastAsia="仿宋_GB2312"/>
          <w:sz w:val="32"/>
          <w:szCs w:val="32"/>
        </w:rPr>
        <w:t>万元，主要用于执行公务、开展业务活动开支的用餐</w:t>
      </w:r>
      <w:r>
        <w:rPr>
          <w:rFonts w:hint="eastAsia" w:ascii="仿宋_GB2312" w:eastAsia="仿宋_GB2312"/>
          <w:color w:val="auto"/>
          <w:sz w:val="32"/>
          <w:szCs w:val="32"/>
        </w:rPr>
        <w:t>费</w:t>
      </w:r>
      <w:r>
        <w:rPr>
          <w:rFonts w:hint="eastAsia" w:ascii="仿宋_GB2312" w:eastAsia="仿宋_GB2312"/>
          <w:color w:val="auto"/>
          <w:sz w:val="32"/>
          <w:szCs w:val="32"/>
          <w:highlight w:val="none"/>
        </w:rPr>
        <w:t>等。国内公务接待</w:t>
      </w:r>
      <w:r>
        <w:rPr>
          <w:rFonts w:hint="eastAsia" w:ascii="仿宋_GB2312" w:eastAsia="仿宋_GB2312"/>
          <w:color w:val="auto"/>
          <w:sz w:val="32"/>
          <w:szCs w:val="32"/>
          <w:highlight w:val="none"/>
          <w:lang w:val="en-US" w:eastAsia="zh-CN"/>
        </w:rPr>
        <w:t>10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48</w:t>
      </w:r>
      <w:r>
        <w:rPr>
          <w:rFonts w:hint="eastAsia" w:ascii="仿宋_GB2312" w:eastAsia="仿宋_GB2312"/>
          <w:color w:val="auto"/>
          <w:sz w:val="32"/>
          <w:szCs w:val="32"/>
          <w:highlight w:val="none"/>
        </w:rPr>
        <w:t>人次（不包括陪同人员），共计支出0.58万元。</w:t>
      </w:r>
    </w:p>
    <w:p>
      <w:pPr>
        <w:spacing w:line="576"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万元，外事接待0批次，0人，共计支出0万元。</w:t>
      </w:r>
    </w:p>
    <w:p>
      <w:pPr>
        <w:spacing w:line="576" w:lineRule="exact"/>
        <w:ind w:firstLine="640"/>
        <w:outlineLvl w:val="1"/>
        <w:rPr>
          <w:rStyle w:val="30"/>
          <w:rFonts w:ascii="黑体" w:hAnsi="黑体" w:eastAsia="黑体"/>
        </w:rPr>
      </w:pPr>
      <w:bookmarkStart w:id="46" w:name="_Toc15396610"/>
      <w:bookmarkStart w:id="47" w:name="_Toc15377218"/>
      <w:r>
        <w:rPr>
          <w:rFonts w:hint="eastAsia" w:ascii="黑体" w:eastAsia="黑体"/>
          <w:sz w:val="32"/>
          <w:szCs w:val="32"/>
        </w:rPr>
        <w:t>八、</w:t>
      </w:r>
      <w:r>
        <w:rPr>
          <w:rStyle w:val="30"/>
          <w:rFonts w:hint="eastAsia" w:ascii="黑体" w:hAnsi="黑体" w:eastAsia="黑体"/>
          <w:b w:val="0"/>
        </w:rPr>
        <w:t>政府性基金预算支出决算情况说明</w:t>
      </w:r>
      <w:bookmarkEnd w:id="46"/>
      <w:bookmarkEnd w:id="47"/>
    </w:p>
    <w:p>
      <w:pPr>
        <w:spacing w:line="576" w:lineRule="exact"/>
        <w:ind w:firstLine="640"/>
        <w:rPr>
          <w:rFonts w:ascii="仿宋_GB2312" w:eastAsia="仿宋_GB2312"/>
          <w:sz w:val="32"/>
          <w:szCs w:val="32"/>
        </w:rPr>
      </w:pPr>
      <w:r>
        <w:rPr>
          <w:rFonts w:hint="eastAsia" w:ascii="仿宋_GB2312" w:eastAsia="仿宋_GB2312"/>
          <w:sz w:val="32"/>
          <w:szCs w:val="32"/>
        </w:rPr>
        <w:t>2020年政府性基金预算拨款支出0万元。</w:t>
      </w:r>
      <w:bookmarkStart w:id="48" w:name="_Toc15377219"/>
      <w:bookmarkStart w:id="49" w:name="_Toc15396611"/>
    </w:p>
    <w:p>
      <w:pPr>
        <w:spacing w:line="576" w:lineRule="exact"/>
        <w:ind w:firstLine="640"/>
        <w:rPr>
          <w:rStyle w:val="30"/>
          <w:rFonts w:ascii="黑体" w:hAnsi="黑体" w:eastAsia="黑体"/>
          <w:b w:val="0"/>
        </w:rPr>
      </w:pPr>
      <w:r>
        <w:rPr>
          <w:rStyle w:val="30"/>
          <w:rFonts w:hint="eastAsia" w:ascii="黑体" w:hAnsi="黑体" w:eastAsia="黑体"/>
          <w:b w:val="0"/>
        </w:rPr>
        <w:t>九、国有资本经营预算支出决算情况说明</w:t>
      </w:r>
      <w:bookmarkEnd w:id="48"/>
      <w:bookmarkEnd w:id="49"/>
    </w:p>
    <w:p>
      <w:pPr>
        <w:spacing w:line="576" w:lineRule="exact"/>
        <w:ind w:firstLine="640"/>
        <w:rPr>
          <w:rFonts w:ascii="仿宋_GB2312" w:eastAsia="仿宋_GB2312"/>
          <w:sz w:val="32"/>
          <w:szCs w:val="32"/>
        </w:rPr>
      </w:pPr>
      <w:r>
        <w:rPr>
          <w:rFonts w:hint="eastAsia" w:ascii="仿宋_GB2312" w:eastAsia="仿宋_GB2312"/>
          <w:sz w:val="32"/>
          <w:szCs w:val="32"/>
        </w:rPr>
        <w:t>2020年国有资本经营预算拨款支出0万元。</w:t>
      </w:r>
      <w:bookmarkStart w:id="50" w:name="_Toc15396612"/>
      <w:bookmarkStart w:id="51" w:name="_Toc15377221"/>
    </w:p>
    <w:p>
      <w:pPr>
        <w:spacing w:line="576" w:lineRule="exact"/>
        <w:ind w:firstLine="640"/>
        <w:rPr>
          <w:rStyle w:val="30"/>
          <w:rFonts w:ascii="黑体" w:hAnsi="黑体" w:eastAsia="黑体"/>
        </w:rPr>
      </w:pPr>
      <w:r>
        <w:rPr>
          <w:rFonts w:hint="eastAsia" w:ascii="黑体" w:hAnsi="黑体" w:eastAsia="黑体"/>
          <w:sz w:val="32"/>
          <w:szCs w:val="32"/>
        </w:rPr>
        <w:t>十</w:t>
      </w:r>
      <w:r>
        <w:rPr>
          <w:rStyle w:val="30"/>
          <w:rFonts w:hint="eastAsia" w:ascii="黑体" w:hAnsi="黑体" w:eastAsia="黑体"/>
        </w:rPr>
        <w:t>、</w:t>
      </w:r>
      <w:r>
        <w:rPr>
          <w:rStyle w:val="30"/>
          <w:rFonts w:hint="eastAsia" w:ascii="黑体" w:hAnsi="黑体" w:eastAsia="黑体"/>
          <w:b w:val="0"/>
        </w:rPr>
        <w:t>其他重要事项的情况说明</w:t>
      </w:r>
      <w:bookmarkEnd w:id="50"/>
      <w:bookmarkEnd w:id="51"/>
    </w:p>
    <w:p>
      <w:pPr>
        <w:spacing w:line="576"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576" w:lineRule="exact"/>
        <w:ind w:firstLine="640" w:firstLineChars="200"/>
        <w:rPr>
          <w:rFonts w:ascii="仿宋_GB2312" w:eastAsia="仿宋_GB2312"/>
          <w:sz w:val="32"/>
          <w:szCs w:val="32"/>
        </w:rPr>
      </w:pPr>
      <w:r>
        <w:rPr>
          <w:rFonts w:hint="eastAsia" w:ascii="仿宋_GB2312" w:eastAsia="仿宋_GB2312"/>
          <w:sz w:val="32"/>
          <w:szCs w:val="32"/>
        </w:rPr>
        <w:t>2020年，本部门机关运行经费支出24.91万元，比2019年增加4.14万元，上升19.93%。主要原因是人员增加。</w:t>
      </w:r>
    </w:p>
    <w:p>
      <w:pPr>
        <w:autoSpaceDE w:val="0"/>
        <w:autoSpaceDN w:val="0"/>
        <w:adjustRightInd w:val="0"/>
        <w:spacing w:line="576" w:lineRule="exact"/>
        <w:ind w:firstLine="643" w:firstLineChars="200"/>
        <w:jc w:val="left"/>
        <w:outlineLvl w:val="2"/>
        <w:rPr>
          <w:rFonts w:ascii="仿宋" w:hAnsi="仿宋" w:eastAsia="仿宋"/>
          <w:b/>
          <w:sz w:val="32"/>
          <w:szCs w:val="32"/>
        </w:rPr>
      </w:pPr>
      <w:bookmarkStart w:id="53" w:name="_Toc15377223"/>
      <w:r>
        <w:rPr>
          <w:rFonts w:hint="eastAsia" w:ascii="仿宋" w:hAnsi="仿宋" w:eastAsia="仿宋"/>
          <w:b/>
          <w:sz w:val="32"/>
          <w:szCs w:val="32"/>
        </w:rPr>
        <w:t>（二）政府采购支出情况</w:t>
      </w:r>
      <w:bookmarkEnd w:id="53"/>
    </w:p>
    <w:p>
      <w:pPr>
        <w:spacing w:line="576" w:lineRule="exact"/>
        <w:ind w:firstLine="640" w:firstLineChars="200"/>
        <w:rPr>
          <w:rFonts w:ascii="仿宋_GB2312" w:eastAsia="仿宋_GB2312"/>
          <w:sz w:val="32"/>
          <w:szCs w:val="32"/>
        </w:rPr>
      </w:pPr>
      <w:r>
        <w:rPr>
          <w:rFonts w:hint="eastAsia" w:ascii="仿宋_GB2312" w:eastAsia="仿宋_GB2312"/>
          <w:sz w:val="32"/>
          <w:szCs w:val="32"/>
        </w:rPr>
        <w:t>2020年，本部门政府采购支出总额0万元，其中：政府采购货物支出0万元、政府采购工程支出0万元、政府采购服务支出0万元。授予中小企业合同金额0万元，占政府采购支出总额的0</w:t>
      </w:r>
      <w:r>
        <w:rPr>
          <w:rFonts w:ascii="仿宋_GB2312" w:eastAsia="仿宋_GB2312"/>
          <w:sz w:val="32"/>
          <w:szCs w:val="32"/>
        </w:rPr>
        <w:t>%</w:t>
      </w:r>
      <w:r>
        <w:rPr>
          <w:rFonts w:hint="eastAsia" w:ascii="仿宋_GB2312" w:eastAsia="仿宋_GB2312"/>
          <w:sz w:val="32"/>
          <w:szCs w:val="32"/>
        </w:rPr>
        <w:t>，其中：授予小微企业合同金额0万元，占政府采购支出总额的0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576" w:lineRule="exact"/>
        <w:ind w:firstLine="643" w:firstLineChars="200"/>
        <w:jc w:val="left"/>
        <w:outlineLvl w:val="2"/>
        <w:rPr>
          <w:rFonts w:ascii="仿宋" w:hAnsi="仿宋" w:eastAsia="仿宋"/>
          <w:b/>
          <w:sz w:val="32"/>
          <w:szCs w:val="32"/>
        </w:rPr>
      </w:pPr>
      <w:bookmarkStart w:id="54" w:name="_Toc15377224"/>
      <w:r>
        <w:rPr>
          <w:rFonts w:hint="eastAsia" w:ascii="仿宋" w:hAnsi="仿宋" w:eastAsia="仿宋"/>
          <w:b/>
          <w:sz w:val="32"/>
          <w:szCs w:val="32"/>
        </w:rPr>
        <w:t>（三）国有资产占有使用情况</w:t>
      </w:r>
      <w:bookmarkEnd w:id="54"/>
    </w:p>
    <w:p>
      <w:pPr>
        <w:autoSpaceDE w:val="0"/>
        <w:autoSpaceDN w:val="0"/>
        <w:adjustRightInd w:val="0"/>
        <w:spacing w:line="576" w:lineRule="exact"/>
        <w:ind w:firstLine="640" w:firstLineChars="200"/>
        <w:jc w:val="left"/>
        <w:rPr>
          <w:rFonts w:ascii="仿宋" w:hAnsi="仿宋" w:eastAsia="仿宋"/>
          <w:b/>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20年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日，本部门共有车辆0辆，单价</w:t>
      </w:r>
      <w:r>
        <w:rPr>
          <w:rFonts w:ascii="仿宋_GB2312" w:eastAsia="仿宋_GB2312"/>
          <w:sz w:val="32"/>
          <w:szCs w:val="32"/>
        </w:rPr>
        <w:t>50</w:t>
      </w:r>
      <w:r>
        <w:rPr>
          <w:rFonts w:hint="eastAsia" w:ascii="仿宋_GB2312" w:eastAsia="仿宋_GB2312"/>
          <w:sz w:val="32"/>
          <w:szCs w:val="32"/>
        </w:rPr>
        <w:t>万元以上通用设备0台（套），单价</w:t>
      </w:r>
      <w:r>
        <w:rPr>
          <w:rFonts w:ascii="仿宋_GB2312" w:eastAsia="仿宋_GB2312"/>
          <w:sz w:val="32"/>
          <w:szCs w:val="32"/>
        </w:rPr>
        <w:t>100</w:t>
      </w:r>
      <w:r>
        <w:rPr>
          <w:rFonts w:hint="eastAsia" w:ascii="仿宋_GB2312" w:eastAsia="仿宋_GB2312"/>
          <w:sz w:val="32"/>
          <w:szCs w:val="32"/>
        </w:rPr>
        <w:t>万元以上专用设备0台（套）。</w:t>
      </w:r>
    </w:p>
    <w:p>
      <w:pPr>
        <w:autoSpaceDE w:val="0"/>
        <w:autoSpaceDN w:val="0"/>
        <w:adjustRightInd w:val="0"/>
        <w:spacing w:line="576"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第一书记、工作队队员工作经费”、“垃圾回收分类处理点维护建设”、“深化供销合作社综合改革”项目开展了预算事前绩效评估，对3个项目编制了绩效目标，预算执行过程中，选取3个项目开展绩效监控，年终执行完毕后，对3个项目开展了绩效目标完成情况自评。</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2020年部门整体支出开展绩效自评，从评价情况来看，2020年我单位积极履职，强化管理，较好的完成了年度工作目标，通过加强预算收支管理，不断建立健全内部管理制度，梳理内部管理流程，部门整体支出管理水平得到提升。</w:t>
      </w:r>
    </w:p>
    <w:p>
      <w:pPr>
        <w:spacing w:line="576"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1.项目绩效目标完成情况。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本部门在2020年度部门决算中反映“第一书记、工作队队员工作经费”、“垃圾回收分类处理点维护建设”、“深化供销合作社综合改革”等4个项目绩效目标实际完成情况。</w:t>
      </w:r>
    </w:p>
    <w:p>
      <w:pPr>
        <w:widowControl/>
        <w:spacing w:line="576" w:lineRule="exact"/>
        <w:ind w:firstLine="640" w:firstLineChars="200"/>
        <w:rPr>
          <w:rFonts w:ascii="仿宋_GB2312" w:hAnsi="仿宋" w:eastAsia="仿宋_GB2312"/>
          <w:sz w:val="32"/>
          <w:lang w:val="zh-CN"/>
        </w:rPr>
      </w:pPr>
      <w:r>
        <w:rPr>
          <w:rFonts w:hint="eastAsia" w:ascii="仿宋_GB2312" w:hAnsi="仿宋_GB2312" w:eastAsia="仿宋_GB2312" w:cs="仿宋_GB2312"/>
          <w:sz w:val="32"/>
          <w:szCs w:val="32"/>
        </w:rPr>
        <w:t>（1）第一书记、工作队队员工作经费项目绩效目标完成情况综述。项目全年预算数0.5万元，执行数为0.5万元，完成预算的100%。通过项目实施，</w:t>
      </w:r>
      <w:r>
        <w:rPr>
          <w:rFonts w:hint="eastAsia" w:ascii="仿宋_GB2312" w:hAnsi="仿宋_GB2312" w:eastAsia="仿宋_GB2312" w:cs="仿宋_GB2312"/>
          <w:sz w:val="32"/>
          <w:szCs w:val="32"/>
          <w:lang w:val="zh-CN"/>
        </w:rPr>
        <w:t>对选派到贫困村、非贫困村</w:t>
      </w:r>
      <w:r>
        <w:rPr>
          <w:rFonts w:hint="eastAsia" w:ascii="仿宋_GB2312" w:hAnsi="仿宋_GB2312" w:eastAsia="仿宋_GB2312" w:cs="仿宋_GB2312"/>
          <w:sz w:val="32"/>
          <w:szCs w:val="32"/>
        </w:rPr>
        <w:t>任职</w:t>
      </w:r>
      <w:r>
        <w:rPr>
          <w:rFonts w:hint="eastAsia" w:ascii="仿宋_GB2312" w:hAnsi="仿宋_GB2312" w:eastAsia="仿宋_GB2312" w:cs="仿宋_GB2312"/>
          <w:sz w:val="32"/>
          <w:szCs w:val="32"/>
          <w:lang w:val="zh-CN"/>
        </w:rPr>
        <w:t>的第一书记、驻村工作队队员</w:t>
      </w:r>
      <w:r>
        <w:rPr>
          <w:rFonts w:hint="eastAsia" w:ascii="仿宋_GB2312" w:hAnsi="仿宋_GB2312" w:eastAsia="仿宋_GB2312" w:cs="仿宋_GB2312"/>
          <w:sz w:val="32"/>
          <w:szCs w:val="32"/>
        </w:rPr>
        <w:t>给于全覆盖</w:t>
      </w:r>
      <w:r>
        <w:rPr>
          <w:rFonts w:hint="eastAsia" w:ascii="仿宋_GB2312" w:hAnsi="仿宋_GB2312" w:eastAsia="仿宋_GB2312" w:cs="仿宋_GB2312"/>
          <w:sz w:val="32"/>
          <w:szCs w:val="32"/>
          <w:lang w:val="zh-CN"/>
        </w:rPr>
        <w:t>慰问和关怀，切实解决工作生活中的实际困难，进一步激发帮扶力量的工作激情</w:t>
      </w:r>
      <w:r>
        <w:rPr>
          <w:rFonts w:hint="eastAsia" w:ascii="仿宋_GB2312" w:hAnsi="仿宋" w:eastAsia="仿宋_GB2312"/>
          <w:sz w:val="32"/>
          <w:lang w:val="zh-CN"/>
        </w:rPr>
        <w:t>，牢记使命，不负重托，切实履行职责，严格遵守驻村工作各项纪律，</w:t>
      </w:r>
      <w:r>
        <w:rPr>
          <w:rFonts w:hint="eastAsia" w:ascii="仿宋_GB2312" w:hAnsi="仿宋" w:eastAsia="仿宋_GB2312"/>
          <w:sz w:val="32"/>
        </w:rPr>
        <w:t>有力阻击返贫，顺利通过脱贫验收，高质量完成脱贫攻坚帮扶任务。发现的主要问题：</w:t>
      </w:r>
      <w:r>
        <w:rPr>
          <w:rFonts w:hint="eastAsia" w:ascii="仿宋_GB2312" w:hAnsi="仿宋" w:eastAsia="仿宋_GB2312"/>
          <w:sz w:val="32"/>
          <w:lang w:val="zh-CN"/>
        </w:rPr>
        <w:t>项目资金预算不够，机关</w:t>
      </w:r>
      <w:r>
        <w:rPr>
          <w:rFonts w:hint="eastAsia" w:ascii="仿宋_GB2312" w:hAnsi="仿宋" w:eastAsia="仿宋_GB2312"/>
          <w:sz w:val="32"/>
        </w:rPr>
        <w:t>公用</w:t>
      </w:r>
      <w:r>
        <w:rPr>
          <w:rFonts w:hint="eastAsia" w:ascii="仿宋_GB2312" w:hAnsi="仿宋" w:eastAsia="仿宋_GB2312"/>
          <w:sz w:val="32"/>
          <w:lang w:val="zh-CN"/>
        </w:rPr>
        <w:t>经费补贴较多。</w:t>
      </w:r>
      <w:r>
        <w:rPr>
          <w:rFonts w:hint="eastAsia" w:ascii="仿宋_GB2312" w:hAnsi="仿宋" w:eastAsia="仿宋_GB2312"/>
          <w:sz w:val="32"/>
        </w:rPr>
        <w:t>下一步改进措施：</w:t>
      </w:r>
      <w:r>
        <w:rPr>
          <w:rFonts w:hint="eastAsia" w:ascii="仿宋_GB2312" w:hAnsi="仿宋" w:eastAsia="仿宋_GB2312"/>
          <w:sz w:val="32"/>
          <w:lang w:val="zh-CN"/>
        </w:rPr>
        <w:t>建议加大对</w:t>
      </w:r>
      <w:r>
        <w:rPr>
          <w:rFonts w:hint="eastAsia" w:ascii="仿宋_GB2312" w:hAnsi="仿宋" w:eastAsia="仿宋_GB2312"/>
          <w:sz w:val="32"/>
        </w:rPr>
        <w:t>乡村振兴帮扶村</w:t>
      </w:r>
      <w:r>
        <w:rPr>
          <w:rFonts w:hint="eastAsia" w:ascii="仿宋_GB2312" w:hAnsi="仿宋" w:eastAsia="仿宋_GB2312"/>
          <w:sz w:val="32"/>
          <w:lang w:val="zh-CN"/>
        </w:rPr>
        <w:t>驻村帮扶力量的关心关爱，增加</w:t>
      </w:r>
      <w:r>
        <w:rPr>
          <w:rFonts w:hint="eastAsia" w:ascii="仿宋_GB2312" w:hAnsi="仿宋" w:eastAsia="仿宋_GB2312"/>
          <w:sz w:val="32"/>
        </w:rPr>
        <w:t>资金保障</w:t>
      </w:r>
      <w:r>
        <w:rPr>
          <w:rFonts w:hint="eastAsia" w:ascii="仿宋_GB2312" w:hAnsi="仿宋" w:eastAsia="仿宋_GB2312"/>
          <w:sz w:val="32"/>
          <w:lang w:val="zh-CN"/>
        </w:rPr>
        <w:t>。</w:t>
      </w:r>
    </w:p>
    <w:p>
      <w:pPr>
        <w:spacing w:line="576" w:lineRule="exact"/>
        <w:ind w:firstLine="640" w:firstLineChars="200"/>
        <w:rPr>
          <w:rFonts w:ascii="仿宋_GB2312" w:hAnsi="仿宋_GB2312" w:eastAsia="仿宋_GB2312" w:cs="仿宋_GB2312"/>
          <w:sz w:val="32"/>
          <w:szCs w:val="32"/>
          <w:lang w:val="zh-CN"/>
        </w:rPr>
      </w:pPr>
      <w:r>
        <w:rPr>
          <w:rFonts w:hint="eastAsia" w:ascii="仿宋_GB2312" w:hAnsi="仿宋" w:eastAsia="仿宋_GB2312"/>
          <w:sz w:val="32"/>
        </w:rPr>
        <w:t>（2）垃圾回收分类处理点维护建设项目绩效目标完成情况综述。项目全年预算数7万元，执行数为7万元，完成预算的100%。通过项目实施，</w:t>
      </w:r>
      <w:r>
        <w:rPr>
          <w:rFonts w:hint="eastAsia" w:ascii="仿宋_GB2312" w:hAnsi="仿宋" w:eastAsia="仿宋_GB2312"/>
          <w:sz w:val="32"/>
          <w:lang w:val="zh-CN"/>
        </w:rPr>
        <w:t>加大</w:t>
      </w:r>
      <w:r>
        <w:rPr>
          <w:rFonts w:hint="eastAsia" w:ascii="仿宋_GB2312" w:hAnsi="仿宋" w:eastAsia="仿宋_GB2312"/>
          <w:sz w:val="32"/>
        </w:rPr>
        <w:t>回收站点</w:t>
      </w:r>
      <w:r>
        <w:rPr>
          <w:rFonts w:hint="eastAsia" w:ascii="仿宋_GB2312" w:hAnsi="仿宋" w:eastAsia="仿宋_GB2312"/>
          <w:sz w:val="32"/>
          <w:lang w:val="zh-CN"/>
        </w:rPr>
        <w:t>维修维护力度，</w:t>
      </w:r>
      <w:r>
        <w:rPr>
          <w:rFonts w:hint="eastAsia" w:ascii="仿宋_GB2312" w:hAnsi="仿宋" w:eastAsia="仿宋_GB2312"/>
          <w:sz w:val="32"/>
        </w:rPr>
        <w:t>健全了</w:t>
      </w:r>
      <w:r>
        <w:rPr>
          <w:rFonts w:hint="eastAsia" w:ascii="仿宋_GB2312" w:hAnsi="仿宋" w:eastAsia="仿宋_GB2312"/>
          <w:sz w:val="32"/>
          <w:lang w:val="zh-CN"/>
        </w:rPr>
        <w:t>垃圾回收体系建设，</w:t>
      </w:r>
      <w:r>
        <w:rPr>
          <w:rFonts w:hint="eastAsia" w:ascii="仿宋_GB2312" w:hAnsi="仿宋" w:eastAsia="仿宋_GB2312"/>
          <w:sz w:val="32"/>
        </w:rPr>
        <w:t>不断</w:t>
      </w:r>
      <w:r>
        <w:rPr>
          <w:rFonts w:hint="eastAsia" w:ascii="仿宋_GB2312" w:hAnsi="仿宋" w:eastAsia="仿宋_GB2312"/>
          <w:sz w:val="32"/>
          <w:lang w:val="zh-CN"/>
        </w:rPr>
        <w:t>提高群众参与垃圾分类的自觉性和主动性，环保意识</w:t>
      </w:r>
      <w:r>
        <w:rPr>
          <w:rFonts w:hint="eastAsia" w:ascii="仿宋_GB2312" w:hAnsi="仿宋" w:eastAsia="仿宋_GB2312"/>
          <w:sz w:val="32"/>
        </w:rPr>
        <w:t>进一步增强</w:t>
      </w:r>
      <w:r>
        <w:rPr>
          <w:rFonts w:hint="eastAsia" w:ascii="仿宋_GB2312" w:hAnsi="仿宋" w:eastAsia="仿宋_GB2312"/>
          <w:sz w:val="32"/>
          <w:lang w:val="zh-CN"/>
        </w:rPr>
        <w:t>。</w:t>
      </w:r>
      <w:r>
        <w:rPr>
          <w:rFonts w:hint="eastAsia" w:ascii="仿宋_GB2312" w:hAnsi="仿宋" w:eastAsia="仿宋_GB2312"/>
          <w:sz w:val="32"/>
        </w:rPr>
        <w:t>发现的主要问题：一是</w:t>
      </w:r>
      <w:r>
        <w:rPr>
          <w:rFonts w:hint="eastAsia" w:ascii="仿宋_GB2312" w:hAnsi="仿宋" w:eastAsia="仿宋_GB2312"/>
          <w:sz w:val="32"/>
          <w:lang w:val="zh-CN"/>
        </w:rPr>
        <w:t>再生资源回收站点</w:t>
      </w:r>
      <w:r>
        <w:rPr>
          <w:rFonts w:hint="eastAsia" w:ascii="仿宋_GB2312" w:hAnsi="仿宋" w:eastAsia="仿宋_GB2312"/>
          <w:sz w:val="32"/>
        </w:rPr>
        <w:t>还存在</w:t>
      </w:r>
      <w:r>
        <w:rPr>
          <w:rFonts w:hint="eastAsia" w:ascii="仿宋_GB2312" w:hAnsi="仿宋" w:eastAsia="仿宋_GB2312"/>
          <w:sz w:val="32"/>
          <w:lang w:val="zh-CN"/>
        </w:rPr>
        <w:t>无证无照经营</w:t>
      </w:r>
      <w:r>
        <w:rPr>
          <w:rFonts w:hint="eastAsia" w:ascii="仿宋_GB2312" w:hAnsi="仿宋" w:eastAsia="仿宋_GB2312"/>
          <w:sz w:val="32"/>
        </w:rPr>
        <w:t>的现象；二是对经营、管理的监督缺乏责任主体；三是经营网点环境卫生较差，管理混乱；四是</w:t>
      </w:r>
      <w:r>
        <w:rPr>
          <w:rFonts w:hint="eastAsia" w:ascii="仿宋_GB2312" w:hAnsi="仿宋" w:eastAsia="仿宋_GB2312"/>
          <w:sz w:val="32"/>
          <w:lang w:val="zh-CN"/>
        </w:rPr>
        <w:t>垃圾分类宣传力度不够，群众垃圾分类意识</w:t>
      </w:r>
      <w:r>
        <w:rPr>
          <w:rFonts w:hint="eastAsia" w:ascii="仿宋_GB2312" w:hAnsi="仿宋" w:eastAsia="仿宋_GB2312"/>
          <w:sz w:val="32"/>
        </w:rPr>
        <w:t>不强</w:t>
      </w:r>
      <w:r>
        <w:rPr>
          <w:rFonts w:hint="eastAsia" w:ascii="仿宋_GB2312" w:hAnsi="仿宋" w:eastAsia="仿宋_GB2312"/>
          <w:sz w:val="32"/>
          <w:lang w:val="zh-CN"/>
        </w:rPr>
        <w:t>。</w:t>
      </w:r>
      <w:r>
        <w:rPr>
          <w:rFonts w:hint="eastAsia" w:ascii="仿宋_GB2312" w:hAnsi="仿宋" w:eastAsia="仿宋_GB2312"/>
          <w:sz w:val="32"/>
        </w:rPr>
        <w:t>下一步改进措施：</w:t>
      </w:r>
      <w:r>
        <w:rPr>
          <w:rFonts w:hint="eastAsia" w:ascii="仿宋_GB2312" w:hAnsi="仿宋" w:eastAsia="仿宋_GB2312"/>
          <w:sz w:val="32"/>
          <w:lang w:val="zh-CN"/>
        </w:rPr>
        <w:t>一是</w:t>
      </w:r>
      <w:r>
        <w:rPr>
          <w:rFonts w:hint="eastAsia" w:ascii="仿宋_GB2312" w:hAnsi="仿宋" w:eastAsia="仿宋_GB2312"/>
          <w:sz w:val="32"/>
        </w:rPr>
        <w:t>加强回收网点管理，提升</w:t>
      </w:r>
      <w:r>
        <w:rPr>
          <w:rFonts w:hint="eastAsia" w:ascii="仿宋_GB2312" w:hAnsi="仿宋" w:eastAsia="仿宋_GB2312"/>
          <w:sz w:val="32"/>
          <w:lang w:val="zh-CN"/>
        </w:rPr>
        <w:t>回收服务人员</w:t>
      </w:r>
      <w:r>
        <w:rPr>
          <w:rFonts w:hint="eastAsia" w:ascii="仿宋_GB2312" w:hAnsi="仿宋_GB2312" w:eastAsia="仿宋_GB2312" w:cs="仿宋_GB2312"/>
          <w:sz w:val="32"/>
          <w:szCs w:val="32"/>
          <w:lang w:val="zh-CN"/>
        </w:rPr>
        <w:t>职业技能和服务水平；二是按照</w:t>
      </w:r>
      <w:r>
        <w:rPr>
          <w:rFonts w:hint="eastAsia" w:ascii="仿宋_GB2312" w:hAnsi="仿宋_GB2312" w:eastAsia="仿宋_GB2312" w:cs="仿宋_GB2312"/>
          <w:sz w:val="32"/>
          <w:szCs w:val="32"/>
        </w:rPr>
        <w:t>统一</w:t>
      </w:r>
      <w:r>
        <w:rPr>
          <w:rFonts w:hint="eastAsia" w:ascii="仿宋_GB2312" w:hAnsi="仿宋_GB2312" w:eastAsia="仿宋_GB2312" w:cs="仿宋_GB2312"/>
          <w:sz w:val="32"/>
          <w:szCs w:val="32"/>
          <w:lang w:val="zh-CN"/>
        </w:rPr>
        <w:t>标准升级改造</w:t>
      </w:r>
      <w:r>
        <w:rPr>
          <w:rFonts w:hint="eastAsia" w:ascii="仿宋_GB2312" w:hAnsi="仿宋_GB2312" w:eastAsia="仿宋_GB2312" w:cs="仿宋_GB2312"/>
          <w:sz w:val="32"/>
          <w:szCs w:val="32"/>
        </w:rPr>
        <w:t>再生资源</w:t>
      </w:r>
      <w:r>
        <w:rPr>
          <w:rFonts w:hint="eastAsia" w:ascii="仿宋_GB2312" w:hAnsi="仿宋_GB2312" w:eastAsia="仿宋_GB2312" w:cs="仿宋_GB2312"/>
          <w:sz w:val="32"/>
          <w:szCs w:val="32"/>
          <w:lang w:val="zh-CN"/>
        </w:rPr>
        <w:t>回收</w:t>
      </w:r>
      <w:r>
        <w:rPr>
          <w:rFonts w:hint="eastAsia" w:ascii="仿宋_GB2312" w:hAnsi="仿宋_GB2312" w:eastAsia="仿宋_GB2312" w:cs="仿宋_GB2312"/>
          <w:sz w:val="32"/>
          <w:szCs w:val="32"/>
        </w:rPr>
        <w:t>网点</w:t>
      </w:r>
      <w:r>
        <w:rPr>
          <w:rFonts w:hint="eastAsia" w:ascii="仿宋_GB2312" w:hAnsi="仿宋_GB2312" w:eastAsia="仿宋_GB2312" w:cs="仿宋_GB2312"/>
          <w:sz w:val="32"/>
          <w:szCs w:val="32"/>
          <w:lang w:val="zh-CN"/>
        </w:rPr>
        <w:t>。三是</w:t>
      </w:r>
      <w:r>
        <w:rPr>
          <w:rFonts w:hint="eastAsia" w:ascii="仿宋_GB2312" w:hAnsi="仿宋_GB2312" w:eastAsia="仿宋_GB2312" w:cs="仿宋_GB2312"/>
          <w:sz w:val="32"/>
          <w:szCs w:val="32"/>
        </w:rPr>
        <w:t>加强垃圾分类回收宣传力度，确保废弃农膜等再生资源回收率，</w:t>
      </w:r>
      <w:r>
        <w:rPr>
          <w:rFonts w:hint="eastAsia" w:ascii="仿宋_GB2312" w:hAnsi="仿宋_GB2312" w:eastAsia="仿宋_GB2312" w:cs="仿宋_GB2312"/>
          <w:sz w:val="32"/>
          <w:szCs w:val="32"/>
          <w:lang w:val="zh-CN"/>
        </w:rPr>
        <w:t>引导群众</w:t>
      </w:r>
      <w:r>
        <w:rPr>
          <w:rFonts w:hint="eastAsia" w:ascii="仿宋_GB2312" w:hAnsi="仿宋_GB2312" w:eastAsia="仿宋_GB2312" w:cs="仿宋_GB2312"/>
          <w:sz w:val="32"/>
          <w:szCs w:val="32"/>
        </w:rPr>
        <w:t>积极</w:t>
      </w:r>
      <w:r>
        <w:rPr>
          <w:rFonts w:hint="eastAsia" w:ascii="仿宋_GB2312" w:hAnsi="仿宋_GB2312" w:eastAsia="仿宋_GB2312" w:cs="仿宋_GB2312"/>
          <w:sz w:val="32"/>
          <w:szCs w:val="32"/>
          <w:lang w:val="zh-CN"/>
        </w:rPr>
        <w:t>参与垃圾分类。</w:t>
      </w:r>
    </w:p>
    <w:p>
      <w:pPr>
        <w:spacing w:line="576" w:lineRule="exact"/>
        <w:ind w:firstLine="640" w:firstLineChars="200"/>
        <w:rPr>
          <w:rFonts w:ascii="仿宋_GB2312" w:hAnsi="仿宋" w:eastAsia="仿宋_GB2312"/>
          <w:sz w:val="32"/>
        </w:rPr>
      </w:pPr>
      <w:r>
        <w:rPr>
          <w:rFonts w:hint="eastAsia" w:ascii="仿宋_GB2312" w:hAnsi="仿宋_GB2312" w:eastAsia="仿宋_GB2312" w:cs="仿宋_GB2312"/>
          <w:sz w:val="32"/>
          <w:szCs w:val="32"/>
        </w:rPr>
        <w:t>（3）深化供销合作社综合改革项目绩效目标完成情况综述。项目全年预算数8万元，执行数为8万</w:t>
      </w:r>
      <w:r>
        <w:rPr>
          <w:rFonts w:hint="eastAsia" w:ascii="仿宋_GB2312" w:hAnsi="仿宋" w:eastAsia="仿宋_GB2312"/>
          <w:sz w:val="32"/>
        </w:rPr>
        <w:t>元，完成预算的100%。通过项目实施，支持了深化供销合作社综合改革，以“为农、务农、姓农”的服务宗旨，不断强化组织建设，完善服务功能，健全服务体系，全力服务三农和乡村振兴工作大局。发现的主要问题：一是供销社系统为农服务能力较弱，为农服务功能较少；二是供销社收入来源单一，收入总量少，大多基层社、社有企业仅能保障自身运转和人员供养，深化改革压力较大；三是深化供销社综合改革项目规划较少，资金投入不足。下一步改进措施：一是切实为供销社综合改革提供政策保障，进一步挖掘供销系统人财物等内部潜力，转变经营方式，为供销社恢复服务三农功能提供政策支持；二是加大深化供销社综合改革项目资金等投入；三是进一步完善供销社服务体系建设。</w:t>
      </w:r>
    </w:p>
    <w:p>
      <w:pPr>
        <w:spacing w:line="576" w:lineRule="exact"/>
        <w:ind w:firstLine="640" w:firstLineChars="200"/>
        <w:rPr>
          <w:rFonts w:ascii="仿宋_GB2312" w:hAnsi="仿宋_GB2312" w:eastAsia="仿宋_GB2312" w:cs="仿宋_GB2312"/>
          <w:sz w:val="32"/>
          <w:szCs w:val="32"/>
        </w:rPr>
      </w:pPr>
    </w:p>
    <w:p>
      <w:pPr>
        <w:spacing w:line="576" w:lineRule="exact"/>
        <w:ind w:firstLine="640" w:firstLineChars="200"/>
        <w:rPr>
          <w:rFonts w:ascii="仿宋_GB2312" w:hAnsi="仿宋_GB2312" w:eastAsia="仿宋_GB2312" w:cs="仿宋_GB2312"/>
          <w:sz w:val="32"/>
          <w:szCs w:val="32"/>
        </w:rPr>
      </w:pPr>
    </w:p>
    <w:p>
      <w:pPr>
        <w:spacing w:line="576" w:lineRule="exact"/>
        <w:ind w:firstLine="640" w:firstLineChars="200"/>
        <w:rPr>
          <w:rFonts w:ascii="仿宋_GB2312" w:hAnsi="仿宋_GB2312" w:eastAsia="仿宋_GB2312" w:cs="仿宋_GB2312"/>
          <w:sz w:val="32"/>
          <w:szCs w:val="32"/>
        </w:rPr>
      </w:pPr>
    </w:p>
    <w:p>
      <w:pPr>
        <w:spacing w:line="576" w:lineRule="exact"/>
        <w:ind w:firstLine="640" w:firstLineChars="200"/>
        <w:rPr>
          <w:rFonts w:ascii="仿宋_GB2312" w:hAnsi="仿宋_GB2312" w:eastAsia="仿宋_GB2312" w:cs="仿宋_GB2312"/>
          <w:sz w:val="32"/>
          <w:szCs w:val="32"/>
        </w:rPr>
      </w:pPr>
    </w:p>
    <w:p>
      <w:pPr>
        <w:spacing w:line="576" w:lineRule="exact"/>
        <w:ind w:firstLine="640" w:firstLineChars="200"/>
        <w:rPr>
          <w:rFonts w:ascii="仿宋_GB2312" w:hAnsi="仿宋_GB2312" w:eastAsia="仿宋_GB2312" w:cs="仿宋_GB2312"/>
          <w:sz w:val="32"/>
          <w:szCs w:val="32"/>
        </w:rPr>
      </w:pPr>
    </w:p>
    <w:p>
      <w:pPr>
        <w:spacing w:line="576" w:lineRule="exact"/>
        <w:ind w:firstLine="640" w:firstLineChars="200"/>
        <w:rPr>
          <w:rFonts w:ascii="仿宋_GB2312" w:hAnsi="仿宋_GB2312" w:eastAsia="仿宋_GB2312" w:cs="仿宋_GB2312"/>
          <w:sz w:val="32"/>
          <w:szCs w:val="32"/>
        </w:rPr>
      </w:pPr>
    </w:p>
    <w:p>
      <w:pPr>
        <w:spacing w:line="576" w:lineRule="exact"/>
        <w:ind w:firstLine="640" w:firstLineChars="200"/>
        <w:rPr>
          <w:rFonts w:ascii="仿宋_GB2312" w:hAnsi="仿宋_GB2312" w:eastAsia="仿宋_GB2312" w:cs="仿宋_GB2312"/>
          <w:sz w:val="32"/>
          <w:szCs w:val="32"/>
        </w:rPr>
      </w:pPr>
    </w:p>
    <w:p>
      <w:pPr>
        <w:spacing w:line="576" w:lineRule="exact"/>
        <w:ind w:firstLine="640" w:firstLineChars="200"/>
        <w:rPr>
          <w:rFonts w:ascii="仿宋_GB2312" w:hAnsi="仿宋_GB2312" w:eastAsia="仿宋_GB2312" w:cs="仿宋_GB2312"/>
          <w:sz w:val="32"/>
          <w:szCs w:val="32"/>
        </w:rPr>
      </w:pPr>
    </w:p>
    <w:p>
      <w:pPr>
        <w:spacing w:line="576" w:lineRule="exact"/>
        <w:ind w:firstLine="640" w:firstLineChars="200"/>
        <w:rPr>
          <w:rFonts w:ascii="仿宋_GB2312" w:hAnsi="仿宋_GB2312" w:eastAsia="仿宋_GB2312" w:cs="仿宋_GB2312"/>
          <w:sz w:val="32"/>
          <w:szCs w:val="32"/>
        </w:rPr>
      </w:pPr>
    </w:p>
    <w:p>
      <w:pPr>
        <w:spacing w:line="576" w:lineRule="exact"/>
        <w:ind w:firstLine="640" w:firstLineChars="200"/>
        <w:rPr>
          <w:rFonts w:ascii="仿宋_GB2312" w:hAnsi="仿宋_GB2312" w:eastAsia="仿宋_GB2312" w:cs="仿宋_GB2312"/>
          <w:sz w:val="32"/>
          <w:szCs w:val="32"/>
        </w:rPr>
      </w:pPr>
    </w:p>
    <w:p>
      <w:pPr>
        <w:spacing w:line="576" w:lineRule="exact"/>
        <w:rPr>
          <w:rFonts w:ascii="仿宋_GB2312" w:hAnsi="仿宋_GB2312" w:eastAsia="仿宋_GB2312" w:cs="仿宋_GB2312"/>
          <w:sz w:val="32"/>
          <w:szCs w:val="32"/>
        </w:rPr>
      </w:pPr>
    </w:p>
    <w:p>
      <w:pPr>
        <w:spacing w:line="576" w:lineRule="exact"/>
        <w:rPr>
          <w:rFonts w:ascii="仿宋_GB2312" w:hAnsi="仿宋_GB2312" w:eastAsia="仿宋_GB2312" w:cs="仿宋_GB2312"/>
          <w:sz w:val="32"/>
          <w:szCs w:val="32"/>
        </w:rPr>
      </w:pPr>
    </w:p>
    <w:p>
      <w:pPr>
        <w:spacing w:line="576" w:lineRule="exact"/>
        <w:rPr>
          <w:rFonts w:ascii="仿宋_GB2312" w:hAnsi="仿宋_GB2312" w:eastAsia="仿宋_GB2312" w:cs="仿宋_GB2312"/>
          <w:sz w:val="32"/>
          <w:szCs w:val="32"/>
        </w:rPr>
      </w:pPr>
    </w:p>
    <w:p>
      <w:pPr>
        <w:spacing w:line="576" w:lineRule="exact"/>
        <w:rPr>
          <w:rFonts w:ascii="仿宋_GB2312" w:hAnsi="仿宋_GB2312" w:eastAsia="仿宋_GB2312" w:cs="仿宋_GB2312"/>
          <w:sz w:val="32"/>
          <w:szCs w:val="32"/>
        </w:rPr>
      </w:pPr>
    </w:p>
    <w:tbl>
      <w:tblPr>
        <w:tblStyle w:val="15"/>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576"/>
        <w:gridCol w:w="93"/>
        <w:gridCol w:w="18"/>
        <w:gridCol w:w="1070"/>
        <w:gridCol w:w="1191"/>
        <w:gridCol w:w="2089"/>
        <w:gridCol w:w="137"/>
        <w:gridCol w:w="2394"/>
        <w:gridCol w:w="112"/>
        <w:gridCol w:w="2280"/>
      </w:tblGrid>
      <w:tr>
        <w:tblPrEx>
          <w:tblCellMar>
            <w:top w:w="0" w:type="dxa"/>
            <w:left w:w="0" w:type="dxa"/>
            <w:bottom w:w="0" w:type="dxa"/>
            <w:right w:w="0" w:type="dxa"/>
          </w:tblCellMar>
        </w:tblPrEx>
        <w:trPr>
          <w:trHeight w:val="1034" w:hRule="atLeast"/>
          <w:jc w:val="center"/>
        </w:trPr>
        <w:tc>
          <w:tcPr>
            <w:tcW w:w="9960" w:type="dxa"/>
            <w:gridSpan w:val="10"/>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(2020年度)</w:t>
            </w:r>
          </w:p>
        </w:tc>
      </w:tr>
      <w:tr>
        <w:tblPrEx>
          <w:tblCellMar>
            <w:top w:w="0" w:type="dxa"/>
            <w:left w:w="0" w:type="dxa"/>
            <w:bottom w:w="0" w:type="dxa"/>
            <w:right w:w="0" w:type="dxa"/>
          </w:tblCellMar>
        </w:tblPrEx>
        <w:trPr>
          <w:trHeight w:val="276" w:hRule="atLeast"/>
          <w:jc w:val="center"/>
        </w:trPr>
        <w:tc>
          <w:tcPr>
            <w:tcW w:w="2948"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项目名称</w:t>
            </w:r>
          </w:p>
        </w:tc>
        <w:tc>
          <w:tcPr>
            <w:tcW w:w="701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非贫困村第一书记、工作队队员工作经费</w:t>
            </w:r>
          </w:p>
        </w:tc>
      </w:tr>
      <w:tr>
        <w:tblPrEx>
          <w:tblCellMar>
            <w:top w:w="0" w:type="dxa"/>
            <w:left w:w="0" w:type="dxa"/>
            <w:bottom w:w="0" w:type="dxa"/>
            <w:right w:w="0" w:type="dxa"/>
          </w:tblCellMar>
        </w:tblPrEx>
        <w:trPr>
          <w:trHeight w:val="276" w:hRule="atLeast"/>
          <w:jc w:val="center"/>
        </w:trPr>
        <w:tc>
          <w:tcPr>
            <w:tcW w:w="2948"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预算单位</w:t>
            </w:r>
          </w:p>
        </w:tc>
        <w:tc>
          <w:tcPr>
            <w:tcW w:w="701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广元市利州区供销合作社联合社</w:t>
            </w:r>
          </w:p>
        </w:tc>
      </w:tr>
      <w:tr>
        <w:tblPrEx>
          <w:tblCellMar>
            <w:top w:w="0" w:type="dxa"/>
            <w:left w:w="0" w:type="dxa"/>
            <w:bottom w:w="0" w:type="dxa"/>
            <w:right w:w="0" w:type="dxa"/>
          </w:tblCellMar>
        </w:tblPrEx>
        <w:trPr>
          <w:trHeight w:val="276"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预算执行情况(万元)</w:t>
            </w:r>
          </w:p>
        </w:tc>
        <w:tc>
          <w:tcPr>
            <w:tcW w:w="237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预算数:</w:t>
            </w:r>
          </w:p>
        </w:tc>
        <w:tc>
          <w:tcPr>
            <w:tcW w:w="20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0.5</w:t>
            </w:r>
          </w:p>
        </w:tc>
        <w:tc>
          <w:tcPr>
            <w:tcW w:w="264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执行数:</w:t>
            </w:r>
          </w:p>
        </w:tc>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0.5</w:t>
            </w:r>
          </w:p>
        </w:tc>
      </w:tr>
      <w:tr>
        <w:tblPrEx>
          <w:tblCellMar>
            <w:top w:w="0" w:type="dxa"/>
            <w:left w:w="0" w:type="dxa"/>
            <w:bottom w:w="0" w:type="dxa"/>
            <w:right w:w="0" w:type="dxa"/>
          </w:tblCellMar>
        </w:tblPrEx>
        <w:trPr>
          <w:trHeight w:val="276"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p>
        </w:tc>
        <w:tc>
          <w:tcPr>
            <w:tcW w:w="237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其中-财政拨款:</w:t>
            </w:r>
          </w:p>
        </w:tc>
        <w:tc>
          <w:tcPr>
            <w:tcW w:w="20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0.5</w:t>
            </w:r>
          </w:p>
        </w:tc>
        <w:tc>
          <w:tcPr>
            <w:tcW w:w="264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其中-财政拨款:</w:t>
            </w:r>
          </w:p>
        </w:tc>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0.5</w:t>
            </w:r>
          </w:p>
        </w:tc>
      </w:tr>
      <w:tr>
        <w:tblPrEx>
          <w:tblCellMar>
            <w:top w:w="0" w:type="dxa"/>
            <w:left w:w="0" w:type="dxa"/>
            <w:bottom w:w="0" w:type="dxa"/>
            <w:right w:w="0" w:type="dxa"/>
          </w:tblCellMar>
        </w:tblPrEx>
        <w:trPr>
          <w:trHeight w:val="1028"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p>
        </w:tc>
        <w:tc>
          <w:tcPr>
            <w:tcW w:w="237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其它资金:</w:t>
            </w:r>
          </w:p>
        </w:tc>
        <w:tc>
          <w:tcPr>
            <w:tcW w:w="20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0</w:t>
            </w:r>
          </w:p>
        </w:tc>
        <w:tc>
          <w:tcPr>
            <w:tcW w:w="264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其它资金:</w:t>
            </w:r>
          </w:p>
        </w:tc>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0</w:t>
            </w:r>
          </w:p>
        </w:tc>
      </w:tr>
      <w:tr>
        <w:tblPrEx>
          <w:tblCellMar>
            <w:top w:w="0" w:type="dxa"/>
            <w:left w:w="0" w:type="dxa"/>
            <w:bottom w:w="0" w:type="dxa"/>
            <w:right w:w="0" w:type="dxa"/>
          </w:tblCellMar>
        </w:tblPrEx>
        <w:trPr>
          <w:trHeight w:val="276"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年度目标完成情况</w:t>
            </w:r>
          </w:p>
        </w:tc>
        <w:tc>
          <w:tcPr>
            <w:tcW w:w="4461"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预期目标</w:t>
            </w:r>
          </w:p>
        </w:tc>
        <w:tc>
          <w:tcPr>
            <w:tcW w:w="492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92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p>
        </w:tc>
        <w:tc>
          <w:tcPr>
            <w:tcW w:w="4461"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对选派的第一书记、驻村工作队队员实现全覆盖慰问</w:t>
            </w:r>
          </w:p>
        </w:tc>
        <w:tc>
          <w:tcPr>
            <w:tcW w:w="492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已全面完成预期目标</w:t>
            </w:r>
          </w:p>
        </w:tc>
      </w:tr>
      <w:tr>
        <w:tblPrEx>
          <w:tblCellMar>
            <w:top w:w="0" w:type="dxa"/>
            <w:left w:w="0" w:type="dxa"/>
            <w:bottom w:w="0" w:type="dxa"/>
            <w:right w:w="0" w:type="dxa"/>
          </w:tblCellMar>
        </w:tblPrEx>
        <w:trPr>
          <w:trHeight w:val="1042" w:hRule="atLeast"/>
          <w:jc w:val="center"/>
        </w:trPr>
        <w:tc>
          <w:tcPr>
            <w:tcW w:w="57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绩效指标完成情况</w:t>
            </w:r>
          </w:p>
        </w:tc>
        <w:tc>
          <w:tcPr>
            <w:tcW w:w="118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一级指标</w:t>
            </w:r>
          </w:p>
        </w:tc>
        <w:tc>
          <w:tcPr>
            <w:tcW w:w="1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二级指标</w:t>
            </w:r>
          </w:p>
        </w:tc>
        <w:tc>
          <w:tcPr>
            <w:tcW w:w="20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三级指标</w:t>
            </w:r>
          </w:p>
        </w:tc>
        <w:tc>
          <w:tcPr>
            <w:tcW w:w="264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预期指标值(包含数字及文字描述)</w:t>
            </w:r>
          </w:p>
        </w:tc>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57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p>
        </w:tc>
        <w:tc>
          <w:tcPr>
            <w:tcW w:w="118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数量指标</w:t>
            </w:r>
          </w:p>
        </w:tc>
        <w:tc>
          <w:tcPr>
            <w:tcW w:w="20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1个非贫困村</w:t>
            </w:r>
          </w:p>
        </w:tc>
        <w:tc>
          <w:tcPr>
            <w:tcW w:w="264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对非贫困村驻村工作队员3人给予生活补助和慰问。</w:t>
            </w:r>
          </w:p>
        </w:tc>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已全覆保障</w:t>
            </w:r>
          </w:p>
        </w:tc>
      </w:tr>
      <w:tr>
        <w:tblPrEx>
          <w:tblCellMar>
            <w:top w:w="0" w:type="dxa"/>
            <w:left w:w="0" w:type="dxa"/>
            <w:bottom w:w="0" w:type="dxa"/>
            <w:right w:w="0" w:type="dxa"/>
          </w:tblCellMar>
        </w:tblPrEx>
        <w:trPr>
          <w:trHeight w:val="559" w:hRule="atLeast"/>
          <w:jc w:val="center"/>
        </w:trPr>
        <w:tc>
          <w:tcPr>
            <w:tcW w:w="57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p>
        </w:tc>
        <w:tc>
          <w:tcPr>
            <w:tcW w:w="118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时效指标</w:t>
            </w:r>
          </w:p>
        </w:tc>
        <w:tc>
          <w:tcPr>
            <w:tcW w:w="20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2020年全年</w:t>
            </w:r>
          </w:p>
        </w:tc>
        <w:tc>
          <w:tcPr>
            <w:tcW w:w="264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2020年内</w:t>
            </w:r>
          </w:p>
        </w:tc>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已完成</w:t>
            </w:r>
          </w:p>
        </w:tc>
      </w:tr>
      <w:tr>
        <w:tblPrEx>
          <w:tblCellMar>
            <w:top w:w="0" w:type="dxa"/>
            <w:left w:w="0" w:type="dxa"/>
            <w:bottom w:w="0" w:type="dxa"/>
            <w:right w:w="0" w:type="dxa"/>
          </w:tblCellMar>
        </w:tblPrEx>
        <w:trPr>
          <w:trHeight w:val="767" w:hRule="atLeast"/>
          <w:jc w:val="center"/>
        </w:trPr>
        <w:tc>
          <w:tcPr>
            <w:tcW w:w="57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p>
        </w:tc>
        <w:tc>
          <w:tcPr>
            <w:tcW w:w="118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经济效益指标</w:t>
            </w:r>
          </w:p>
        </w:tc>
        <w:tc>
          <w:tcPr>
            <w:tcW w:w="20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资金使用规范</w:t>
            </w:r>
          </w:p>
        </w:tc>
        <w:tc>
          <w:tcPr>
            <w:tcW w:w="264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用于驻村工作力量工作经费保障和关心关怀</w:t>
            </w:r>
          </w:p>
        </w:tc>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资金使用符合管理规定</w:t>
            </w:r>
          </w:p>
        </w:tc>
      </w:tr>
      <w:tr>
        <w:tblPrEx>
          <w:tblCellMar>
            <w:top w:w="0" w:type="dxa"/>
            <w:left w:w="0" w:type="dxa"/>
            <w:bottom w:w="0" w:type="dxa"/>
            <w:right w:w="0" w:type="dxa"/>
          </w:tblCellMar>
        </w:tblPrEx>
        <w:trPr>
          <w:trHeight w:val="709" w:hRule="atLeast"/>
          <w:jc w:val="center"/>
        </w:trPr>
        <w:tc>
          <w:tcPr>
            <w:tcW w:w="57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p>
        </w:tc>
        <w:tc>
          <w:tcPr>
            <w:tcW w:w="118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质量指标</w:t>
            </w:r>
          </w:p>
        </w:tc>
        <w:tc>
          <w:tcPr>
            <w:tcW w:w="20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加强驻村帮扶力量的日常管理和关心关爱</w:t>
            </w:r>
          </w:p>
        </w:tc>
        <w:tc>
          <w:tcPr>
            <w:tcW w:w="264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激发驻村帮扶力量工作激情，履职尽责，坚决打赢脱贫攻坚战，高质量完成脱贫验收。</w:t>
            </w:r>
          </w:p>
        </w:tc>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切实解决驻村帮扶干部后顾之忧，坚定信念使命，尽职履职。</w:t>
            </w:r>
          </w:p>
        </w:tc>
      </w:tr>
      <w:tr>
        <w:tblPrEx>
          <w:tblCellMar>
            <w:top w:w="0" w:type="dxa"/>
            <w:left w:w="0" w:type="dxa"/>
            <w:bottom w:w="0" w:type="dxa"/>
            <w:right w:w="0" w:type="dxa"/>
          </w:tblCellMar>
        </w:tblPrEx>
        <w:trPr>
          <w:trHeight w:val="1297" w:hRule="atLeast"/>
          <w:jc w:val="center"/>
        </w:trPr>
        <w:tc>
          <w:tcPr>
            <w:tcW w:w="57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p>
        </w:tc>
        <w:tc>
          <w:tcPr>
            <w:tcW w:w="118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社会效益指标</w:t>
            </w:r>
          </w:p>
        </w:tc>
        <w:tc>
          <w:tcPr>
            <w:tcW w:w="20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三堆镇凉水村</w:t>
            </w:r>
          </w:p>
        </w:tc>
        <w:tc>
          <w:tcPr>
            <w:tcW w:w="264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帮扶工作有成效，群众稳定增收，持续巩固脱贫攻坚成果，基层治理有效，社会风气良好。</w:t>
            </w:r>
          </w:p>
        </w:tc>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群众满意</w:t>
            </w:r>
          </w:p>
        </w:tc>
      </w:tr>
      <w:tr>
        <w:tblPrEx>
          <w:tblCellMar>
            <w:top w:w="0" w:type="dxa"/>
            <w:left w:w="0" w:type="dxa"/>
            <w:bottom w:w="0" w:type="dxa"/>
            <w:right w:w="0" w:type="dxa"/>
          </w:tblCellMar>
        </w:tblPrEx>
        <w:trPr>
          <w:trHeight w:val="1050" w:hRule="atLeast"/>
          <w:jc w:val="center"/>
        </w:trPr>
        <w:tc>
          <w:tcPr>
            <w:tcW w:w="576"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p>
        </w:tc>
        <w:tc>
          <w:tcPr>
            <w:tcW w:w="118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满意度指标</w:t>
            </w:r>
          </w:p>
        </w:tc>
        <w:tc>
          <w:tcPr>
            <w:tcW w:w="1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成果指标</w:t>
            </w:r>
          </w:p>
        </w:tc>
        <w:tc>
          <w:tcPr>
            <w:tcW w:w="20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帮扶成效显著</w:t>
            </w:r>
          </w:p>
        </w:tc>
        <w:tc>
          <w:tcPr>
            <w:tcW w:w="264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对驻村帮扶工作力量、帮扶成效满意度高。</w:t>
            </w:r>
          </w:p>
        </w:tc>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群众满意</w:t>
            </w:r>
          </w:p>
        </w:tc>
      </w:tr>
      <w:tr>
        <w:tblPrEx>
          <w:tblCellMar>
            <w:top w:w="0" w:type="dxa"/>
            <w:left w:w="0" w:type="dxa"/>
            <w:bottom w:w="0" w:type="dxa"/>
            <w:right w:w="0" w:type="dxa"/>
          </w:tblCellMar>
        </w:tblPrEx>
        <w:trPr>
          <w:trHeight w:val="1034" w:hRule="atLeast"/>
          <w:jc w:val="center"/>
        </w:trPr>
        <w:tc>
          <w:tcPr>
            <w:tcW w:w="9960" w:type="dxa"/>
            <w:gridSpan w:val="10"/>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(2020年度)</w:t>
            </w:r>
          </w:p>
        </w:tc>
      </w:tr>
      <w:tr>
        <w:tblPrEx>
          <w:tblCellMar>
            <w:top w:w="0" w:type="dxa"/>
            <w:left w:w="0" w:type="dxa"/>
            <w:bottom w:w="0" w:type="dxa"/>
            <w:right w:w="0" w:type="dxa"/>
          </w:tblCellMar>
        </w:tblPrEx>
        <w:trPr>
          <w:trHeight w:val="276" w:hRule="atLeast"/>
          <w:jc w:val="center"/>
        </w:trPr>
        <w:tc>
          <w:tcPr>
            <w:tcW w:w="2948"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项目名称</w:t>
            </w:r>
          </w:p>
        </w:tc>
        <w:tc>
          <w:tcPr>
            <w:tcW w:w="701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垃圾回收分类处理点维护建设项目</w:t>
            </w:r>
          </w:p>
        </w:tc>
      </w:tr>
      <w:tr>
        <w:tblPrEx>
          <w:tblCellMar>
            <w:top w:w="0" w:type="dxa"/>
            <w:left w:w="0" w:type="dxa"/>
            <w:bottom w:w="0" w:type="dxa"/>
            <w:right w:w="0" w:type="dxa"/>
          </w:tblCellMar>
        </w:tblPrEx>
        <w:trPr>
          <w:trHeight w:val="276" w:hRule="atLeast"/>
          <w:jc w:val="center"/>
        </w:trPr>
        <w:tc>
          <w:tcPr>
            <w:tcW w:w="2948"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预算单位</w:t>
            </w:r>
          </w:p>
        </w:tc>
        <w:tc>
          <w:tcPr>
            <w:tcW w:w="701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广元市利州区供销合作社联合社</w:t>
            </w:r>
          </w:p>
        </w:tc>
      </w:tr>
      <w:tr>
        <w:tblPrEx>
          <w:tblCellMar>
            <w:top w:w="0" w:type="dxa"/>
            <w:left w:w="0" w:type="dxa"/>
            <w:bottom w:w="0" w:type="dxa"/>
            <w:right w:w="0" w:type="dxa"/>
          </w:tblCellMar>
        </w:tblPrEx>
        <w:trPr>
          <w:trHeight w:val="276" w:hRule="atLeast"/>
          <w:jc w:val="center"/>
        </w:trPr>
        <w:tc>
          <w:tcPr>
            <w:tcW w:w="687" w:type="dxa"/>
            <w:gridSpan w:val="3"/>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预算执行情况(万元)</w:t>
            </w:r>
          </w:p>
        </w:tc>
        <w:tc>
          <w:tcPr>
            <w:tcW w:w="226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预算数:</w:t>
            </w:r>
          </w:p>
        </w:tc>
        <w:tc>
          <w:tcPr>
            <w:tcW w:w="20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7</w:t>
            </w:r>
          </w:p>
        </w:tc>
        <w:tc>
          <w:tcPr>
            <w:tcW w:w="264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执行数:</w:t>
            </w:r>
          </w:p>
        </w:tc>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7</w:t>
            </w:r>
          </w:p>
        </w:tc>
      </w:tr>
      <w:tr>
        <w:tblPrEx>
          <w:tblCellMar>
            <w:top w:w="0" w:type="dxa"/>
            <w:left w:w="0" w:type="dxa"/>
            <w:bottom w:w="0" w:type="dxa"/>
            <w:right w:w="0" w:type="dxa"/>
          </w:tblCellMar>
        </w:tblPrEx>
        <w:trPr>
          <w:trHeight w:val="276" w:hRule="atLeast"/>
          <w:jc w:val="center"/>
        </w:trPr>
        <w:tc>
          <w:tcPr>
            <w:tcW w:w="687"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p>
        </w:tc>
        <w:tc>
          <w:tcPr>
            <w:tcW w:w="226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其中-财政拨款:</w:t>
            </w:r>
          </w:p>
        </w:tc>
        <w:tc>
          <w:tcPr>
            <w:tcW w:w="20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7</w:t>
            </w:r>
          </w:p>
        </w:tc>
        <w:tc>
          <w:tcPr>
            <w:tcW w:w="264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其中-财政拨款:</w:t>
            </w:r>
          </w:p>
        </w:tc>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7</w:t>
            </w:r>
          </w:p>
        </w:tc>
      </w:tr>
      <w:tr>
        <w:tblPrEx>
          <w:tblCellMar>
            <w:top w:w="0" w:type="dxa"/>
            <w:left w:w="0" w:type="dxa"/>
            <w:bottom w:w="0" w:type="dxa"/>
            <w:right w:w="0" w:type="dxa"/>
          </w:tblCellMar>
        </w:tblPrEx>
        <w:trPr>
          <w:trHeight w:val="916" w:hRule="atLeast"/>
          <w:jc w:val="center"/>
        </w:trPr>
        <w:tc>
          <w:tcPr>
            <w:tcW w:w="687"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p>
        </w:tc>
        <w:tc>
          <w:tcPr>
            <w:tcW w:w="226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其它资金:</w:t>
            </w:r>
          </w:p>
        </w:tc>
        <w:tc>
          <w:tcPr>
            <w:tcW w:w="20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0</w:t>
            </w:r>
          </w:p>
        </w:tc>
        <w:tc>
          <w:tcPr>
            <w:tcW w:w="264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其它资金:</w:t>
            </w:r>
          </w:p>
        </w:tc>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0</w:t>
            </w:r>
          </w:p>
        </w:tc>
      </w:tr>
      <w:tr>
        <w:tblPrEx>
          <w:tblCellMar>
            <w:top w:w="0" w:type="dxa"/>
            <w:left w:w="0" w:type="dxa"/>
            <w:bottom w:w="0" w:type="dxa"/>
            <w:right w:w="0" w:type="dxa"/>
          </w:tblCellMar>
        </w:tblPrEx>
        <w:trPr>
          <w:trHeight w:val="276" w:hRule="atLeast"/>
          <w:jc w:val="center"/>
        </w:trPr>
        <w:tc>
          <w:tcPr>
            <w:tcW w:w="687" w:type="dxa"/>
            <w:gridSpan w:val="3"/>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年度目标完成情况</w:t>
            </w:r>
          </w:p>
        </w:tc>
        <w:tc>
          <w:tcPr>
            <w:tcW w:w="43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预期目标</w:t>
            </w:r>
          </w:p>
        </w:tc>
        <w:tc>
          <w:tcPr>
            <w:tcW w:w="492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687"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p>
        </w:tc>
        <w:tc>
          <w:tcPr>
            <w:tcW w:w="43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对现有159个垃圾回收网点（乡镇级站9个，村级点150个）进行维修维护，并对收购网点进行统一打造，统一标识、统一制度、统一配置，强化垃圾分类宣传力度，制定合理的收购价格和补贴标准。</w:t>
            </w:r>
          </w:p>
        </w:tc>
        <w:tc>
          <w:tcPr>
            <w:tcW w:w="492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kern w:val="0"/>
                <w:sz w:val="24"/>
              </w:rPr>
            </w:pPr>
            <w:r>
              <w:rPr>
                <w:rFonts w:hint="eastAsia" w:ascii="宋体" w:hAnsi="宋体" w:cs="宋体"/>
                <w:color w:val="000000"/>
                <w:kern w:val="0"/>
                <w:sz w:val="24"/>
              </w:rPr>
              <w:t>对20个回收站点进行形象改造，更换门头招牌及制度等；对83个回收站点进行制度建设、业务培训等。</w:t>
            </w:r>
          </w:p>
        </w:tc>
      </w:tr>
      <w:tr>
        <w:tblPrEx>
          <w:tblCellMar>
            <w:top w:w="0" w:type="dxa"/>
            <w:left w:w="0" w:type="dxa"/>
            <w:bottom w:w="0" w:type="dxa"/>
            <w:right w:w="0" w:type="dxa"/>
          </w:tblCellMar>
        </w:tblPrEx>
        <w:trPr>
          <w:trHeight w:val="757" w:hRule="atLeast"/>
          <w:jc w:val="center"/>
        </w:trPr>
        <w:tc>
          <w:tcPr>
            <w:tcW w:w="687" w:type="dxa"/>
            <w:gridSpan w:val="3"/>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绩效指标完成情况</w:t>
            </w:r>
          </w:p>
        </w:tc>
        <w:tc>
          <w:tcPr>
            <w:tcW w:w="10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一级指标</w:t>
            </w:r>
          </w:p>
        </w:tc>
        <w:tc>
          <w:tcPr>
            <w:tcW w:w="1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二级指标</w:t>
            </w:r>
          </w:p>
        </w:tc>
        <w:tc>
          <w:tcPr>
            <w:tcW w:w="20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三级指标</w:t>
            </w:r>
          </w:p>
        </w:tc>
        <w:tc>
          <w:tcPr>
            <w:tcW w:w="264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预期指标值(包含数字及文字描述)</w:t>
            </w:r>
          </w:p>
        </w:tc>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659" w:hRule="atLeast"/>
          <w:jc w:val="center"/>
        </w:trPr>
        <w:tc>
          <w:tcPr>
            <w:tcW w:w="687" w:type="dxa"/>
            <w:gridSpan w:val="3"/>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p>
        </w:tc>
        <w:tc>
          <w:tcPr>
            <w:tcW w:w="10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数量指标</w:t>
            </w:r>
          </w:p>
        </w:tc>
        <w:tc>
          <w:tcPr>
            <w:tcW w:w="20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14个乡镇街道</w:t>
            </w:r>
          </w:p>
        </w:tc>
        <w:tc>
          <w:tcPr>
            <w:tcW w:w="264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对103个垃圾分类处理站点进行规范、维修维护</w:t>
            </w:r>
          </w:p>
        </w:tc>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已完成</w:t>
            </w:r>
          </w:p>
        </w:tc>
      </w:tr>
      <w:tr>
        <w:tblPrEx>
          <w:tblCellMar>
            <w:top w:w="0" w:type="dxa"/>
            <w:left w:w="0" w:type="dxa"/>
            <w:bottom w:w="0" w:type="dxa"/>
            <w:right w:w="0" w:type="dxa"/>
          </w:tblCellMar>
        </w:tblPrEx>
        <w:trPr>
          <w:trHeight w:val="485" w:hRule="atLeast"/>
          <w:jc w:val="center"/>
        </w:trPr>
        <w:tc>
          <w:tcPr>
            <w:tcW w:w="687" w:type="dxa"/>
            <w:gridSpan w:val="3"/>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p>
        </w:tc>
        <w:tc>
          <w:tcPr>
            <w:tcW w:w="10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时效指标</w:t>
            </w:r>
          </w:p>
        </w:tc>
        <w:tc>
          <w:tcPr>
            <w:tcW w:w="20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2020年</w:t>
            </w:r>
          </w:p>
        </w:tc>
        <w:tc>
          <w:tcPr>
            <w:tcW w:w="264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2020年内</w:t>
            </w:r>
          </w:p>
        </w:tc>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已完成</w:t>
            </w:r>
          </w:p>
        </w:tc>
      </w:tr>
      <w:tr>
        <w:tblPrEx>
          <w:tblCellMar>
            <w:top w:w="0" w:type="dxa"/>
            <w:left w:w="0" w:type="dxa"/>
            <w:bottom w:w="0" w:type="dxa"/>
            <w:right w:w="0" w:type="dxa"/>
          </w:tblCellMar>
        </w:tblPrEx>
        <w:trPr>
          <w:trHeight w:val="1042" w:hRule="atLeast"/>
          <w:jc w:val="center"/>
        </w:trPr>
        <w:tc>
          <w:tcPr>
            <w:tcW w:w="687" w:type="dxa"/>
            <w:gridSpan w:val="3"/>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p>
        </w:tc>
        <w:tc>
          <w:tcPr>
            <w:tcW w:w="10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质量指标</w:t>
            </w:r>
          </w:p>
        </w:tc>
        <w:tc>
          <w:tcPr>
            <w:tcW w:w="20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管理规范统一</w:t>
            </w:r>
          </w:p>
        </w:tc>
        <w:tc>
          <w:tcPr>
            <w:tcW w:w="264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回收站点做到“六统一”，规范站点运行，对破损站点进行维修维护</w:t>
            </w:r>
          </w:p>
        </w:tc>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已完成</w:t>
            </w:r>
          </w:p>
        </w:tc>
      </w:tr>
      <w:tr>
        <w:tblPrEx>
          <w:tblCellMar>
            <w:top w:w="0" w:type="dxa"/>
            <w:left w:w="0" w:type="dxa"/>
            <w:bottom w:w="0" w:type="dxa"/>
            <w:right w:w="0" w:type="dxa"/>
          </w:tblCellMar>
        </w:tblPrEx>
        <w:trPr>
          <w:trHeight w:val="649" w:hRule="atLeast"/>
          <w:jc w:val="center"/>
        </w:trPr>
        <w:tc>
          <w:tcPr>
            <w:tcW w:w="687" w:type="dxa"/>
            <w:gridSpan w:val="3"/>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p>
        </w:tc>
        <w:tc>
          <w:tcPr>
            <w:tcW w:w="10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成本指标</w:t>
            </w:r>
          </w:p>
        </w:tc>
        <w:tc>
          <w:tcPr>
            <w:tcW w:w="20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节约资金</w:t>
            </w:r>
          </w:p>
        </w:tc>
        <w:tc>
          <w:tcPr>
            <w:tcW w:w="264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平均每个站点规范维护费用680元</w:t>
            </w:r>
          </w:p>
        </w:tc>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未超预算资金额度</w:t>
            </w:r>
          </w:p>
        </w:tc>
      </w:tr>
      <w:tr>
        <w:tblPrEx>
          <w:tblCellMar>
            <w:top w:w="0" w:type="dxa"/>
            <w:left w:w="0" w:type="dxa"/>
            <w:bottom w:w="0" w:type="dxa"/>
            <w:right w:w="0" w:type="dxa"/>
          </w:tblCellMar>
        </w:tblPrEx>
        <w:trPr>
          <w:trHeight w:val="654" w:hRule="atLeast"/>
          <w:jc w:val="center"/>
        </w:trPr>
        <w:tc>
          <w:tcPr>
            <w:tcW w:w="687" w:type="dxa"/>
            <w:gridSpan w:val="3"/>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p>
        </w:tc>
        <w:tc>
          <w:tcPr>
            <w:tcW w:w="10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社会效益指标</w:t>
            </w:r>
          </w:p>
        </w:tc>
        <w:tc>
          <w:tcPr>
            <w:tcW w:w="20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环境得到改善、环保意识增强</w:t>
            </w:r>
          </w:p>
        </w:tc>
        <w:tc>
          <w:tcPr>
            <w:tcW w:w="264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方便群众回收废旧物资，净化城乡环境。</w:t>
            </w:r>
          </w:p>
        </w:tc>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群众环保意识逐渐形成</w:t>
            </w:r>
          </w:p>
        </w:tc>
      </w:tr>
      <w:tr>
        <w:tblPrEx>
          <w:tblCellMar>
            <w:top w:w="0" w:type="dxa"/>
            <w:left w:w="0" w:type="dxa"/>
            <w:bottom w:w="0" w:type="dxa"/>
            <w:right w:w="0" w:type="dxa"/>
          </w:tblCellMar>
        </w:tblPrEx>
        <w:trPr>
          <w:trHeight w:val="628" w:hRule="atLeast"/>
          <w:jc w:val="center"/>
        </w:trPr>
        <w:tc>
          <w:tcPr>
            <w:tcW w:w="687" w:type="dxa"/>
            <w:gridSpan w:val="3"/>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p>
        </w:tc>
        <w:tc>
          <w:tcPr>
            <w:tcW w:w="10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可持续影响指标</w:t>
            </w:r>
          </w:p>
        </w:tc>
        <w:tc>
          <w:tcPr>
            <w:tcW w:w="20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环境可持续发展</w:t>
            </w:r>
          </w:p>
        </w:tc>
        <w:tc>
          <w:tcPr>
            <w:tcW w:w="264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本行业未来可持续发展</w:t>
            </w:r>
          </w:p>
        </w:tc>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群众主动参与垃圾分类回收，环保意识不断增强</w:t>
            </w:r>
          </w:p>
        </w:tc>
      </w:tr>
      <w:tr>
        <w:tblPrEx>
          <w:tblCellMar>
            <w:top w:w="0" w:type="dxa"/>
            <w:left w:w="0" w:type="dxa"/>
            <w:bottom w:w="0" w:type="dxa"/>
            <w:right w:w="0" w:type="dxa"/>
          </w:tblCellMar>
        </w:tblPrEx>
        <w:trPr>
          <w:trHeight w:val="628" w:hRule="atLeast"/>
          <w:jc w:val="center"/>
        </w:trPr>
        <w:tc>
          <w:tcPr>
            <w:tcW w:w="687" w:type="dxa"/>
            <w:gridSpan w:val="3"/>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p>
        </w:tc>
        <w:tc>
          <w:tcPr>
            <w:tcW w:w="10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满意度指标</w:t>
            </w:r>
          </w:p>
        </w:tc>
        <w:tc>
          <w:tcPr>
            <w:tcW w:w="1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p>
        </w:tc>
        <w:tc>
          <w:tcPr>
            <w:tcW w:w="20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公众满意度</w:t>
            </w:r>
          </w:p>
        </w:tc>
        <w:tc>
          <w:tcPr>
            <w:tcW w:w="264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100%</w:t>
            </w:r>
          </w:p>
        </w:tc>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加强服务意识，提高群众满意度</w:t>
            </w:r>
          </w:p>
        </w:tc>
      </w:tr>
      <w:tr>
        <w:tblPrEx>
          <w:tblCellMar>
            <w:top w:w="0" w:type="dxa"/>
            <w:left w:w="0" w:type="dxa"/>
            <w:bottom w:w="0" w:type="dxa"/>
            <w:right w:w="0" w:type="dxa"/>
          </w:tblCellMar>
        </w:tblPrEx>
        <w:trPr>
          <w:trHeight w:val="794" w:hRule="atLeast"/>
          <w:jc w:val="center"/>
        </w:trPr>
        <w:tc>
          <w:tcPr>
            <w:tcW w:w="687" w:type="dxa"/>
            <w:gridSpan w:val="3"/>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p>
        </w:tc>
        <w:tc>
          <w:tcPr>
            <w:tcW w:w="10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满意度指标</w:t>
            </w:r>
          </w:p>
        </w:tc>
        <w:tc>
          <w:tcPr>
            <w:tcW w:w="1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p>
        </w:tc>
        <w:tc>
          <w:tcPr>
            <w:tcW w:w="20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部门满意度</w:t>
            </w:r>
          </w:p>
        </w:tc>
        <w:tc>
          <w:tcPr>
            <w:tcW w:w="264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100%</w:t>
            </w:r>
          </w:p>
        </w:tc>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完成上级交办的各项任务</w:t>
            </w:r>
          </w:p>
        </w:tc>
      </w:tr>
      <w:tr>
        <w:tblPrEx>
          <w:tblCellMar>
            <w:top w:w="0" w:type="dxa"/>
            <w:left w:w="0" w:type="dxa"/>
            <w:bottom w:w="0" w:type="dxa"/>
            <w:right w:w="0" w:type="dxa"/>
          </w:tblCellMar>
        </w:tblPrEx>
        <w:trPr>
          <w:trHeight w:val="1292" w:hRule="atLeast"/>
          <w:jc w:val="center"/>
        </w:trPr>
        <w:tc>
          <w:tcPr>
            <w:tcW w:w="9960" w:type="dxa"/>
            <w:gridSpan w:val="10"/>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(2020年度)</w:t>
            </w:r>
          </w:p>
        </w:tc>
      </w:tr>
      <w:tr>
        <w:tblPrEx>
          <w:tblCellMar>
            <w:top w:w="0" w:type="dxa"/>
            <w:left w:w="0" w:type="dxa"/>
            <w:bottom w:w="0" w:type="dxa"/>
            <w:right w:w="0" w:type="dxa"/>
          </w:tblCellMar>
        </w:tblPrEx>
        <w:trPr>
          <w:trHeight w:val="276" w:hRule="atLeast"/>
          <w:jc w:val="center"/>
        </w:trPr>
        <w:tc>
          <w:tcPr>
            <w:tcW w:w="2948"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项目名称</w:t>
            </w:r>
          </w:p>
        </w:tc>
        <w:tc>
          <w:tcPr>
            <w:tcW w:w="701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深化供销合作社综合改革项目</w:t>
            </w:r>
          </w:p>
        </w:tc>
      </w:tr>
      <w:tr>
        <w:tblPrEx>
          <w:tblCellMar>
            <w:top w:w="0" w:type="dxa"/>
            <w:left w:w="0" w:type="dxa"/>
            <w:bottom w:w="0" w:type="dxa"/>
            <w:right w:w="0" w:type="dxa"/>
          </w:tblCellMar>
        </w:tblPrEx>
        <w:trPr>
          <w:trHeight w:val="276" w:hRule="atLeast"/>
          <w:jc w:val="center"/>
        </w:trPr>
        <w:tc>
          <w:tcPr>
            <w:tcW w:w="2948"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预算单位</w:t>
            </w:r>
          </w:p>
        </w:tc>
        <w:tc>
          <w:tcPr>
            <w:tcW w:w="701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广元市利州区供销合作社联合社</w:t>
            </w:r>
          </w:p>
        </w:tc>
      </w:tr>
      <w:tr>
        <w:tblPrEx>
          <w:tblCellMar>
            <w:top w:w="0" w:type="dxa"/>
            <w:left w:w="0" w:type="dxa"/>
            <w:bottom w:w="0" w:type="dxa"/>
            <w:right w:w="0" w:type="dxa"/>
          </w:tblCellMar>
        </w:tblPrEx>
        <w:trPr>
          <w:trHeight w:val="276" w:hRule="atLeast"/>
          <w:jc w:val="center"/>
        </w:trPr>
        <w:tc>
          <w:tcPr>
            <w:tcW w:w="669"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预算执行情况(万元)</w:t>
            </w:r>
          </w:p>
        </w:tc>
        <w:tc>
          <w:tcPr>
            <w:tcW w:w="227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预算数:</w:t>
            </w:r>
          </w:p>
        </w:tc>
        <w:tc>
          <w:tcPr>
            <w:tcW w:w="22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执行数:</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8</w:t>
            </w:r>
          </w:p>
        </w:tc>
      </w:tr>
      <w:tr>
        <w:tblPrEx>
          <w:tblCellMar>
            <w:top w:w="0" w:type="dxa"/>
            <w:left w:w="0" w:type="dxa"/>
            <w:bottom w:w="0" w:type="dxa"/>
            <w:right w:w="0" w:type="dxa"/>
          </w:tblCellMar>
        </w:tblPrEx>
        <w:trPr>
          <w:trHeight w:val="276" w:hRule="atLeast"/>
          <w:jc w:val="center"/>
        </w:trPr>
        <w:tc>
          <w:tcPr>
            <w:tcW w:w="669"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p>
        </w:tc>
        <w:tc>
          <w:tcPr>
            <w:tcW w:w="227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其中-财政拨款:</w:t>
            </w:r>
          </w:p>
        </w:tc>
        <w:tc>
          <w:tcPr>
            <w:tcW w:w="22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其中-财政拨款:</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8</w:t>
            </w:r>
          </w:p>
        </w:tc>
      </w:tr>
      <w:tr>
        <w:tblPrEx>
          <w:tblCellMar>
            <w:top w:w="0" w:type="dxa"/>
            <w:left w:w="0" w:type="dxa"/>
            <w:bottom w:w="0" w:type="dxa"/>
            <w:right w:w="0" w:type="dxa"/>
          </w:tblCellMar>
        </w:tblPrEx>
        <w:trPr>
          <w:trHeight w:val="729" w:hRule="atLeast"/>
          <w:jc w:val="center"/>
        </w:trPr>
        <w:tc>
          <w:tcPr>
            <w:tcW w:w="669"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p>
        </w:tc>
        <w:tc>
          <w:tcPr>
            <w:tcW w:w="227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其它资金:</w:t>
            </w:r>
          </w:p>
        </w:tc>
        <w:tc>
          <w:tcPr>
            <w:tcW w:w="22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其它资金:</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0</w:t>
            </w:r>
          </w:p>
        </w:tc>
      </w:tr>
      <w:tr>
        <w:tblPrEx>
          <w:tblCellMar>
            <w:top w:w="0" w:type="dxa"/>
            <w:left w:w="0" w:type="dxa"/>
            <w:bottom w:w="0" w:type="dxa"/>
            <w:right w:w="0" w:type="dxa"/>
          </w:tblCellMar>
        </w:tblPrEx>
        <w:trPr>
          <w:trHeight w:val="276" w:hRule="atLeast"/>
          <w:jc w:val="center"/>
        </w:trPr>
        <w:tc>
          <w:tcPr>
            <w:tcW w:w="669"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年度目标完成情况</w:t>
            </w:r>
          </w:p>
        </w:tc>
        <w:tc>
          <w:tcPr>
            <w:tcW w:w="4505"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预期目标</w:t>
            </w:r>
          </w:p>
        </w:tc>
        <w:tc>
          <w:tcPr>
            <w:tcW w:w="478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669"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p>
        </w:tc>
        <w:tc>
          <w:tcPr>
            <w:tcW w:w="4505"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创建标杆社1个，提升基层供销社1个，新建综合服务社网点22个，新建农民专业合作社2个，开展农村代理记账服务</w:t>
            </w:r>
          </w:p>
        </w:tc>
        <w:tc>
          <w:tcPr>
            <w:tcW w:w="478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完成创建标杆社1个，提升基层供销社1个，支持24个综合服务社网点和农民专合社完成阵地形象打造、制度规范和服务功能完善，村(社区)代理记账服务已在全区铺开。</w:t>
            </w:r>
          </w:p>
        </w:tc>
      </w:tr>
      <w:tr>
        <w:tblPrEx>
          <w:tblCellMar>
            <w:top w:w="0" w:type="dxa"/>
            <w:left w:w="0" w:type="dxa"/>
            <w:bottom w:w="0" w:type="dxa"/>
            <w:right w:w="0" w:type="dxa"/>
          </w:tblCellMar>
        </w:tblPrEx>
        <w:trPr>
          <w:trHeight w:val="742" w:hRule="atLeast"/>
          <w:jc w:val="center"/>
        </w:trPr>
        <w:tc>
          <w:tcPr>
            <w:tcW w:w="669" w:type="dxa"/>
            <w:gridSpan w:val="2"/>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绩效指标完成情况</w:t>
            </w:r>
          </w:p>
        </w:tc>
        <w:tc>
          <w:tcPr>
            <w:tcW w:w="10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一级指标</w:t>
            </w:r>
          </w:p>
        </w:tc>
        <w:tc>
          <w:tcPr>
            <w:tcW w:w="1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二级指标</w:t>
            </w:r>
          </w:p>
        </w:tc>
        <w:tc>
          <w:tcPr>
            <w:tcW w:w="22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预期指标值(包含数字及文字描述)</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669" w:type="dxa"/>
            <w:gridSpan w:val="2"/>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p>
        </w:tc>
        <w:tc>
          <w:tcPr>
            <w:tcW w:w="10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数量指标</w:t>
            </w:r>
          </w:p>
        </w:tc>
        <w:tc>
          <w:tcPr>
            <w:tcW w:w="22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kern w:val="0"/>
                <w:sz w:val="24"/>
              </w:rPr>
            </w:pPr>
            <w:r>
              <w:rPr>
                <w:rFonts w:hint="eastAsia" w:ascii="宋体" w:hAnsi="宋体" w:cs="宋体"/>
                <w:color w:val="000000"/>
                <w:kern w:val="0"/>
                <w:sz w:val="24"/>
              </w:rPr>
              <w:t>基层供销社2个，综合服务网点和专合社24个，社有企业1个</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完善为农服务体系建设，拓展为农服务领域，提升为农服务能力</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建成标杆社、改造基层社2个，打造综合服务社和专合社24个，规范会计服务中心建设</w:t>
            </w:r>
          </w:p>
        </w:tc>
      </w:tr>
      <w:tr>
        <w:tblPrEx>
          <w:tblCellMar>
            <w:top w:w="0" w:type="dxa"/>
            <w:left w:w="0" w:type="dxa"/>
            <w:bottom w:w="0" w:type="dxa"/>
            <w:right w:w="0" w:type="dxa"/>
          </w:tblCellMar>
        </w:tblPrEx>
        <w:trPr>
          <w:trHeight w:val="90" w:hRule="atLeast"/>
          <w:jc w:val="center"/>
        </w:trPr>
        <w:tc>
          <w:tcPr>
            <w:tcW w:w="669" w:type="dxa"/>
            <w:gridSpan w:val="2"/>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p>
        </w:tc>
        <w:tc>
          <w:tcPr>
            <w:tcW w:w="10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时效指标</w:t>
            </w:r>
          </w:p>
        </w:tc>
        <w:tc>
          <w:tcPr>
            <w:tcW w:w="22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2020年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2020年内</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已完成</w:t>
            </w:r>
          </w:p>
        </w:tc>
      </w:tr>
      <w:tr>
        <w:tblPrEx>
          <w:tblCellMar>
            <w:top w:w="0" w:type="dxa"/>
            <w:left w:w="0" w:type="dxa"/>
            <w:bottom w:w="0" w:type="dxa"/>
            <w:right w:w="0" w:type="dxa"/>
          </w:tblCellMar>
        </w:tblPrEx>
        <w:trPr>
          <w:trHeight w:val="711" w:hRule="atLeast"/>
          <w:jc w:val="center"/>
        </w:trPr>
        <w:tc>
          <w:tcPr>
            <w:tcW w:w="669" w:type="dxa"/>
            <w:gridSpan w:val="2"/>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p>
        </w:tc>
        <w:tc>
          <w:tcPr>
            <w:tcW w:w="10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质量指标</w:t>
            </w:r>
          </w:p>
        </w:tc>
        <w:tc>
          <w:tcPr>
            <w:tcW w:w="22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完善为农服务体系</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新建综合服务网点和专合社24个，提升基层社2个</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已完成</w:t>
            </w:r>
          </w:p>
        </w:tc>
      </w:tr>
      <w:tr>
        <w:tblPrEx>
          <w:tblCellMar>
            <w:top w:w="0" w:type="dxa"/>
            <w:left w:w="0" w:type="dxa"/>
            <w:bottom w:w="0" w:type="dxa"/>
            <w:right w:w="0" w:type="dxa"/>
          </w:tblCellMar>
        </w:tblPrEx>
        <w:trPr>
          <w:trHeight w:val="730" w:hRule="atLeast"/>
          <w:jc w:val="center"/>
        </w:trPr>
        <w:tc>
          <w:tcPr>
            <w:tcW w:w="669" w:type="dxa"/>
            <w:gridSpan w:val="2"/>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p>
        </w:tc>
        <w:tc>
          <w:tcPr>
            <w:tcW w:w="10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经济效益指标</w:t>
            </w:r>
          </w:p>
        </w:tc>
        <w:tc>
          <w:tcPr>
            <w:tcW w:w="22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实现稳步增收</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通过直接服务三农，政府购买服务提高增收能力</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已完成</w:t>
            </w:r>
          </w:p>
        </w:tc>
      </w:tr>
      <w:tr>
        <w:tblPrEx>
          <w:tblCellMar>
            <w:top w:w="0" w:type="dxa"/>
            <w:left w:w="0" w:type="dxa"/>
            <w:bottom w:w="0" w:type="dxa"/>
            <w:right w:w="0" w:type="dxa"/>
          </w:tblCellMar>
        </w:tblPrEx>
        <w:trPr>
          <w:trHeight w:val="951" w:hRule="atLeast"/>
          <w:jc w:val="center"/>
        </w:trPr>
        <w:tc>
          <w:tcPr>
            <w:tcW w:w="669" w:type="dxa"/>
            <w:gridSpan w:val="2"/>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p>
        </w:tc>
        <w:tc>
          <w:tcPr>
            <w:tcW w:w="10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社会效益指标</w:t>
            </w:r>
          </w:p>
        </w:tc>
        <w:tc>
          <w:tcPr>
            <w:tcW w:w="22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拓宽为农服务领域</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增强供销社为农服务的影响力</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强化组织建设，完善服务功能，健全服务体系，助力乡村振兴。</w:t>
            </w:r>
          </w:p>
        </w:tc>
      </w:tr>
      <w:tr>
        <w:tblPrEx>
          <w:tblCellMar>
            <w:top w:w="0" w:type="dxa"/>
            <w:left w:w="0" w:type="dxa"/>
            <w:bottom w:w="0" w:type="dxa"/>
            <w:right w:w="0" w:type="dxa"/>
          </w:tblCellMar>
        </w:tblPrEx>
        <w:trPr>
          <w:trHeight w:val="704" w:hRule="atLeast"/>
          <w:jc w:val="center"/>
        </w:trPr>
        <w:tc>
          <w:tcPr>
            <w:tcW w:w="669" w:type="dxa"/>
            <w:gridSpan w:val="2"/>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p>
        </w:tc>
        <w:tc>
          <w:tcPr>
            <w:tcW w:w="10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满意度指标</w:t>
            </w:r>
          </w:p>
        </w:tc>
        <w:tc>
          <w:tcPr>
            <w:tcW w:w="1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p>
        </w:tc>
        <w:tc>
          <w:tcPr>
            <w:tcW w:w="22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公众满意度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100%</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完善为农服务能力，健全为农服务体系</w:t>
            </w:r>
          </w:p>
        </w:tc>
      </w:tr>
      <w:tr>
        <w:tblPrEx>
          <w:tblCellMar>
            <w:top w:w="0" w:type="dxa"/>
            <w:left w:w="0" w:type="dxa"/>
            <w:bottom w:w="0" w:type="dxa"/>
            <w:right w:w="0" w:type="dxa"/>
          </w:tblCellMar>
        </w:tblPrEx>
        <w:trPr>
          <w:trHeight w:val="625" w:hRule="atLeast"/>
          <w:jc w:val="center"/>
        </w:trPr>
        <w:tc>
          <w:tcPr>
            <w:tcW w:w="669" w:type="dxa"/>
            <w:gridSpan w:val="2"/>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p>
        </w:tc>
        <w:tc>
          <w:tcPr>
            <w:tcW w:w="10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满意度指标</w:t>
            </w:r>
          </w:p>
        </w:tc>
        <w:tc>
          <w:tcPr>
            <w:tcW w:w="1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p>
        </w:tc>
        <w:tc>
          <w:tcPr>
            <w:tcW w:w="22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部门满意度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100%</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kern w:val="0"/>
                <w:sz w:val="24"/>
              </w:rPr>
            </w:pPr>
            <w:r>
              <w:rPr>
                <w:rFonts w:hint="eastAsia" w:ascii="宋体" w:hAnsi="宋体" w:cs="宋体"/>
                <w:color w:val="000000"/>
                <w:kern w:val="0"/>
                <w:sz w:val="24"/>
              </w:rPr>
              <w:t>不断强化组织建设，完善服务功能，健全服务体系，全力服务三农工作大局。</w:t>
            </w:r>
          </w:p>
        </w:tc>
      </w:tr>
    </w:tbl>
    <w:p>
      <w:pPr>
        <w:spacing w:line="576"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本部门按要求对2020年部门整体支出绩效评价情况开展自评，《广元市利州区供销合作社联合社2020年部门整体支出绩效评价报告》见附件（附件1）。</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本部门自行组织对“第一书记、工作队队员工作经费”、“垃圾回收分类处理点维护建设”、“深化供销合作社综合改革”项目开展了绩效评价，《第一书记、驻村工作队队员工作经费2020年</w:t>
      </w:r>
      <w:r>
        <w:rPr>
          <w:rFonts w:hint="eastAsia" w:ascii="仿宋_GB2312" w:hAnsi="仿宋_GB2312" w:eastAsia="仿宋_GB2312" w:cs="仿宋_GB2312"/>
          <w:sz w:val="32"/>
          <w:szCs w:val="32"/>
          <w:lang w:val="zh-CN"/>
        </w:rPr>
        <w:t>绩效评价报告</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垃圾回收分类处理点维护建设项目</w:t>
      </w:r>
      <w:r>
        <w:rPr>
          <w:rFonts w:hint="eastAsia" w:ascii="仿宋_GB2312" w:hAnsi="仿宋_GB2312" w:eastAsia="仿宋_GB2312" w:cs="仿宋_GB2312"/>
          <w:sz w:val="32"/>
          <w:szCs w:val="32"/>
        </w:rPr>
        <w:t>2020</w:t>
      </w:r>
      <w:r>
        <w:rPr>
          <w:rFonts w:hint="eastAsia" w:ascii="仿宋_GB2312" w:hAnsi="仿宋_GB2312" w:eastAsia="仿宋_GB2312" w:cs="仿宋_GB2312"/>
          <w:sz w:val="32"/>
          <w:szCs w:val="32"/>
          <w:lang w:val="zh-CN"/>
        </w:rPr>
        <w:t>年绩效评价报告</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深化供销合作社综合改革项目</w:t>
      </w:r>
      <w:r>
        <w:rPr>
          <w:rFonts w:hint="eastAsia" w:ascii="仿宋_GB2312" w:hAnsi="仿宋_GB2312" w:eastAsia="仿宋_GB2312" w:cs="仿宋_GB2312"/>
          <w:sz w:val="32"/>
          <w:szCs w:val="32"/>
        </w:rPr>
        <w:t>2020年</w:t>
      </w:r>
      <w:r>
        <w:rPr>
          <w:rFonts w:hint="eastAsia" w:ascii="仿宋_GB2312" w:hAnsi="仿宋_GB2312" w:eastAsia="仿宋_GB2312" w:cs="仿宋_GB2312"/>
          <w:sz w:val="32"/>
          <w:szCs w:val="32"/>
          <w:lang w:val="zh-CN"/>
        </w:rPr>
        <w:t>绩效评价报告</w:t>
      </w:r>
      <w:r>
        <w:rPr>
          <w:rFonts w:hint="eastAsia" w:ascii="仿宋_GB2312" w:hAnsi="仿宋_GB2312" w:eastAsia="仿宋_GB2312" w:cs="仿宋_GB2312"/>
          <w:sz w:val="32"/>
          <w:szCs w:val="32"/>
        </w:rPr>
        <w:t>》见附件（附件2）。</w:t>
      </w:r>
    </w:p>
    <w:p>
      <w:pPr>
        <w:spacing w:line="576" w:lineRule="exact"/>
        <w:jc w:val="center"/>
        <w:outlineLvl w:val="0"/>
        <w:rPr>
          <w:rFonts w:ascii="黑体" w:hAnsi="黑体" w:eastAsia="黑体"/>
          <w:color w:val="000000"/>
          <w:sz w:val="44"/>
          <w:szCs w:val="44"/>
        </w:rPr>
      </w:pPr>
      <w:bookmarkStart w:id="55" w:name="_Toc15396613"/>
      <w:bookmarkStart w:id="56" w:name="_Toc15377225"/>
    </w:p>
    <w:p>
      <w:pPr>
        <w:spacing w:line="576" w:lineRule="exact"/>
        <w:jc w:val="center"/>
        <w:outlineLvl w:val="0"/>
        <w:rPr>
          <w:rFonts w:ascii="黑体" w:hAnsi="黑体" w:eastAsia="黑体"/>
          <w:color w:val="000000"/>
          <w:sz w:val="44"/>
          <w:szCs w:val="44"/>
        </w:rPr>
      </w:pPr>
    </w:p>
    <w:p>
      <w:pPr>
        <w:spacing w:line="576" w:lineRule="exact"/>
        <w:jc w:val="center"/>
        <w:outlineLvl w:val="0"/>
        <w:rPr>
          <w:rFonts w:ascii="黑体" w:hAnsi="黑体" w:eastAsia="黑体"/>
          <w:color w:val="000000"/>
          <w:sz w:val="44"/>
          <w:szCs w:val="44"/>
        </w:rPr>
      </w:pPr>
    </w:p>
    <w:p>
      <w:pPr>
        <w:spacing w:line="576" w:lineRule="exact"/>
        <w:jc w:val="center"/>
        <w:outlineLvl w:val="0"/>
        <w:rPr>
          <w:rFonts w:ascii="黑体" w:hAnsi="黑体" w:eastAsia="黑体"/>
          <w:color w:val="000000"/>
          <w:sz w:val="44"/>
          <w:szCs w:val="44"/>
        </w:rPr>
      </w:pPr>
    </w:p>
    <w:p>
      <w:pPr>
        <w:spacing w:line="576" w:lineRule="exact"/>
        <w:jc w:val="center"/>
        <w:outlineLvl w:val="0"/>
        <w:rPr>
          <w:rFonts w:ascii="黑体" w:hAnsi="黑体" w:eastAsia="黑体"/>
          <w:color w:val="000000"/>
          <w:sz w:val="44"/>
          <w:szCs w:val="44"/>
        </w:rPr>
      </w:pPr>
    </w:p>
    <w:p>
      <w:pPr>
        <w:spacing w:line="576" w:lineRule="exact"/>
        <w:jc w:val="center"/>
        <w:outlineLvl w:val="0"/>
        <w:rPr>
          <w:rFonts w:ascii="黑体" w:hAnsi="黑体" w:eastAsia="黑体"/>
          <w:color w:val="000000"/>
          <w:sz w:val="44"/>
          <w:szCs w:val="44"/>
        </w:rPr>
      </w:pPr>
    </w:p>
    <w:p>
      <w:pPr>
        <w:spacing w:line="576" w:lineRule="exact"/>
        <w:jc w:val="center"/>
        <w:outlineLvl w:val="0"/>
        <w:rPr>
          <w:rFonts w:ascii="黑体" w:hAnsi="黑体" w:eastAsia="黑体"/>
          <w:color w:val="000000"/>
          <w:sz w:val="44"/>
          <w:szCs w:val="44"/>
        </w:rPr>
      </w:pPr>
    </w:p>
    <w:p>
      <w:pPr>
        <w:spacing w:line="576" w:lineRule="exact"/>
        <w:jc w:val="center"/>
        <w:outlineLvl w:val="0"/>
        <w:rPr>
          <w:rFonts w:ascii="黑体" w:hAnsi="黑体" w:eastAsia="黑体"/>
          <w:color w:val="000000"/>
          <w:sz w:val="44"/>
          <w:szCs w:val="44"/>
        </w:rPr>
      </w:pPr>
    </w:p>
    <w:p>
      <w:pPr>
        <w:spacing w:line="576" w:lineRule="exact"/>
        <w:jc w:val="center"/>
        <w:outlineLvl w:val="0"/>
        <w:rPr>
          <w:rFonts w:ascii="黑体" w:hAnsi="黑体" w:eastAsia="黑体"/>
          <w:color w:val="000000"/>
          <w:sz w:val="44"/>
          <w:szCs w:val="44"/>
        </w:rPr>
      </w:pPr>
    </w:p>
    <w:p>
      <w:pPr>
        <w:spacing w:line="576" w:lineRule="exact"/>
        <w:jc w:val="center"/>
        <w:outlineLvl w:val="0"/>
        <w:rPr>
          <w:rFonts w:ascii="黑体" w:hAnsi="黑体" w:eastAsia="黑体"/>
          <w:color w:val="000000"/>
          <w:sz w:val="44"/>
          <w:szCs w:val="44"/>
        </w:rPr>
      </w:pPr>
    </w:p>
    <w:p>
      <w:pPr>
        <w:spacing w:line="576" w:lineRule="exact"/>
        <w:jc w:val="center"/>
        <w:outlineLvl w:val="0"/>
        <w:rPr>
          <w:rFonts w:ascii="黑体" w:hAnsi="黑体" w:eastAsia="黑体"/>
          <w:color w:val="000000"/>
          <w:sz w:val="44"/>
          <w:szCs w:val="44"/>
        </w:rPr>
      </w:pPr>
    </w:p>
    <w:p>
      <w:pPr>
        <w:spacing w:line="576" w:lineRule="exact"/>
        <w:jc w:val="center"/>
        <w:outlineLvl w:val="0"/>
        <w:rPr>
          <w:rFonts w:ascii="黑体" w:hAnsi="黑体" w:eastAsia="黑体"/>
          <w:color w:val="000000"/>
          <w:sz w:val="44"/>
          <w:szCs w:val="44"/>
        </w:rPr>
      </w:pPr>
    </w:p>
    <w:p>
      <w:pPr>
        <w:spacing w:line="576" w:lineRule="exact"/>
        <w:jc w:val="center"/>
        <w:outlineLvl w:val="0"/>
        <w:rPr>
          <w:rStyle w:val="29"/>
          <w:rFonts w:ascii="黑体" w:hAnsi="黑体" w:eastAsia="黑体"/>
          <w:b w:val="0"/>
        </w:rPr>
      </w:pPr>
      <w:r>
        <w:rPr>
          <w:rFonts w:hint="eastAsia" w:ascii="黑体" w:hAnsi="黑体" w:eastAsia="黑体"/>
          <w:color w:val="000000"/>
          <w:sz w:val="44"/>
          <w:szCs w:val="44"/>
        </w:rPr>
        <w:t>第三部分  名</w:t>
      </w:r>
      <w:r>
        <w:rPr>
          <w:rStyle w:val="29"/>
          <w:rFonts w:hint="eastAsia" w:ascii="黑体" w:hAnsi="黑体" w:eastAsia="黑体"/>
          <w:b w:val="0"/>
        </w:rPr>
        <w:t>词解释</w:t>
      </w:r>
      <w:bookmarkEnd w:id="55"/>
      <w:bookmarkEnd w:id="56"/>
    </w:p>
    <w:p>
      <w:pPr>
        <w:spacing w:line="576" w:lineRule="exact"/>
        <w:rPr>
          <w:rFonts w:ascii="宋体"/>
          <w:b/>
          <w:color w:val="000000"/>
          <w:sz w:val="44"/>
          <w:szCs w:val="44"/>
        </w:rPr>
      </w:pPr>
    </w:p>
    <w:p>
      <w:pPr>
        <w:pStyle w:val="27"/>
        <w:spacing w:line="576" w:lineRule="exact"/>
        <w:ind w:firstLine="640" w:firstLineChars="200"/>
        <w:jc w:val="both"/>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7"/>
        <w:spacing w:line="576" w:lineRule="exact"/>
        <w:ind w:firstLine="640" w:firstLineChars="200"/>
        <w:jc w:val="both"/>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p>
    <w:p>
      <w:pPr>
        <w:pStyle w:val="27"/>
        <w:spacing w:line="576" w:lineRule="exact"/>
        <w:ind w:firstLine="640" w:firstLineChars="200"/>
        <w:jc w:val="both"/>
        <w:rPr>
          <w:rFonts w:ascii="仿宋_GB2312" w:eastAsia="仿宋_GB2312"/>
          <w:sz w:val="32"/>
          <w:szCs w:val="32"/>
        </w:rPr>
      </w:pPr>
      <w:r>
        <w:rPr>
          <w:rFonts w:hint="eastAsia" w:ascii="仿宋_GB2312" w:eastAsia="仿宋_GB2312"/>
          <w:sz w:val="32"/>
          <w:szCs w:val="32"/>
        </w:rPr>
        <w:t>3.年末结转和结余：指单位按有关规定结转到下年或以后年度继续使用的资金。</w:t>
      </w:r>
    </w:p>
    <w:p>
      <w:pPr>
        <w:pStyle w:val="27"/>
        <w:spacing w:line="576" w:lineRule="exact"/>
        <w:ind w:firstLine="640" w:firstLineChars="200"/>
        <w:jc w:val="both"/>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4.社会保障和就业支出（类）行政事业单位养老支出（款）机关事业单位基本养老保险缴费支出（项）: 指反映机关事业单位实施养老保险制度由单位缴纳的基本养老保险支出。</w:t>
      </w:r>
    </w:p>
    <w:p>
      <w:pPr>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5.社会保障和就业支出（类）其他社会保障和就业支出（款）其他社会保障和就业支出（项）：指反映上述项目以外其他用于社会保障和就业方面的支出。</w:t>
      </w:r>
    </w:p>
    <w:p>
      <w:pPr>
        <w:pStyle w:val="27"/>
        <w:spacing w:line="576" w:lineRule="exact"/>
        <w:ind w:firstLine="640" w:firstLineChars="200"/>
        <w:jc w:val="both"/>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6.卫生健康支出（类）行政事业单位医疗（款）事业单位医疗（项）：指反映财政部门集中安排的事业单位基本医疗保险缴费经费。</w:t>
      </w:r>
    </w:p>
    <w:p>
      <w:pPr>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7.节能环保支出（类）污染防治（款）固体废弃物与化学品（项）: 指指垃圾、医疗废物、危险废物、持久性有机污染物等污染防治政策研究、技术规范制定、调查等方面的支出。</w:t>
      </w:r>
    </w:p>
    <w:p>
      <w:pPr>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8.节能环保支出（类）循环经济（款）循环经济（项）：指反映用于垃圾回收处理。</w:t>
      </w:r>
    </w:p>
    <w:p>
      <w:pPr>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9</w:t>
      </w:r>
      <w:r>
        <w:rPr>
          <w:rFonts w:ascii="仿宋_GB2312" w:eastAsia="仿宋_GB2312"/>
          <w:color w:val="000000"/>
          <w:sz w:val="32"/>
          <w:szCs w:val="32"/>
        </w:rPr>
        <w:t>.</w:t>
      </w:r>
      <w:r>
        <w:rPr>
          <w:rFonts w:hint="eastAsia" w:ascii="仿宋_GB2312" w:eastAsia="仿宋_GB2312"/>
          <w:color w:val="000000"/>
          <w:sz w:val="32"/>
          <w:szCs w:val="32"/>
        </w:rPr>
        <w:t>农林水支出（类）扶贫（款）其他扶贫支出（项）：指反映用于贫困村、非贫困村驻村工作队员、第一书记慰问。</w:t>
      </w:r>
    </w:p>
    <w:p>
      <w:pPr>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10.农林水支出（类）农业综合开发（款）产业化发展（项）：指反映农业综合开发部门安排的产业化发展项目支出。</w:t>
      </w:r>
    </w:p>
    <w:p>
      <w:pPr>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11.商业服务业等支出（类）商业流通事务（款）行政运行（项）：指为保障机构正常运转、完成日常工作任务而发生的人员支出和公用支出。</w:t>
      </w:r>
    </w:p>
    <w:p>
      <w:pPr>
        <w:spacing w:line="576" w:lineRule="exact"/>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2</w:t>
      </w:r>
      <w:r>
        <w:rPr>
          <w:rFonts w:ascii="仿宋_GB2312" w:eastAsia="仿宋_GB2312"/>
          <w:color w:val="000000"/>
          <w:sz w:val="32"/>
          <w:szCs w:val="32"/>
        </w:rPr>
        <w:t>.</w:t>
      </w:r>
      <w:r>
        <w:rPr>
          <w:rFonts w:hint="eastAsia" w:ascii="仿宋_GB2312" w:eastAsia="仿宋_GB2312"/>
          <w:color w:val="000000"/>
          <w:sz w:val="32"/>
          <w:szCs w:val="32"/>
        </w:rPr>
        <w:t>商业服务业等支出（类）商业流通事务（款）一般行政管理事务（项）：指反映行政单位(包括实行公务员管理的事业单位)未单独设置项级科目的其他</w:t>
      </w:r>
      <w:r>
        <w:rPr>
          <w:rFonts w:ascii="仿宋_GB2312" w:eastAsia="仿宋_GB2312"/>
          <w:color w:val="000000"/>
          <w:sz w:val="32"/>
          <w:szCs w:val="32"/>
        </w:rPr>
        <w:t>项目支出</w:t>
      </w:r>
      <w:r>
        <w:rPr>
          <w:rFonts w:hint="eastAsia" w:ascii="仿宋_GB2312" w:eastAsia="仿宋_GB2312"/>
          <w:color w:val="000000"/>
          <w:sz w:val="32"/>
          <w:szCs w:val="32"/>
        </w:rPr>
        <w:t>。</w:t>
      </w:r>
    </w:p>
    <w:p>
      <w:pPr>
        <w:pStyle w:val="27"/>
        <w:spacing w:line="576" w:lineRule="exact"/>
        <w:ind w:firstLine="640" w:firstLineChars="200"/>
        <w:jc w:val="both"/>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13.住房保障支出（类）住房改革支出（款）住房公积金（项）：指反映行政事业单位按人社部、财政部规定的基本工资与津补贴比例为职工缴纳的住房公积金。</w:t>
      </w:r>
    </w:p>
    <w:p>
      <w:pPr>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14</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15</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p>
    <w:p>
      <w:pPr>
        <w:pStyle w:val="27"/>
        <w:spacing w:line="576" w:lineRule="exact"/>
        <w:ind w:firstLine="640" w:firstLineChars="200"/>
        <w:jc w:val="both"/>
        <w:rPr>
          <w:rFonts w:ascii="仿宋_GB2312" w:eastAsia="仿宋_GB2312"/>
          <w:sz w:val="32"/>
          <w:szCs w:val="32"/>
        </w:rPr>
      </w:pPr>
      <w:r>
        <w:rPr>
          <w:rFonts w:hint="eastAsia" w:ascii="仿宋_GB2312" w:eastAsia="仿宋_GB2312"/>
          <w:sz w:val="32"/>
          <w:szCs w:val="32"/>
        </w:rPr>
        <w:t>16</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7"/>
        <w:spacing w:line="576" w:lineRule="exact"/>
        <w:ind w:firstLine="640" w:firstLineChars="200"/>
        <w:jc w:val="both"/>
        <w:rPr>
          <w:rFonts w:ascii="仿宋_GB2312" w:eastAsia="仿宋_GB2312"/>
          <w:sz w:val="32"/>
          <w:szCs w:val="32"/>
        </w:rPr>
      </w:pPr>
      <w:r>
        <w:rPr>
          <w:rFonts w:hint="eastAsia" w:ascii="仿宋_GB2312" w:eastAsia="仿宋_GB2312"/>
          <w:sz w:val="32"/>
          <w:szCs w:val="32"/>
        </w:rPr>
        <w:t>17</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7"/>
        <w:spacing w:line="576" w:lineRule="exact"/>
        <w:ind w:firstLine="640" w:firstLineChars="200"/>
        <w:jc w:val="both"/>
        <w:rPr>
          <w:rFonts w:ascii="仿宋_GB2312" w:eastAsia="仿宋_GB2312"/>
          <w:sz w:val="32"/>
          <w:szCs w:val="32"/>
        </w:rPr>
      </w:pPr>
    </w:p>
    <w:p>
      <w:pPr>
        <w:spacing w:line="576" w:lineRule="exact"/>
        <w:jc w:val="center"/>
        <w:outlineLvl w:val="0"/>
        <w:rPr>
          <w:rStyle w:val="29"/>
          <w:rFonts w:ascii="方正小标宋简体" w:hAnsi="方正小标宋简体" w:eastAsia="方正小标宋简体" w:cs="方正小标宋简体"/>
          <w:b w:val="0"/>
        </w:rPr>
      </w:pPr>
      <w:bookmarkStart w:id="57" w:name="_Toc15377226"/>
      <w:r>
        <w:rPr>
          <w:rFonts w:ascii="宋体"/>
          <w:b/>
          <w:color w:val="000000"/>
          <w:sz w:val="44"/>
          <w:szCs w:val="44"/>
        </w:rPr>
        <w:br w:type="page"/>
      </w:r>
      <w:bookmarkStart w:id="58" w:name="_Toc15396614"/>
      <w:r>
        <w:rPr>
          <w:rFonts w:hint="eastAsia" w:ascii="方正小标宋简体" w:hAnsi="方正小标宋简体" w:eastAsia="方正小标宋简体" w:cs="方正小标宋简体"/>
          <w:color w:val="000000"/>
          <w:sz w:val="44"/>
          <w:szCs w:val="44"/>
        </w:rPr>
        <w:t>第</w:t>
      </w:r>
      <w:r>
        <w:rPr>
          <w:rStyle w:val="29"/>
          <w:rFonts w:hint="eastAsia" w:ascii="方正小标宋简体" w:hAnsi="方正小标宋简体" w:eastAsia="方正小标宋简体" w:cs="方正小标宋简体"/>
          <w:b w:val="0"/>
        </w:rPr>
        <w:t>四部分 附件</w:t>
      </w:r>
      <w:bookmarkEnd w:id="58"/>
    </w:p>
    <w:p>
      <w:pPr>
        <w:spacing w:line="576" w:lineRule="exac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76" w:lineRule="exact"/>
        <w:rPr>
          <w:rFonts w:ascii="方正小标宋简体" w:hAnsi="方正小标宋简体" w:eastAsia="方正小标宋简体" w:cs="方正小标宋简体"/>
          <w:sz w:val="44"/>
          <w:szCs w:val="44"/>
        </w:rPr>
      </w:pPr>
    </w:p>
    <w:p>
      <w:pPr>
        <w:spacing w:line="576"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val="zh-CN"/>
        </w:rPr>
        <w:t>广元市利州区供销合作社联合社</w:t>
      </w:r>
    </w:p>
    <w:p>
      <w:pPr>
        <w:spacing w:line="576" w:lineRule="exact"/>
        <w:jc w:val="center"/>
        <w:rPr>
          <w:rFonts w:ascii="方正小标宋简体" w:hAnsi="宋体" w:eastAsia="方正小标宋简体"/>
          <w:color w:val="000000"/>
          <w:kern w:val="0"/>
          <w:sz w:val="44"/>
          <w:szCs w:val="44"/>
          <w:lang w:val="zh-CN"/>
        </w:rPr>
      </w:pPr>
      <w:r>
        <w:rPr>
          <w:rFonts w:ascii="方正小标宋简体" w:hAnsi="宋体" w:eastAsia="方正小标宋简体"/>
          <w:color w:val="000000"/>
          <w:kern w:val="0"/>
          <w:sz w:val="44"/>
          <w:szCs w:val="44"/>
        </w:rPr>
        <w:t>20</w:t>
      </w:r>
      <w:r>
        <w:rPr>
          <w:rFonts w:hint="eastAsia" w:ascii="方正小标宋简体" w:hAnsi="宋体" w:eastAsia="方正小标宋简体"/>
          <w:color w:val="000000"/>
          <w:kern w:val="0"/>
          <w:sz w:val="44"/>
          <w:szCs w:val="44"/>
        </w:rPr>
        <w:t>20</w:t>
      </w:r>
      <w:r>
        <w:rPr>
          <w:rFonts w:ascii="方正小标宋简体" w:hAnsi="宋体" w:eastAsia="方正小标宋简体"/>
          <w:color w:val="000000"/>
          <w:kern w:val="0"/>
          <w:sz w:val="44"/>
          <w:szCs w:val="44"/>
        </w:rPr>
        <w:t>年部门</w:t>
      </w:r>
      <w:r>
        <w:rPr>
          <w:rFonts w:hint="eastAsia" w:ascii="方正小标宋简体" w:hAnsi="宋体" w:eastAsia="方正小标宋简体"/>
          <w:color w:val="000000"/>
          <w:kern w:val="0"/>
          <w:sz w:val="44"/>
          <w:szCs w:val="44"/>
          <w:lang w:val="zh-CN"/>
        </w:rPr>
        <w:t>整体支出绩效评价报告</w:t>
      </w:r>
    </w:p>
    <w:p>
      <w:pPr>
        <w:adjustRightInd w:val="0"/>
        <w:snapToGrid w:val="0"/>
        <w:spacing w:line="576" w:lineRule="exact"/>
        <w:ind w:firstLine="480" w:firstLineChars="200"/>
        <w:contextualSpacing/>
        <w:rPr>
          <w:rFonts w:ascii="黑体" w:hAnsi="宋体" w:eastAsia="黑体" w:cs="宋体"/>
          <w:color w:val="000000"/>
          <w:kern w:val="0"/>
          <w:sz w:val="24"/>
          <w:szCs w:val="32"/>
          <w:shd w:val="clear" w:color="auto" w:fill="FFFFFF"/>
        </w:rPr>
      </w:pPr>
    </w:p>
    <w:p>
      <w:pPr>
        <w:adjustRightInd w:val="0"/>
        <w:snapToGrid w:val="0"/>
        <w:spacing w:line="576" w:lineRule="exact"/>
        <w:ind w:firstLine="640" w:firstLineChars="200"/>
        <w:contextualSpacing/>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spacing w:line="576" w:lineRule="exact"/>
        <w:ind w:firstLine="643" w:firstLineChars="200"/>
        <w:rPr>
          <w:rFonts w:ascii="楷体" w:hAnsi="楷体" w:eastAsia="楷体" w:cs="楷体"/>
          <w:b/>
          <w:bCs/>
          <w:sz w:val="32"/>
          <w:szCs w:val="32"/>
          <w:lang w:val="zh-CN"/>
        </w:rPr>
      </w:pPr>
      <w:r>
        <w:rPr>
          <w:rFonts w:hint="eastAsia" w:ascii="楷体" w:hAnsi="楷体" w:eastAsia="楷体" w:cs="楷体"/>
          <w:b/>
          <w:bCs/>
          <w:sz w:val="32"/>
          <w:szCs w:val="32"/>
          <w:lang w:val="zh-CN"/>
        </w:rPr>
        <w:t>（一）机构组成。</w:t>
      </w:r>
    </w:p>
    <w:p>
      <w:pPr>
        <w:adjustRightInd w:val="0"/>
        <w:snapToGrid w:val="0"/>
        <w:spacing w:line="576" w:lineRule="exact"/>
        <w:ind w:firstLine="640" w:firstLineChars="200"/>
        <w:contextualSpacing/>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lang w:val="zh-CN"/>
        </w:rPr>
        <w:t>本部门是参照公务员管理的事业单位，属于</w:t>
      </w:r>
      <w:r>
        <w:rPr>
          <w:rFonts w:hint="eastAsia" w:ascii="仿宋_GB2312" w:hAnsi="宋体" w:eastAsia="仿宋_GB2312" w:cs="宋体"/>
          <w:color w:val="000000"/>
          <w:kern w:val="0"/>
          <w:sz w:val="32"/>
          <w:szCs w:val="32"/>
          <w:shd w:val="clear" w:color="auto" w:fill="FFFFFF"/>
        </w:rPr>
        <w:t>1个独立的核算机构。</w:t>
      </w:r>
    </w:p>
    <w:p>
      <w:pPr>
        <w:spacing w:line="576" w:lineRule="exact"/>
        <w:ind w:firstLine="643" w:firstLineChars="200"/>
        <w:rPr>
          <w:rFonts w:ascii="楷体" w:hAnsi="楷体" w:eastAsia="楷体" w:cs="楷体"/>
          <w:b/>
          <w:bCs/>
          <w:sz w:val="32"/>
          <w:szCs w:val="32"/>
          <w:lang w:val="zh-CN"/>
        </w:rPr>
      </w:pPr>
      <w:r>
        <w:rPr>
          <w:rFonts w:hint="eastAsia" w:ascii="楷体" w:hAnsi="楷体" w:eastAsia="楷体" w:cs="楷体"/>
          <w:b/>
          <w:bCs/>
          <w:sz w:val="32"/>
          <w:szCs w:val="32"/>
          <w:lang w:val="zh-CN"/>
        </w:rPr>
        <w:t>（二）机构职能。</w:t>
      </w:r>
    </w:p>
    <w:p>
      <w:pPr>
        <w:spacing w:line="576"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1.宣传贯彻落实中央、省、市、区有关农村经济工作和社会发展的方针、政策和决策部署。</w:t>
      </w:r>
    </w:p>
    <w:p>
      <w:pPr>
        <w:spacing w:line="576"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2.研究制定全区供销合作社发展规划；指导全区供销合作社的综合改革和高质量发展，加快体制、机制创新，探索社会主义市场经济条件下合作经济的多种实现形式。</w:t>
      </w:r>
    </w:p>
    <w:p>
      <w:pPr>
        <w:spacing w:line="576"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3.承担对重要农业生产资料、废旧物资、农副产品的经营管理工作；参与组织、储备、调运有关救灾物资的工作。</w:t>
      </w:r>
    </w:p>
    <w:p>
      <w:pPr>
        <w:spacing w:line="576"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4.协调同政府有关部门、社会组织的关系，研究扶持农村合作经济发展的政策性建议，了解、反映农民群众和农村新型经营主体的意见和要求，维护农民合作经济组织的合法权益。</w:t>
      </w:r>
    </w:p>
    <w:p>
      <w:pPr>
        <w:spacing w:line="576"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5.服务乡村振兴战略。指导全区供销社系统推进农业农村现代化建设，促进一二三产业融合发展；发挥供销社行业特点全力做好脱贫攻坚，参与农村人居环境整治农业面源污染治理和先进乡镇和示范村建设，构建农村现代流通体系，推动小农户与现代农业有机衔接，指导农村金融互助、消费、生产、供销等合作社发展，帮助农民提高收入水平。</w:t>
      </w:r>
    </w:p>
    <w:p>
      <w:pPr>
        <w:spacing w:line="576"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6.围绕建立和完善农业社会化服务体系，做好农业、农村、农民服务工作，指导发展土地托管、电子商务、农村现代物流等新型业务，引导农民发展商品生产，搞活农村商品流通。</w:t>
      </w:r>
    </w:p>
    <w:p>
      <w:pPr>
        <w:spacing w:line="576"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7.指导全区供销社系统组织建设，发展新型基层供销合作社，密切与农民利益联系，组织发展农民专业合作社、农村社区综合服务社等农村基层经营服务组织，发挥联合合作优势。</w:t>
      </w:r>
    </w:p>
    <w:p>
      <w:pPr>
        <w:spacing w:line="576"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8.监督社有资产，把握社有企业发展方向。履行本级社社有资产出资人代表职责，优化社有资本布局，促进社有资产保值增值。</w:t>
      </w:r>
    </w:p>
    <w:p>
      <w:pPr>
        <w:spacing w:line="576"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9.发挥合作经济组织联合会作用，参与、协调农村合作经济组织技术交流与对外合作工作。</w:t>
      </w:r>
    </w:p>
    <w:p>
      <w:pPr>
        <w:spacing w:line="576" w:lineRule="exact"/>
        <w:ind w:firstLine="640" w:firstLineChars="200"/>
        <w:rPr>
          <w:rFonts w:ascii="楷体" w:hAnsi="楷体" w:eastAsia="楷体" w:cs="楷体"/>
          <w:b/>
          <w:bCs/>
          <w:sz w:val="32"/>
          <w:szCs w:val="32"/>
        </w:rPr>
      </w:pPr>
      <w:r>
        <w:rPr>
          <w:rFonts w:hint="eastAsia" w:ascii="仿宋" w:hAnsi="仿宋" w:eastAsia="仿宋"/>
          <w:color w:val="000000"/>
          <w:sz w:val="32"/>
          <w:szCs w:val="32"/>
        </w:rPr>
        <w:t>10.完成区委、区政府交办的其他任务。</w:t>
      </w:r>
    </w:p>
    <w:p>
      <w:pPr>
        <w:spacing w:line="576" w:lineRule="exact"/>
        <w:ind w:firstLine="643" w:firstLineChars="200"/>
        <w:rPr>
          <w:rFonts w:ascii="仿宋_GB2312" w:eastAsia="仿宋_GB2312"/>
          <w:bCs/>
          <w:color w:val="000000"/>
          <w:kern w:val="0"/>
          <w:sz w:val="32"/>
          <w:szCs w:val="32"/>
        </w:rPr>
      </w:pPr>
      <w:r>
        <w:rPr>
          <w:rFonts w:hint="eastAsia" w:ascii="楷体" w:hAnsi="楷体" w:eastAsia="楷体" w:cs="楷体"/>
          <w:b/>
          <w:bCs/>
          <w:sz w:val="32"/>
          <w:szCs w:val="32"/>
        </w:rPr>
        <w:t>（三）人员概况。</w:t>
      </w:r>
    </w:p>
    <w:p>
      <w:pPr>
        <w:spacing w:line="576"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本部门年末实有人数15人，行政编制6人，事业编制4人，控编人员1人。截止2020年12月31日共有在职人员15人、退休人员13人。</w:t>
      </w:r>
    </w:p>
    <w:p>
      <w:pPr>
        <w:adjustRightInd w:val="0"/>
        <w:snapToGrid w:val="0"/>
        <w:spacing w:line="576" w:lineRule="exact"/>
        <w:ind w:firstLine="640" w:firstLineChars="200"/>
        <w:contextualSpacing/>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spacing w:line="576"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（一）部门财政资金收入情况。</w:t>
      </w:r>
    </w:p>
    <w:p>
      <w:pPr>
        <w:spacing w:line="576" w:lineRule="exact"/>
        <w:ind w:firstLine="640" w:firstLineChars="200"/>
        <w:rPr>
          <w:rFonts w:ascii="仿宋" w:hAnsi="仿宋" w:eastAsia="仿宋" w:cs="仿宋_GB2312"/>
          <w:sz w:val="32"/>
          <w:szCs w:val="32"/>
        </w:rPr>
      </w:pPr>
      <w:r>
        <w:rPr>
          <w:rFonts w:ascii="仿宋" w:hAnsi="仿宋" w:eastAsia="仿宋"/>
          <w:color w:val="000000"/>
          <w:sz w:val="32"/>
          <w:szCs w:val="32"/>
        </w:rPr>
        <w:t>20</w:t>
      </w:r>
      <w:r>
        <w:rPr>
          <w:rFonts w:hint="eastAsia" w:ascii="仿宋" w:hAnsi="仿宋" w:eastAsia="仿宋"/>
          <w:color w:val="000000"/>
          <w:sz w:val="32"/>
          <w:szCs w:val="32"/>
        </w:rPr>
        <w:t>20年本年财政拨款收入合计347.6万元，其中：一般公共预算财政拨款收入347.6万元，占100</w:t>
      </w:r>
      <w:r>
        <w:rPr>
          <w:rFonts w:ascii="仿宋" w:hAnsi="仿宋" w:eastAsia="仿宋"/>
          <w:color w:val="000000"/>
          <w:sz w:val="32"/>
          <w:szCs w:val="32"/>
        </w:rPr>
        <w:t>%</w:t>
      </w:r>
      <w:r>
        <w:rPr>
          <w:rFonts w:hint="eastAsia" w:ascii="仿宋" w:hAnsi="仿宋" w:eastAsia="仿宋"/>
          <w:color w:val="000000"/>
          <w:sz w:val="32"/>
          <w:szCs w:val="32"/>
        </w:rPr>
        <w:t>。</w:t>
      </w:r>
    </w:p>
    <w:p>
      <w:pPr>
        <w:spacing w:line="576"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（二）部门财政资金支出情况。</w:t>
      </w:r>
    </w:p>
    <w:p>
      <w:pPr>
        <w:spacing w:line="576" w:lineRule="exact"/>
        <w:ind w:firstLine="640" w:firstLineChars="20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20年本年财政拨款支出合计320.28万元，其中：基本支出302.23万元，占94.36</w:t>
      </w:r>
      <w:r>
        <w:rPr>
          <w:rFonts w:ascii="仿宋" w:hAnsi="仿宋" w:eastAsia="仿宋"/>
          <w:color w:val="000000"/>
          <w:sz w:val="32"/>
          <w:szCs w:val="32"/>
        </w:rPr>
        <w:t>%</w:t>
      </w:r>
      <w:r>
        <w:rPr>
          <w:rFonts w:hint="eastAsia" w:ascii="仿宋" w:hAnsi="仿宋" w:eastAsia="仿宋"/>
          <w:color w:val="000000"/>
          <w:sz w:val="32"/>
          <w:szCs w:val="32"/>
        </w:rPr>
        <w:t>；项目支出18.05万元，占5.64</w:t>
      </w:r>
      <w:r>
        <w:rPr>
          <w:rFonts w:ascii="仿宋" w:hAnsi="仿宋" w:eastAsia="仿宋"/>
          <w:color w:val="000000"/>
          <w:sz w:val="32"/>
          <w:szCs w:val="32"/>
        </w:rPr>
        <w:t>%</w:t>
      </w:r>
      <w:r>
        <w:rPr>
          <w:rFonts w:hint="eastAsia" w:ascii="仿宋" w:hAnsi="仿宋" w:eastAsia="仿宋"/>
          <w:color w:val="000000"/>
          <w:sz w:val="32"/>
          <w:szCs w:val="32"/>
        </w:rPr>
        <w:t>。</w:t>
      </w:r>
    </w:p>
    <w:p>
      <w:pPr>
        <w:adjustRightInd w:val="0"/>
        <w:snapToGrid w:val="0"/>
        <w:spacing w:line="576" w:lineRule="exact"/>
        <w:ind w:firstLine="640" w:firstLineChars="200"/>
        <w:contextualSpacing/>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spacing w:line="576"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（一）部门预算管理。</w:t>
      </w:r>
    </w:p>
    <w:p>
      <w:pPr>
        <w:spacing w:line="576"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2020年利州区供销社部门整体支出资金绩效评价总体良好，主要体现在：预算编制及时，严格预算约束，严格项目支出管理，认真执行各项财经纪律，加强内控制度建设，确保资金使用规范、安全、高效。专项资金严格按照相关规定进行申请申报、加强事前事中事后监管，确保资金使用安全和效益最大化。</w:t>
      </w:r>
    </w:p>
    <w:p>
      <w:pPr>
        <w:spacing w:line="576"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（二）结果应用情况。</w:t>
      </w:r>
    </w:p>
    <w:p>
      <w:pPr>
        <w:spacing w:line="576" w:lineRule="exact"/>
        <w:ind w:firstLine="640" w:firstLineChars="200"/>
        <w:rPr>
          <w:rFonts w:ascii="仿宋" w:hAnsi="仿宋" w:eastAsia="仿宋"/>
          <w:sz w:val="32"/>
          <w:szCs w:val="32"/>
        </w:rPr>
      </w:pPr>
      <w:r>
        <w:rPr>
          <w:rFonts w:hint="eastAsia" w:ascii="仿宋" w:hAnsi="仿宋" w:eastAsia="仿宋"/>
          <w:color w:val="000000"/>
          <w:sz w:val="32"/>
          <w:szCs w:val="32"/>
        </w:rPr>
        <w:t>根据自评结果，2020年度部门整体预算绩效质量较好，既保障了本单位职工正常办公和生活秩序，工资薪金正常发放，又顺利完成各项工作任务，同时严肃预算管理，保障各项工作顺利开</w:t>
      </w:r>
      <w:r>
        <w:rPr>
          <w:rFonts w:hint="eastAsia" w:ascii="仿宋" w:hAnsi="仿宋" w:eastAsia="仿宋"/>
          <w:sz w:val="32"/>
          <w:szCs w:val="32"/>
        </w:rPr>
        <w:t>展，严格履行法定职责，圆满完成了区委、区政府部署的工作任务，准确评价了各项指标的完成情况，群众满意度高。</w:t>
      </w:r>
    </w:p>
    <w:p>
      <w:pPr>
        <w:adjustRightInd w:val="0"/>
        <w:snapToGrid w:val="0"/>
        <w:spacing w:line="576" w:lineRule="exact"/>
        <w:ind w:firstLine="640" w:firstLineChars="200"/>
        <w:contextualSpacing/>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四、评价结论及建议</w:t>
      </w:r>
    </w:p>
    <w:p>
      <w:pPr>
        <w:spacing w:line="576" w:lineRule="exact"/>
        <w:ind w:firstLine="643" w:firstLineChars="200"/>
        <w:rPr>
          <w:rFonts w:ascii="楷体" w:hAnsi="楷体" w:eastAsia="楷体" w:cs="楷体"/>
          <w:b/>
          <w:kern w:val="0"/>
          <w:sz w:val="32"/>
          <w:szCs w:val="32"/>
        </w:rPr>
      </w:pPr>
      <w:r>
        <w:rPr>
          <w:rFonts w:hint="eastAsia" w:ascii="楷体" w:hAnsi="楷体" w:eastAsia="楷体" w:cs="楷体"/>
          <w:b/>
          <w:kern w:val="0"/>
          <w:sz w:val="32"/>
          <w:szCs w:val="32"/>
        </w:rPr>
        <w:t>（一）评价结论。</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2020年度，在部门绩效目标制定、目标完成、预算编制准确、支出控制、预算动态调整、执行进度、预算完成都严格按照各项制度和规定按时保质完成，无任何违规记录，及时、准确、优质地完成了预算编制，预算执行情况良好，支出管理规范，资金管理制度较为完善，会计核算和账务处理规范，会计资料完整。</w:t>
      </w:r>
    </w:p>
    <w:p>
      <w:pPr>
        <w:spacing w:line="576" w:lineRule="exact"/>
        <w:ind w:firstLine="643" w:firstLineChars="200"/>
        <w:rPr>
          <w:rFonts w:ascii="楷体" w:hAnsi="楷体" w:eastAsia="楷体" w:cs="楷体"/>
          <w:b/>
          <w:kern w:val="0"/>
          <w:sz w:val="32"/>
          <w:szCs w:val="32"/>
        </w:rPr>
      </w:pPr>
      <w:r>
        <w:rPr>
          <w:rFonts w:hint="eastAsia" w:ascii="楷体" w:hAnsi="楷体" w:eastAsia="楷体" w:cs="楷体"/>
          <w:b/>
          <w:kern w:val="0"/>
          <w:sz w:val="32"/>
          <w:szCs w:val="32"/>
        </w:rPr>
        <w:t>（二）存在问题。</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一是在资金使用计划上有待进一步加强；二是对预算编制、管理、执行相关政策规定学习还不够，理解还不够透彻。</w:t>
      </w:r>
    </w:p>
    <w:p>
      <w:pPr>
        <w:spacing w:line="576" w:lineRule="exact"/>
        <w:ind w:firstLine="643" w:firstLineChars="200"/>
        <w:rPr>
          <w:rFonts w:ascii="楷体" w:hAnsi="楷体" w:eastAsia="楷体" w:cs="楷体"/>
          <w:b/>
          <w:kern w:val="0"/>
          <w:sz w:val="32"/>
          <w:szCs w:val="32"/>
        </w:rPr>
      </w:pPr>
      <w:r>
        <w:rPr>
          <w:rFonts w:hint="eastAsia" w:ascii="楷体" w:hAnsi="楷体" w:eastAsia="楷体" w:cs="楷体"/>
          <w:b/>
          <w:kern w:val="0"/>
          <w:sz w:val="32"/>
          <w:szCs w:val="32"/>
        </w:rPr>
        <w:t>（三）改进建议。</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加强预算编制的前瞻性，进一步优化预算编制，避免项目支出与基本支出划分不准或预算支出与实际执行出现较大偏差的情况。</w:t>
      </w:r>
    </w:p>
    <w:p>
      <w:pPr>
        <w:spacing w:line="576" w:lineRule="exact"/>
        <w:ind w:firstLine="640" w:firstLineChars="200"/>
        <w:rPr>
          <w:rFonts w:ascii="仿宋_GB2312" w:hAnsi="仿宋_GB2312" w:eastAsia="仿宋_GB2312" w:cs="仿宋_GB2312"/>
          <w:sz w:val="32"/>
          <w:szCs w:val="32"/>
        </w:rPr>
      </w:pPr>
    </w:p>
    <w:p>
      <w:pPr>
        <w:spacing w:line="576" w:lineRule="exact"/>
        <w:ind w:firstLine="640" w:firstLineChars="200"/>
        <w:rPr>
          <w:rFonts w:ascii="仿宋_GB2312" w:hAnsi="仿宋_GB2312" w:eastAsia="仿宋_GB2312" w:cs="仿宋_GB2312"/>
          <w:sz w:val="32"/>
          <w:szCs w:val="32"/>
        </w:rPr>
      </w:pPr>
    </w:p>
    <w:p>
      <w:pPr>
        <w:spacing w:line="576" w:lineRule="exact"/>
        <w:ind w:firstLine="640" w:firstLineChars="200"/>
        <w:rPr>
          <w:rFonts w:ascii="仿宋_GB2312" w:hAnsi="仿宋_GB2312" w:eastAsia="仿宋_GB2312" w:cs="仿宋_GB2312"/>
          <w:sz w:val="32"/>
          <w:szCs w:val="32"/>
        </w:rPr>
      </w:pPr>
    </w:p>
    <w:p>
      <w:pPr>
        <w:spacing w:line="576" w:lineRule="exact"/>
        <w:ind w:firstLine="640" w:firstLineChars="200"/>
        <w:rPr>
          <w:rFonts w:ascii="仿宋_GB2312" w:hAnsi="仿宋_GB2312" w:eastAsia="仿宋_GB2312" w:cs="仿宋_GB2312"/>
          <w:sz w:val="32"/>
          <w:szCs w:val="32"/>
        </w:rPr>
      </w:pPr>
    </w:p>
    <w:p>
      <w:pPr>
        <w:spacing w:line="576" w:lineRule="exact"/>
        <w:ind w:firstLine="640" w:firstLineChars="200"/>
        <w:rPr>
          <w:rFonts w:ascii="仿宋_GB2312" w:hAnsi="仿宋_GB2312" w:eastAsia="仿宋_GB2312" w:cs="仿宋_GB2312"/>
          <w:sz w:val="32"/>
          <w:szCs w:val="32"/>
        </w:rPr>
      </w:pPr>
    </w:p>
    <w:p>
      <w:pPr>
        <w:spacing w:line="576" w:lineRule="exact"/>
        <w:ind w:firstLine="640" w:firstLineChars="200"/>
        <w:rPr>
          <w:rFonts w:ascii="仿宋_GB2312" w:hAnsi="仿宋_GB2312" w:eastAsia="仿宋_GB2312" w:cs="仿宋_GB2312"/>
          <w:sz w:val="32"/>
          <w:szCs w:val="32"/>
        </w:rPr>
      </w:pPr>
    </w:p>
    <w:p>
      <w:pPr>
        <w:spacing w:line="576" w:lineRule="exact"/>
        <w:ind w:firstLine="640" w:firstLineChars="200"/>
        <w:rPr>
          <w:rFonts w:ascii="仿宋_GB2312" w:hAnsi="仿宋_GB2312" w:eastAsia="仿宋_GB2312" w:cs="仿宋_GB2312"/>
          <w:sz w:val="32"/>
          <w:szCs w:val="32"/>
        </w:rPr>
      </w:pPr>
    </w:p>
    <w:p>
      <w:pPr>
        <w:spacing w:line="576" w:lineRule="exact"/>
        <w:ind w:firstLine="640" w:firstLineChars="200"/>
        <w:rPr>
          <w:rFonts w:ascii="仿宋_GB2312" w:hAnsi="仿宋_GB2312" w:eastAsia="仿宋_GB2312" w:cs="仿宋_GB2312"/>
          <w:sz w:val="32"/>
          <w:szCs w:val="32"/>
        </w:rPr>
      </w:pPr>
    </w:p>
    <w:p>
      <w:pPr>
        <w:spacing w:line="576" w:lineRule="exact"/>
        <w:ind w:firstLine="640" w:firstLineChars="200"/>
        <w:rPr>
          <w:rFonts w:ascii="仿宋_GB2312" w:hAnsi="仿宋_GB2312" w:eastAsia="仿宋_GB2312" w:cs="仿宋_GB2312"/>
          <w:sz w:val="32"/>
          <w:szCs w:val="32"/>
        </w:rPr>
      </w:pPr>
    </w:p>
    <w:p>
      <w:pPr>
        <w:spacing w:line="576" w:lineRule="exact"/>
        <w:ind w:firstLine="640" w:firstLineChars="200"/>
        <w:rPr>
          <w:rFonts w:ascii="仿宋_GB2312" w:hAnsi="仿宋_GB2312" w:eastAsia="仿宋_GB2312" w:cs="仿宋_GB2312"/>
          <w:sz w:val="32"/>
          <w:szCs w:val="32"/>
        </w:rPr>
      </w:pPr>
    </w:p>
    <w:p>
      <w:pPr>
        <w:spacing w:line="576" w:lineRule="exact"/>
        <w:ind w:firstLine="640" w:firstLineChars="200"/>
        <w:rPr>
          <w:rFonts w:ascii="仿宋_GB2312" w:hAnsi="仿宋_GB2312" w:eastAsia="仿宋_GB2312" w:cs="仿宋_GB2312"/>
          <w:sz w:val="32"/>
          <w:szCs w:val="32"/>
        </w:rPr>
      </w:pPr>
    </w:p>
    <w:p>
      <w:pPr>
        <w:spacing w:line="576" w:lineRule="exact"/>
        <w:rPr>
          <w:rFonts w:ascii="仿宋_GB2312" w:hAnsi="仿宋_GB2312" w:eastAsia="仿宋_GB2312" w:cs="仿宋_GB2312"/>
          <w:sz w:val="32"/>
          <w:szCs w:val="32"/>
        </w:rPr>
      </w:pPr>
      <w:r>
        <w:rPr>
          <w:rFonts w:hint="eastAsia" w:ascii="黑体" w:hAnsi="黑体" w:eastAsia="黑体" w:cs="黑体"/>
          <w:sz w:val="32"/>
          <w:szCs w:val="32"/>
        </w:rPr>
        <w:t>附件2</w:t>
      </w:r>
    </w:p>
    <w:p>
      <w:pPr>
        <w:spacing w:line="576" w:lineRule="exact"/>
        <w:jc w:val="center"/>
        <w:rPr>
          <w:rFonts w:ascii="方正小标宋简体" w:hAnsi="宋体" w:eastAsia="方正小标宋简体"/>
          <w:color w:val="000000"/>
          <w:kern w:val="0"/>
          <w:sz w:val="44"/>
          <w:szCs w:val="44"/>
        </w:rPr>
      </w:pPr>
      <w:r>
        <w:rPr>
          <w:rFonts w:hint="eastAsia" w:ascii="方正小标宋简体" w:hAnsi="宋体" w:eastAsia="方正小标宋简体"/>
          <w:color w:val="000000"/>
          <w:kern w:val="0"/>
          <w:sz w:val="44"/>
          <w:szCs w:val="44"/>
        </w:rPr>
        <w:t>非贫困村第一书记、驻村工作队工作经费</w:t>
      </w:r>
    </w:p>
    <w:p>
      <w:pPr>
        <w:spacing w:line="576"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2020年</w:t>
      </w:r>
      <w:r>
        <w:rPr>
          <w:rFonts w:hint="eastAsia" w:ascii="方正小标宋简体" w:hAnsi="宋体" w:eastAsia="方正小标宋简体"/>
          <w:color w:val="000000"/>
          <w:kern w:val="0"/>
          <w:sz w:val="44"/>
          <w:szCs w:val="44"/>
          <w:lang w:val="zh-CN"/>
        </w:rPr>
        <w:t>绩效评价报告</w:t>
      </w:r>
    </w:p>
    <w:p>
      <w:pPr>
        <w:spacing w:line="576" w:lineRule="exact"/>
        <w:rPr>
          <w:rFonts w:ascii="宋体" w:hAnsi="宋体"/>
          <w:color w:val="C00000"/>
          <w:sz w:val="32"/>
          <w:szCs w:val="32"/>
          <w:lang w:val="zh-CN"/>
        </w:rPr>
      </w:pPr>
    </w:p>
    <w:p>
      <w:pPr>
        <w:adjustRightInd w:val="0"/>
        <w:snapToGrid w:val="0"/>
        <w:spacing w:line="576"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576"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576"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1．说明项目主管部门（单位）在该项目管理中的职能。</w:t>
      </w:r>
      <w:r>
        <w:rPr>
          <w:rFonts w:hint="eastAsia" w:ascii="仿宋_GB2312" w:hAnsi="宋体" w:eastAsia="仿宋_GB2312"/>
          <w:sz w:val="32"/>
          <w:szCs w:val="32"/>
        </w:rPr>
        <w:t>区供销联</w:t>
      </w:r>
      <w:r>
        <w:rPr>
          <w:rFonts w:hint="eastAsia" w:ascii="仿宋_GB2312" w:hAnsi="宋体" w:eastAsia="仿宋_GB2312"/>
          <w:sz w:val="32"/>
          <w:szCs w:val="32"/>
          <w:lang w:val="zh-CN"/>
        </w:rPr>
        <w:t>社</w:t>
      </w:r>
      <w:r>
        <w:rPr>
          <w:rFonts w:hint="eastAsia" w:ascii="仿宋_GB2312" w:hAnsi="宋体" w:eastAsia="仿宋_GB2312"/>
          <w:sz w:val="32"/>
          <w:szCs w:val="32"/>
        </w:rPr>
        <w:t>帮扶非贫困村为三堆镇凉水村</w:t>
      </w:r>
      <w:r>
        <w:rPr>
          <w:rFonts w:hint="eastAsia" w:ascii="仿宋_GB2312" w:hAnsi="宋体" w:eastAsia="仿宋_GB2312"/>
          <w:sz w:val="32"/>
          <w:szCs w:val="32"/>
          <w:lang w:val="zh-CN"/>
        </w:rPr>
        <w:t>，选派驻村</w:t>
      </w:r>
      <w:r>
        <w:rPr>
          <w:rFonts w:hint="eastAsia" w:ascii="仿宋_GB2312" w:hAnsi="宋体" w:eastAsia="仿宋_GB2312"/>
          <w:sz w:val="32"/>
          <w:szCs w:val="32"/>
        </w:rPr>
        <w:t>第一书记1名、</w:t>
      </w:r>
      <w:r>
        <w:rPr>
          <w:rFonts w:hint="eastAsia" w:ascii="仿宋_GB2312" w:hAnsi="宋体" w:eastAsia="仿宋_GB2312"/>
          <w:sz w:val="32"/>
          <w:szCs w:val="32"/>
          <w:lang w:val="zh-CN"/>
        </w:rPr>
        <w:t>工作队队员</w:t>
      </w:r>
      <w:r>
        <w:rPr>
          <w:rFonts w:hint="eastAsia" w:ascii="仿宋_GB2312" w:hAnsi="宋体" w:eastAsia="仿宋_GB2312"/>
          <w:sz w:val="32"/>
          <w:szCs w:val="32"/>
        </w:rPr>
        <w:t>2名，按照脱贫攻坚帮扶力量责任相关要求</w:t>
      </w:r>
      <w:r>
        <w:rPr>
          <w:rFonts w:hint="eastAsia" w:ascii="仿宋_GB2312" w:hAnsi="宋体" w:eastAsia="仿宋_GB2312"/>
          <w:sz w:val="32"/>
          <w:szCs w:val="32"/>
          <w:lang w:val="zh-CN"/>
        </w:rPr>
        <w:t>，</w:t>
      </w:r>
      <w:r>
        <w:rPr>
          <w:rFonts w:hint="eastAsia" w:ascii="仿宋_GB2312" w:hAnsi="宋体" w:eastAsia="仿宋_GB2312"/>
          <w:sz w:val="32"/>
          <w:szCs w:val="32"/>
        </w:rPr>
        <w:t>我社负责对选派等第一书记、</w:t>
      </w:r>
      <w:r>
        <w:rPr>
          <w:rFonts w:hint="eastAsia" w:ascii="仿宋_GB2312" w:hAnsi="宋体" w:eastAsia="仿宋_GB2312"/>
          <w:sz w:val="32"/>
          <w:szCs w:val="32"/>
          <w:lang w:val="zh-CN"/>
        </w:rPr>
        <w:t>驻村工作队队员的</w:t>
      </w:r>
      <w:r>
        <w:rPr>
          <w:rFonts w:hint="eastAsia" w:ascii="仿宋_GB2312" w:hAnsi="宋体" w:eastAsia="仿宋_GB2312"/>
          <w:sz w:val="32"/>
          <w:szCs w:val="32"/>
        </w:rPr>
        <w:t>管理和服务</w:t>
      </w:r>
      <w:r>
        <w:rPr>
          <w:rFonts w:hint="eastAsia" w:ascii="仿宋_GB2312" w:hAnsi="宋体" w:eastAsia="仿宋_GB2312"/>
          <w:sz w:val="32"/>
          <w:szCs w:val="32"/>
          <w:lang w:val="zh-CN"/>
        </w:rPr>
        <w:t>。</w:t>
      </w:r>
    </w:p>
    <w:p>
      <w:pPr>
        <w:adjustRightInd w:val="0"/>
        <w:snapToGrid w:val="0"/>
        <w:spacing w:line="576" w:lineRule="exact"/>
        <w:ind w:firstLine="720"/>
        <w:rPr>
          <w:rFonts w:ascii="仿宋_GB2312" w:hAnsi="宋体" w:eastAsia="仿宋_GB2312"/>
          <w:sz w:val="32"/>
          <w:szCs w:val="32"/>
        </w:rPr>
      </w:pPr>
      <w:r>
        <w:rPr>
          <w:rFonts w:hint="eastAsia" w:ascii="仿宋_GB2312" w:hAnsi="宋体" w:eastAsia="仿宋_GB2312"/>
          <w:sz w:val="32"/>
          <w:szCs w:val="32"/>
          <w:lang w:val="zh-CN"/>
        </w:rPr>
        <w:t>2．项目立项、资金申报的依据。按照省市区关于对驻村帮扶力量的相关管理规定进行资金的申报。</w:t>
      </w:r>
    </w:p>
    <w:p>
      <w:pPr>
        <w:adjustRightInd w:val="0"/>
        <w:snapToGrid w:val="0"/>
        <w:spacing w:line="576" w:lineRule="exact"/>
        <w:ind w:firstLine="720"/>
        <w:rPr>
          <w:rFonts w:ascii="仿宋_GB2312" w:hAnsi="宋体" w:eastAsia="仿宋_GB2312"/>
          <w:sz w:val="32"/>
          <w:szCs w:val="32"/>
        </w:rPr>
      </w:pPr>
      <w:r>
        <w:rPr>
          <w:rFonts w:hint="eastAsia" w:ascii="仿宋_GB2312" w:hAnsi="宋体" w:eastAsia="仿宋_GB2312"/>
          <w:sz w:val="32"/>
          <w:szCs w:val="32"/>
          <w:lang w:val="zh-CN"/>
        </w:rPr>
        <w:t>3．资金管理办法制定情况，资金支持具体项目的条件、范围与支持方式概况。</w:t>
      </w:r>
      <w:r>
        <w:rPr>
          <w:rFonts w:hint="eastAsia" w:ascii="仿宋_GB2312" w:hAnsi="宋体" w:eastAsia="仿宋_GB2312"/>
          <w:sz w:val="32"/>
          <w:szCs w:val="32"/>
        </w:rPr>
        <w:t>2020年财政预算非贫困村第一书记、驻村工作队队员慰问资金</w:t>
      </w:r>
      <w:r>
        <w:rPr>
          <w:rFonts w:hint="eastAsia" w:ascii="仿宋_GB2312" w:hAnsi="宋体" w:eastAsia="仿宋_GB2312"/>
          <w:sz w:val="32"/>
          <w:szCs w:val="32"/>
          <w:lang w:val="zh-CN"/>
        </w:rPr>
        <w:t>共计</w:t>
      </w:r>
      <w:r>
        <w:rPr>
          <w:rFonts w:hint="eastAsia" w:ascii="仿宋_GB2312" w:hAnsi="宋体" w:eastAsia="仿宋_GB2312"/>
          <w:sz w:val="32"/>
          <w:szCs w:val="32"/>
        </w:rPr>
        <w:t>0.5万元，其主要</w:t>
      </w:r>
      <w:r>
        <w:rPr>
          <w:rFonts w:hint="eastAsia" w:ascii="仿宋_GB2312" w:hAnsi="宋体" w:eastAsia="仿宋_GB2312"/>
          <w:sz w:val="32"/>
          <w:szCs w:val="32"/>
          <w:lang w:val="zh-CN"/>
        </w:rPr>
        <w:t>用于对驻村工作队</w:t>
      </w:r>
      <w:r>
        <w:rPr>
          <w:rFonts w:hint="eastAsia" w:ascii="仿宋_GB2312" w:hAnsi="宋体" w:eastAsia="仿宋_GB2312"/>
          <w:sz w:val="32"/>
          <w:szCs w:val="32"/>
        </w:rPr>
        <w:t>的办公开支和生活补助、慰问等支出</w:t>
      </w:r>
      <w:r>
        <w:rPr>
          <w:rFonts w:hint="eastAsia" w:ascii="仿宋_GB2312" w:hAnsi="宋体" w:eastAsia="仿宋_GB2312"/>
          <w:sz w:val="32"/>
          <w:szCs w:val="32"/>
          <w:lang w:val="zh-CN"/>
        </w:rPr>
        <w:t>，进一步激发帮扶力量的工作激情，</w:t>
      </w:r>
      <w:r>
        <w:rPr>
          <w:rFonts w:hint="eastAsia" w:ascii="仿宋_GB2312" w:hAnsi="宋体" w:eastAsia="仿宋_GB2312"/>
          <w:sz w:val="32"/>
          <w:szCs w:val="32"/>
        </w:rPr>
        <w:t>确保驻村帮扶出实效，实现脱贫验收完满过关。</w:t>
      </w:r>
    </w:p>
    <w:p>
      <w:pPr>
        <w:adjustRightInd w:val="0"/>
        <w:snapToGrid w:val="0"/>
        <w:spacing w:line="576"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4．资金分配的原则及考虑因素。</w:t>
      </w:r>
      <w:r>
        <w:rPr>
          <w:rFonts w:hint="eastAsia" w:ascii="仿宋_GB2312" w:hAnsi="宋体" w:eastAsia="仿宋_GB2312"/>
          <w:sz w:val="32"/>
          <w:szCs w:val="32"/>
        </w:rPr>
        <w:t>对</w:t>
      </w:r>
      <w:r>
        <w:rPr>
          <w:rFonts w:hint="eastAsia" w:ascii="仿宋_GB2312" w:hAnsi="宋体" w:eastAsia="仿宋_GB2312"/>
          <w:sz w:val="32"/>
          <w:szCs w:val="32"/>
          <w:lang w:val="zh-CN"/>
        </w:rPr>
        <w:t>帮扶</w:t>
      </w:r>
      <w:r>
        <w:rPr>
          <w:rFonts w:hint="eastAsia" w:ascii="仿宋_GB2312" w:hAnsi="宋体" w:eastAsia="仿宋_GB2312"/>
          <w:sz w:val="32"/>
          <w:szCs w:val="32"/>
        </w:rPr>
        <w:t>的</w:t>
      </w:r>
      <w:r>
        <w:rPr>
          <w:rFonts w:hint="eastAsia" w:ascii="仿宋_GB2312" w:hAnsi="宋体" w:eastAsia="仿宋_GB2312"/>
          <w:sz w:val="32"/>
          <w:szCs w:val="32"/>
          <w:lang w:val="zh-CN"/>
        </w:rPr>
        <w:t>三堆镇凉水村</w:t>
      </w:r>
      <w:r>
        <w:rPr>
          <w:rFonts w:hint="eastAsia" w:ascii="仿宋_GB2312" w:hAnsi="宋体" w:eastAsia="仿宋_GB2312"/>
          <w:sz w:val="32"/>
          <w:szCs w:val="32"/>
        </w:rPr>
        <w:t>驻村帮扶力量给予工作经费保障，给第一书记、</w:t>
      </w:r>
      <w:r>
        <w:rPr>
          <w:rFonts w:hint="eastAsia" w:ascii="仿宋_GB2312" w:hAnsi="宋体" w:eastAsia="仿宋_GB2312"/>
          <w:sz w:val="32"/>
          <w:szCs w:val="32"/>
          <w:lang w:val="zh-CN"/>
        </w:rPr>
        <w:t>驻村工作</w:t>
      </w:r>
      <w:r>
        <w:rPr>
          <w:rFonts w:hint="eastAsia" w:ascii="仿宋_GB2312" w:hAnsi="宋体" w:eastAsia="仿宋_GB2312"/>
          <w:sz w:val="32"/>
          <w:szCs w:val="32"/>
        </w:rPr>
        <w:t>队</w:t>
      </w:r>
      <w:r>
        <w:rPr>
          <w:rFonts w:hint="eastAsia" w:ascii="仿宋_GB2312" w:hAnsi="宋体" w:eastAsia="仿宋_GB2312"/>
          <w:sz w:val="32"/>
          <w:szCs w:val="32"/>
          <w:lang w:val="zh-CN"/>
        </w:rPr>
        <w:t>队</w:t>
      </w:r>
      <w:r>
        <w:rPr>
          <w:rFonts w:hint="eastAsia" w:ascii="仿宋_GB2312" w:hAnsi="宋体" w:eastAsia="仿宋_GB2312"/>
          <w:sz w:val="32"/>
          <w:szCs w:val="32"/>
        </w:rPr>
        <w:t>员提供驻村生活补助和慰问</w:t>
      </w:r>
      <w:r>
        <w:rPr>
          <w:rFonts w:hint="eastAsia" w:ascii="仿宋_GB2312" w:hAnsi="宋体" w:eastAsia="仿宋_GB2312"/>
          <w:sz w:val="32"/>
          <w:szCs w:val="32"/>
          <w:lang w:val="zh-CN"/>
        </w:rPr>
        <w:t>。</w:t>
      </w:r>
    </w:p>
    <w:p>
      <w:pPr>
        <w:adjustRightInd w:val="0"/>
        <w:snapToGrid w:val="0"/>
        <w:spacing w:line="576"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576" w:lineRule="exact"/>
        <w:ind w:firstLine="720"/>
        <w:rPr>
          <w:rFonts w:ascii="仿宋_GB2312" w:hAnsi="宋体" w:eastAsia="仿宋_GB2312"/>
          <w:sz w:val="32"/>
          <w:szCs w:val="32"/>
        </w:rPr>
      </w:pPr>
      <w:r>
        <w:rPr>
          <w:rFonts w:hint="eastAsia" w:ascii="仿宋_GB2312" w:hAnsi="宋体" w:eastAsia="仿宋_GB2312"/>
          <w:sz w:val="32"/>
          <w:szCs w:val="32"/>
          <w:lang w:val="zh-CN"/>
        </w:rPr>
        <w:t>1．项目主要内容：用于</w:t>
      </w:r>
      <w:r>
        <w:rPr>
          <w:rFonts w:hint="eastAsia" w:ascii="仿宋_GB2312" w:hAnsi="宋体" w:eastAsia="仿宋_GB2312"/>
          <w:sz w:val="32"/>
          <w:szCs w:val="32"/>
        </w:rPr>
        <w:t>支持区供销联社选派的非贫困村驻村帮扶力量开展驻村帮扶工作和对第一书记、</w:t>
      </w:r>
      <w:r>
        <w:rPr>
          <w:rFonts w:hint="eastAsia" w:ascii="仿宋_GB2312" w:hAnsi="宋体" w:eastAsia="仿宋_GB2312"/>
          <w:sz w:val="32"/>
          <w:szCs w:val="32"/>
          <w:lang w:val="zh-CN"/>
        </w:rPr>
        <w:t>驻村工作</w:t>
      </w:r>
      <w:r>
        <w:rPr>
          <w:rFonts w:hint="eastAsia" w:ascii="仿宋_GB2312" w:hAnsi="宋体" w:eastAsia="仿宋_GB2312"/>
          <w:sz w:val="32"/>
          <w:szCs w:val="32"/>
        </w:rPr>
        <w:t>队</w:t>
      </w:r>
      <w:r>
        <w:rPr>
          <w:rFonts w:hint="eastAsia" w:ascii="仿宋_GB2312" w:hAnsi="宋体" w:eastAsia="仿宋_GB2312"/>
          <w:sz w:val="32"/>
          <w:szCs w:val="32"/>
          <w:lang w:val="zh-CN"/>
        </w:rPr>
        <w:t>队</w:t>
      </w:r>
      <w:r>
        <w:rPr>
          <w:rFonts w:hint="eastAsia" w:ascii="仿宋_GB2312" w:hAnsi="宋体" w:eastAsia="仿宋_GB2312"/>
          <w:sz w:val="32"/>
          <w:szCs w:val="32"/>
        </w:rPr>
        <w:t>员的关怀慰问等。</w:t>
      </w:r>
    </w:p>
    <w:p>
      <w:pPr>
        <w:adjustRightInd w:val="0"/>
        <w:snapToGrid w:val="0"/>
        <w:spacing w:line="576"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2．项目应实现的具体绩效目标：对</w:t>
      </w:r>
      <w:r>
        <w:rPr>
          <w:rFonts w:hint="eastAsia" w:ascii="仿宋_GB2312" w:hAnsi="宋体" w:eastAsia="仿宋_GB2312"/>
          <w:sz w:val="32"/>
          <w:szCs w:val="32"/>
        </w:rPr>
        <w:t>区供销联社</w:t>
      </w:r>
      <w:r>
        <w:rPr>
          <w:rFonts w:hint="eastAsia" w:ascii="仿宋_GB2312" w:hAnsi="宋体" w:eastAsia="仿宋_GB2312"/>
          <w:sz w:val="32"/>
          <w:szCs w:val="32"/>
          <w:lang w:val="zh-CN"/>
        </w:rPr>
        <w:t>选派到非贫困村</w:t>
      </w:r>
      <w:r>
        <w:rPr>
          <w:rFonts w:hint="eastAsia" w:ascii="仿宋_GB2312" w:hAnsi="宋体" w:eastAsia="仿宋_GB2312"/>
          <w:sz w:val="32"/>
          <w:szCs w:val="32"/>
        </w:rPr>
        <w:t>的驻村帮扶力量，保障其正常的驻村帮扶工作经费，以及对</w:t>
      </w:r>
      <w:r>
        <w:rPr>
          <w:rFonts w:hint="eastAsia" w:ascii="仿宋_GB2312" w:hAnsi="宋体" w:eastAsia="仿宋_GB2312"/>
          <w:sz w:val="32"/>
          <w:szCs w:val="32"/>
          <w:lang w:val="zh-CN"/>
        </w:rPr>
        <w:t>第一书记、驻村工作队队员</w:t>
      </w:r>
      <w:r>
        <w:rPr>
          <w:rFonts w:hint="eastAsia" w:ascii="仿宋_GB2312" w:hAnsi="宋体" w:eastAsia="仿宋_GB2312"/>
          <w:sz w:val="32"/>
          <w:szCs w:val="32"/>
        </w:rPr>
        <w:t>给于全覆盖</w:t>
      </w:r>
      <w:r>
        <w:rPr>
          <w:rFonts w:hint="eastAsia" w:ascii="仿宋_GB2312" w:hAnsi="宋体" w:eastAsia="仿宋_GB2312"/>
          <w:sz w:val="32"/>
          <w:szCs w:val="32"/>
          <w:lang w:val="zh-CN"/>
        </w:rPr>
        <w:t>慰问和关怀，切实解决工作生活中的实际困难，进一步激发帮扶力量的工作激情，牢记使命，不负重托，切实履行职责，严格遵守驻村工作各项纪律，</w:t>
      </w:r>
      <w:r>
        <w:rPr>
          <w:rFonts w:hint="eastAsia" w:ascii="仿宋_GB2312" w:hAnsi="宋体" w:eastAsia="仿宋_GB2312"/>
          <w:sz w:val="32"/>
          <w:szCs w:val="32"/>
        </w:rPr>
        <w:t>高质量完成脱贫攻坚验收</w:t>
      </w:r>
      <w:r>
        <w:rPr>
          <w:rFonts w:hint="eastAsia" w:ascii="仿宋_GB2312" w:hAnsi="宋体" w:eastAsia="仿宋_GB2312"/>
          <w:sz w:val="32"/>
          <w:szCs w:val="32"/>
          <w:lang w:val="zh-CN"/>
        </w:rPr>
        <w:t>。</w:t>
      </w:r>
    </w:p>
    <w:p>
      <w:pPr>
        <w:adjustRightInd w:val="0"/>
        <w:snapToGrid w:val="0"/>
        <w:spacing w:line="576"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3．申报内容与实施内容均符合</w:t>
      </w:r>
      <w:r>
        <w:rPr>
          <w:rFonts w:hint="eastAsia" w:ascii="仿宋_GB2312" w:hAnsi="宋体" w:eastAsia="仿宋_GB2312"/>
          <w:sz w:val="32"/>
          <w:szCs w:val="32"/>
        </w:rPr>
        <w:t>资金使用、驻村帮扶等相关</w:t>
      </w:r>
      <w:r>
        <w:rPr>
          <w:rFonts w:hint="eastAsia" w:ascii="仿宋_GB2312" w:hAnsi="宋体" w:eastAsia="仿宋_GB2312"/>
          <w:sz w:val="32"/>
          <w:szCs w:val="32"/>
          <w:lang w:val="zh-CN"/>
        </w:rPr>
        <w:t>规定。</w:t>
      </w:r>
    </w:p>
    <w:p>
      <w:pPr>
        <w:adjustRightInd w:val="0"/>
        <w:snapToGrid w:val="0"/>
        <w:spacing w:line="576"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576"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根据</w:t>
      </w:r>
      <w:bookmarkStart w:id="59" w:name="baidusnap4"/>
      <w:bookmarkEnd w:id="59"/>
      <w:r>
        <w:rPr>
          <w:rFonts w:ascii="仿宋_GB2312" w:hAnsi="宋体" w:eastAsia="仿宋_GB2312"/>
          <w:sz w:val="32"/>
          <w:szCs w:val="32"/>
          <w:lang w:val="zh-CN"/>
        </w:rPr>
        <w:t>绩效评价要求，对驻村帮扶专项资金从预算配置、预算执行、预算管理、职责履行、履职效益等方面，</w:t>
      </w:r>
      <w:r>
        <w:rPr>
          <w:rFonts w:hint="eastAsia" w:ascii="仿宋_GB2312" w:hAnsi="宋体" w:eastAsia="仿宋_GB2312"/>
          <w:sz w:val="32"/>
          <w:szCs w:val="32"/>
        </w:rPr>
        <w:t>对照驻村帮扶力量责任清单，通过村民众评、社会评价和组织评价，</w:t>
      </w:r>
      <w:r>
        <w:rPr>
          <w:rFonts w:ascii="仿宋_GB2312" w:hAnsi="宋体" w:eastAsia="仿宋_GB2312"/>
          <w:sz w:val="32"/>
          <w:szCs w:val="32"/>
          <w:lang w:val="zh-CN"/>
        </w:rPr>
        <w:t>客观公正</w:t>
      </w:r>
      <w:r>
        <w:rPr>
          <w:rFonts w:hint="eastAsia" w:ascii="仿宋_GB2312" w:hAnsi="宋体" w:eastAsia="仿宋_GB2312"/>
          <w:sz w:val="32"/>
          <w:szCs w:val="32"/>
        </w:rPr>
        <w:t>反应项目绩效情况</w:t>
      </w:r>
      <w:r>
        <w:rPr>
          <w:rFonts w:ascii="仿宋_GB2312" w:hAnsi="宋体" w:eastAsia="仿宋_GB2312"/>
          <w:sz w:val="32"/>
          <w:szCs w:val="32"/>
          <w:lang w:val="zh-CN"/>
        </w:rPr>
        <w:t>。</w:t>
      </w:r>
    </w:p>
    <w:p>
      <w:pPr>
        <w:adjustRightInd w:val="0"/>
        <w:snapToGrid w:val="0"/>
        <w:spacing w:line="576"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576"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576" w:lineRule="exact"/>
        <w:ind w:firstLine="720"/>
        <w:rPr>
          <w:rFonts w:ascii="仿宋_GB2312" w:hAnsi="宋体" w:eastAsia="仿宋_GB2312"/>
          <w:sz w:val="32"/>
          <w:szCs w:val="32"/>
        </w:rPr>
      </w:pPr>
      <w:r>
        <w:rPr>
          <w:rFonts w:hint="eastAsia" w:ascii="仿宋_GB2312" w:hAnsi="宋体" w:eastAsia="仿宋_GB2312"/>
          <w:sz w:val="32"/>
          <w:szCs w:val="32"/>
        </w:rPr>
        <w:t>申报非贫困村第一书记、驻村工作队队员工作经费0.5万元，区级财政下达预算0.5万元。</w:t>
      </w:r>
    </w:p>
    <w:p>
      <w:pPr>
        <w:adjustRightInd w:val="0"/>
        <w:snapToGrid w:val="0"/>
        <w:spacing w:line="576"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（二）资金计划、到位及使用情况。</w:t>
      </w:r>
    </w:p>
    <w:p>
      <w:pPr>
        <w:adjustRightInd w:val="0"/>
        <w:snapToGrid w:val="0"/>
        <w:spacing w:line="576"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w:t>
      </w:r>
      <w:r>
        <w:rPr>
          <w:rFonts w:hint="eastAsia" w:ascii="仿宋_GB2312" w:hAnsi="宋体" w:eastAsia="仿宋_GB2312"/>
          <w:sz w:val="32"/>
          <w:szCs w:val="32"/>
        </w:rPr>
        <w:t>.</w:t>
      </w:r>
      <w:r>
        <w:rPr>
          <w:rFonts w:hint="eastAsia" w:ascii="仿宋_GB2312" w:hAnsi="宋体" w:eastAsia="仿宋_GB2312"/>
          <w:sz w:val="32"/>
          <w:szCs w:val="32"/>
          <w:lang w:val="zh-CN"/>
        </w:rPr>
        <w:t>资金计划。区财政</w:t>
      </w:r>
      <w:r>
        <w:rPr>
          <w:rFonts w:ascii="仿宋_GB2312" w:hAnsi="宋体" w:eastAsia="仿宋_GB2312"/>
          <w:sz w:val="32"/>
          <w:szCs w:val="32"/>
          <w:lang w:val="zh-CN"/>
        </w:rPr>
        <w:t>20</w:t>
      </w:r>
      <w:r>
        <w:rPr>
          <w:rFonts w:hint="eastAsia" w:ascii="仿宋_GB2312" w:hAnsi="宋体" w:eastAsia="仿宋_GB2312"/>
          <w:sz w:val="32"/>
          <w:szCs w:val="32"/>
        </w:rPr>
        <w:t>20</w:t>
      </w:r>
      <w:r>
        <w:rPr>
          <w:rFonts w:ascii="仿宋_GB2312" w:hAnsi="宋体" w:eastAsia="仿宋_GB2312"/>
          <w:sz w:val="32"/>
          <w:szCs w:val="32"/>
          <w:lang w:val="zh-CN"/>
        </w:rPr>
        <w:t>年预算</w:t>
      </w:r>
      <w:r>
        <w:rPr>
          <w:rFonts w:hint="eastAsia" w:ascii="仿宋_GB2312" w:hAnsi="宋体" w:eastAsia="仿宋_GB2312"/>
          <w:sz w:val="32"/>
          <w:szCs w:val="32"/>
          <w:lang w:val="zh-CN"/>
        </w:rPr>
        <w:t>安排</w:t>
      </w:r>
      <w:r>
        <w:rPr>
          <w:rFonts w:hint="eastAsia" w:ascii="仿宋_GB2312" w:hAnsi="宋体" w:eastAsia="仿宋_GB2312"/>
          <w:sz w:val="32"/>
          <w:szCs w:val="32"/>
        </w:rPr>
        <w:t>第一书记、驻村工作队队员工作经费0.5万元</w:t>
      </w:r>
      <w:r>
        <w:rPr>
          <w:rFonts w:ascii="仿宋_GB2312" w:hAnsi="宋体" w:eastAsia="仿宋_GB2312"/>
          <w:sz w:val="32"/>
          <w:szCs w:val="32"/>
          <w:lang w:val="zh-CN"/>
        </w:rPr>
        <w:t>，执行中据实安排项目资金</w:t>
      </w:r>
      <w:r>
        <w:rPr>
          <w:rFonts w:hint="eastAsia" w:ascii="仿宋_GB2312" w:hAnsi="宋体" w:eastAsia="仿宋_GB2312"/>
          <w:sz w:val="32"/>
          <w:szCs w:val="32"/>
        </w:rPr>
        <w:t>0.5</w:t>
      </w:r>
      <w:r>
        <w:rPr>
          <w:rFonts w:ascii="仿宋_GB2312" w:hAnsi="宋体" w:eastAsia="仿宋_GB2312"/>
          <w:sz w:val="32"/>
          <w:szCs w:val="32"/>
          <w:lang w:val="zh-CN"/>
        </w:rPr>
        <w:t>万元。  </w:t>
      </w:r>
    </w:p>
    <w:p>
      <w:pPr>
        <w:adjustRightInd w:val="0"/>
        <w:snapToGrid w:val="0"/>
        <w:spacing w:line="576" w:lineRule="exact"/>
        <w:ind w:firstLine="720"/>
        <w:rPr>
          <w:rFonts w:ascii="仿宋_GB2312" w:hAnsi="宋体" w:eastAsia="仿宋_GB2312"/>
          <w:sz w:val="32"/>
          <w:szCs w:val="32"/>
        </w:rPr>
      </w:pPr>
      <w:r>
        <w:rPr>
          <w:rFonts w:hint="eastAsia" w:ascii="仿宋_GB2312" w:hAnsi="宋体" w:eastAsia="仿宋_GB2312"/>
          <w:sz w:val="32"/>
          <w:szCs w:val="32"/>
          <w:lang w:val="zh-CN"/>
        </w:rPr>
        <w:t>2</w:t>
      </w:r>
      <w:r>
        <w:rPr>
          <w:rFonts w:hint="eastAsia" w:ascii="仿宋_GB2312" w:hAnsi="宋体" w:eastAsia="仿宋_GB2312"/>
          <w:sz w:val="32"/>
          <w:szCs w:val="32"/>
        </w:rPr>
        <w:t>.</w:t>
      </w:r>
      <w:r>
        <w:rPr>
          <w:rFonts w:hint="eastAsia" w:ascii="仿宋_GB2312" w:hAnsi="宋体" w:eastAsia="仿宋_GB2312"/>
          <w:sz w:val="32"/>
          <w:szCs w:val="32"/>
          <w:lang w:val="zh-CN"/>
        </w:rPr>
        <w:t>资金到位。预算安排的项目资金</w:t>
      </w:r>
      <w:r>
        <w:rPr>
          <w:rFonts w:hint="eastAsia" w:ascii="仿宋_GB2312" w:hAnsi="宋体" w:eastAsia="仿宋_GB2312"/>
          <w:sz w:val="32"/>
          <w:szCs w:val="32"/>
        </w:rPr>
        <w:t>0.5万元已</w:t>
      </w:r>
      <w:r>
        <w:rPr>
          <w:rFonts w:ascii="仿宋_GB2312" w:hAnsi="宋体" w:eastAsia="仿宋_GB2312"/>
          <w:sz w:val="32"/>
          <w:szCs w:val="32"/>
          <w:lang w:val="zh-CN"/>
        </w:rPr>
        <w:t>全额到位。</w:t>
      </w:r>
    </w:p>
    <w:p>
      <w:pPr>
        <w:adjustRightInd w:val="0"/>
        <w:snapToGrid w:val="0"/>
        <w:spacing w:line="576"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w:t>
      </w:r>
      <w:r>
        <w:rPr>
          <w:rFonts w:hint="eastAsia" w:ascii="仿宋_GB2312" w:hAnsi="宋体" w:eastAsia="仿宋_GB2312"/>
          <w:sz w:val="32"/>
          <w:szCs w:val="32"/>
        </w:rPr>
        <w:t>.</w:t>
      </w:r>
      <w:r>
        <w:rPr>
          <w:rFonts w:hint="eastAsia" w:ascii="仿宋_GB2312" w:hAnsi="宋体" w:eastAsia="仿宋_GB2312"/>
          <w:sz w:val="32"/>
          <w:szCs w:val="32"/>
          <w:lang w:val="zh-CN"/>
        </w:rPr>
        <w:t>资金使用。厉行节约，严格按制度使用。</w:t>
      </w:r>
      <w:r>
        <w:rPr>
          <w:rFonts w:ascii="仿宋_GB2312" w:hAnsi="宋体" w:eastAsia="仿宋_GB2312"/>
          <w:sz w:val="32"/>
          <w:szCs w:val="32"/>
        </w:rPr>
        <w:t>  </w:t>
      </w:r>
    </w:p>
    <w:p>
      <w:pPr>
        <w:adjustRightInd w:val="0"/>
        <w:snapToGrid w:val="0"/>
        <w:spacing w:line="576"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576"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项目实施单位区供销联社</w:t>
      </w:r>
      <w:r>
        <w:rPr>
          <w:rFonts w:ascii="仿宋_GB2312" w:hAnsi="宋体" w:eastAsia="仿宋_GB2312"/>
          <w:sz w:val="32"/>
          <w:szCs w:val="32"/>
          <w:lang w:val="zh-CN"/>
        </w:rPr>
        <w:t>财务管理制度健全，严格执行财务管理制度，账务处理及时，会计核算规范。</w:t>
      </w:r>
    </w:p>
    <w:p>
      <w:pPr>
        <w:adjustRightInd w:val="0"/>
        <w:snapToGrid w:val="0"/>
        <w:spacing w:line="576"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576"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576" w:lineRule="exact"/>
        <w:ind w:firstLine="720"/>
        <w:rPr>
          <w:rFonts w:ascii="仿宋_GB2312" w:hAnsi="宋体" w:eastAsia="仿宋_GB2312"/>
          <w:sz w:val="32"/>
          <w:szCs w:val="32"/>
        </w:rPr>
      </w:pPr>
      <w:r>
        <w:rPr>
          <w:rFonts w:hint="eastAsia" w:ascii="仿宋_GB2312" w:hAnsi="宋体" w:eastAsia="仿宋_GB2312"/>
          <w:sz w:val="32"/>
          <w:szCs w:val="32"/>
          <w:lang w:val="zh-CN"/>
        </w:rPr>
        <w:t>该项目由区供销联社</w:t>
      </w:r>
      <w:r>
        <w:rPr>
          <w:rFonts w:ascii="仿宋_GB2312" w:hAnsi="宋体" w:eastAsia="仿宋_GB2312"/>
          <w:sz w:val="32"/>
          <w:szCs w:val="32"/>
          <w:lang w:val="zh-CN"/>
        </w:rPr>
        <w:t>具体组织实施，</w:t>
      </w:r>
      <w:r>
        <w:rPr>
          <w:rFonts w:hint="eastAsia" w:ascii="仿宋_GB2312" w:hAnsi="宋体" w:eastAsia="仿宋_GB2312"/>
          <w:sz w:val="32"/>
          <w:szCs w:val="32"/>
        </w:rPr>
        <w:t>对非贫困第一书记、驻村工作队队员给予工作保障和慰问。</w:t>
      </w:r>
    </w:p>
    <w:p>
      <w:pPr>
        <w:adjustRightInd w:val="0"/>
        <w:snapToGrid w:val="0"/>
        <w:spacing w:line="576"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（二）项目管理情况。</w:t>
      </w:r>
      <w:r>
        <w:rPr>
          <w:rFonts w:ascii="仿宋_GB2312" w:hAnsi="宋体" w:eastAsia="仿宋_GB2312"/>
          <w:sz w:val="32"/>
          <w:szCs w:val="32"/>
          <w:lang w:val="zh-CN"/>
        </w:rPr>
        <w:t>加强</w:t>
      </w:r>
      <w:r>
        <w:rPr>
          <w:rFonts w:hint="eastAsia" w:ascii="仿宋_GB2312" w:hAnsi="宋体" w:eastAsia="仿宋_GB2312"/>
          <w:sz w:val="32"/>
          <w:szCs w:val="32"/>
        </w:rPr>
        <w:t>资金</w:t>
      </w:r>
      <w:r>
        <w:rPr>
          <w:rFonts w:ascii="仿宋_GB2312" w:hAnsi="宋体" w:eastAsia="仿宋_GB2312"/>
          <w:sz w:val="32"/>
          <w:szCs w:val="32"/>
          <w:lang w:val="zh-CN"/>
        </w:rPr>
        <w:t>审批和控制，规范支出标准与范围，并严格执行。</w:t>
      </w:r>
    </w:p>
    <w:p>
      <w:pPr>
        <w:adjustRightInd w:val="0"/>
        <w:snapToGrid w:val="0"/>
        <w:spacing w:line="576"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（三）项目监管情况。</w:t>
      </w:r>
      <w:r>
        <w:rPr>
          <w:rFonts w:ascii="仿宋_GB2312" w:hAnsi="宋体" w:eastAsia="仿宋_GB2312"/>
          <w:sz w:val="32"/>
          <w:szCs w:val="32"/>
          <w:lang w:val="zh-CN"/>
        </w:rPr>
        <w:t>严格按规章制度执行</w:t>
      </w:r>
      <w:r>
        <w:rPr>
          <w:rFonts w:hint="eastAsia" w:ascii="仿宋_GB2312" w:hAnsi="宋体" w:eastAsia="仿宋_GB2312"/>
          <w:sz w:val="32"/>
          <w:szCs w:val="32"/>
          <w:lang w:val="zh-CN"/>
        </w:rPr>
        <w:t>。</w:t>
      </w:r>
    </w:p>
    <w:p>
      <w:pPr>
        <w:adjustRightInd w:val="0"/>
        <w:snapToGrid w:val="0"/>
        <w:spacing w:line="576"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576"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576" w:lineRule="exact"/>
        <w:ind w:firstLine="720"/>
        <w:rPr>
          <w:rFonts w:ascii="仿宋_GB2312" w:hAnsi="宋体" w:eastAsia="仿宋_GB2312"/>
          <w:sz w:val="32"/>
          <w:szCs w:val="32"/>
        </w:rPr>
      </w:pPr>
      <w:r>
        <w:rPr>
          <w:rFonts w:hint="eastAsia" w:ascii="仿宋_GB2312" w:hAnsi="宋体" w:eastAsia="仿宋_GB2312"/>
          <w:sz w:val="32"/>
          <w:szCs w:val="32"/>
        </w:rPr>
        <w:t>该项资金已全部用于对区供销联社选派的非贫困村第一书记、驻村工作队队员的工作保障和慰问。</w:t>
      </w:r>
    </w:p>
    <w:p>
      <w:pPr>
        <w:adjustRightInd w:val="0"/>
        <w:snapToGrid w:val="0"/>
        <w:spacing w:line="576"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576" w:lineRule="exact"/>
        <w:ind w:firstLine="720"/>
        <w:rPr>
          <w:rFonts w:ascii="仿宋_GB2312" w:hAnsi="宋体" w:eastAsia="仿宋_GB2312"/>
          <w:sz w:val="32"/>
          <w:szCs w:val="32"/>
          <w:lang w:val="zh-CN"/>
        </w:rPr>
      </w:pPr>
      <w:r>
        <w:rPr>
          <w:rFonts w:hint="eastAsia" w:ascii="仿宋_GB2312" w:hAnsi="宋体" w:eastAsia="仿宋_GB2312"/>
          <w:sz w:val="32"/>
          <w:szCs w:val="32"/>
        </w:rPr>
        <w:t>1.</w:t>
      </w:r>
      <w:r>
        <w:rPr>
          <w:rFonts w:ascii="仿宋_GB2312" w:hAnsi="宋体" w:eastAsia="仿宋_GB2312"/>
          <w:sz w:val="32"/>
          <w:szCs w:val="32"/>
          <w:lang w:val="zh-CN"/>
        </w:rPr>
        <w:t>完成年初绩效工作目标。</w:t>
      </w:r>
    </w:p>
    <w:p>
      <w:pPr>
        <w:adjustRightInd w:val="0"/>
        <w:snapToGrid w:val="0"/>
        <w:spacing w:line="576" w:lineRule="exact"/>
        <w:ind w:firstLine="720"/>
        <w:rPr>
          <w:rFonts w:ascii="仿宋_GB2312" w:hAnsi="宋体" w:eastAsia="仿宋_GB2312"/>
          <w:sz w:val="32"/>
          <w:szCs w:val="32"/>
          <w:lang w:val="zh-CN"/>
        </w:rPr>
      </w:pPr>
      <w:r>
        <w:rPr>
          <w:rFonts w:hint="eastAsia" w:ascii="仿宋_GB2312" w:hAnsi="宋体" w:eastAsia="仿宋_GB2312"/>
          <w:sz w:val="32"/>
          <w:szCs w:val="32"/>
        </w:rPr>
        <w:t>2.</w:t>
      </w:r>
      <w:r>
        <w:rPr>
          <w:rFonts w:ascii="仿宋_GB2312" w:hAnsi="宋体" w:eastAsia="仿宋_GB2312"/>
          <w:sz w:val="32"/>
          <w:szCs w:val="32"/>
          <w:lang w:val="zh-CN"/>
        </w:rPr>
        <w:t>群众满意度100%</w:t>
      </w:r>
    </w:p>
    <w:p>
      <w:pPr>
        <w:adjustRightInd w:val="0"/>
        <w:snapToGrid w:val="0"/>
        <w:spacing w:line="576" w:lineRule="exact"/>
        <w:ind w:firstLine="720"/>
        <w:rPr>
          <w:rFonts w:ascii="仿宋_GB2312" w:hAnsi="宋体" w:eastAsia="仿宋_GB2312"/>
          <w:sz w:val="32"/>
          <w:szCs w:val="32"/>
          <w:lang w:val="zh-CN"/>
        </w:rPr>
      </w:pPr>
      <w:r>
        <w:rPr>
          <w:rFonts w:hint="eastAsia" w:ascii="仿宋_GB2312" w:hAnsi="宋体" w:eastAsia="仿宋_GB2312"/>
          <w:sz w:val="32"/>
          <w:szCs w:val="32"/>
        </w:rPr>
        <w:t>3.</w:t>
      </w:r>
      <w:r>
        <w:rPr>
          <w:rFonts w:ascii="仿宋_GB2312" w:hAnsi="宋体" w:eastAsia="仿宋_GB2312"/>
          <w:sz w:val="32"/>
          <w:szCs w:val="32"/>
          <w:lang w:val="zh-CN"/>
        </w:rPr>
        <w:t>实现贫困户稳定增收，帮扶效果明显。</w:t>
      </w:r>
    </w:p>
    <w:p>
      <w:pPr>
        <w:adjustRightInd w:val="0"/>
        <w:snapToGrid w:val="0"/>
        <w:spacing w:line="576"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576"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576"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年初制订了详细的资金使用申报和资金使用审计工作计划，明确了全年的工作任务和要求，使全年的资金使用和资金审计工作做到了有计划、有部署。在资金使用上，严格遵守各项财经法规和财务管理制度规定，项目专项资金拨付有完整的审批程序和手续，支出符合部门预算批复的用途，无截留、挤占、挪用、虚列支出等情况。</w:t>
      </w:r>
    </w:p>
    <w:p>
      <w:pPr>
        <w:adjustRightInd w:val="0"/>
        <w:snapToGrid w:val="0"/>
        <w:spacing w:line="576"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576"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项目资金预算不够，机关</w:t>
      </w:r>
      <w:r>
        <w:rPr>
          <w:rFonts w:hint="eastAsia" w:ascii="仿宋_GB2312" w:hAnsi="宋体" w:eastAsia="仿宋_GB2312"/>
          <w:sz w:val="32"/>
          <w:szCs w:val="32"/>
        </w:rPr>
        <w:t>公用</w:t>
      </w:r>
      <w:r>
        <w:rPr>
          <w:rFonts w:hint="eastAsia" w:ascii="仿宋_GB2312" w:hAnsi="宋体" w:eastAsia="仿宋_GB2312"/>
          <w:sz w:val="32"/>
          <w:szCs w:val="32"/>
          <w:lang w:val="zh-CN"/>
        </w:rPr>
        <w:t>经费补贴较多。</w:t>
      </w:r>
    </w:p>
    <w:p>
      <w:pPr>
        <w:adjustRightInd w:val="0"/>
        <w:snapToGrid w:val="0"/>
        <w:spacing w:line="576"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576" w:lineRule="exact"/>
        <w:ind w:firstLine="640" w:firstLineChars="200"/>
        <w:rPr>
          <w:rFonts w:ascii="仿宋_GB2312" w:hAnsi="宋体" w:eastAsia="仿宋_GB2312"/>
          <w:sz w:val="32"/>
          <w:szCs w:val="32"/>
          <w:lang w:val="zh-CN"/>
        </w:rPr>
      </w:pPr>
      <w:r>
        <w:rPr>
          <w:rFonts w:hint="eastAsia" w:ascii="仿宋_GB2312" w:hAnsi="仿宋" w:eastAsia="仿宋_GB2312"/>
          <w:sz w:val="32"/>
        </w:rPr>
        <w:t>在乡村振兴过程中，</w:t>
      </w:r>
      <w:r>
        <w:rPr>
          <w:rFonts w:hint="eastAsia" w:ascii="仿宋_GB2312" w:hAnsi="仿宋" w:eastAsia="仿宋_GB2312"/>
          <w:sz w:val="32"/>
          <w:lang w:val="zh-CN"/>
        </w:rPr>
        <w:t>建议加大对</w:t>
      </w:r>
      <w:r>
        <w:rPr>
          <w:rFonts w:hint="eastAsia" w:ascii="仿宋_GB2312" w:hAnsi="仿宋" w:eastAsia="仿宋_GB2312"/>
          <w:sz w:val="32"/>
        </w:rPr>
        <w:t>乡村振兴帮扶村</w:t>
      </w:r>
      <w:r>
        <w:rPr>
          <w:rFonts w:hint="eastAsia" w:ascii="仿宋_GB2312" w:hAnsi="仿宋" w:eastAsia="仿宋_GB2312"/>
          <w:sz w:val="32"/>
          <w:lang w:val="zh-CN"/>
        </w:rPr>
        <w:t>驻村帮扶力量的关心关爱，增加</w:t>
      </w:r>
      <w:r>
        <w:rPr>
          <w:rFonts w:hint="eastAsia" w:ascii="仿宋_GB2312" w:hAnsi="仿宋" w:eastAsia="仿宋_GB2312"/>
          <w:sz w:val="32"/>
        </w:rPr>
        <w:t>资金保障</w:t>
      </w:r>
      <w:r>
        <w:rPr>
          <w:rFonts w:hint="eastAsia" w:ascii="仿宋_GB2312" w:hAnsi="仿宋" w:eastAsia="仿宋_GB2312"/>
          <w:sz w:val="32"/>
          <w:lang w:val="zh-CN"/>
        </w:rPr>
        <w:t>。</w:t>
      </w:r>
    </w:p>
    <w:p>
      <w:pPr>
        <w:adjustRightInd w:val="0"/>
        <w:snapToGrid w:val="0"/>
        <w:spacing w:line="576" w:lineRule="exact"/>
        <w:ind w:firstLine="640" w:firstLineChars="200"/>
        <w:rPr>
          <w:rFonts w:ascii="仿宋_GB2312" w:hAnsi="宋体" w:eastAsia="仿宋_GB2312"/>
          <w:sz w:val="32"/>
          <w:szCs w:val="32"/>
          <w:lang w:val="zh-CN"/>
        </w:rPr>
      </w:pPr>
    </w:p>
    <w:p>
      <w:pPr>
        <w:adjustRightInd w:val="0"/>
        <w:snapToGrid w:val="0"/>
        <w:spacing w:line="576" w:lineRule="exact"/>
        <w:ind w:firstLine="640" w:firstLineChars="200"/>
        <w:rPr>
          <w:rFonts w:ascii="仿宋_GB2312" w:hAnsi="宋体" w:eastAsia="仿宋_GB2312"/>
          <w:sz w:val="32"/>
          <w:szCs w:val="32"/>
          <w:lang w:val="zh-CN"/>
        </w:rPr>
      </w:pPr>
    </w:p>
    <w:p>
      <w:pPr>
        <w:adjustRightInd w:val="0"/>
        <w:snapToGrid w:val="0"/>
        <w:spacing w:line="576" w:lineRule="exact"/>
        <w:ind w:firstLine="640" w:firstLineChars="200"/>
        <w:rPr>
          <w:rFonts w:ascii="仿宋_GB2312" w:hAnsi="宋体" w:eastAsia="仿宋_GB2312"/>
          <w:sz w:val="32"/>
          <w:szCs w:val="32"/>
          <w:lang w:val="zh-CN"/>
        </w:rPr>
      </w:pPr>
    </w:p>
    <w:p>
      <w:pPr>
        <w:adjustRightInd w:val="0"/>
        <w:snapToGrid w:val="0"/>
        <w:spacing w:line="576" w:lineRule="exact"/>
        <w:ind w:firstLine="640" w:firstLineChars="200"/>
        <w:rPr>
          <w:rFonts w:ascii="仿宋_GB2312" w:hAnsi="宋体" w:eastAsia="仿宋_GB2312"/>
          <w:sz w:val="32"/>
          <w:szCs w:val="32"/>
          <w:lang w:val="zh-CN"/>
        </w:rPr>
      </w:pPr>
    </w:p>
    <w:p>
      <w:pPr>
        <w:adjustRightInd w:val="0"/>
        <w:snapToGrid w:val="0"/>
        <w:spacing w:line="576" w:lineRule="exact"/>
        <w:ind w:firstLine="640" w:firstLineChars="200"/>
        <w:rPr>
          <w:rFonts w:ascii="仿宋_GB2312" w:hAnsi="宋体" w:eastAsia="仿宋_GB2312"/>
          <w:sz w:val="32"/>
          <w:szCs w:val="32"/>
          <w:lang w:val="zh-CN"/>
        </w:rPr>
      </w:pPr>
    </w:p>
    <w:p>
      <w:pPr>
        <w:adjustRightInd w:val="0"/>
        <w:snapToGrid w:val="0"/>
        <w:spacing w:line="576" w:lineRule="exact"/>
        <w:ind w:firstLine="640" w:firstLineChars="200"/>
        <w:rPr>
          <w:rFonts w:ascii="仿宋_GB2312" w:hAnsi="宋体" w:eastAsia="仿宋_GB2312"/>
          <w:sz w:val="32"/>
          <w:szCs w:val="32"/>
          <w:lang w:val="zh-CN"/>
        </w:rPr>
      </w:pPr>
    </w:p>
    <w:p>
      <w:pPr>
        <w:adjustRightInd w:val="0"/>
        <w:snapToGrid w:val="0"/>
        <w:spacing w:line="576" w:lineRule="exact"/>
        <w:ind w:firstLine="640" w:firstLineChars="200"/>
        <w:rPr>
          <w:rFonts w:ascii="仿宋_GB2312" w:hAnsi="宋体" w:eastAsia="仿宋_GB2312"/>
          <w:sz w:val="32"/>
          <w:szCs w:val="32"/>
          <w:lang w:val="zh-CN"/>
        </w:rPr>
      </w:pPr>
    </w:p>
    <w:p>
      <w:pPr>
        <w:adjustRightInd w:val="0"/>
        <w:snapToGrid w:val="0"/>
        <w:spacing w:line="576" w:lineRule="exact"/>
        <w:ind w:firstLine="640" w:firstLineChars="200"/>
        <w:rPr>
          <w:rFonts w:ascii="仿宋_GB2312" w:hAnsi="宋体" w:eastAsia="仿宋_GB2312"/>
          <w:sz w:val="32"/>
          <w:szCs w:val="32"/>
          <w:lang w:val="zh-CN"/>
        </w:rPr>
      </w:pPr>
    </w:p>
    <w:p>
      <w:pPr>
        <w:adjustRightInd w:val="0"/>
        <w:snapToGrid w:val="0"/>
        <w:spacing w:line="576" w:lineRule="exact"/>
        <w:ind w:firstLine="640" w:firstLineChars="200"/>
        <w:rPr>
          <w:rFonts w:ascii="仿宋_GB2312" w:hAnsi="宋体" w:eastAsia="仿宋_GB2312"/>
          <w:sz w:val="32"/>
          <w:szCs w:val="32"/>
          <w:lang w:val="zh-CN"/>
        </w:rPr>
      </w:pPr>
    </w:p>
    <w:p>
      <w:pPr>
        <w:adjustRightInd w:val="0"/>
        <w:snapToGrid w:val="0"/>
        <w:spacing w:line="576" w:lineRule="exact"/>
        <w:ind w:firstLine="640" w:firstLineChars="200"/>
        <w:rPr>
          <w:rFonts w:ascii="仿宋_GB2312" w:hAnsi="宋体" w:eastAsia="仿宋_GB2312"/>
          <w:sz w:val="32"/>
          <w:szCs w:val="32"/>
          <w:lang w:val="zh-CN"/>
        </w:rPr>
      </w:pPr>
    </w:p>
    <w:p>
      <w:pPr>
        <w:spacing w:line="576"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val="zh-CN"/>
        </w:rPr>
        <w:t>垃圾回收分类处理点维护建设项目</w:t>
      </w:r>
    </w:p>
    <w:p>
      <w:pPr>
        <w:spacing w:line="576"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val="zh-CN"/>
        </w:rPr>
        <w:t>20</w:t>
      </w:r>
      <w:r>
        <w:rPr>
          <w:rFonts w:hint="eastAsia" w:ascii="方正小标宋简体" w:hAnsi="宋体" w:eastAsia="方正小标宋简体"/>
          <w:color w:val="000000"/>
          <w:kern w:val="0"/>
          <w:sz w:val="44"/>
          <w:szCs w:val="44"/>
        </w:rPr>
        <w:t>20</w:t>
      </w:r>
      <w:r>
        <w:rPr>
          <w:rFonts w:hint="eastAsia" w:ascii="方正小标宋简体" w:hAnsi="宋体" w:eastAsia="方正小标宋简体"/>
          <w:color w:val="000000"/>
          <w:kern w:val="0"/>
          <w:sz w:val="44"/>
          <w:szCs w:val="44"/>
          <w:lang w:val="zh-CN"/>
        </w:rPr>
        <w:t>年绩效评价报告</w:t>
      </w:r>
    </w:p>
    <w:p>
      <w:pPr>
        <w:adjustRightInd w:val="0"/>
        <w:snapToGrid w:val="0"/>
        <w:spacing w:line="576" w:lineRule="exact"/>
        <w:ind w:firstLine="720"/>
        <w:rPr>
          <w:rFonts w:ascii="黑体" w:hAnsi="宋体" w:eastAsia="黑体"/>
          <w:sz w:val="32"/>
          <w:szCs w:val="32"/>
        </w:rPr>
      </w:pPr>
    </w:p>
    <w:p>
      <w:pPr>
        <w:adjustRightInd w:val="0"/>
        <w:snapToGrid w:val="0"/>
        <w:spacing w:line="576"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576"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shd w:val="clear" w:color="auto" w:fill="FFFFFF"/>
        <w:spacing w:line="576" w:lineRule="exact"/>
        <w:ind w:firstLine="795"/>
        <w:rPr>
          <w:rFonts w:ascii="仿宋_GB2312" w:hAnsi="宋体" w:eastAsia="仿宋_GB2312"/>
          <w:sz w:val="32"/>
          <w:szCs w:val="32"/>
        </w:rPr>
      </w:pPr>
      <w:r>
        <w:rPr>
          <w:rFonts w:hint="eastAsia" w:ascii="仿宋_GB2312" w:hAnsi="宋体" w:eastAsia="仿宋_GB2312"/>
          <w:sz w:val="32"/>
          <w:szCs w:val="32"/>
        </w:rPr>
        <w:t>1.</w:t>
      </w:r>
      <w:r>
        <w:rPr>
          <w:rFonts w:ascii="仿宋_GB2312" w:hAnsi="宋体" w:eastAsia="仿宋_GB2312"/>
          <w:sz w:val="32"/>
          <w:szCs w:val="32"/>
        </w:rPr>
        <w:t>项目主管部门在该项目管理中的职能。</w:t>
      </w:r>
      <w:r>
        <w:rPr>
          <w:rFonts w:hint="eastAsia" w:ascii="仿宋_GB2312" w:hAnsi="宋体" w:eastAsia="仿宋_GB2312"/>
          <w:sz w:val="32"/>
          <w:szCs w:val="32"/>
        </w:rPr>
        <w:t>区供销联社负责对全区垃圾回收分类点的统筹规划，整合现有的再生资源回收网点，建立垃圾回收分类处理点，形成较为健全的垃圾回收体系，提升群众主动参与垃圾分类的积极性。</w:t>
      </w:r>
    </w:p>
    <w:p>
      <w:pPr>
        <w:shd w:val="clear" w:color="auto" w:fill="FFFFFF"/>
        <w:spacing w:line="576" w:lineRule="exact"/>
        <w:ind w:firstLine="795"/>
        <w:rPr>
          <w:rFonts w:ascii="仿宋_GB2312" w:hAnsi="宋体" w:eastAsia="仿宋_GB2312"/>
          <w:sz w:val="32"/>
          <w:szCs w:val="32"/>
          <w:lang w:val="zh-CN"/>
        </w:rPr>
      </w:pPr>
      <w:r>
        <w:rPr>
          <w:rFonts w:hint="eastAsia" w:ascii="仿宋_GB2312" w:hAnsi="宋体" w:eastAsia="仿宋_GB2312"/>
          <w:sz w:val="32"/>
          <w:szCs w:val="32"/>
          <w:lang w:val="zh-CN"/>
        </w:rPr>
        <w:t>2．</w:t>
      </w:r>
      <w:r>
        <w:rPr>
          <w:rFonts w:hint="eastAsia" w:ascii="仿宋_GB2312" w:hAnsi="宋体" w:eastAsia="仿宋_GB2312"/>
          <w:sz w:val="32"/>
          <w:szCs w:val="32"/>
        </w:rPr>
        <w:t>资金管理办法制定情况，资金支持具体项目的条件、范围与支持方式概况。区财政</w:t>
      </w:r>
      <w:r>
        <w:rPr>
          <w:rFonts w:ascii="仿宋_GB2312" w:hAnsi="宋体" w:eastAsia="仿宋_GB2312"/>
          <w:sz w:val="32"/>
          <w:szCs w:val="32"/>
        </w:rPr>
        <w:t>20</w:t>
      </w:r>
      <w:r>
        <w:rPr>
          <w:rFonts w:hint="eastAsia" w:ascii="仿宋_GB2312" w:hAnsi="宋体" w:eastAsia="仿宋_GB2312"/>
          <w:sz w:val="32"/>
          <w:szCs w:val="32"/>
        </w:rPr>
        <w:t>20</w:t>
      </w:r>
      <w:r>
        <w:rPr>
          <w:rFonts w:ascii="仿宋_GB2312" w:hAnsi="宋体" w:eastAsia="仿宋_GB2312"/>
          <w:sz w:val="32"/>
          <w:szCs w:val="32"/>
        </w:rPr>
        <w:t>年年初预算</w:t>
      </w:r>
      <w:r>
        <w:rPr>
          <w:rFonts w:hint="eastAsia" w:ascii="仿宋_GB2312" w:hAnsi="宋体" w:eastAsia="仿宋_GB2312"/>
          <w:sz w:val="32"/>
          <w:szCs w:val="32"/>
        </w:rPr>
        <w:t>垃圾回收分类处理点维护建设</w:t>
      </w:r>
      <w:r>
        <w:rPr>
          <w:rFonts w:ascii="仿宋_GB2312" w:hAnsi="宋体" w:eastAsia="仿宋_GB2312"/>
          <w:sz w:val="32"/>
          <w:szCs w:val="32"/>
        </w:rPr>
        <w:t>项目资金</w:t>
      </w:r>
      <w:r>
        <w:rPr>
          <w:rFonts w:hint="eastAsia" w:ascii="仿宋_GB2312" w:hAnsi="宋体" w:eastAsia="仿宋_GB2312"/>
          <w:sz w:val="32"/>
          <w:szCs w:val="32"/>
        </w:rPr>
        <w:t>7</w:t>
      </w:r>
      <w:r>
        <w:rPr>
          <w:rFonts w:ascii="仿宋_GB2312" w:hAnsi="宋体" w:eastAsia="仿宋_GB2312"/>
          <w:sz w:val="32"/>
          <w:szCs w:val="32"/>
        </w:rPr>
        <w:t>万元</w:t>
      </w:r>
      <w:r>
        <w:rPr>
          <w:rFonts w:hint="eastAsia" w:ascii="仿宋_GB2312" w:hAnsi="宋体" w:eastAsia="仿宋_GB2312"/>
          <w:sz w:val="32"/>
          <w:szCs w:val="32"/>
        </w:rPr>
        <w:t>，</w:t>
      </w:r>
      <w:r>
        <w:rPr>
          <w:rFonts w:ascii="仿宋_GB2312" w:hAnsi="宋体" w:eastAsia="仿宋_GB2312"/>
          <w:sz w:val="32"/>
          <w:szCs w:val="32"/>
        </w:rPr>
        <w:t>根据</w:t>
      </w:r>
      <w:r>
        <w:rPr>
          <w:rFonts w:hint="eastAsia" w:ascii="仿宋_GB2312" w:hAnsi="宋体" w:eastAsia="仿宋_GB2312"/>
          <w:sz w:val="32"/>
          <w:szCs w:val="32"/>
        </w:rPr>
        <w:t>项目实施进度</w:t>
      </w:r>
      <w:r>
        <w:rPr>
          <w:rFonts w:ascii="仿宋_GB2312" w:hAnsi="宋体" w:eastAsia="仿宋_GB2312"/>
          <w:sz w:val="32"/>
          <w:szCs w:val="32"/>
        </w:rPr>
        <w:t>申请及拨付。  </w:t>
      </w:r>
    </w:p>
    <w:p>
      <w:pPr>
        <w:shd w:val="clear" w:color="auto" w:fill="FFFFFF"/>
        <w:spacing w:line="576" w:lineRule="exact"/>
        <w:ind w:firstLine="795"/>
        <w:rPr>
          <w:rFonts w:ascii="仿宋_GB2312" w:hAnsi="宋体" w:eastAsia="仿宋_GB2312"/>
          <w:sz w:val="32"/>
          <w:szCs w:val="32"/>
        </w:rPr>
      </w:pPr>
      <w:r>
        <w:rPr>
          <w:rFonts w:hint="eastAsia" w:ascii="仿宋_GB2312" w:hAnsi="宋体" w:eastAsia="仿宋_GB2312"/>
          <w:sz w:val="32"/>
          <w:szCs w:val="32"/>
        </w:rPr>
        <w:t>3.</w:t>
      </w:r>
      <w:r>
        <w:rPr>
          <w:rFonts w:hint="eastAsia" w:ascii="仿宋_GB2312" w:hAnsi="宋体" w:eastAsia="仿宋_GB2312"/>
          <w:sz w:val="32"/>
          <w:szCs w:val="32"/>
          <w:lang w:val="zh-CN"/>
        </w:rPr>
        <w:t>资金分配的原则及考虑因素。</w:t>
      </w:r>
      <w:r>
        <w:rPr>
          <w:rFonts w:hint="eastAsia" w:ascii="仿宋_GB2312" w:hAnsi="宋体" w:eastAsia="仿宋_GB2312"/>
          <w:sz w:val="32"/>
          <w:szCs w:val="32"/>
        </w:rPr>
        <w:t>对现有159个垃圾回收网点（乡镇级站9个，村级点150个）进行维修维护和规范管理，并对收购网点进行统一打造，统一标识、统一制度、统一配置，鼓励群众垃圾分类的积极性，合理制定了收购价格和补贴标准。</w:t>
      </w:r>
    </w:p>
    <w:p>
      <w:pPr>
        <w:adjustRightInd w:val="0"/>
        <w:snapToGrid w:val="0"/>
        <w:spacing w:line="576"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pStyle w:val="5"/>
        <w:autoSpaceDE w:val="0"/>
        <w:spacing w:beforeLines="0" w:line="576" w:lineRule="exact"/>
        <w:ind w:right="264" w:firstLine="640" w:firstLineChars="200"/>
        <w:rPr>
          <w:rFonts w:hAnsi="宋体"/>
          <w:kern w:val="2"/>
          <w:sz w:val="32"/>
          <w:szCs w:val="32"/>
        </w:rPr>
      </w:pPr>
      <w:r>
        <w:rPr>
          <w:rFonts w:hint="eastAsia" w:hAnsi="宋体"/>
          <w:kern w:val="2"/>
          <w:sz w:val="32"/>
          <w:szCs w:val="32"/>
          <w:lang w:val="zh-CN"/>
        </w:rPr>
        <w:t>1．项目主要内容。</w:t>
      </w:r>
      <w:r>
        <w:rPr>
          <w:rFonts w:hint="eastAsia" w:hAnsi="宋体"/>
          <w:kern w:val="2"/>
          <w:sz w:val="32"/>
          <w:szCs w:val="32"/>
        </w:rPr>
        <w:t>一是在全区14个乡镇办因地制宜、统筹规划，并整合现有的再生资源回收网点，形成较为健全的垃圾回收网络体系，方便农民群众参与垃圾分类；二是建立垃圾回收购销台账，以便掌握群众垃圾处理的基础数据；三是制作了废弃垃圾收购凭证，以此作为结算财政补贴的原始依据；四是区供销联社对收购网点进行统一打造：统一标识、统一制度、统一配置；五是为提高群众垃圾分类的积极性，开展“以旧换新”；七是合理制定了收购价格和补贴标准。</w:t>
      </w:r>
    </w:p>
    <w:p>
      <w:pPr>
        <w:adjustRightInd w:val="0"/>
        <w:snapToGrid w:val="0"/>
        <w:spacing w:line="576"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2．项目应实现的具体绩效目标，包括目标的量化、细化情况以及项目实施进度计划等。通过统筹整合再生资源回收网点，</w:t>
      </w:r>
      <w:r>
        <w:rPr>
          <w:rFonts w:hint="eastAsia" w:ascii="仿宋_GB2312" w:hAnsi="宋体" w:eastAsia="仿宋_GB2312"/>
          <w:sz w:val="32"/>
          <w:szCs w:val="32"/>
        </w:rPr>
        <w:t>健全</w:t>
      </w:r>
      <w:r>
        <w:rPr>
          <w:rFonts w:hint="eastAsia" w:ascii="仿宋_GB2312" w:hAnsi="宋体" w:eastAsia="仿宋_GB2312"/>
          <w:sz w:val="32"/>
          <w:szCs w:val="32"/>
          <w:lang w:val="zh-CN"/>
        </w:rPr>
        <w:t>垃圾回收体系建设，加大</w:t>
      </w:r>
      <w:r>
        <w:rPr>
          <w:rFonts w:hint="eastAsia" w:ascii="仿宋_GB2312" w:hAnsi="宋体" w:eastAsia="仿宋_GB2312"/>
          <w:sz w:val="32"/>
          <w:szCs w:val="32"/>
        </w:rPr>
        <w:t>回收站点</w:t>
      </w:r>
      <w:r>
        <w:rPr>
          <w:rFonts w:hint="eastAsia" w:ascii="仿宋_GB2312" w:hAnsi="宋体" w:eastAsia="仿宋_GB2312"/>
          <w:sz w:val="32"/>
          <w:szCs w:val="32"/>
          <w:lang w:val="zh-CN"/>
        </w:rPr>
        <w:t>维修维护力度，</w:t>
      </w:r>
      <w:r>
        <w:rPr>
          <w:rFonts w:hint="eastAsia" w:ascii="仿宋_GB2312" w:hAnsi="宋体" w:eastAsia="仿宋_GB2312"/>
          <w:sz w:val="32"/>
          <w:szCs w:val="32"/>
        </w:rPr>
        <w:t>切实</w:t>
      </w:r>
      <w:r>
        <w:rPr>
          <w:rFonts w:hint="eastAsia" w:ascii="仿宋_GB2312" w:hAnsi="宋体" w:eastAsia="仿宋_GB2312"/>
          <w:sz w:val="32"/>
          <w:szCs w:val="32"/>
          <w:lang w:val="zh-CN"/>
        </w:rPr>
        <w:t>提高群众参与垃圾分类的自觉性、主动性，环保意识</w:t>
      </w:r>
      <w:r>
        <w:rPr>
          <w:rFonts w:hint="eastAsia" w:ascii="仿宋_GB2312" w:hAnsi="宋体" w:eastAsia="仿宋_GB2312"/>
          <w:sz w:val="32"/>
          <w:szCs w:val="32"/>
        </w:rPr>
        <w:t>进一步增强</w:t>
      </w:r>
      <w:r>
        <w:rPr>
          <w:rFonts w:hint="eastAsia" w:ascii="仿宋_GB2312" w:hAnsi="宋体" w:eastAsia="仿宋_GB2312"/>
          <w:sz w:val="32"/>
          <w:szCs w:val="32"/>
          <w:lang w:val="zh-CN"/>
        </w:rPr>
        <w:t>。</w:t>
      </w:r>
    </w:p>
    <w:p>
      <w:pPr>
        <w:adjustRightInd w:val="0"/>
        <w:snapToGrid w:val="0"/>
        <w:spacing w:line="576" w:lineRule="exact"/>
        <w:ind w:firstLine="720"/>
        <w:rPr>
          <w:rFonts w:ascii="仿宋_GB2312" w:hAnsi="宋体" w:eastAsia="仿宋_GB2312"/>
          <w:sz w:val="32"/>
          <w:szCs w:val="32"/>
        </w:rPr>
      </w:pPr>
      <w:r>
        <w:rPr>
          <w:rFonts w:hint="eastAsia" w:ascii="仿宋_GB2312" w:hAnsi="宋体" w:eastAsia="仿宋_GB2312"/>
          <w:sz w:val="32"/>
          <w:szCs w:val="32"/>
          <w:lang w:val="zh-CN"/>
        </w:rPr>
        <w:t>3．分析评价申报内容是否与实际相符，申报目标是否合理可行。现有</w:t>
      </w:r>
      <w:r>
        <w:rPr>
          <w:rFonts w:hint="eastAsia" w:ascii="仿宋_GB2312" w:hAnsi="宋体" w:eastAsia="仿宋_GB2312"/>
          <w:sz w:val="32"/>
          <w:szCs w:val="32"/>
        </w:rPr>
        <w:t>现有159个垃圾回收网点（乡镇级站9个，村级点150个），安排总资金7万元，平均680元/站点，申报内容和实施内容符合有关规定。</w:t>
      </w:r>
    </w:p>
    <w:p>
      <w:pPr>
        <w:adjustRightInd w:val="0"/>
        <w:snapToGrid w:val="0"/>
        <w:spacing w:line="576"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shd w:val="clear" w:color="auto" w:fill="FFFFFF"/>
        <w:spacing w:line="576" w:lineRule="exact"/>
        <w:ind w:firstLine="795"/>
        <w:rPr>
          <w:rFonts w:ascii="仿宋_GB2312" w:hAnsi="宋体" w:eastAsia="仿宋_GB2312"/>
          <w:sz w:val="32"/>
          <w:szCs w:val="32"/>
        </w:rPr>
      </w:pPr>
      <w:r>
        <w:rPr>
          <w:rFonts w:hint="eastAsia" w:ascii="仿宋_GB2312" w:hAnsi="宋体" w:eastAsia="仿宋_GB2312"/>
          <w:sz w:val="32"/>
          <w:szCs w:val="32"/>
        </w:rPr>
        <w:t>1.前期准备：成立了绩效评价工作领导小组，明确专人负责项目绩效评价工作，制定了绩效目标申报表。</w:t>
      </w:r>
    </w:p>
    <w:p>
      <w:pPr>
        <w:shd w:val="clear" w:color="auto" w:fill="FFFFFF"/>
        <w:spacing w:line="576" w:lineRule="exact"/>
        <w:ind w:firstLine="795"/>
        <w:rPr>
          <w:rFonts w:ascii="仿宋_GB2312" w:hAnsi="宋体" w:eastAsia="仿宋_GB2312"/>
          <w:sz w:val="32"/>
          <w:szCs w:val="32"/>
        </w:rPr>
      </w:pPr>
      <w:r>
        <w:rPr>
          <w:rFonts w:hint="eastAsia" w:ascii="仿宋_GB2312" w:hAnsi="宋体" w:eastAsia="仿宋_GB2312"/>
          <w:sz w:val="32"/>
          <w:szCs w:val="32"/>
        </w:rPr>
        <w:t>2.组织实施：通过组成联合检查验收组，深入项目区域各乡镇、项目主要内容实施地进行核查，通过查看现场、资料台账等核对工作进展情况，通过进村入户开展相关调查，发放调查表，对各项指标进行综合测评。</w:t>
      </w:r>
    </w:p>
    <w:p>
      <w:pPr>
        <w:adjustRightInd w:val="0"/>
        <w:snapToGrid w:val="0"/>
        <w:spacing w:line="576"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576"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576"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说明项目资金申报、批复及预算调整等程序的相关情况。</w:t>
      </w:r>
    </w:p>
    <w:p>
      <w:pPr>
        <w:adjustRightInd w:val="0"/>
        <w:snapToGrid w:val="0"/>
        <w:spacing w:line="576"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（一）项目资金申报及批复情况。</w:t>
      </w:r>
      <w:r>
        <w:rPr>
          <w:rFonts w:hint="eastAsia" w:ascii="仿宋_GB2312" w:hAnsi="宋体" w:eastAsia="仿宋_GB2312"/>
          <w:sz w:val="32"/>
          <w:szCs w:val="32"/>
          <w:lang w:val="zh-CN"/>
        </w:rPr>
        <w:t>区财政</w:t>
      </w:r>
      <w:r>
        <w:rPr>
          <w:rFonts w:hint="eastAsia" w:ascii="仿宋_GB2312" w:hAnsi="宋体" w:eastAsia="仿宋_GB2312"/>
          <w:sz w:val="32"/>
          <w:szCs w:val="32"/>
        </w:rPr>
        <w:t>2020</w:t>
      </w:r>
      <w:r>
        <w:rPr>
          <w:rFonts w:ascii="仿宋_GB2312" w:hAnsi="宋体" w:eastAsia="仿宋_GB2312"/>
          <w:sz w:val="32"/>
          <w:szCs w:val="32"/>
          <w:lang w:val="zh-CN"/>
        </w:rPr>
        <w:t>年年初预算</w:t>
      </w:r>
      <w:r>
        <w:rPr>
          <w:rFonts w:hint="eastAsia" w:ascii="仿宋_GB2312" w:hAnsi="宋体" w:eastAsia="仿宋_GB2312"/>
          <w:sz w:val="32"/>
          <w:szCs w:val="32"/>
          <w:lang w:val="zh-CN"/>
        </w:rPr>
        <w:t>垃圾回收分类处理站点维护费</w:t>
      </w:r>
      <w:r>
        <w:rPr>
          <w:rFonts w:hint="eastAsia" w:ascii="仿宋_GB2312" w:hAnsi="宋体" w:eastAsia="仿宋_GB2312"/>
          <w:sz w:val="32"/>
          <w:szCs w:val="32"/>
        </w:rPr>
        <w:t>7</w:t>
      </w:r>
      <w:r>
        <w:rPr>
          <w:rFonts w:ascii="仿宋_GB2312" w:hAnsi="宋体" w:eastAsia="仿宋_GB2312"/>
          <w:sz w:val="32"/>
          <w:szCs w:val="32"/>
          <w:lang w:val="zh-CN"/>
        </w:rPr>
        <w:t>万元，执行中据实安排项目资金</w:t>
      </w:r>
      <w:r>
        <w:rPr>
          <w:rFonts w:hint="eastAsia" w:ascii="仿宋_GB2312" w:hAnsi="宋体" w:eastAsia="仿宋_GB2312"/>
          <w:sz w:val="32"/>
          <w:szCs w:val="32"/>
        </w:rPr>
        <w:t>7</w:t>
      </w:r>
      <w:r>
        <w:rPr>
          <w:rFonts w:ascii="仿宋_GB2312" w:hAnsi="宋体" w:eastAsia="仿宋_GB2312"/>
          <w:sz w:val="32"/>
          <w:szCs w:val="32"/>
          <w:lang w:val="zh-CN"/>
        </w:rPr>
        <w:t>万元。  </w:t>
      </w:r>
    </w:p>
    <w:p>
      <w:pPr>
        <w:adjustRightInd w:val="0"/>
        <w:snapToGrid w:val="0"/>
        <w:spacing w:line="576"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（二）资金计划、到位及使用情况。</w:t>
      </w:r>
    </w:p>
    <w:p>
      <w:pPr>
        <w:adjustRightInd w:val="0"/>
        <w:snapToGrid w:val="0"/>
        <w:spacing w:line="576"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1．资金计划。</w:t>
      </w:r>
      <w:r>
        <w:rPr>
          <w:rFonts w:hint="eastAsia" w:ascii="仿宋_GB2312" w:hAnsi="宋体" w:eastAsia="仿宋_GB2312"/>
          <w:sz w:val="32"/>
          <w:szCs w:val="32"/>
          <w:lang w:val="zh-CN"/>
        </w:rPr>
        <w:t>区财政</w:t>
      </w:r>
      <w:r>
        <w:rPr>
          <w:rFonts w:hint="eastAsia" w:ascii="仿宋_GB2312" w:hAnsi="宋体" w:eastAsia="仿宋_GB2312"/>
          <w:sz w:val="32"/>
          <w:szCs w:val="32"/>
        </w:rPr>
        <w:t>2020</w:t>
      </w:r>
      <w:r>
        <w:rPr>
          <w:rFonts w:ascii="仿宋_GB2312" w:hAnsi="宋体" w:eastAsia="仿宋_GB2312"/>
          <w:sz w:val="32"/>
          <w:szCs w:val="32"/>
          <w:lang w:val="zh-CN"/>
        </w:rPr>
        <w:t>年年初预算</w:t>
      </w:r>
      <w:r>
        <w:rPr>
          <w:rFonts w:hint="eastAsia" w:ascii="仿宋_GB2312" w:hAnsi="宋体" w:eastAsia="仿宋_GB2312"/>
          <w:sz w:val="32"/>
          <w:szCs w:val="32"/>
          <w:lang w:val="zh-CN"/>
        </w:rPr>
        <w:t>安排垃圾回收分类处理站点维护费</w:t>
      </w:r>
      <w:r>
        <w:rPr>
          <w:rFonts w:hint="eastAsia" w:ascii="仿宋_GB2312" w:hAnsi="宋体" w:eastAsia="仿宋_GB2312"/>
          <w:sz w:val="32"/>
          <w:szCs w:val="32"/>
        </w:rPr>
        <w:t>7</w:t>
      </w:r>
      <w:r>
        <w:rPr>
          <w:rFonts w:ascii="仿宋_GB2312" w:hAnsi="宋体" w:eastAsia="仿宋_GB2312"/>
          <w:sz w:val="32"/>
          <w:szCs w:val="32"/>
          <w:lang w:val="zh-CN"/>
        </w:rPr>
        <w:t>万元，执行中据实安排项目资金</w:t>
      </w:r>
      <w:r>
        <w:rPr>
          <w:rFonts w:hint="eastAsia" w:ascii="仿宋_GB2312" w:hAnsi="宋体" w:eastAsia="仿宋_GB2312"/>
          <w:sz w:val="32"/>
          <w:szCs w:val="32"/>
        </w:rPr>
        <w:t>7</w:t>
      </w:r>
      <w:r>
        <w:rPr>
          <w:rFonts w:ascii="仿宋_GB2312" w:hAnsi="宋体" w:eastAsia="仿宋_GB2312"/>
          <w:sz w:val="32"/>
          <w:szCs w:val="32"/>
          <w:lang w:val="zh-CN"/>
        </w:rPr>
        <w:t>万元。  </w:t>
      </w:r>
    </w:p>
    <w:p>
      <w:pPr>
        <w:adjustRightInd w:val="0"/>
        <w:snapToGrid w:val="0"/>
        <w:spacing w:line="576" w:lineRule="exact"/>
        <w:ind w:firstLine="720"/>
        <w:rPr>
          <w:rFonts w:ascii="仿宋_GB2312" w:hAnsi="宋体" w:eastAsia="仿宋_GB2312"/>
          <w:sz w:val="32"/>
          <w:szCs w:val="32"/>
        </w:rPr>
      </w:pPr>
      <w:r>
        <w:rPr>
          <w:rFonts w:hint="eastAsia" w:ascii="楷体_GB2312" w:hAnsi="宋体" w:eastAsia="楷体_GB2312"/>
          <w:sz w:val="32"/>
          <w:szCs w:val="32"/>
          <w:lang w:val="zh-CN"/>
        </w:rPr>
        <w:t>2．资金到位。</w:t>
      </w:r>
      <w:r>
        <w:rPr>
          <w:rFonts w:hint="eastAsia" w:ascii="仿宋_GB2312" w:hAnsi="宋体" w:eastAsia="仿宋_GB2312"/>
          <w:sz w:val="32"/>
          <w:szCs w:val="32"/>
          <w:lang w:val="zh-CN"/>
        </w:rPr>
        <w:t>预算安排的项目资金</w:t>
      </w:r>
      <w:r>
        <w:rPr>
          <w:rFonts w:hint="eastAsia" w:ascii="仿宋_GB2312" w:hAnsi="宋体" w:eastAsia="仿宋_GB2312"/>
          <w:sz w:val="32"/>
          <w:szCs w:val="32"/>
        </w:rPr>
        <w:t>7万元已全部及足额拨付到位。</w:t>
      </w:r>
    </w:p>
    <w:p>
      <w:pPr>
        <w:shd w:val="clear" w:color="auto" w:fill="FFFFFF"/>
        <w:spacing w:line="576" w:lineRule="exact"/>
        <w:ind w:firstLine="795"/>
        <w:rPr>
          <w:rFonts w:ascii="宋体" w:hAnsi="宋体" w:cs="宋体"/>
          <w:color w:val="333333"/>
          <w:szCs w:val="21"/>
        </w:rPr>
      </w:pPr>
      <w:r>
        <w:rPr>
          <w:rFonts w:hint="eastAsia" w:ascii="楷体_GB2312" w:hAnsi="宋体" w:eastAsia="楷体_GB2312"/>
          <w:sz w:val="32"/>
          <w:szCs w:val="32"/>
          <w:lang w:val="zh-CN"/>
        </w:rPr>
        <w:t>3．资金使用。</w:t>
      </w:r>
      <w:r>
        <w:rPr>
          <w:rFonts w:ascii="仿宋_GB2312" w:hAnsi="宋体" w:eastAsia="仿宋_GB2312"/>
          <w:sz w:val="32"/>
          <w:szCs w:val="32"/>
        </w:rPr>
        <w:t>为稳步推进该项目工作，</w:t>
      </w:r>
      <w:r>
        <w:rPr>
          <w:rFonts w:hint="eastAsia" w:ascii="仿宋_GB2312" w:hAnsi="宋体" w:eastAsia="仿宋_GB2312"/>
          <w:sz w:val="32"/>
          <w:szCs w:val="32"/>
        </w:rPr>
        <w:t>我社严格按照项目资金管理办法</w:t>
      </w:r>
      <w:r>
        <w:rPr>
          <w:rFonts w:ascii="仿宋_GB2312" w:hAnsi="宋体" w:eastAsia="仿宋_GB2312"/>
          <w:sz w:val="32"/>
          <w:szCs w:val="32"/>
        </w:rPr>
        <w:t>，</w:t>
      </w:r>
      <w:r>
        <w:rPr>
          <w:rFonts w:hint="eastAsia" w:ascii="仿宋_GB2312" w:hAnsi="宋体" w:eastAsia="仿宋_GB2312"/>
          <w:sz w:val="32"/>
          <w:szCs w:val="32"/>
        </w:rPr>
        <w:t>严格按照</w:t>
      </w:r>
      <w:r>
        <w:rPr>
          <w:rFonts w:ascii="仿宋_GB2312" w:hAnsi="宋体" w:eastAsia="仿宋_GB2312"/>
          <w:sz w:val="32"/>
          <w:szCs w:val="32"/>
        </w:rPr>
        <w:t>规定范围、标准及</w:t>
      </w:r>
      <w:r>
        <w:rPr>
          <w:rFonts w:hint="eastAsia" w:ascii="仿宋_GB2312" w:hAnsi="宋体" w:eastAsia="仿宋_GB2312"/>
          <w:sz w:val="32"/>
          <w:szCs w:val="32"/>
        </w:rPr>
        <w:t>工作</w:t>
      </w:r>
      <w:r>
        <w:rPr>
          <w:rFonts w:ascii="仿宋_GB2312" w:hAnsi="宋体" w:eastAsia="仿宋_GB2312"/>
          <w:sz w:val="32"/>
          <w:szCs w:val="32"/>
        </w:rPr>
        <w:t>进度支付，支付依据合规合法，与预算相符。  </w:t>
      </w:r>
    </w:p>
    <w:p>
      <w:pPr>
        <w:adjustRightInd w:val="0"/>
        <w:snapToGrid w:val="0"/>
        <w:spacing w:line="576"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576"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项目实施单位区供销联社</w:t>
      </w:r>
      <w:r>
        <w:rPr>
          <w:rFonts w:ascii="仿宋_GB2312" w:hAnsi="宋体" w:eastAsia="仿宋_GB2312"/>
          <w:sz w:val="32"/>
          <w:szCs w:val="32"/>
          <w:lang w:val="zh-CN"/>
        </w:rPr>
        <w:t>财务管理制度健全，严格执行财务管理制度，账务处理及时，会计核算规范。</w:t>
      </w:r>
    </w:p>
    <w:p>
      <w:pPr>
        <w:adjustRightInd w:val="0"/>
        <w:snapToGrid w:val="0"/>
        <w:spacing w:line="576"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576"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576"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该项目由区供销联社</w:t>
      </w:r>
      <w:r>
        <w:rPr>
          <w:rFonts w:ascii="仿宋_GB2312" w:hAnsi="宋体" w:eastAsia="仿宋_GB2312"/>
          <w:sz w:val="32"/>
          <w:szCs w:val="32"/>
          <w:lang w:val="zh-CN"/>
        </w:rPr>
        <w:t>具体组织实施，根据全年目标任务，</w:t>
      </w:r>
      <w:r>
        <w:rPr>
          <w:rFonts w:hint="eastAsia" w:ascii="仿宋_GB2312" w:hAnsi="宋体" w:eastAsia="仿宋_GB2312"/>
          <w:sz w:val="32"/>
          <w:szCs w:val="32"/>
          <w:lang w:val="zh-CN"/>
        </w:rPr>
        <w:t>比选具有资质的施工队伍</w:t>
      </w:r>
      <w:r>
        <w:rPr>
          <w:rFonts w:ascii="仿宋_GB2312" w:hAnsi="宋体" w:eastAsia="仿宋_GB2312"/>
          <w:sz w:val="32"/>
          <w:szCs w:val="32"/>
          <w:lang w:val="zh-CN"/>
        </w:rPr>
        <w:t>在</w:t>
      </w:r>
      <w:r>
        <w:rPr>
          <w:rFonts w:hint="eastAsia" w:ascii="仿宋_GB2312" w:hAnsi="宋体" w:eastAsia="仿宋_GB2312"/>
          <w:sz w:val="32"/>
          <w:szCs w:val="32"/>
        </w:rPr>
        <w:t>14</w:t>
      </w:r>
      <w:r>
        <w:rPr>
          <w:rFonts w:ascii="仿宋_GB2312" w:hAnsi="宋体" w:eastAsia="仿宋_GB2312"/>
          <w:sz w:val="32"/>
          <w:szCs w:val="32"/>
          <w:lang w:val="zh-CN"/>
        </w:rPr>
        <w:t>个乡镇</w:t>
      </w:r>
      <w:r>
        <w:rPr>
          <w:rFonts w:hint="eastAsia" w:ascii="仿宋_GB2312" w:hAnsi="宋体" w:eastAsia="仿宋_GB2312"/>
          <w:sz w:val="32"/>
          <w:szCs w:val="32"/>
          <w:lang w:val="zh-CN"/>
        </w:rPr>
        <w:t>（</w:t>
      </w:r>
      <w:r>
        <w:rPr>
          <w:rFonts w:hint="eastAsia" w:ascii="仿宋_GB2312" w:hAnsi="宋体" w:eastAsia="仿宋_GB2312"/>
          <w:sz w:val="32"/>
          <w:szCs w:val="32"/>
        </w:rPr>
        <w:t>街道</w:t>
      </w:r>
      <w:r>
        <w:rPr>
          <w:rFonts w:hint="eastAsia" w:ascii="仿宋_GB2312" w:hAnsi="宋体" w:eastAsia="仿宋_GB2312"/>
          <w:sz w:val="32"/>
          <w:szCs w:val="32"/>
          <w:lang w:val="zh-CN"/>
        </w:rPr>
        <w:t>）组织施工</w:t>
      </w:r>
      <w:r>
        <w:rPr>
          <w:rFonts w:ascii="仿宋_GB2312" w:hAnsi="宋体" w:eastAsia="仿宋_GB2312"/>
          <w:sz w:val="32"/>
          <w:szCs w:val="32"/>
          <w:lang w:val="zh-CN"/>
        </w:rPr>
        <w:t>。  </w:t>
      </w:r>
    </w:p>
    <w:p>
      <w:pPr>
        <w:adjustRightInd w:val="0"/>
        <w:snapToGrid w:val="0"/>
        <w:spacing w:line="576"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（二）项目管理情况。</w:t>
      </w:r>
      <w:r>
        <w:rPr>
          <w:rFonts w:hint="eastAsia" w:ascii="仿宋_GB2312" w:hAnsi="宋体" w:eastAsia="仿宋_GB2312"/>
          <w:sz w:val="32"/>
          <w:szCs w:val="32"/>
          <w:lang w:val="zh-CN"/>
        </w:rPr>
        <w:t>加强项目监管，整理项目资料，并经过多方验收。</w:t>
      </w:r>
    </w:p>
    <w:p>
      <w:pPr>
        <w:adjustRightInd w:val="0"/>
        <w:snapToGrid w:val="0"/>
        <w:spacing w:line="576"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（三）项目监管情况。</w:t>
      </w:r>
      <w:r>
        <w:rPr>
          <w:rFonts w:hint="eastAsia" w:ascii="仿宋_GB2312" w:hAnsi="宋体" w:eastAsia="仿宋_GB2312"/>
          <w:sz w:val="32"/>
          <w:szCs w:val="32"/>
          <w:lang w:val="zh-CN"/>
        </w:rPr>
        <w:t>区供销联社</w:t>
      </w:r>
      <w:r>
        <w:rPr>
          <w:rFonts w:hint="eastAsia" w:ascii="仿宋_GB2312" w:hAnsi="宋体" w:eastAsia="仿宋_GB2312"/>
          <w:sz w:val="32"/>
          <w:szCs w:val="32"/>
        </w:rPr>
        <w:t>全程</w:t>
      </w:r>
      <w:r>
        <w:rPr>
          <w:rFonts w:hint="eastAsia" w:ascii="仿宋_GB2312" w:hAnsi="宋体" w:eastAsia="仿宋_GB2312"/>
          <w:sz w:val="32"/>
          <w:szCs w:val="32"/>
          <w:lang w:val="zh-CN"/>
        </w:rPr>
        <w:t>参与项目实施每个环节。</w:t>
      </w:r>
    </w:p>
    <w:p>
      <w:pPr>
        <w:adjustRightInd w:val="0"/>
        <w:snapToGrid w:val="0"/>
        <w:spacing w:line="576"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576"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576" w:lineRule="exact"/>
        <w:ind w:firstLine="720"/>
        <w:rPr>
          <w:rFonts w:ascii="仿宋_GB2312" w:hAnsi="宋体" w:eastAsia="仿宋_GB2312"/>
          <w:sz w:val="32"/>
          <w:szCs w:val="32"/>
        </w:rPr>
      </w:pPr>
      <w:r>
        <w:rPr>
          <w:rFonts w:hint="eastAsia" w:ascii="仿宋_GB2312" w:hAnsi="宋体" w:eastAsia="仿宋_GB2312"/>
          <w:sz w:val="32"/>
          <w:szCs w:val="32"/>
          <w:lang w:val="zh-CN"/>
        </w:rPr>
        <w:t>20</w:t>
      </w:r>
      <w:r>
        <w:rPr>
          <w:rFonts w:hint="eastAsia" w:ascii="仿宋_GB2312" w:hAnsi="宋体" w:eastAsia="仿宋_GB2312"/>
          <w:sz w:val="32"/>
          <w:szCs w:val="32"/>
        </w:rPr>
        <w:t>20</w:t>
      </w:r>
      <w:r>
        <w:rPr>
          <w:rFonts w:hint="eastAsia" w:ascii="仿宋_GB2312" w:hAnsi="宋体" w:eastAsia="仿宋_GB2312"/>
          <w:sz w:val="32"/>
          <w:szCs w:val="32"/>
          <w:lang w:val="zh-CN"/>
        </w:rPr>
        <w:t>年</w:t>
      </w:r>
      <w:r>
        <w:rPr>
          <w:rFonts w:hint="eastAsia" w:ascii="仿宋_GB2312" w:hAnsi="宋体" w:eastAsia="仿宋_GB2312"/>
          <w:sz w:val="32"/>
          <w:szCs w:val="32"/>
        </w:rPr>
        <w:t>对20个垃圾回收处理点进行形象改造，对83个来及回收处理点进行规范化建设。</w:t>
      </w:r>
    </w:p>
    <w:p>
      <w:pPr>
        <w:adjustRightInd w:val="0"/>
        <w:snapToGrid w:val="0"/>
        <w:spacing w:line="576"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576" w:lineRule="exact"/>
        <w:ind w:firstLine="720"/>
        <w:rPr>
          <w:rFonts w:ascii="仿宋_GB2312" w:hAnsi="宋体" w:eastAsia="仿宋_GB2312"/>
          <w:sz w:val="32"/>
          <w:szCs w:val="32"/>
        </w:rPr>
      </w:pPr>
      <w:r>
        <w:rPr>
          <w:rFonts w:hint="eastAsia" w:ascii="仿宋_GB2312" w:hAnsi="宋体" w:eastAsia="仿宋_GB2312"/>
          <w:sz w:val="32"/>
          <w:szCs w:val="32"/>
        </w:rPr>
        <w:t>1.通过对垃圾回收处理点形象集中整治，使垃圾分类处理业务操作流程更加规范，站点环境更加美观有序。</w:t>
      </w:r>
    </w:p>
    <w:p>
      <w:pPr>
        <w:adjustRightInd w:val="0"/>
        <w:snapToGrid w:val="0"/>
        <w:spacing w:line="576" w:lineRule="exact"/>
        <w:ind w:firstLine="720"/>
        <w:rPr>
          <w:rFonts w:ascii="仿宋_GB2312" w:hAnsi="宋体" w:eastAsia="仿宋_GB2312"/>
          <w:sz w:val="32"/>
          <w:szCs w:val="32"/>
        </w:rPr>
      </w:pPr>
      <w:r>
        <w:rPr>
          <w:rFonts w:hint="eastAsia" w:ascii="仿宋_GB2312" w:hAnsi="宋体" w:eastAsia="仿宋_GB2312"/>
          <w:sz w:val="32"/>
          <w:szCs w:val="32"/>
        </w:rPr>
        <w:t>2.通过宣传教育，群众主动参与再生资源回收、垃圾分类处理的自觉性、主动性进一步增强。</w:t>
      </w:r>
    </w:p>
    <w:p>
      <w:pPr>
        <w:adjustRightInd w:val="0"/>
        <w:snapToGrid w:val="0"/>
        <w:spacing w:line="576" w:lineRule="exact"/>
        <w:ind w:firstLine="720"/>
        <w:rPr>
          <w:rFonts w:ascii="仿宋_GB2312" w:hAnsi="宋体" w:eastAsia="仿宋_GB2312"/>
          <w:sz w:val="32"/>
          <w:szCs w:val="32"/>
        </w:rPr>
      </w:pPr>
      <w:r>
        <w:rPr>
          <w:rFonts w:hint="eastAsia" w:ascii="仿宋_GB2312" w:hAnsi="宋体" w:eastAsia="仿宋_GB2312"/>
          <w:sz w:val="32"/>
          <w:szCs w:val="32"/>
        </w:rPr>
        <w:t>3.垃圾回收处理点管理工作更加规范。</w:t>
      </w:r>
    </w:p>
    <w:p>
      <w:pPr>
        <w:adjustRightInd w:val="0"/>
        <w:snapToGrid w:val="0"/>
        <w:spacing w:line="576"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576"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576"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通过对垃圾回收站点的新建、维护，垃圾回收站点使用率、实用性显著提高，通过政策宣讲、回收补贴等措施，群众参与垃圾分类回收的积极性显著增强，</w:t>
      </w:r>
      <w:r>
        <w:rPr>
          <w:rFonts w:hint="eastAsia" w:ascii="仿宋_GB2312" w:hAnsi="宋体" w:eastAsia="仿宋_GB2312"/>
          <w:sz w:val="32"/>
          <w:szCs w:val="32"/>
        </w:rPr>
        <w:t>乡村</w:t>
      </w:r>
      <w:r>
        <w:rPr>
          <w:rFonts w:hint="eastAsia" w:ascii="仿宋_GB2312" w:hAnsi="宋体" w:eastAsia="仿宋_GB2312"/>
          <w:sz w:val="32"/>
          <w:szCs w:val="32"/>
          <w:lang w:val="zh-CN"/>
        </w:rPr>
        <w:t>农村的人居环境得到一定改善，群众的环保意识逐步养成。</w:t>
      </w:r>
    </w:p>
    <w:p>
      <w:pPr>
        <w:adjustRightInd w:val="0"/>
        <w:snapToGrid w:val="0"/>
        <w:spacing w:line="576"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（二）存在的问题。</w:t>
      </w:r>
      <w:r>
        <w:rPr>
          <w:rFonts w:hint="eastAsia" w:ascii="仿宋_GB2312" w:hAnsi="宋体" w:eastAsia="仿宋_GB2312"/>
          <w:sz w:val="32"/>
          <w:szCs w:val="32"/>
          <w:lang w:val="zh-CN"/>
        </w:rPr>
        <w:tab/>
      </w:r>
    </w:p>
    <w:p>
      <w:pPr>
        <w:pStyle w:val="13"/>
        <w:autoSpaceDE w:val="0"/>
        <w:spacing w:line="576" w:lineRule="exact"/>
        <w:ind w:firstLine="640" w:firstLineChars="200"/>
        <w:jc w:val="both"/>
        <w:rPr>
          <w:rFonts w:ascii="仿宋_GB2312" w:hAnsi="宋体" w:eastAsia="仿宋_GB2312"/>
          <w:kern w:val="2"/>
          <w:sz w:val="32"/>
          <w:szCs w:val="32"/>
          <w:lang w:val="zh-CN"/>
        </w:rPr>
      </w:pPr>
      <w:r>
        <w:rPr>
          <w:rFonts w:hint="eastAsia" w:ascii="仿宋_GB2312" w:hAnsi="宋体" w:eastAsia="仿宋_GB2312"/>
          <w:kern w:val="2"/>
          <w:sz w:val="32"/>
          <w:szCs w:val="32"/>
        </w:rPr>
        <w:t>一是</w:t>
      </w:r>
      <w:r>
        <w:rPr>
          <w:rFonts w:hint="eastAsia" w:ascii="仿宋_GB2312" w:hAnsi="宋体" w:eastAsia="仿宋_GB2312"/>
          <w:kern w:val="2"/>
          <w:sz w:val="32"/>
          <w:szCs w:val="32"/>
          <w:lang w:val="zh-CN"/>
        </w:rPr>
        <w:t>再生资源回收站点</w:t>
      </w:r>
      <w:r>
        <w:rPr>
          <w:rFonts w:hint="eastAsia" w:ascii="仿宋_GB2312" w:hAnsi="宋体" w:eastAsia="仿宋_GB2312"/>
          <w:kern w:val="2"/>
          <w:sz w:val="32"/>
          <w:szCs w:val="32"/>
        </w:rPr>
        <w:t>还存在</w:t>
      </w:r>
      <w:r>
        <w:rPr>
          <w:rFonts w:hint="eastAsia" w:ascii="仿宋_GB2312" w:hAnsi="宋体" w:eastAsia="仿宋_GB2312"/>
          <w:kern w:val="2"/>
          <w:sz w:val="32"/>
          <w:szCs w:val="32"/>
          <w:lang w:val="zh-CN"/>
        </w:rPr>
        <w:t>无证无照经营</w:t>
      </w:r>
      <w:r>
        <w:rPr>
          <w:rFonts w:hint="eastAsia" w:ascii="仿宋_GB2312" w:hAnsi="宋体" w:eastAsia="仿宋_GB2312"/>
          <w:kern w:val="2"/>
          <w:sz w:val="32"/>
          <w:szCs w:val="32"/>
        </w:rPr>
        <w:t>的现象；二是对经营、管理的监督缺乏责任主体；三是经营网点环境卫生较差，管理混乱；四</w:t>
      </w:r>
      <w:r>
        <w:rPr>
          <w:rFonts w:hint="eastAsia" w:ascii="仿宋_GB2312" w:hAnsi="宋体" w:eastAsia="仿宋_GB2312"/>
          <w:kern w:val="2"/>
          <w:sz w:val="32"/>
          <w:szCs w:val="32"/>
          <w:lang w:val="zh-CN"/>
        </w:rPr>
        <w:t>是垃圾分类宣传力度不够，群众垃圾分类意识</w:t>
      </w:r>
      <w:r>
        <w:rPr>
          <w:rFonts w:hint="eastAsia" w:ascii="仿宋_GB2312" w:hAnsi="宋体" w:eastAsia="仿宋_GB2312"/>
          <w:kern w:val="2"/>
          <w:sz w:val="32"/>
          <w:szCs w:val="32"/>
        </w:rPr>
        <w:t>不强</w:t>
      </w:r>
      <w:r>
        <w:rPr>
          <w:rFonts w:hint="eastAsia" w:ascii="仿宋_GB2312" w:hAnsi="宋体" w:eastAsia="仿宋_GB2312"/>
          <w:kern w:val="2"/>
          <w:sz w:val="32"/>
          <w:szCs w:val="32"/>
          <w:lang w:val="zh-CN"/>
        </w:rPr>
        <w:t>。</w:t>
      </w:r>
    </w:p>
    <w:p>
      <w:pPr>
        <w:pStyle w:val="13"/>
        <w:autoSpaceDE w:val="0"/>
        <w:spacing w:line="576" w:lineRule="exact"/>
        <w:ind w:firstLine="643" w:firstLineChars="200"/>
        <w:jc w:val="both"/>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576"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一是</w:t>
      </w:r>
      <w:r>
        <w:rPr>
          <w:rFonts w:hint="eastAsia" w:ascii="仿宋_GB2312" w:hAnsi="宋体" w:eastAsia="仿宋_GB2312"/>
          <w:sz w:val="32"/>
          <w:szCs w:val="32"/>
        </w:rPr>
        <w:t>加强回收网点管理，提升</w:t>
      </w:r>
      <w:r>
        <w:rPr>
          <w:rFonts w:hint="eastAsia" w:ascii="仿宋_GB2312" w:hAnsi="宋体" w:eastAsia="仿宋_GB2312"/>
          <w:sz w:val="32"/>
          <w:szCs w:val="32"/>
          <w:lang w:val="zh-CN"/>
        </w:rPr>
        <w:t>回收服务人员职业技能和服务水平；二是按照</w:t>
      </w:r>
      <w:r>
        <w:rPr>
          <w:rFonts w:hint="eastAsia" w:ascii="仿宋_GB2312" w:hAnsi="宋体" w:eastAsia="仿宋_GB2312"/>
          <w:sz w:val="32"/>
          <w:szCs w:val="32"/>
        </w:rPr>
        <w:t>统一</w:t>
      </w:r>
      <w:r>
        <w:rPr>
          <w:rFonts w:hint="eastAsia" w:ascii="仿宋_GB2312" w:hAnsi="宋体" w:eastAsia="仿宋_GB2312"/>
          <w:sz w:val="32"/>
          <w:szCs w:val="32"/>
          <w:lang w:val="zh-CN"/>
        </w:rPr>
        <w:t>标准升级改造</w:t>
      </w:r>
      <w:r>
        <w:rPr>
          <w:rFonts w:hint="eastAsia" w:ascii="仿宋_GB2312" w:hAnsi="宋体" w:eastAsia="仿宋_GB2312"/>
          <w:sz w:val="32"/>
          <w:szCs w:val="32"/>
        </w:rPr>
        <w:t>再生资源</w:t>
      </w:r>
      <w:r>
        <w:rPr>
          <w:rFonts w:hint="eastAsia" w:ascii="仿宋_GB2312" w:hAnsi="宋体" w:eastAsia="仿宋_GB2312"/>
          <w:sz w:val="32"/>
          <w:szCs w:val="32"/>
          <w:lang w:val="zh-CN"/>
        </w:rPr>
        <w:t>回收</w:t>
      </w:r>
      <w:r>
        <w:rPr>
          <w:rFonts w:hint="eastAsia" w:ascii="仿宋_GB2312" w:hAnsi="宋体" w:eastAsia="仿宋_GB2312"/>
          <w:sz w:val="32"/>
          <w:szCs w:val="32"/>
        </w:rPr>
        <w:t>网点</w:t>
      </w:r>
      <w:r>
        <w:rPr>
          <w:rFonts w:hint="eastAsia" w:ascii="仿宋_GB2312" w:hAnsi="宋体" w:eastAsia="仿宋_GB2312"/>
          <w:sz w:val="32"/>
          <w:szCs w:val="32"/>
          <w:lang w:val="zh-CN"/>
        </w:rPr>
        <w:t>；三是</w:t>
      </w:r>
      <w:r>
        <w:rPr>
          <w:rFonts w:hint="eastAsia" w:ascii="仿宋_GB2312" w:hAnsi="宋体" w:eastAsia="仿宋_GB2312"/>
          <w:sz w:val="32"/>
          <w:szCs w:val="32"/>
        </w:rPr>
        <w:t>加强垃圾分类回收宣传力度，确保废弃农膜等再生资源回收率，</w:t>
      </w:r>
      <w:r>
        <w:rPr>
          <w:rFonts w:hint="eastAsia" w:ascii="仿宋_GB2312" w:hAnsi="宋体" w:eastAsia="仿宋_GB2312"/>
          <w:sz w:val="32"/>
          <w:szCs w:val="32"/>
          <w:lang w:val="zh-CN"/>
        </w:rPr>
        <w:t>引导群众</w:t>
      </w:r>
      <w:r>
        <w:rPr>
          <w:rFonts w:hint="eastAsia" w:ascii="仿宋_GB2312" w:hAnsi="宋体" w:eastAsia="仿宋_GB2312"/>
          <w:sz w:val="32"/>
          <w:szCs w:val="32"/>
        </w:rPr>
        <w:t>积极</w:t>
      </w:r>
      <w:r>
        <w:rPr>
          <w:rFonts w:hint="eastAsia" w:ascii="仿宋_GB2312" w:hAnsi="宋体" w:eastAsia="仿宋_GB2312"/>
          <w:sz w:val="32"/>
          <w:szCs w:val="32"/>
          <w:lang w:val="zh-CN"/>
        </w:rPr>
        <w:t>参与垃圾分类。</w:t>
      </w:r>
    </w:p>
    <w:p>
      <w:pPr>
        <w:adjustRightInd w:val="0"/>
        <w:snapToGrid w:val="0"/>
        <w:spacing w:line="576" w:lineRule="exact"/>
        <w:ind w:firstLine="720"/>
        <w:rPr>
          <w:rFonts w:ascii="仿宋_GB2312" w:hAnsi="宋体" w:eastAsia="仿宋_GB2312"/>
          <w:sz w:val="32"/>
          <w:szCs w:val="32"/>
          <w:lang w:val="zh-CN"/>
        </w:rPr>
      </w:pPr>
    </w:p>
    <w:p>
      <w:pPr>
        <w:adjustRightInd w:val="0"/>
        <w:snapToGrid w:val="0"/>
        <w:spacing w:line="576" w:lineRule="exact"/>
        <w:ind w:firstLine="720"/>
        <w:rPr>
          <w:rFonts w:ascii="仿宋_GB2312" w:hAnsi="宋体" w:eastAsia="仿宋_GB2312"/>
          <w:sz w:val="32"/>
          <w:szCs w:val="32"/>
          <w:lang w:val="zh-CN"/>
        </w:rPr>
      </w:pPr>
    </w:p>
    <w:p>
      <w:pPr>
        <w:adjustRightInd w:val="0"/>
        <w:snapToGrid w:val="0"/>
        <w:spacing w:line="576" w:lineRule="exact"/>
        <w:ind w:firstLine="720"/>
        <w:rPr>
          <w:rFonts w:ascii="仿宋_GB2312" w:hAnsi="宋体" w:eastAsia="仿宋_GB2312"/>
          <w:sz w:val="32"/>
          <w:szCs w:val="32"/>
          <w:lang w:val="zh-CN"/>
        </w:rPr>
      </w:pPr>
    </w:p>
    <w:p>
      <w:pPr>
        <w:adjustRightInd w:val="0"/>
        <w:snapToGrid w:val="0"/>
        <w:spacing w:line="576" w:lineRule="exact"/>
        <w:ind w:firstLine="720"/>
        <w:rPr>
          <w:rFonts w:ascii="仿宋_GB2312" w:hAnsi="宋体" w:eastAsia="仿宋_GB2312"/>
          <w:sz w:val="32"/>
          <w:szCs w:val="32"/>
          <w:lang w:val="zh-CN"/>
        </w:rPr>
      </w:pPr>
    </w:p>
    <w:p>
      <w:pPr>
        <w:adjustRightInd w:val="0"/>
        <w:snapToGrid w:val="0"/>
        <w:spacing w:line="576" w:lineRule="exact"/>
        <w:ind w:firstLine="720"/>
        <w:rPr>
          <w:rFonts w:ascii="仿宋_GB2312" w:hAnsi="宋体" w:eastAsia="仿宋_GB2312"/>
          <w:sz w:val="32"/>
          <w:szCs w:val="32"/>
          <w:lang w:val="zh-CN"/>
        </w:rPr>
      </w:pPr>
    </w:p>
    <w:p>
      <w:pPr>
        <w:adjustRightInd w:val="0"/>
        <w:snapToGrid w:val="0"/>
        <w:spacing w:line="576" w:lineRule="exact"/>
        <w:ind w:firstLine="720"/>
        <w:rPr>
          <w:rFonts w:ascii="仿宋_GB2312" w:hAnsi="宋体" w:eastAsia="仿宋_GB2312"/>
          <w:sz w:val="32"/>
          <w:szCs w:val="32"/>
          <w:lang w:val="zh-CN"/>
        </w:rPr>
      </w:pPr>
    </w:p>
    <w:p>
      <w:pPr>
        <w:adjustRightInd w:val="0"/>
        <w:snapToGrid w:val="0"/>
        <w:spacing w:line="576" w:lineRule="exact"/>
        <w:ind w:firstLine="720"/>
        <w:rPr>
          <w:rFonts w:ascii="仿宋_GB2312" w:hAnsi="宋体" w:eastAsia="仿宋_GB2312"/>
          <w:sz w:val="32"/>
          <w:szCs w:val="32"/>
          <w:lang w:val="zh-CN"/>
        </w:rPr>
      </w:pPr>
    </w:p>
    <w:p>
      <w:pPr>
        <w:adjustRightInd w:val="0"/>
        <w:snapToGrid w:val="0"/>
        <w:spacing w:line="576" w:lineRule="exact"/>
        <w:ind w:firstLine="720"/>
        <w:rPr>
          <w:rFonts w:ascii="仿宋_GB2312" w:hAnsi="宋体" w:eastAsia="仿宋_GB2312"/>
          <w:sz w:val="32"/>
          <w:szCs w:val="32"/>
          <w:lang w:val="zh-CN"/>
        </w:rPr>
      </w:pPr>
    </w:p>
    <w:p>
      <w:pPr>
        <w:adjustRightInd w:val="0"/>
        <w:snapToGrid w:val="0"/>
        <w:spacing w:line="576" w:lineRule="exact"/>
        <w:ind w:firstLine="720"/>
        <w:rPr>
          <w:rFonts w:ascii="仿宋_GB2312" w:hAnsi="宋体" w:eastAsia="仿宋_GB2312"/>
          <w:sz w:val="32"/>
          <w:szCs w:val="32"/>
          <w:lang w:val="zh-CN"/>
        </w:rPr>
      </w:pPr>
    </w:p>
    <w:p>
      <w:pPr>
        <w:adjustRightInd w:val="0"/>
        <w:snapToGrid w:val="0"/>
        <w:spacing w:line="576" w:lineRule="exact"/>
        <w:ind w:firstLine="720"/>
        <w:rPr>
          <w:rFonts w:ascii="仿宋_GB2312" w:hAnsi="宋体" w:eastAsia="仿宋_GB2312"/>
          <w:sz w:val="32"/>
          <w:szCs w:val="32"/>
          <w:lang w:val="zh-CN"/>
        </w:rPr>
      </w:pPr>
    </w:p>
    <w:p>
      <w:pPr>
        <w:adjustRightInd w:val="0"/>
        <w:snapToGrid w:val="0"/>
        <w:spacing w:line="576" w:lineRule="exact"/>
        <w:ind w:firstLine="720"/>
        <w:rPr>
          <w:rFonts w:ascii="仿宋_GB2312" w:hAnsi="宋体" w:eastAsia="仿宋_GB2312"/>
          <w:sz w:val="32"/>
          <w:szCs w:val="32"/>
          <w:lang w:val="zh-CN"/>
        </w:rPr>
      </w:pPr>
    </w:p>
    <w:p>
      <w:pPr>
        <w:adjustRightInd w:val="0"/>
        <w:snapToGrid w:val="0"/>
        <w:spacing w:line="576" w:lineRule="exact"/>
        <w:ind w:firstLine="720"/>
        <w:rPr>
          <w:rFonts w:ascii="仿宋_GB2312" w:hAnsi="宋体" w:eastAsia="仿宋_GB2312"/>
          <w:sz w:val="32"/>
          <w:szCs w:val="32"/>
          <w:lang w:val="zh-CN"/>
        </w:rPr>
      </w:pPr>
    </w:p>
    <w:p>
      <w:pPr>
        <w:adjustRightInd w:val="0"/>
        <w:snapToGrid w:val="0"/>
        <w:spacing w:line="576" w:lineRule="exact"/>
        <w:ind w:firstLine="720"/>
        <w:rPr>
          <w:rFonts w:ascii="仿宋_GB2312" w:hAnsi="宋体" w:eastAsia="仿宋_GB2312"/>
          <w:sz w:val="32"/>
          <w:szCs w:val="32"/>
          <w:lang w:val="zh-CN"/>
        </w:rPr>
      </w:pPr>
    </w:p>
    <w:p>
      <w:pPr>
        <w:adjustRightInd w:val="0"/>
        <w:snapToGrid w:val="0"/>
        <w:spacing w:line="576" w:lineRule="exact"/>
        <w:ind w:firstLine="720"/>
        <w:rPr>
          <w:rFonts w:ascii="仿宋_GB2312" w:hAnsi="宋体" w:eastAsia="仿宋_GB2312"/>
          <w:sz w:val="32"/>
          <w:szCs w:val="32"/>
          <w:lang w:val="zh-CN"/>
        </w:rPr>
      </w:pPr>
    </w:p>
    <w:p>
      <w:pPr>
        <w:adjustRightInd w:val="0"/>
        <w:snapToGrid w:val="0"/>
        <w:spacing w:line="576" w:lineRule="exact"/>
        <w:ind w:firstLine="720"/>
        <w:rPr>
          <w:rFonts w:ascii="仿宋_GB2312" w:hAnsi="宋体" w:eastAsia="仿宋_GB2312"/>
          <w:sz w:val="32"/>
          <w:szCs w:val="32"/>
          <w:lang w:val="zh-CN"/>
        </w:rPr>
      </w:pPr>
    </w:p>
    <w:p>
      <w:pPr>
        <w:adjustRightInd w:val="0"/>
        <w:snapToGrid w:val="0"/>
        <w:spacing w:line="576" w:lineRule="exact"/>
        <w:ind w:firstLine="720"/>
        <w:rPr>
          <w:rFonts w:ascii="仿宋_GB2312" w:hAnsi="宋体" w:eastAsia="仿宋_GB2312"/>
          <w:sz w:val="32"/>
          <w:szCs w:val="32"/>
          <w:lang w:val="zh-CN"/>
        </w:rPr>
      </w:pPr>
    </w:p>
    <w:p>
      <w:pPr>
        <w:adjustRightInd w:val="0"/>
        <w:snapToGrid w:val="0"/>
        <w:spacing w:line="576" w:lineRule="exact"/>
        <w:ind w:firstLine="720"/>
        <w:rPr>
          <w:rFonts w:ascii="仿宋_GB2312" w:hAnsi="宋体" w:eastAsia="仿宋_GB2312"/>
          <w:sz w:val="32"/>
          <w:szCs w:val="32"/>
          <w:lang w:val="zh-CN"/>
        </w:rPr>
      </w:pPr>
    </w:p>
    <w:p>
      <w:pPr>
        <w:adjustRightInd w:val="0"/>
        <w:snapToGrid w:val="0"/>
        <w:spacing w:line="576" w:lineRule="exact"/>
        <w:ind w:firstLine="720"/>
        <w:rPr>
          <w:rFonts w:ascii="仿宋_GB2312" w:hAnsi="宋体" w:eastAsia="仿宋_GB2312"/>
          <w:sz w:val="32"/>
          <w:szCs w:val="32"/>
          <w:lang w:val="zh-CN"/>
        </w:rPr>
      </w:pPr>
    </w:p>
    <w:p>
      <w:pPr>
        <w:adjustRightInd w:val="0"/>
        <w:snapToGrid w:val="0"/>
        <w:spacing w:line="576" w:lineRule="exact"/>
        <w:ind w:firstLine="720"/>
        <w:rPr>
          <w:rFonts w:ascii="仿宋_GB2312" w:hAnsi="宋体" w:eastAsia="仿宋_GB2312"/>
          <w:sz w:val="32"/>
          <w:szCs w:val="32"/>
          <w:lang w:val="zh-CN"/>
        </w:rPr>
      </w:pPr>
    </w:p>
    <w:p>
      <w:pPr>
        <w:spacing w:line="576"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val="zh-CN"/>
        </w:rPr>
        <w:t>深化供销合作社综合改革项目</w:t>
      </w:r>
    </w:p>
    <w:p>
      <w:pPr>
        <w:spacing w:line="576"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2020年</w:t>
      </w:r>
      <w:r>
        <w:rPr>
          <w:rFonts w:hint="eastAsia" w:ascii="方正小标宋简体" w:hAnsi="宋体" w:eastAsia="方正小标宋简体"/>
          <w:color w:val="000000"/>
          <w:kern w:val="0"/>
          <w:sz w:val="44"/>
          <w:szCs w:val="44"/>
          <w:lang w:val="zh-CN"/>
        </w:rPr>
        <w:t>绩效评价报告</w:t>
      </w:r>
    </w:p>
    <w:p>
      <w:pPr>
        <w:spacing w:line="576" w:lineRule="exact"/>
        <w:rPr>
          <w:rFonts w:ascii="宋体" w:hAnsi="宋体"/>
          <w:sz w:val="32"/>
          <w:szCs w:val="32"/>
          <w:lang w:val="zh-CN"/>
        </w:rPr>
      </w:pPr>
    </w:p>
    <w:p>
      <w:pPr>
        <w:adjustRightInd w:val="0"/>
        <w:snapToGrid w:val="0"/>
        <w:spacing w:line="576"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576"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576"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w:t>
      </w:r>
      <w:r>
        <w:rPr>
          <w:rFonts w:hint="eastAsia" w:ascii="仿宋_GB2312" w:hAnsi="宋体" w:eastAsia="仿宋_GB2312"/>
          <w:sz w:val="32"/>
          <w:szCs w:val="32"/>
        </w:rPr>
        <w:t>.</w:t>
      </w:r>
      <w:r>
        <w:rPr>
          <w:rFonts w:hint="eastAsia" w:ascii="仿宋_GB2312" w:hAnsi="宋体" w:eastAsia="仿宋_GB2312"/>
          <w:sz w:val="32"/>
          <w:szCs w:val="32"/>
          <w:lang w:val="zh-CN"/>
        </w:rPr>
        <w:t>说明项目主管部门（单位）在该项目管理中的职能。为更好的服务三农，加大基层为农服务网点建设，按照中共中央、省、市、区关于深化供销合作社综合改革的相关规定，开展基层社改造升级和专业合作社建设。</w:t>
      </w:r>
    </w:p>
    <w:p>
      <w:pPr>
        <w:adjustRightInd w:val="0"/>
        <w:snapToGrid w:val="0"/>
        <w:spacing w:line="576"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w:t>
      </w:r>
      <w:r>
        <w:rPr>
          <w:rFonts w:hint="eastAsia" w:ascii="仿宋_GB2312" w:hAnsi="宋体" w:eastAsia="仿宋_GB2312"/>
          <w:sz w:val="32"/>
          <w:szCs w:val="32"/>
        </w:rPr>
        <w:t>.</w:t>
      </w:r>
      <w:r>
        <w:rPr>
          <w:rFonts w:hint="eastAsia" w:ascii="仿宋_GB2312" w:hAnsi="宋体" w:eastAsia="仿宋_GB2312"/>
          <w:sz w:val="32"/>
          <w:szCs w:val="32"/>
          <w:lang w:val="zh-CN"/>
        </w:rPr>
        <w:t>项目立项、资金申报的依据。《中共中央、国务院关于深化供销合作社综合改革的决定》（中发</w:t>
      </w:r>
      <w:r>
        <w:rPr>
          <w:rFonts w:hint="eastAsia" w:ascii="仿宋" w:hAnsi="仿宋" w:eastAsia="仿宋" w:cs="仿宋"/>
          <w:sz w:val="32"/>
          <w:szCs w:val="32"/>
          <w:lang w:val="zh-CN"/>
        </w:rPr>
        <w:t>﹝</w:t>
      </w:r>
      <w:r>
        <w:rPr>
          <w:rFonts w:hint="eastAsia" w:ascii="仿宋" w:hAnsi="仿宋" w:eastAsia="仿宋" w:cs="仿宋"/>
          <w:sz w:val="32"/>
          <w:szCs w:val="32"/>
        </w:rPr>
        <w:t>2015</w:t>
      </w:r>
      <w:r>
        <w:rPr>
          <w:rFonts w:hint="eastAsia" w:ascii="仿宋" w:hAnsi="仿宋" w:eastAsia="仿宋" w:cs="仿宋"/>
          <w:sz w:val="32"/>
          <w:szCs w:val="32"/>
          <w:lang w:val="zh-CN"/>
        </w:rPr>
        <w:t>﹞</w:t>
      </w:r>
      <w:r>
        <w:rPr>
          <w:rFonts w:hint="eastAsia" w:ascii="仿宋" w:hAnsi="仿宋" w:eastAsia="仿宋" w:cs="仿宋"/>
          <w:sz w:val="32"/>
          <w:szCs w:val="32"/>
        </w:rPr>
        <w:t>11号</w:t>
      </w:r>
      <w:r>
        <w:rPr>
          <w:rFonts w:hint="eastAsia" w:ascii="仿宋_GB2312" w:hAnsi="宋体" w:eastAsia="仿宋_GB2312"/>
          <w:sz w:val="32"/>
          <w:szCs w:val="32"/>
          <w:lang w:val="zh-CN"/>
        </w:rPr>
        <w:t>）和《中共四川省委、四川省人民政府关于深化供销合作社综合改革的意见》（川委发</w:t>
      </w:r>
      <w:r>
        <w:rPr>
          <w:rFonts w:hint="eastAsia" w:ascii="仿宋" w:hAnsi="仿宋" w:eastAsia="仿宋" w:cs="仿宋"/>
          <w:sz w:val="32"/>
          <w:szCs w:val="32"/>
          <w:lang w:val="zh-CN"/>
        </w:rPr>
        <w:t>﹝</w:t>
      </w:r>
      <w:r>
        <w:rPr>
          <w:rFonts w:hint="eastAsia" w:ascii="仿宋" w:hAnsi="仿宋" w:eastAsia="仿宋" w:cs="仿宋"/>
          <w:sz w:val="32"/>
          <w:szCs w:val="32"/>
        </w:rPr>
        <w:t>2016</w:t>
      </w:r>
      <w:r>
        <w:rPr>
          <w:rFonts w:hint="eastAsia" w:ascii="仿宋" w:hAnsi="仿宋" w:eastAsia="仿宋" w:cs="仿宋"/>
          <w:sz w:val="32"/>
          <w:szCs w:val="32"/>
          <w:lang w:val="zh-CN"/>
        </w:rPr>
        <w:t>﹞</w:t>
      </w:r>
      <w:r>
        <w:rPr>
          <w:rFonts w:hint="eastAsia" w:ascii="仿宋" w:hAnsi="仿宋" w:eastAsia="仿宋" w:cs="仿宋"/>
          <w:sz w:val="32"/>
          <w:szCs w:val="32"/>
        </w:rPr>
        <w:t>22号</w:t>
      </w:r>
      <w:r>
        <w:rPr>
          <w:rFonts w:hint="eastAsia" w:ascii="仿宋_GB2312" w:hAnsi="宋体" w:eastAsia="仿宋_GB2312"/>
          <w:sz w:val="32"/>
          <w:szCs w:val="32"/>
          <w:lang w:val="zh-CN"/>
        </w:rPr>
        <w:t>）。</w:t>
      </w:r>
    </w:p>
    <w:p>
      <w:pPr>
        <w:adjustRightInd w:val="0"/>
        <w:snapToGrid w:val="0"/>
        <w:spacing w:line="576"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w:t>
      </w:r>
      <w:r>
        <w:rPr>
          <w:rFonts w:hint="eastAsia" w:ascii="仿宋_GB2312" w:hAnsi="宋体" w:eastAsia="仿宋_GB2312"/>
          <w:sz w:val="32"/>
          <w:szCs w:val="32"/>
        </w:rPr>
        <w:t>.</w:t>
      </w:r>
      <w:r>
        <w:rPr>
          <w:rFonts w:hint="eastAsia" w:ascii="仿宋_GB2312" w:hAnsi="宋体" w:eastAsia="仿宋_GB2312"/>
          <w:sz w:val="32"/>
          <w:szCs w:val="32"/>
          <w:lang w:val="zh-CN"/>
        </w:rPr>
        <w:t>资金管理办法制定情况，资金支持具体项目的条件、范围与支持方式概况。</w:t>
      </w:r>
      <w:r>
        <w:rPr>
          <w:rFonts w:hint="eastAsia" w:ascii="仿宋_GB2312" w:hAnsi="宋体" w:eastAsia="仿宋_GB2312"/>
          <w:sz w:val="32"/>
          <w:szCs w:val="32"/>
        </w:rPr>
        <w:t>2020年预算</w:t>
      </w:r>
      <w:r>
        <w:rPr>
          <w:rFonts w:hint="eastAsia" w:ascii="仿宋_GB2312" w:hAnsi="宋体" w:eastAsia="仿宋_GB2312"/>
          <w:sz w:val="32"/>
          <w:szCs w:val="32"/>
          <w:lang w:val="zh-CN"/>
        </w:rPr>
        <w:t>深化供销合作社综合改革</w:t>
      </w:r>
      <w:r>
        <w:rPr>
          <w:rFonts w:ascii="仿宋_GB2312" w:hAnsi="宋体" w:eastAsia="仿宋_GB2312"/>
          <w:sz w:val="32"/>
          <w:szCs w:val="32"/>
          <w:lang w:val="zh-CN"/>
        </w:rPr>
        <w:t>项目资金</w:t>
      </w:r>
      <w:r>
        <w:rPr>
          <w:rFonts w:hint="eastAsia" w:ascii="仿宋_GB2312" w:hAnsi="宋体" w:eastAsia="仿宋_GB2312"/>
          <w:sz w:val="32"/>
          <w:szCs w:val="32"/>
        </w:rPr>
        <w:t>8</w:t>
      </w:r>
      <w:r>
        <w:rPr>
          <w:rFonts w:ascii="仿宋_GB2312" w:hAnsi="宋体" w:eastAsia="仿宋_GB2312"/>
          <w:sz w:val="32"/>
          <w:szCs w:val="32"/>
          <w:lang w:val="zh-CN"/>
        </w:rPr>
        <w:t>万元</w:t>
      </w:r>
      <w:r>
        <w:rPr>
          <w:rFonts w:hint="eastAsia" w:ascii="仿宋_GB2312" w:hAnsi="宋体" w:eastAsia="仿宋_GB2312"/>
          <w:sz w:val="32"/>
          <w:szCs w:val="32"/>
          <w:lang w:val="zh-CN"/>
        </w:rPr>
        <w:t>，用于补助各基层社的改造升级和</w:t>
      </w:r>
      <w:r>
        <w:rPr>
          <w:rFonts w:hint="eastAsia" w:ascii="仿宋_GB2312" w:hAnsi="宋体" w:eastAsia="仿宋_GB2312"/>
          <w:sz w:val="32"/>
          <w:szCs w:val="32"/>
        </w:rPr>
        <w:t>综合服务社网点、</w:t>
      </w:r>
      <w:r>
        <w:rPr>
          <w:rFonts w:hint="eastAsia" w:ascii="仿宋_GB2312" w:hAnsi="宋体" w:eastAsia="仿宋_GB2312"/>
          <w:sz w:val="32"/>
          <w:szCs w:val="32"/>
          <w:lang w:val="zh-CN"/>
        </w:rPr>
        <w:t>专业合作社建设。</w:t>
      </w:r>
    </w:p>
    <w:p>
      <w:pPr>
        <w:adjustRightInd w:val="0"/>
        <w:snapToGrid w:val="0"/>
        <w:spacing w:line="576" w:lineRule="exact"/>
        <w:ind w:firstLine="720"/>
        <w:rPr>
          <w:rFonts w:ascii="楷体_GB2312" w:hAnsi="宋体" w:eastAsia="仿宋_GB2312"/>
          <w:b/>
          <w:sz w:val="32"/>
          <w:szCs w:val="32"/>
        </w:rPr>
      </w:pPr>
      <w:r>
        <w:rPr>
          <w:rFonts w:hint="eastAsia" w:ascii="仿宋_GB2312" w:hAnsi="宋体" w:eastAsia="仿宋_GB2312"/>
          <w:sz w:val="32"/>
          <w:szCs w:val="32"/>
          <w:lang w:val="zh-CN"/>
        </w:rPr>
        <w:t>4</w:t>
      </w:r>
      <w:r>
        <w:rPr>
          <w:rFonts w:hint="eastAsia" w:ascii="仿宋_GB2312" w:hAnsi="宋体" w:eastAsia="仿宋_GB2312"/>
          <w:sz w:val="32"/>
          <w:szCs w:val="32"/>
        </w:rPr>
        <w:t>.</w:t>
      </w:r>
      <w:r>
        <w:rPr>
          <w:rFonts w:hint="eastAsia" w:ascii="仿宋_GB2312" w:hAnsi="宋体" w:eastAsia="仿宋_GB2312"/>
          <w:sz w:val="32"/>
          <w:szCs w:val="32"/>
          <w:lang w:val="zh-CN"/>
        </w:rPr>
        <w:t>资金分配的原则及考虑因素。</w:t>
      </w:r>
      <w:r>
        <w:rPr>
          <w:rFonts w:hint="eastAsia" w:ascii="仿宋_GB2312" w:hAnsi="宋体" w:eastAsia="仿宋_GB2312"/>
          <w:sz w:val="32"/>
          <w:szCs w:val="32"/>
        </w:rPr>
        <w:t>主要用于对综合服务社网点建设、专业合作社建设的投入。</w:t>
      </w:r>
    </w:p>
    <w:p>
      <w:pPr>
        <w:adjustRightInd w:val="0"/>
        <w:snapToGrid w:val="0"/>
        <w:spacing w:line="576"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576" w:lineRule="exact"/>
        <w:ind w:firstLine="720"/>
        <w:rPr>
          <w:rFonts w:ascii="仿宋_GB2312" w:hAnsi="宋体" w:eastAsia="仿宋_GB2312"/>
          <w:sz w:val="32"/>
          <w:szCs w:val="32"/>
        </w:rPr>
      </w:pPr>
      <w:r>
        <w:rPr>
          <w:rFonts w:hint="eastAsia" w:ascii="仿宋_GB2312" w:hAnsi="宋体" w:eastAsia="仿宋_GB2312"/>
          <w:sz w:val="32"/>
          <w:szCs w:val="32"/>
          <w:lang w:val="zh-CN"/>
        </w:rPr>
        <w:t>1</w:t>
      </w:r>
      <w:r>
        <w:rPr>
          <w:rFonts w:hint="eastAsia" w:ascii="仿宋_GB2312" w:hAnsi="宋体" w:eastAsia="仿宋_GB2312"/>
          <w:sz w:val="32"/>
          <w:szCs w:val="32"/>
        </w:rPr>
        <w:t>.</w:t>
      </w:r>
      <w:r>
        <w:rPr>
          <w:rFonts w:hint="eastAsia" w:ascii="仿宋_GB2312" w:hAnsi="宋体" w:eastAsia="仿宋_GB2312"/>
          <w:sz w:val="32"/>
          <w:szCs w:val="32"/>
          <w:lang w:val="zh-CN"/>
        </w:rPr>
        <w:t>项目主要内容。</w:t>
      </w:r>
      <w:r>
        <w:rPr>
          <w:rFonts w:hint="eastAsia" w:ascii="仿宋_GB2312" w:hAnsi="宋体" w:eastAsia="仿宋_GB2312"/>
          <w:sz w:val="32"/>
          <w:szCs w:val="32"/>
        </w:rPr>
        <w:t>完成创建全国标杆基层供销社1个，提升基层供销社1个，对22个综合服务社网点、2个专业合作社阵地形象建设和服务功能完善。</w:t>
      </w:r>
    </w:p>
    <w:p>
      <w:pPr>
        <w:adjustRightInd w:val="0"/>
        <w:snapToGrid w:val="0"/>
        <w:spacing w:line="576"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w:t>
      </w:r>
      <w:r>
        <w:rPr>
          <w:rFonts w:hint="eastAsia" w:ascii="仿宋_GB2312" w:hAnsi="宋体" w:eastAsia="仿宋_GB2312"/>
          <w:sz w:val="32"/>
          <w:szCs w:val="32"/>
        </w:rPr>
        <w:t>.</w:t>
      </w:r>
      <w:r>
        <w:rPr>
          <w:rFonts w:hint="eastAsia" w:ascii="仿宋_GB2312" w:hAnsi="宋体" w:eastAsia="仿宋_GB2312"/>
          <w:sz w:val="32"/>
          <w:szCs w:val="32"/>
          <w:lang w:val="zh-CN"/>
        </w:rPr>
        <w:t>项目应实现的具体绩效目标，包括目标的量化、细化情况以及项目实施进度计划等。</w:t>
      </w:r>
      <w:r>
        <w:rPr>
          <w:rFonts w:hint="eastAsia" w:ascii="仿宋_GB2312" w:hAnsi="宋体" w:eastAsia="仿宋_GB2312"/>
          <w:sz w:val="32"/>
          <w:szCs w:val="32"/>
        </w:rPr>
        <w:t>完成创建全国标杆基层供销社1个，提升基层供销社1个，对22个综合服务社网点、2个专业合作社进行阵地形象提升、制度建设和服务功能完善，健全为农服务体系，</w:t>
      </w:r>
      <w:r>
        <w:rPr>
          <w:rFonts w:hint="eastAsia" w:ascii="仿宋_GB2312" w:hAnsi="宋体" w:eastAsia="仿宋_GB2312"/>
          <w:sz w:val="32"/>
          <w:szCs w:val="32"/>
          <w:lang w:val="zh-CN"/>
        </w:rPr>
        <w:t>提升为农服务能力和水平。</w:t>
      </w:r>
    </w:p>
    <w:p>
      <w:pPr>
        <w:adjustRightInd w:val="0"/>
        <w:snapToGrid w:val="0"/>
        <w:spacing w:line="576"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w:t>
      </w:r>
      <w:r>
        <w:rPr>
          <w:rFonts w:hint="eastAsia" w:ascii="仿宋_GB2312" w:hAnsi="宋体" w:eastAsia="仿宋_GB2312"/>
          <w:sz w:val="32"/>
          <w:szCs w:val="32"/>
        </w:rPr>
        <w:t>.</w:t>
      </w:r>
      <w:r>
        <w:rPr>
          <w:rFonts w:hint="eastAsia" w:ascii="仿宋_GB2312" w:hAnsi="宋体" w:eastAsia="仿宋_GB2312"/>
          <w:sz w:val="32"/>
          <w:szCs w:val="32"/>
          <w:lang w:val="zh-CN"/>
        </w:rPr>
        <w:t>分析评价申报内容是否与实际相符，申报目标是否合理可行。中央、省、市、区关于深化供销合作社综合改革的相关文件精神，要求充分发挥供销合作社服务“三农”独特优势和重要作用，以密切与农民利益联结，提升为农服务能力，强化基层组织，切实把供销合作社打造成为服务农民生产的生力军和综合平台。</w:t>
      </w:r>
    </w:p>
    <w:p>
      <w:pPr>
        <w:adjustRightInd w:val="0"/>
        <w:snapToGrid w:val="0"/>
        <w:spacing w:line="576"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576"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区供销联社</w:t>
      </w:r>
      <w:r>
        <w:rPr>
          <w:rFonts w:ascii="仿宋_GB2312" w:hAnsi="宋体" w:eastAsia="仿宋_GB2312"/>
          <w:sz w:val="32"/>
          <w:szCs w:val="32"/>
          <w:lang w:val="zh-CN"/>
        </w:rPr>
        <w:t>成立项目绩效自评工作小组，</w:t>
      </w:r>
      <w:r>
        <w:rPr>
          <w:rFonts w:hint="eastAsia" w:ascii="仿宋_GB2312" w:hAnsi="宋体" w:eastAsia="仿宋_GB2312"/>
          <w:sz w:val="32"/>
          <w:szCs w:val="32"/>
        </w:rPr>
        <w:t>明确专人负责项目绩效评价工作，制定了绩效目标申报表</w:t>
      </w:r>
      <w:r>
        <w:rPr>
          <w:rFonts w:hint="eastAsia" w:ascii="仿宋_GB2312" w:hAnsi="宋体" w:eastAsia="仿宋_GB2312"/>
          <w:sz w:val="32"/>
          <w:szCs w:val="32"/>
          <w:lang w:val="zh-CN"/>
        </w:rPr>
        <w:t>。</w:t>
      </w:r>
      <w:r>
        <w:rPr>
          <w:rFonts w:hint="eastAsia" w:ascii="仿宋_GB2312" w:hAnsi="宋体" w:eastAsia="仿宋_GB2312"/>
          <w:sz w:val="32"/>
          <w:szCs w:val="32"/>
        </w:rPr>
        <w:t>通过组成联合检查验收组，对项目主要内容实施情况进行核查，对各项指标进行综合测评。</w:t>
      </w:r>
      <w:r>
        <w:rPr>
          <w:rFonts w:ascii="仿宋_GB2312" w:hAnsi="宋体" w:eastAsia="仿宋_GB2312"/>
          <w:sz w:val="32"/>
          <w:szCs w:val="32"/>
          <w:lang w:val="zh-CN"/>
        </w:rPr>
        <w:t> </w:t>
      </w:r>
    </w:p>
    <w:p>
      <w:pPr>
        <w:adjustRightInd w:val="0"/>
        <w:snapToGrid w:val="0"/>
        <w:spacing w:line="576"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576"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576" w:lineRule="exact"/>
        <w:ind w:firstLine="720"/>
        <w:rPr>
          <w:rFonts w:ascii="仿宋_GB2312" w:hAnsi="宋体" w:eastAsia="仿宋_GB2312"/>
          <w:sz w:val="32"/>
          <w:szCs w:val="32"/>
          <w:lang w:val="zh-CN"/>
        </w:rPr>
      </w:pPr>
      <w:r>
        <w:rPr>
          <w:rFonts w:hint="eastAsia" w:ascii="仿宋_GB2312" w:hAnsi="宋体" w:eastAsia="仿宋_GB2312"/>
          <w:sz w:val="32"/>
          <w:szCs w:val="32"/>
        </w:rPr>
        <w:t>区财政下达2020</w:t>
      </w:r>
      <w:r>
        <w:rPr>
          <w:rFonts w:ascii="仿宋_GB2312" w:hAnsi="宋体" w:eastAsia="仿宋_GB2312"/>
          <w:sz w:val="32"/>
          <w:szCs w:val="32"/>
          <w:lang w:val="zh-CN"/>
        </w:rPr>
        <w:t>年</w:t>
      </w:r>
      <w:r>
        <w:rPr>
          <w:rFonts w:hint="eastAsia" w:ascii="仿宋_GB2312" w:hAnsi="宋体" w:eastAsia="仿宋_GB2312"/>
          <w:sz w:val="32"/>
          <w:szCs w:val="32"/>
        </w:rPr>
        <w:t>预算“</w:t>
      </w:r>
      <w:r>
        <w:rPr>
          <w:rFonts w:hint="eastAsia" w:ascii="仿宋_GB2312" w:hAnsi="宋体" w:eastAsia="仿宋_GB2312"/>
          <w:sz w:val="32"/>
          <w:szCs w:val="32"/>
          <w:lang w:val="zh-CN"/>
        </w:rPr>
        <w:t>深化供销合作社综合改革项目</w:t>
      </w:r>
      <w:r>
        <w:rPr>
          <w:rFonts w:hint="eastAsia" w:ascii="仿宋_GB2312" w:hAnsi="宋体" w:eastAsia="仿宋_GB2312"/>
          <w:sz w:val="32"/>
          <w:szCs w:val="32"/>
        </w:rPr>
        <w:t>”</w:t>
      </w:r>
      <w:r>
        <w:rPr>
          <w:rFonts w:hint="eastAsia" w:ascii="仿宋_GB2312" w:hAnsi="宋体" w:eastAsia="仿宋_GB2312"/>
          <w:sz w:val="32"/>
          <w:szCs w:val="32"/>
          <w:lang w:val="zh-CN"/>
        </w:rPr>
        <w:t>资金</w:t>
      </w:r>
      <w:r>
        <w:rPr>
          <w:rFonts w:hint="eastAsia" w:ascii="仿宋_GB2312" w:hAnsi="宋体" w:eastAsia="仿宋_GB2312"/>
          <w:sz w:val="32"/>
          <w:szCs w:val="32"/>
        </w:rPr>
        <w:t>8</w:t>
      </w:r>
      <w:r>
        <w:rPr>
          <w:rFonts w:ascii="仿宋_GB2312" w:hAnsi="宋体" w:eastAsia="仿宋_GB2312"/>
          <w:sz w:val="32"/>
          <w:szCs w:val="32"/>
          <w:lang w:val="zh-CN"/>
        </w:rPr>
        <w:t>万元，执行中据实安排项目资金</w:t>
      </w:r>
      <w:r>
        <w:rPr>
          <w:rFonts w:hint="eastAsia" w:ascii="仿宋_GB2312" w:hAnsi="宋体" w:eastAsia="仿宋_GB2312"/>
          <w:sz w:val="32"/>
          <w:szCs w:val="32"/>
        </w:rPr>
        <w:t>8</w:t>
      </w:r>
      <w:r>
        <w:rPr>
          <w:rFonts w:ascii="仿宋_GB2312" w:hAnsi="宋体" w:eastAsia="仿宋_GB2312"/>
          <w:sz w:val="32"/>
          <w:szCs w:val="32"/>
          <w:lang w:val="zh-CN"/>
        </w:rPr>
        <w:t>万元。  </w:t>
      </w:r>
    </w:p>
    <w:p>
      <w:pPr>
        <w:adjustRightInd w:val="0"/>
        <w:snapToGrid w:val="0"/>
        <w:spacing w:line="576"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（二）资金计划、到位及使用情况。</w:t>
      </w:r>
    </w:p>
    <w:p>
      <w:pPr>
        <w:adjustRightInd w:val="0"/>
        <w:snapToGrid w:val="0"/>
        <w:spacing w:line="576"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w:t>
      </w:r>
      <w:r>
        <w:rPr>
          <w:rFonts w:hint="eastAsia" w:ascii="仿宋_GB2312" w:hAnsi="宋体" w:eastAsia="仿宋_GB2312"/>
          <w:sz w:val="32"/>
          <w:szCs w:val="32"/>
        </w:rPr>
        <w:t>.</w:t>
      </w:r>
      <w:r>
        <w:rPr>
          <w:rFonts w:hint="eastAsia" w:ascii="仿宋_GB2312" w:hAnsi="宋体" w:eastAsia="仿宋_GB2312"/>
          <w:sz w:val="32"/>
          <w:szCs w:val="32"/>
          <w:lang w:val="zh-CN"/>
        </w:rPr>
        <w:t>资金计划。区财政</w:t>
      </w:r>
      <w:r>
        <w:rPr>
          <w:rFonts w:hint="eastAsia" w:ascii="仿宋_GB2312" w:hAnsi="宋体" w:eastAsia="仿宋_GB2312"/>
          <w:sz w:val="32"/>
          <w:szCs w:val="32"/>
        </w:rPr>
        <w:t>2020</w:t>
      </w:r>
      <w:r>
        <w:rPr>
          <w:rFonts w:ascii="仿宋_GB2312" w:hAnsi="宋体" w:eastAsia="仿宋_GB2312"/>
          <w:sz w:val="32"/>
          <w:szCs w:val="32"/>
          <w:lang w:val="zh-CN"/>
        </w:rPr>
        <w:t>年预算</w:t>
      </w:r>
      <w:r>
        <w:rPr>
          <w:rFonts w:hint="eastAsia" w:ascii="仿宋_GB2312" w:hAnsi="宋体" w:eastAsia="仿宋_GB2312"/>
          <w:sz w:val="32"/>
          <w:szCs w:val="32"/>
          <w:lang w:val="zh-CN"/>
        </w:rPr>
        <w:t>安排深化供销合作社综合改革资金</w:t>
      </w:r>
      <w:r>
        <w:rPr>
          <w:rFonts w:hint="eastAsia" w:ascii="仿宋_GB2312" w:hAnsi="宋体" w:eastAsia="仿宋_GB2312"/>
          <w:sz w:val="32"/>
          <w:szCs w:val="32"/>
        </w:rPr>
        <w:t>8</w:t>
      </w:r>
      <w:r>
        <w:rPr>
          <w:rFonts w:ascii="仿宋_GB2312" w:hAnsi="宋体" w:eastAsia="仿宋_GB2312"/>
          <w:sz w:val="32"/>
          <w:szCs w:val="32"/>
          <w:lang w:val="zh-CN"/>
        </w:rPr>
        <w:t>万元，执行中据实安排项目资金</w:t>
      </w:r>
      <w:r>
        <w:rPr>
          <w:rFonts w:hint="eastAsia" w:ascii="仿宋_GB2312" w:hAnsi="宋体" w:eastAsia="仿宋_GB2312"/>
          <w:sz w:val="32"/>
          <w:szCs w:val="32"/>
        </w:rPr>
        <w:t>8</w:t>
      </w:r>
      <w:r>
        <w:rPr>
          <w:rFonts w:ascii="仿宋_GB2312" w:hAnsi="宋体" w:eastAsia="仿宋_GB2312"/>
          <w:sz w:val="32"/>
          <w:szCs w:val="32"/>
          <w:lang w:val="zh-CN"/>
        </w:rPr>
        <w:t>万元。  </w:t>
      </w:r>
    </w:p>
    <w:p>
      <w:pPr>
        <w:adjustRightInd w:val="0"/>
        <w:snapToGrid w:val="0"/>
        <w:spacing w:line="576" w:lineRule="exact"/>
        <w:ind w:firstLine="720"/>
        <w:rPr>
          <w:rFonts w:ascii="仿宋_GB2312" w:hAnsi="宋体" w:eastAsia="仿宋_GB2312"/>
          <w:sz w:val="32"/>
          <w:szCs w:val="32"/>
        </w:rPr>
      </w:pPr>
      <w:r>
        <w:rPr>
          <w:rFonts w:hint="eastAsia" w:ascii="仿宋_GB2312" w:hAnsi="宋体" w:eastAsia="仿宋_GB2312"/>
          <w:sz w:val="32"/>
          <w:szCs w:val="32"/>
          <w:lang w:val="zh-CN"/>
        </w:rPr>
        <w:t>2</w:t>
      </w:r>
      <w:r>
        <w:rPr>
          <w:rFonts w:hint="eastAsia" w:ascii="仿宋_GB2312" w:hAnsi="宋体" w:eastAsia="仿宋_GB2312"/>
          <w:sz w:val="32"/>
          <w:szCs w:val="32"/>
        </w:rPr>
        <w:t>.</w:t>
      </w:r>
      <w:r>
        <w:rPr>
          <w:rFonts w:hint="eastAsia" w:ascii="仿宋_GB2312" w:hAnsi="宋体" w:eastAsia="仿宋_GB2312"/>
          <w:sz w:val="32"/>
          <w:szCs w:val="32"/>
          <w:lang w:val="zh-CN"/>
        </w:rPr>
        <w:t>资金到位。预算安排的项目资金</w:t>
      </w:r>
      <w:r>
        <w:rPr>
          <w:rFonts w:hint="eastAsia" w:ascii="仿宋_GB2312" w:hAnsi="宋体" w:eastAsia="仿宋_GB2312"/>
          <w:sz w:val="32"/>
          <w:szCs w:val="32"/>
        </w:rPr>
        <w:t>8万元已全部及足额拨付到位。</w:t>
      </w:r>
    </w:p>
    <w:p>
      <w:pPr>
        <w:adjustRightInd w:val="0"/>
        <w:snapToGrid w:val="0"/>
        <w:spacing w:line="576" w:lineRule="exact"/>
        <w:ind w:firstLine="720"/>
        <w:rPr>
          <w:rFonts w:ascii="仿宋_GB2312" w:hAnsi="宋体" w:eastAsia="仿宋_GB2312"/>
          <w:sz w:val="32"/>
          <w:szCs w:val="32"/>
        </w:rPr>
      </w:pPr>
      <w:r>
        <w:rPr>
          <w:rFonts w:hint="eastAsia" w:ascii="仿宋_GB2312" w:hAnsi="宋体" w:eastAsia="仿宋_GB2312"/>
          <w:sz w:val="32"/>
          <w:szCs w:val="32"/>
          <w:lang w:val="zh-CN"/>
        </w:rPr>
        <w:t>3</w:t>
      </w:r>
      <w:r>
        <w:rPr>
          <w:rFonts w:hint="eastAsia" w:ascii="仿宋_GB2312" w:hAnsi="宋体" w:eastAsia="仿宋_GB2312"/>
          <w:sz w:val="32"/>
          <w:szCs w:val="32"/>
        </w:rPr>
        <w:t>.</w:t>
      </w:r>
      <w:r>
        <w:rPr>
          <w:rFonts w:hint="eastAsia" w:ascii="仿宋_GB2312" w:hAnsi="宋体" w:eastAsia="仿宋_GB2312"/>
          <w:sz w:val="32"/>
          <w:szCs w:val="32"/>
          <w:lang w:val="zh-CN"/>
        </w:rPr>
        <w:t>资金使用。</w:t>
      </w:r>
      <w:r>
        <w:rPr>
          <w:rFonts w:ascii="仿宋_GB2312" w:hAnsi="宋体" w:eastAsia="仿宋_GB2312"/>
          <w:sz w:val="32"/>
          <w:szCs w:val="32"/>
        </w:rPr>
        <w:t>为稳步推进该项目工作，</w:t>
      </w:r>
      <w:r>
        <w:rPr>
          <w:rFonts w:hint="eastAsia" w:ascii="仿宋_GB2312" w:hAnsi="宋体" w:eastAsia="仿宋_GB2312"/>
          <w:sz w:val="32"/>
          <w:szCs w:val="32"/>
        </w:rPr>
        <w:t>我社严格按照项目资金管理办法，严格按照</w:t>
      </w:r>
      <w:r>
        <w:rPr>
          <w:rFonts w:ascii="仿宋_GB2312" w:hAnsi="宋体" w:eastAsia="仿宋_GB2312"/>
          <w:sz w:val="32"/>
          <w:szCs w:val="32"/>
        </w:rPr>
        <w:t>规定范围、标准及</w:t>
      </w:r>
      <w:r>
        <w:rPr>
          <w:rFonts w:hint="eastAsia" w:ascii="仿宋_GB2312" w:hAnsi="宋体" w:eastAsia="仿宋_GB2312"/>
          <w:sz w:val="32"/>
          <w:szCs w:val="32"/>
        </w:rPr>
        <w:t>工作</w:t>
      </w:r>
      <w:r>
        <w:rPr>
          <w:rFonts w:ascii="仿宋_GB2312" w:hAnsi="宋体" w:eastAsia="仿宋_GB2312"/>
          <w:sz w:val="32"/>
          <w:szCs w:val="32"/>
        </w:rPr>
        <w:t>进度支付，支付依据合规合法</w:t>
      </w:r>
      <w:r>
        <w:rPr>
          <w:rFonts w:hint="eastAsia" w:ascii="仿宋_GB2312" w:hAnsi="宋体" w:eastAsia="仿宋_GB2312"/>
          <w:sz w:val="32"/>
          <w:szCs w:val="32"/>
        </w:rPr>
        <w:t>，</w:t>
      </w:r>
      <w:r>
        <w:rPr>
          <w:rFonts w:ascii="仿宋_GB2312" w:hAnsi="宋体" w:eastAsia="仿宋_GB2312"/>
          <w:sz w:val="32"/>
          <w:szCs w:val="32"/>
        </w:rPr>
        <w:t>与预算相符。</w:t>
      </w:r>
    </w:p>
    <w:p>
      <w:pPr>
        <w:adjustRightInd w:val="0"/>
        <w:snapToGrid w:val="0"/>
        <w:spacing w:line="576"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576"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项目实施单位区供销联社</w:t>
      </w:r>
      <w:r>
        <w:rPr>
          <w:rFonts w:ascii="仿宋_GB2312" w:hAnsi="宋体" w:eastAsia="仿宋_GB2312"/>
          <w:sz w:val="32"/>
          <w:szCs w:val="32"/>
          <w:lang w:val="zh-CN"/>
        </w:rPr>
        <w:t>财务管理制度健全，严格执行财务管理制度，账务处理及时，会计核算规范。</w:t>
      </w:r>
    </w:p>
    <w:p>
      <w:pPr>
        <w:adjustRightInd w:val="0"/>
        <w:snapToGrid w:val="0"/>
        <w:spacing w:line="576"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576"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576"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该项目由区供销联社</w:t>
      </w:r>
      <w:r>
        <w:rPr>
          <w:rFonts w:ascii="仿宋_GB2312" w:hAnsi="宋体" w:eastAsia="仿宋_GB2312"/>
          <w:sz w:val="32"/>
          <w:szCs w:val="32"/>
          <w:lang w:val="zh-CN"/>
        </w:rPr>
        <w:t>具体组织实施，根据</w:t>
      </w:r>
      <w:r>
        <w:rPr>
          <w:rFonts w:hint="eastAsia" w:ascii="仿宋_GB2312" w:hAnsi="宋体" w:eastAsia="仿宋_GB2312"/>
          <w:sz w:val="32"/>
          <w:szCs w:val="32"/>
          <w:lang w:val="zh-CN"/>
        </w:rPr>
        <w:t>深化供销社综合改革相关内容和改造升级情况予以适当补助</w:t>
      </w:r>
      <w:r>
        <w:rPr>
          <w:rFonts w:ascii="仿宋_GB2312" w:hAnsi="宋体" w:eastAsia="仿宋_GB2312"/>
          <w:sz w:val="32"/>
          <w:szCs w:val="32"/>
          <w:lang w:val="zh-CN"/>
        </w:rPr>
        <w:t>。  </w:t>
      </w:r>
    </w:p>
    <w:p>
      <w:pPr>
        <w:adjustRightInd w:val="0"/>
        <w:snapToGrid w:val="0"/>
        <w:spacing w:line="576"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（二）项目管理情况。</w:t>
      </w:r>
      <w:r>
        <w:rPr>
          <w:rFonts w:hint="eastAsia" w:ascii="仿宋_GB2312" w:hAnsi="宋体" w:eastAsia="仿宋_GB2312"/>
          <w:sz w:val="32"/>
          <w:szCs w:val="32"/>
          <w:lang w:val="zh-CN"/>
        </w:rPr>
        <w:t>加强改造升级指导和监督实施，整理项目资料，并经过多方验收。</w:t>
      </w:r>
    </w:p>
    <w:p>
      <w:pPr>
        <w:adjustRightInd w:val="0"/>
        <w:snapToGrid w:val="0"/>
        <w:spacing w:line="576"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（三）项目监管情况。</w:t>
      </w:r>
      <w:r>
        <w:rPr>
          <w:rFonts w:hint="eastAsia" w:ascii="仿宋_GB2312" w:hAnsi="宋体" w:eastAsia="仿宋_GB2312"/>
          <w:sz w:val="32"/>
          <w:szCs w:val="32"/>
          <w:lang w:val="zh-CN"/>
        </w:rPr>
        <w:t>区供销联社全</w:t>
      </w:r>
      <w:r>
        <w:rPr>
          <w:rFonts w:hint="eastAsia" w:ascii="仿宋_GB2312" w:hAnsi="宋体" w:eastAsia="仿宋_GB2312"/>
          <w:sz w:val="32"/>
          <w:szCs w:val="32"/>
        </w:rPr>
        <w:t>程</w:t>
      </w:r>
      <w:r>
        <w:rPr>
          <w:rFonts w:hint="eastAsia" w:ascii="仿宋_GB2312" w:hAnsi="宋体" w:eastAsia="仿宋_GB2312"/>
          <w:sz w:val="32"/>
          <w:szCs w:val="32"/>
          <w:lang w:val="zh-CN"/>
        </w:rPr>
        <w:t>参与项目实施每个环节。</w:t>
      </w:r>
    </w:p>
    <w:p>
      <w:pPr>
        <w:adjustRightInd w:val="0"/>
        <w:snapToGrid w:val="0"/>
        <w:spacing w:line="576"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576" w:lineRule="exact"/>
        <w:ind w:firstLine="720"/>
        <w:rPr>
          <w:rFonts w:ascii="仿宋_GB2312" w:hAnsi="宋体" w:eastAsia="仿宋_GB2312"/>
          <w:sz w:val="32"/>
          <w:szCs w:val="32"/>
        </w:rPr>
      </w:pPr>
      <w:r>
        <w:rPr>
          <w:rFonts w:hint="eastAsia" w:ascii="楷体_GB2312" w:hAnsi="宋体" w:eastAsia="楷体_GB2312"/>
          <w:b/>
          <w:sz w:val="32"/>
          <w:szCs w:val="32"/>
          <w:lang w:val="zh-CN"/>
        </w:rPr>
        <w:t>（一）项目完成情况。</w:t>
      </w:r>
    </w:p>
    <w:p>
      <w:pPr>
        <w:adjustRightInd w:val="0"/>
        <w:snapToGrid w:val="0"/>
        <w:spacing w:line="576" w:lineRule="exact"/>
        <w:ind w:firstLine="720"/>
        <w:rPr>
          <w:rFonts w:ascii="仿宋_GB2312" w:hAnsi="宋体" w:eastAsia="仿宋_GB2312"/>
          <w:sz w:val="32"/>
          <w:szCs w:val="32"/>
        </w:rPr>
      </w:pPr>
      <w:r>
        <w:rPr>
          <w:rFonts w:hint="eastAsia" w:ascii="仿宋_GB2312" w:hAnsi="宋体" w:eastAsia="仿宋_GB2312"/>
          <w:sz w:val="32"/>
          <w:szCs w:val="32"/>
        </w:rPr>
        <w:t>2020年完成创建标杆社1个，提升基层供销社1个，支持22个综合服务社网点和2个农民专业合社完成阵地形象打造、制度规范和服务功能完善。</w:t>
      </w:r>
    </w:p>
    <w:p>
      <w:pPr>
        <w:adjustRightInd w:val="0"/>
        <w:snapToGrid w:val="0"/>
        <w:spacing w:line="576"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576" w:lineRule="exact"/>
        <w:ind w:firstLine="720"/>
        <w:rPr>
          <w:rFonts w:ascii="仿宋_GB2312" w:hAnsi="宋体" w:eastAsia="仿宋_GB2312"/>
          <w:sz w:val="32"/>
          <w:szCs w:val="32"/>
        </w:rPr>
      </w:pPr>
      <w:r>
        <w:rPr>
          <w:rFonts w:hint="eastAsia" w:ascii="仿宋_GB2312" w:hAnsi="宋体" w:eastAsia="仿宋_GB2312"/>
          <w:sz w:val="32"/>
          <w:szCs w:val="32"/>
        </w:rPr>
        <w:t>1.通过对基层供销社、综合服务社的改造提升，</w:t>
      </w:r>
      <w:r>
        <w:rPr>
          <w:rFonts w:ascii="仿宋_GB2312" w:hAnsi="宋体" w:eastAsia="仿宋_GB2312"/>
          <w:sz w:val="32"/>
          <w:szCs w:val="32"/>
        </w:rPr>
        <w:t>围绕“三农”服务需求，</w:t>
      </w:r>
      <w:r>
        <w:rPr>
          <w:rFonts w:hint="eastAsia" w:ascii="仿宋_GB2312" w:hAnsi="宋体" w:eastAsia="仿宋_GB2312"/>
          <w:sz w:val="32"/>
          <w:szCs w:val="32"/>
        </w:rPr>
        <w:t>拓展了为农服务领域</w:t>
      </w:r>
      <w:r>
        <w:rPr>
          <w:rFonts w:ascii="仿宋_GB2312" w:hAnsi="宋体" w:eastAsia="仿宋_GB2312"/>
          <w:sz w:val="32"/>
          <w:szCs w:val="32"/>
        </w:rPr>
        <w:t>，提升</w:t>
      </w:r>
      <w:r>
        <w:rPr>
          <w:rFonts w:hint="eastAsia" w:ascii="仿宋_GB2312" w:hAnsi="宋体" w:eastAsia="仿宋_GB2312"/>
          <w:sz w:val="32"/>
          <w:szCs w:val="32"/>
        </w:rPr>
        <w:t>了为农</w:t>
      </w:r>
      <w:r>
        <w:rPr>
          <w:rFonts w:ascii="仿宋_GB2312" w:hAnsi="宋体" w:eastAsia="仿宋_GB2312"/>
          <w:sz w:val="32"/>
          <w:szCs w:val="32"/>
        </w:rPr>
        <w:t>服务能力，提升为农服务质量和水平</w:t>
      </w:r>
      <w:r>
        <w:rPr>
          <w:rFonts w:hint="eastAsia" w:ascii="仿宋_GB2312" w:hAnsi="宋体" w:eastAsia="仿宋_GB2312"/>
          <w:sz w:val="32"/>
          <w:szCs w:val="32"/>
        </w:rPr>
        <w:t>，</w:t>
      </w:r>
      <w:r>
        <w:rPr>
          <w:rFonts w:ascii="仿宋_GB2312" w:hAnsi="宋体" w:eastAsia="仿宋_GB2312"/>
          <w:sz w:val="32"/>
          <w:szCs w:val="32"/>
        </w:rPr>
        <w:t>密切</w:t>
      </w:r>
      <w:r>
        <w:rPr>
          <w:rFonts w:hint="eastAsia" w:ascii="仿宋_GB2312" w:hAnsi="宋体" w:eastAsia="仿宋_GB2312"/>
          <w:sz w:val="32"/>
          <w:szCs w:val="32"/>
        </w:rPr>
        <w:t>了</w:t>
      </w:r>
      <w:r>
        <w:rPr>
          <w:rFonts w:ascii="仿宋_GB2312" w:hAnsi="宋体" w:eastAsia="仿宋_GB2312"/>
          <w:sz w:val="32"/>
          <w:szCs w:val="32"/>
        </w:rPr>
        <w:t>与农民</w:t>
      </w:r>
      <w:r>
        <w:rPr>
          <w:rFonts w:hint="eastAsia" w:ascii="仿宋_GB2312" w:hAnsi="宋体" w:eastAsia="仿宋_GB2312"/>
          <w:sz w:val="32"/>
          <w:szCs w:val="32"/>
        </w:rPr>
        <w:t>群众</w:t>
      </w:r>
      <w:r>
        <w:rPr>
          <w:rFonts w:ascii="仿宋_GB2312" w:hAnsi="宋体" w:eastAsia="仿宋_GB2312"/>
          <w:sz w:val="32"/>
          <w:szCs w:val="32"/>
        </w:rPr>
        <w:t>的利益联结，使之成为</w:t>
      </w:r>
      <w:r>
        <w:rPr>
          <w:rFonts w:hint="eastAsia" w:ascii="仿宋_GB2312" w:hAnsi="宋体" w:eastAsia="仿宋_GB2312"/>
          <w:sz w:val="32"/>
          <w:szCs w:val="32"/>
        </w:rPr>
        <w:t>供销社系统助力乡村振兴的主要力量之一。</w:t>
      </w:r>
    </w:p>
    <w:p>
      <w:pPr>
        <w:adjustRightInd w:val="0"/>
        <w:snapToGrid w:val="0"/>
        <w:spacing w:line="576" w:lineRule="exact"/>
        <w:ind w:firstLine="720"/>
        <w:rPr>
          <w:rFonts w:ascii="仿宋_GB2312" w:hAnsi="宋体" w:eastAsia="仿宋_GB2312"/>
          <w:sz w:val="32"/>
          <w:szCs w:val="32"/>
        </w:rPr>
      </w:pPr>
      <w:r>
        <w:rPr>
          <w:rFonts w:hint="eastAsia" w:ascii="仿宋_GB2312" w:hAnsi="宋体" w:eastAsia="仿宋_GB2312"/>
          <w:sz w:val="32"/>
          <w:szCs w:val="32"/>
        </w:rPr>
        <w:t>2.供销社系统为农服务网络不断恢复重建，供销社基层体系建设更加健全，进一步巩固了深化供销社综合改革的成果。</w:t>
      </w:r>
    </w:p>
    <w:p>
      <w:pPr>
        <w:adjustRightInd w:val="0"/>
        <w:snapToGrid w:val="0"/>
        <w:spacing w:line="576" w:lineRule="exact"/>
        <w:ind w:firstLine="720"/>
        <w:rPr>
          <w:rFonts w:ascii="仿宋_GB2312" w:hAnsi="宋体" w:eastAsia="仿宋_GB2312"/>
          <w:sz w:val="32"/>
          <w:szCs w:val="32"/>
        </w:rPr>
      </w:pPr>
      <w:r>
        <w:rPr>
          <w:rFonts w:hint="eastAsia" w:ascii="仿宋_GB2312" w:hAnsi="宋体" w:eastAsia="仿宋_GB2312"/>
          <w:sz w:val="32"/>
          <w:szCs w:val="32"/>
        </w:rPr>
        <w:t>3.供销社系统在农民群众中的存在感不断增强，供销社形象得到重塑。</w:t>
      </w:r>
    </w:p>
    <w:p>
      <w:pPr>
        <w:adjustRightInd w:val="0"/>
        <w:snapToGrid w:val="0"/>
        <w:spacing w:line="576"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576"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576" w:lineRule="exact"/>
        <w:ind w:firstLine="720"/>
        <w:rPr>
          <w:rFonts w:ascii="仿宋_GB2312" w:hAnsi="宋体" w:eastAsia="仿宋_GB2312"/>
          <w:sz w:val="32"/>
          <w:szCs w:val="32"/>
        </w:rPr>
      </w:pPr>
      <w:r>
        <w:rPr>
          <w:rFonts w:hint="eastAsia" w:ascii="仿宋_GB2312" w:hAnsi="宋体" w:eastAsia="仿宋_GB2312"/>
          <w:sz w:val="32"/>
          <w:szCs w:val="32"/>
        </w:rPr>
        <w:t>通过持续深化供销合作社综合改革，切实牢记“为农、务农、姓农”的服务宗旨，创新方式开办社办企业，不断强化组织建设，完善服务功能，健全服务体系，全力服务三农和乡村振兴工作大局。</w:t>
      </w:r>
    </w:p>
    <w:p>
      <w:pPr>
        <w:adjustRightInd w:val="0"/>
        <w:snapToGrid w:val="0"/>
        <w:spacing w:line="576"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576" w:lineRule="exact"/>
        <w:ind w:firstLine="720"/>
        <w:rPr>
          <w:rFonts w:ascii="仿宋_GB2312" w:hAnsi="宋体" w:eastAsia="仿宋_GB2312"/>
          <w:sz w:val="32"/>
          <w:szCs w:val="32"/>
        </w:rPr>
      </w:pPr>
      <w:r>
        <w:rPr>
          <w:rFonts w:hint="eastAsia" w:ascii="仿宋_GB2312" w:hAnsi="仿宋" w:eastAsia="仿宋_GB2312"/>
          <w:sz w:val="32"/>
        </w:rPr>
        <w:t>一是供销社系统为农服务能力较弱，为农服务功能较少；二是供销社收入来源单一，收入总量少，大多基层社、社有企业仅能保障自身运转和人员供养，深化改革压力较大；三是深化供销社综合改革项目规划较少，资金投入不足。</w:t>
      </w:r>
    </w:p>
    <w:p>
      <w:pPr>
        <w:adjustRightInd w:val="0"/>
        <w:snapToGrid w:val="0"/>
        <w:spacing w:line="576"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spacing w:line="576" w:lineRule="exact"/>
        <w:ind w:firstLine="640" w:firstLineChars="200"/>
        <w:rPr>
          <w:rFonts w:ascii="仿宋_GB2312" w:hAnsi="仿宋" w:eastAsia="仿宋_GB2312"/>
          <w:sz w:val="32"/>
        </w:rPr>
      </w:pPr>
      <w:r>
        <w:rPr>
          <w:rFonts w:hint="eastAsia" w:ascii="仿宋_GB2312" w:hAnsi="仿宋" w:eastAsia="仿宋_GB2312"/>
          <w:sz w:val="32"/>
        </w:rPr>
        <w:t>一是切实为供销社综合改革提供政策保障，进一步挖掘供销系统人财物等内部潜力，转变经营方式，为供销社恢复服务三农功能提供政策支持；二是加大深化供销社综合改革项目资金等投入；三是进一步完善供销社服务体系建设。</w:t>
      </w:r>
    </w:p>
    <w:p>
      <w:pPr>
        <w:adjustRightInd w:val="0"/>
        <w:snapToGrid w:val="0"/>
        <w:spacing w:line="576" w:lineRule="exact"/>
        <w:ind w:firstLine="720"/>
        <w:rPr>
          <w:rFonts w:ascii="仿宋_GB2312" w:hAnsi="宋体" w:eastAsia="仿宋_GB2312"/>
          <w:sz w:val="32"/>
          <w:szCs w:val="32"/>
        </w:rPr>
      </w:pPr>
    </w:p>
    <w:p>
      <w:pPr>
        <w:adjustRightInd w:val="0"/>
        <w:snapToGrid w:val="0"/>
        <w:spacing w:line="576" w:lineRule="exact"/>
        <w:ind w:firstLine="720"/>
        <w:rPr>
          <w:rFonts w:ascii="仿宋_GB2312" w:hAnsi="宋体" w:eastAsia="仿宋_GB2312"/>
          <w:sz w:val="32"/>
          <w:szCs w:val="32"/>
        </w:rPr>
      </w:pPr>
    </w:p>
    <w:p>
      <w:pPr>
        <w:adjustRightInd w:val="0"/>
        <w:snapToGrid w:val="0"/>
        <w:spacing w:line="576" w:lineRule="exact"/>
        <w:ind w:firstLine="720"/>
        <w:rPr>
          <w:rFonts w:ascii="仿宋_GB2312" w:hAnsi="宋体" w:eastAsia="仿宋_GB2312"/>
          <w:sz w:val="32"/>
          <w:szCs w:val="32"/>
        </w:rPr>
      </w:pPr>
    </w:p>
    <w:p>
      <w:pPr>
        <w:adjustRightInd w:val="0"/>
        <w:snapToGrid w:val="0"/>
        <w:spacing w:line="576" w:lineRule="exact"/>
        <w:ind w:firstLine="720"/>
        <w:rPr>
          <w:rFonts w:ascii="仿宋_GB2312" w:hAnsi="宋体" w:eastAsia="仿宋_GB2312"/>
          <w:sz w:val="32"/>
          <w:szCs w:val="32"/>
        </w:rPr>
      </w:pPr>
    </w:p>
    <w:p>
      <w:pPr>
        <w:adjustRightInd w:val="0"/>
        <w:snapToGrid w:val="0"/>
        <w:spacing w:line="576" w:lineRule="exact"/>
        <w:ind w:firstLine="720"/>
        <w:rPr>
          <w:rFonts w:ascii="仿宋_GB2312" w:hAnsi="宋体" w:eastAsia="仿宋_GB2312"/>
          <w:sz w:val="32"/>
          <w:szCs w:val="32"/>
        </w:rPr>
      </w:pPr>
    </w:p>
    <w:p>
      <w:pPr>
        <w:adjustRightInd w:val="0"/>
        <w:snapToGrid w:val="0"/>
        <w:spacing w:line="576" w:lineRule="exact"/>
        <w:ind w:firstLine="720"/>
        <w:rPr>
          <w:rFonts w:ascii="仿宋_GB2312" w:hAnsi="宋体" w:eastAsia="仿宋_GB2312"/>
          <w:sz w:val="32"/>
          <w:szCs w:val="32"/>
        </w:rPr>
      </w:pPr>
    </w:p>
    <w:p>
      <w:pPr>
        <w:adjustRightInd w:val="0"/>
        <w:snapToGrid w:val="0"/>
        <w:spacing w:line="576" w:lineRule="exact"/>
        <w:ind w:firstLine="720"/>
        <w:rPr>
          <w:rFonts w:ascii="仿宋_GB2312" w:hAnsi="宋体" w:eastAsia="仿宋_GB2312"/>
          <w:sz w:val="32"/>
          <w:szCs w:val="32"/>
        </w:rPr>
      </w:pPr>
    </w:p>
    <w:p>
      <w:pPr>
        <w:adjustRightInd w:val="0"/>
        <w:snapToGrid w:val="0"/>
        <w:spacing w:line="576" w:lineRule="exact"/>
        <w:ind w:firstLine="720"/>
        <w:rPr>
          <w:rFonts w:ascii="仿宋_GB2312" w:hAnsi="宋体" w:eastAsia="仿宋_GB2312"/>
          <w:sz w:val="32"/>
          <w:szCs w:val="32"/>
        </w:rPr>
      </w:pPr>
    </w:p>
    <w:p>
      <w:pPr>
        <w:adjustRightInd w:val="0"/>
        <w:snapToGrid w:val="0"/>
        <w:spacing w:line="576" w:lineRule="exact"/>
        <w:ind w:firstLine="720"/>
        <w:rPr>
          <w:rFonts w:ascii="仿宋_GB2312" w:hAnsi="宋体" w:eastAsia="仿宋_GB2312"/>
          <w:sz w:val="32"/>
          <w:szCs w:val="32"/>
        </w:rPr>
      </w:pPr>
    </w:p>
    <w:p>
      <w:pPr>
        <w:adjustRightInd w:val="0"/>
        <w:snapToGrid w:val="0"/>
        <w:spacing w:line="576" w:lineRule="exact"/>
        <w:ind w:firstLine="720"/>
        <w:rPr>
          <w:rFonts w:ascii="仿宋_GB2312" w:hAnsi="宋体" w:eastAsia="仿宋_GB2312"/>
          <w:sz w:val="32"/>
          <w:szCs w:val="32"/>
        </w:rPr>
      </w:pPr>
    </w:p>
    <w:p>
      <w:pPr>
        <w:adjustRightInd w:val="0"/>
        <w:snapToGrid w:val="0"/>
        <w:spacing w:line="576" w:lineRule="exact"/>
        <w:ind w:firstLine="720"/>
        <w:rPr>
          <w:rFonts w:ascii="仿宋_GB2312" w:hAnsi="宋体" w:eastAsia="仿宋_GB2312"/>
          <w:sz w:val="32"/>
          <w:szCs w:val="32"/>
        </w:rPr>
      </w:pPr>
    </w:p>
    <w:p>
      <w:pPr>
        <w:adjustRightInd w:val="0"/>
        <w:snapToGrid w:val="0"/>
        <w:spacing w:line="576" w:lineRule="exact"/>
        <w:ind w:firstLine="720"/>
        <w:rPr>
          <w:rFonts w:ascii="仿宋_GB2312" w:hAnsi="宋体" w:eastAsia="仿宋_GB2312"/>
          <w:sz w:val="32"/>
          <w:szCs w:val="32"/>
        </w:rPr>
      </w:pPr>
    </w:p>
    <w:p>
      <w:pPr>
        <w:adjustRightInd w:val="0"/>
        <w:snapToGrid w:val="0"/>
        <w:spacing w:line="576" w:lineRule="exact"/>
        <w:ind w:firstLine="720"/>
        <w:rPr>
          <w:rFonts w:ascii="仿宋_GB2312" w:hAnsi="宋体" w:eastAsia="仿宋_GB2312"/>
          <w:sz w:val="32"/>
          <w:szCs w:val="32"/>
        </w:rPr>
      </w:pPr>
    </w:p>
    <w:p>
      <w:pPr>
        <w:adjustRightInd w:val="0"/>
        <w:snapToGrid w:val="0"/>
        <w:spacing w:line="576" w:lineRule="exact"/>
        <w:ind w:firstLine="720"/>
        <w:rPr>
          <w:rFonts w:ascii="仿宋_GB2312" w:hAnsi="宋体" w:eastAsia="仿宋_GB2312"/>
          <w:sz w:val="32"/>
          <w:szCs w:val="32"/>
        </w:rPr>
      </w:pPr>
    </w:p>
    <w:p>
      <w:pPr>
        <w:adjustRightInd w:val="0"/>
        <w:snapToGrid w:val="0"/>
        <w:spacing w:line="576" w:lineRule="exact"/>
        <w:ind w:firstLine="720"/>
        <w:rPr>
          <w:rFonts w:ascii="仿宋_GB2312" w:hAnsi="宋体" w:eastAsia="仿宋_GB2312"/>
          <w:sz w:val="32"/>
          <w:szCs w:val="32"/>
        </w:rPr>
      </w:pPr>
    </w:p>
    <w:p>
      <w:pPr>
        <w:adjustRightInd w:val="0"/>
        <w:snapToGrid w:val="0"/>
        <w:spacing w:line="576" w:lineRule="exact"/>
        <w:ind w:firstLine="720"/>
        <w:rPr>
          <w:rFonts w:ascii="仿宋_GB2312" w:hAnsi="宋体" w:eastAsia="仿宋_GB2312"/>
          <w:sz w:val="32"/>
          <w:szCs w:val="32"/>
        </w:rPr>
      </w:pPr>
    </w:p>
    <w:p>
      <w:pPr>
        <w:adjustRightInd w:val="0"/>
        <w:snapToGrid w:val="0"/>
        <w:spacing w:line="576" w:lineRule="exact"/>
        <w:ind w:firstLine="720"/>
        <w:rPr>
          <w:rFonts w:ascii="仿宋_GB2312" w:hAnsi="宋体" w:eastAsia="仿宋_GB2312"/>
          <w:sz w:val="32"/>
          <w:szCs w:val="32"/>
        </w:rPr>
      </w:pPr>
    </w:p>
    <w:p>
      <w:pPr>
        <w:adjustRightInd w:val="0"/>
        <w:snapToGrid w:val="0"/>
        <w:spacing w:line="576" w:lineRule="exact"/>
        <w:ind w:firstLine="720"/>
        <w:rPr>
          <w:rFonts w:ascii="仿宋_GB2312" w:hAnsi="宋体" w:eastAsia="仿宋_GB2312"/>
          <w:sz w:val="32"/>
          <w:szCs w:val="32"/>
        </w:rPr>
      </w:pPr>
    </w:p>
    <w:p>
      <w:pPr>
        <w:spacing w:line="576" w:lineRule="exact"/>
        <w:jc w:val="center"/>
        <w:outlineLvl w:val="0"/>
        <w:rPr>
          <w:rStyle w:val="29"/>
          <w:rFonts w:ascii="黑体" w:hAnsi="黑体" w:eastAsia="黑体"/>
          <w:b w:val="0"/>
        </w:rPr>
      </w:pPr>
      <w:bookmarkStart w:id="60" w:name="_Toc15396618"/>
      <w:r>
        <w:rPr>
          <w:rFonts w:hint="eastAsia" w:ascii="黑体" w:hAnsi="黑体" w:eastAsia="黑体"/>
          <w:color w:val="000000"/>
          <w:sz w:val="44"/>
          <w:szCs w:val="44"/>
        </w:rPr>
        <w:t>第</w:t>
      </w:r>
      <w:r>
        <w:rPr>
          <w:rStyle w:val="29"/>
          <w:rFonts w:hint="eastAsia" w:ascii="黑体" w:hAnsi="黑体" w:eastAsia="黑体"/>
          <w:b w:val="0"/>
        </w:rPr>
        <w:t>五部分 附表</w:t>
      </w:r>
      <w:bookmarkEnd w:id="57"/>
      <w:bookmarkEnd w:id="60"/>
    </w:p>
    <w:p>
      <w:pPr>
        <w:spacing w:line="576" w:lineRule="exact"/>
        <w:jc w:val="center"/>
        <w:outlineLvl w:val="0"/>
        <w:rPr>
          <w:rFonts w:ascii="仿宋" w:hAnsi="仿宋" w:eastAsia="仿宋"/>
          <w:b/>
          <w:color w:val="000000"/>
          <w:sz w:val="44"/>
          <w:szCs w:val="44"/>
        </w:rPr>
      </w:pPr>
    </w:p>
    <w:p>
      <w:pPr>
        <w:pStyle w:val="3"/>
        <w:spacing w:before="0" w:after="0" w:line="576" w:lineRule="exact"/>
        <w:rPr>
          <w:rFonts w:ascii="仿宋" w:hAnsi="仿宋" w:eastAsia="仿宋"/>
          <w:color w:val="000000"/>
        </w:rPr>
      </w:pPr>
      <w:bookmarkStart w:id="61" w:name="_Toc15396619"/>
      <w:r>
        <w:rPr>
          <w:rFonts w:hint="eastAsia" w:ascii="仿宋" w:hAnsi="仿宋" w:eastAsia="仿宋"/>
          <w:b w:val="0"/>
          <w:color w:val="000000"/>
        </w:rPr>
        <w:t>一、收</w:t>
      </w:r>
      <w:r>
        <w:rPr>
          <w:rStyle w:val="30"/>
          <w:rFonts w:hint="eastAsia" w:ascii="仿宋" w:hAnsi="仿宋" w:eastAsia="仿宋"/>
          <w:b w:val="0"/>
          <w:bCs w:val="0"/>
        </w:rPr>
        <w:t>入支出决算总表</w:t>
      </w:r>
      <w:bookmarkEnd w:id="61"/>
    </w:p>
    <w:p>
      <w:pPr>
        <w:pStyle w:val="3"/>
        <w:spacing w:before="0" w:after="0" w:line="576" w:lineRule="exact"/>
        <w:rPr>
          <w:rFonts w:ascii="仿宋" w:hAnsi="仿宋" w:eastAsia="仿宋"/>
          <w:color w:val="000000"/>
        </w:rPr>
      </w:pPr>
      <w:bookmarkStart w:id="62" w:name="_Toc15396620"/>
      <w:r>
        <w:rPr>
          <w:rFonts w:hint="eastAsia" w:ascii="仿宋" w:hAnsi="仿宋" w:eastAsia="仿宋"/>
          <w:b w:val="0"/>
          <w:color w:val="000000"/>
        </w:rPr>
        <w:t>二、收</w:t>
      </w:r>
      <w:r>
        <w:rPr>
          <w:rStyle w:val="30"/>
          <w:rFonts w:hint="eastAsia" w:ascii="仿宋" w:hAnsi="仿宋" w:eastAsia="仿宋"/>
          <w:b w:val="0"/>
          <w:bCs w:val="0"/>
        </w:rPr>
        <w:t>入决算表</w:t>
      </w:r>
      <w:bookmarkEnd w:id="62"/>
    </w:p>
    <w:p>
      <w:pPr>
        <w:pStyle w:val="3"/>
        <w:spacing w:before="0" w:after="0" w:line="576" w:lineRule="exact"/>
        <w:rPr>
          <w:rFonts w:ascii="仿宋" w:hAnsi="仿宋" w:eastAsia="仿宋"/>
          <w:color w:val="000000"/>
        </w:rPr>
      </w:pPr>
      <w:bookmarkStart w:id="63" w:name="_Toc15396621"/>
      <w:r>
        <w:rPr>
          <w:rStyle w:val="30"/>
          <w:rFonts w:hint="eastAsia" w:ascii="仿宋" w:hAnsi="仿宋" w:eastAsia="仿宋"/>
          <w:b w:val="0"/>
          <w:bCs w:val="0"/>
        </w:rPr>
        <w:t>三、</w:t>
      </w:r>
      <w:r>
        <w:rPr>
          <w:rFonts w:hint="eastAsia" w:ascii="仿宋" w:hAnsi="仿宋" w:eastAsia="仿宋"/>
          <w:b w:val="0"/>
          <w:color w:val="000000"/>
        </w:rPr>
        <w:t>支</w:t>
      </w:r>
      <w:r>
        <w:rPr>
          <w:rStyle w:val="30"/>
          <w:rFonts w:hint="eastAsia" w:ascii="仿宋" w:hAnsi="仿宋" w:eastAsia="仿宋"/>
          <w:b w:val="0"/>
          <w:bCs w:val="0"/>
        </w:rPr>
        <w:t>出决算表</w:t>
      </w:r>
      <w:bookmarkEnd w:id="63"/>
    </w:p>
    <w:p>
      <w:pPr>
        <w:pStyle w:val="3"/>
        <w:spacing w:before="0" w:after="0" w:line="576" w:lineRule="exact"/>
        <w:rPr>
          <w:rFonts w:ascii="仿宋" w:hAnsi="仿宋" w:eastAsia="仿宋"/>
          <w:b w:val="0"/>
          <w:color w:val="000000"/>
        </w:rPr>
      </w:pPr>
      <w:bookmarkStart w:id="64" w:name="_Toc15396622"/>
      <w:r>
        <w:rPr>
          <w:rStyle w:val="30"/>
          <w:rFonts w:hint="eastAsia" w:ascii="仿宋" w:hAnsi="仿宋" w:eastAsia="仿宋"/>
          <w:b w:val="0"/>
          <w:bCs w:val="0"/>
        </w:rPr>
        <w:t>四、</w:t>
      </w:r>
      <w:r>
        <w:rPr>
          <w:rFonts w:hint="eastAsia" w:ascii="仿宋" w:hAnsi="仿宋" w:eastAsia="仿宋"/>
          <w:b w:val="0"/>
          <w:color w:val="000000"/>
        </w:rPr>
        <w:t>财</w:t>
      </w:r>
      <w:r>
        <w:rPr>
          <w:rStyle w:val="30"/>
          <w:rFonts w:hint="eastAsia" w:ascii="仿宋" w:hAnsi="仿宋" w:eastAsia="仿宋"/>
          <w:b w:val="0"/>
          <w:bCs w:val="0"/>
        </w:rPr>
        <w:t>政拨款收入支出决算总表</w:t>
      </w:r>
      <w:bookmarkEnd w:id="64"/>
    </w:p>
    <w:p>
      <w:pPr>
        <w:pStyle w:val="3"/>
        <w:spacing w:before="0" w:after="0" w:line="576" w:lineRule="exact"/>
        <w:rPr>
          <w:rStyle w:val="30"/>
          <w:rFonts w:ascii="仿宋" w:hAnsi="仿宋" w:eastAsia="仿宋"/>
          <w:b w:val="0"/>
          <w:bCs w:val="0"/>
        </w:rPr>
      </w:pPr>
      <w:bookmarkStart w:id="65" w:name="_Toc15396623"/>
      <w:r>
        <w:rPr>
          <w:rStyle w:val="30"/>
          <w:rFonts w:hint="eastAsia" w:ascii="仿宋" w:hAnsi="仿宋" w:eastAsia="仿宋"/>
          <w:b w:val="0"/>
          <w:bCs w:val="0"/>
        </w:rPr>
        <w:t>五、</w:t>
      </w:r>
      <w:r>
        <w:rPr>
          <w:rFonts w:hint="eastAsia" w:ascii="仿宋" w:hAnsi="仿宋" w:eastAsia="仿宋"/>
          <w:b w:val="0"/>
          <w:color w:val="000000"/>
        </w:rPr>
        <w:t>财</w:t>
      </w:r>
      <w:r>
        <w:rPr>
          <w:rStyle w:val="30"/>
          <w:rFonts w:hint="eastAsia" w:ascii="仿宋" w:hAnsi="仿宋" w:eastAsia="仿宋"/>
          <w:b w:val="0"/>
          <w:bCs w:val="0"/>
        </w:rPr>
        <w:t>政拨款支出决算明细表</w:t>
      </w:r>
      <w:bookmarkEnd w:id="65"/>
      <w:bookmarkStart w:id="66" w:name="_Toc15396624"/>
    </w:p>
    <w:p>
      <w:pPr>
        <w:pStyle w:val="3"/>
        <w:spacing w:before="0" w:after="0" w:line="576" w:lineRule="exact"/>
        <w:rPr>
          <w:rFonts w:ascii="仿宋" w:hAnsi="仿宋" w:eastAsia="仿宋"/>
          <w:color w:val="000000"/>
        </w:rPr>
      </w:pPr>
      <w:r>
        <w:rPr>
          <w:rStyle w:val="30"/>
          <w:rFonts w:hint="eastAsia" w:ascii="仿宋" w:hAnsi="仿宋" w:eastAsia="仿宋"/>
          <w:b w:val="0"/>
          <w:bCs w:val="0"/>
        </w:rPr>
        <w:t>六、</w:t>
      </w:r>
      <w:r>
        <w:rPr>
          <w:rFonts w:hint="eastAsia" w:ascii="仿宋" w:hAnsi="仿宋" w:eastAsia="仿宋"/>
          <w:b w:val="0"/>
          <w:color w:val="000000"/>
        </w:rPr>
        <w:t>一</w:t>
      </w:r>
      <w:r>
        <w:rPr>
          <w:rStyle w:val="30"/>
          <w:rFonts w:hint="eastAsia" w:ascii="仿宋" w:hAnsi="仿宋" w:eastAsia="仿宋"/>
          <w:b w:val="0"/>
          <w:bCs w:val="0"/>
        </w:rPr>
        <w:t>般公共预算财政拨款支出决算表</w:t>
      </w:r>
      <w:bookmarkEnd w:id="66"/>
    </w:p>
    <w:p>
      <w:pPr>
        <w:pStyle w:val="3"/>
        <w:spacing w:before="0" w:after="0" w:line="576" w:lineRule="exact"/>
        <w:rPr>
          <w:rFonts w:ascii="仿宋" w:hAnsi="仿宋" w:eastAsia="仿宋"/>
          <w:color w:val="000000"/>
        </w:rPr>
      </w:pPr>
      <w:bookmarkStart w:id="67" w:name="_Toc15396625"/>
      <w:r>
        <w:rPr>
          <w:rStyle w:val="30"/>
          <w:rFonts w:hint="eastAsia" w:ascii="仿宋" w:hAnsi="仿宋" w:eastAsia="仿宋"/>
          <w:b w:val="0"/>
          <w:bCs w:val="0"/>
        </w:rPr>
        <w:t>七、</w:t>
      </w:r>
      <w:r>
        <w:rPr>
          <w:rFonts w:hint="eastAsia" w:ascii="仿宋" w:hAnsi="仿宋" w:eastAsia="仿宋"/>
          <w:b w:val="0"/>
          <w:color w:val="000000"/>
        </w:rPr>
        <w:t>一</w:t>
      </w:r>
      <w:r>
        <w:rPr>
          <w:rStyle w:val="30"/>
          <w:rFonts w:hint="eastAsia" w:ascii="仿宋" w:hAnsi="仿宋" w:eastAsia="仿宋"/>
          <w:b w:val="0"/>
          <w:bCs w:val="0"/>
        </w:rPr>
        <w:t>般公共预算财政拨款支出决算明细表</w:t>
      </w:r>
      <w:bookmarkEnd w:id="67"/>
    </w:p>
    <w:p>
      <w:pPr>
        <w:pStyle w:val="3"/>
        <w:spacing w:before="0" w:after="0" w:line="576" w:lineRule="exact"/>
        <w:rPr>
          <w:rFonts w:ascii="仿宋" w:hAnsi="仿宋" w:eastAsia="仿宋"/>
          <w:color w:val="000000"/>
        </w:rPr>
      </w:pPr>
      <w:bookmarkStart w:id="68" w:name="_Toc15396626"/>
      <w:r>
        <w:rPr>
          <w:rStyle w:val="30"/>
          <w:rFonts w:hint="eastAsia" w:ascii="仿宋" w:hAnsi="仿宋" w:eastAsia="仿宋"/>
          <w:b w:val="0"/>
          <w:bCs w:val="0"/>
        </w:rPr>
        <w:t>八、</w:t>
      </w:r>
      <w:r>
        <w:rPr>
          <w:rFonts w:hint="eastAsia" w:ascii="仿宋" w:hAnsi="仿宋" w:eastAsia="仿宋"/>
          <w:b w:val="0"/>
          <w:color w:val="000000"/>
        </w:rPr>
        <w:t>一</w:t>
      </w:r>
      <w:r>
        <w:rPr>
          <w:rStyle w:val="30"/>
          <w:rFonts w:hint="eastAsia" w:ascii="仿宋" w:hAnsi="仿宋" w:eastAsia="仿宋"/>
          <w:b w:val="0"/>
          <w:bCs w:val="0"/>
        </w:rPr>
        <w:t>般公共预算财政拨款基本支出决算表</w:t>
      </w:r>
      <w:bookmarkEnd w:id="68"/>
    </w:p>
    <w:p>
      <w:pPr>
        <w:pStyle w:val="3"/>
        <w:spacing w:before="0" w:after="0" w:line="576" w:lineRule="exact"/>
        <w:rPr>
          <w:rFonts w:ascii="仿宋" w:hAnsi="仿宋" w:eastAsia="仿宋"/>
          <w:color w:val="000000"/>
        </w:rPr>
      </w:pPr>
      <w:bookmarkStart w:id="69" w:name="_Toc15396627"/>
      <w:r>
        <w:rPr>
          <w:rStyle w:val="30"/>
          <w:rFonts w:hint="eastAsia" w:ascii="仿宋" w:hAnsi="仿宋" w:eastAsia="仿宋"/>
          <w:b w:val="0"/>
          <w:bCs w:val="0"/>
        </w:rPr>
        <w:t>九、</w:t>
      </w:r>
      <w:r>
        <w:rPr>
          <w:rFonts w:hint="eastAsia" w:ascii="仿宋" w:hAnsi="仿宋" w:eastAsia="仿宋"/>
          <w:b w:val="0"/>
          <w:color w:val="000000"/>
        </w:rPr>
        <w:t>一</w:t>
      </w:r>
      <w:r>
        <w:rPr>
          <w:rStyle w:val="30"/>
          <w:rFonts w:hint="eastAsia" w:ascii="仿宋" w:hAnsi="仿宋" w:eastAsia="仿宋"/>
          <w:b w:val="0"/>
          <w:bCs w:val="0"/>
        </w:rPr>
        <w:t>般公共预算财政拨款项目支出决算表</w:t>
      </w:r>
      <w:bookmarkEnd w:id="69"/>
    </w:p>
    <w:p>
      <w:pPr>
        <w:pStyle w:val="3"/>
        <w:spacing w:before="0" w:after="0" w:line="576" w:lineRule="exact"/>
        <w:rPr>
          <w:rFonts w:ascii="仿宋" w:hAnsi="仿宋" w:eastAsia="仿宋"/>
          <w:color w:val="000000"/>
        </w:rPr>
      </w:pPr>
      <w:bookmarkStart w:id="70" w:name="_Toc15396628"/>
      <w:r>
        <w:rPr>
          <w:rStyle w:val="30"/>
          <w:rFonts w:hint="eastAsia" w:ascii="仿宋" w:hAnsi="仿宋" w:eastAsia="仿宋"/>
          <w:b w:val="0"/>
          <w:bCs w:val="0"/>
        </w:rPr>
        <w:t>十、</w:t>
      </w:r>
      <w:r>
        <w:rPr>
          <w:rFonts w:hint="eastAsia" w:ascii="仿宋" w:hAnsi="仿宋" w:eastAsia="仿宋"/>
          <w:b w:val="0"/>
          <w:color w:val="000000"/>
        </w:rPr>
        <w:t>一</w:t>
      </w:r>
      <w:r>
        <w:rPr>
          <w:rStyle w:val="30"/>
          <w:rFonts w:hint="eastAsia" w:ascii="仿宋" w:hAnsi="仿宋" w:eastAsia="仿宋"/>
          <w:b w:val="0"/>
          <w:bCs w:val="0"/>
        </w:rPr>
        <w:t>般公共预算财政拨款“三公”经费支出决算表</w:t>
      </w:r>
      <w:bookmarkEnd w:id="70"/>
    </w:p>
    <w:p>
      <w:pPr>
        <w:pStyle w:val="3"/>
        <w:spacing w:before="0" w:after="0" w:line="576" w:lineRule="exact"/>
        <w:rPr>
          <w:rFonts w:ascii="仿宋" w:hAnsi="仿宋" w:eastAsia="仿宋"/>
          <w:color w:val="000000"/>
        </w:rPr>
      </w:pPr>
      <w:bookmarkStart w:id="71" w:name="_Toc15396629"/>
      <w:r>
        <w:rPr>
          <w:rStyle w:val="30"/>
          <w:rFonts w:hint="eastAsia" w:ascii="仿宋" w:hAnsi="仿宋" w:eastAsia="仿宋"/>
          <w:b w:val="0"/>
          <w:bCs w:val="0"/>
        </w:rPr>
        <w:t>十一、</w:t>
      </w:r>
      <w:r>
        <w:rPr>
          <w:rFonts w:hint="eastAsia" w:ascii="仿宋" w:hAnsi="仿宋" w:eastAsia="仿宋"/>
          <w:b w:val="0"/>
          <w:color w:val="000000"/>
        </w:rPr>
        <w:t>政</w:t>
      </w:r>
      <w:r>
        <w:rPr>
          <w:rStyle w:val="30"/>
          <w:rFonts w:hint="eastAsia" w:ascii="仿宋" w:hAnsi="仿宋" w:eastAsia="仿宋"/>
          <w:b w:val="0"/>
          <w:bCs w:val="0"/>
        </w:rPr>
        <w:t>府性基金预算财政拨款收入支出决算表</w:t>
      </w:r>
      <w:bookmarkEnd w:id="71"/>
    </w:p>
    <w:p>
      <w:pPr>
        <w:pStyle w:val="3"/>
        <w:spacing w:before="0" w:after="0" w:line="576" w:lineRule="exact"/>
        <w:rPr>
          <w:rStyle w:val="30"/>
          <w:rFonts w:hint="eastAsia" w:ascii="仿宋" w:hAnsi="仿宋" w:eastAsia="仿宋"/>
          <w:b w:val="0"/>
          <w:bCs w:val="0"/>
        </w:rPr>
      </w:pPr>
      <w:bookmarkStart w:id="72" w:name="_Toc15396630"/>
      <w:r>
        <w:rPr>
          <w:rStyle w:val="30"/>
          <w:rFonts w:hint="eastAsia" w:ascii="仿宋" w:hAnsi="仿宋" w:eastAsia="仿宋"/>
          <w:b w:val="0"/>
          <w:bCs w:val="0"/>
        </w:rPr>
        <w:t>十二、政府性基金预算财政拨款“三公”经费支出决算表</w:t>
      </w:r>
      <w:bookmarkEnd w:id="72"/>
    </w:p>
    <w:p>
      <w:pPr>
        <w:pStyle w:val="3"/>
        <w:spacing w:before="0" w:after="0" w:line="576" w:lineRule="exact"/>
        <w:rPr>
          <w:rStyle w:val="30"/>
          <w:rFonts w:hint="eastAsia" w:ascii="仿宋" w:hAnsi="仿宋" w:eastAsia="仿宋"/>
          <w:b w:val="0"/>
          <w:bCs w:val="0"/>
        </w:rPr>
      </w:pPr>
      <w:r>
        <w:rPr>
          <w:rStyle w:val="30"/>
          <w:rFonts w:hint="eastAsia" w:ascii="仿宋" w:hAnsi="仿宋" w:eastAsia="仿宋"/>
          <w:b w:val="0"/>
          <w:bCs w:val="0"/>
          <w:lang w:val="en-US" w:eastAsia="zh-CN"/>
        </w:rPr>
        <w:t>十三、</w:t>
      </w:r>
      <w:r>
        <w:rPr>
          <w:rStyle w:val="30"/>
          <w:rFonts w:hint="eastAsia" w:ascii="仿宋" w:hAnsi="仿宋" w:eastAsia="仿宋"/>
          <w:b w:val="0"/>
          <w:bCs w:val="0"/>
        </w:rPr>
        <w:t>国有资本经营预算财政拨款收入支出决算表</w:t>
      </w:r>
    </w:p>
    <w:p>
      <w:pPr>
        <w:pStyle w:val="3"/>
        <w:spacing w:before="0" w:after="0" w:line="576" w:lineRule="exact"/>
        <w:rPr>
          <w:rStyle w:val="30"/>
          <w:rFonts w:ascii="仿宋" w:hAnsi="仿宋" w:eastAsia="仿宋"/>
          <w:b w:val="0"/>
          <w:bCs w:val="0"/>
        </w:rPr>
      </w:pPr>
      <w:bookmarkStart w:id="73" w:name="_Toc15396631"/>
      <w:r>
        <w:rPr>
          <w:rStyle w:val="30"/>
          <w:rFonts w:hint="eastAsia" w:ascii="仿宋" w:hAnsi="仿宋" w:eastAsia="仿宋"/>
          <w:b w:val="0"/>
          <w:bCs w:val="0"/>
        </w:rPr>
        <w:t>十</w:t>
      </w:r>
      <w:r>
        <w:rPr>
          <w:rStyle w:val="30"/>
          <w:rFonts w:hint="eastAsia" w:ascii="仿宋" w:hAnsi="仿宋" w:eastAsia="仿宋"/>
          <w:b w:val="0"/>
          <w:bCs w:val="0"/>
          <w:lang w:val="en-US" w:eastAsia="zh-CN"/>
        </w:rPr>
        <w:t>四</w:t>
      </w:r>
      <w:r>
        <w:rPr>
          <w:rStyle w:val="30"/>
          <w:rFonts w:hint="eastAsia" w:ascii="仿宋" w:hAnsi="仿宋" w:eastAsia="仿宋"/>
          <w:b w:val="0"/>
          <w:bCs w:val="0"/>
        </w:rPr>
        <w:t>、</w:t>
      </w:r>
      <w:bookmarkEnd w:id="73"/>
      <w:r>
        <w:rPr>
          <w:rStyle w:val="30"/>
          <w:rFonts w:hint="eastAsia" w:ascii="仿宋" w:hAnsi="仿宋" w:eastAsia="仿宋"/>
          <w:b w:val="0"/>
          <w:bCs w:val="0"/>
        </w:rPr>
        <w:t>国有资本经营预算财政拨款支出决算表</w:t>
      </w:r>
    </w:p>
    <w:p>
      <w:pPr>
        <w:spacing w:line="576" w:lineRule="exact"/>
        <w:rPr>
          <w:rStyle w:val="30"/>
          <w:rFonts w:ascii="仿宋" w:hAnsi="仿宋" w:eastAsia="仿宋"/>
          <w:b w:val="0"/>
          <w:bCs w:val="0"/>
        </w:rPr>
      </w:pPr>
    </w:p>
    <w:p>
      <w:pPr>
        <w:spacing w:line="576" w:lineRule="exact"/>
        <w:rPr>
          <w:rStyle w:val="30"/>
          <w:rFonts w:ascii="仿宋" w:hAnsi="仿宋" w:eastAsia="仿宋"/>
          <w:b w:val="0"/>
          <w:bCs w:val="0"/>
        </w:rPr>
      </w:pPr>
    </w:p>
    <w:sectPr>
      <w:footerReference r:id="rId7" w:type="first"/>
      <w:footerReference r:id="rId6" w:type="default"/>
      <w:pgSz w:w="11906" w:h="16838"/>
      <w:pgMar w:top="2041" w:right="1531" w:bottom="1701" w:left="1531" w:header="851" w:footer="1417" w:gutter="0"/>
      <w:pgNumType w:fmt="numberInDash" w:start="1"/>
      <w:cols w:space="0" w:num="1"/>
      <w:titlePg/>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21A94DB-DFB1-45D6-8C6F-F518EFBFC52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embedRegular r:id="rId2" w:fontKey="{5841436A-E2E1-4619-8D3F-E8770A8D24CE}"/>
  </w:font>
  <w:font w:name="仿宋_GB2312">
    <w:panose1 w:val="02010609030101010101"/>
    <w:charset w:val="86"/>
    <w:family w:val="modern"/>
    <w:pitch w:val="default"/>
    <w:sig w:usb0="00000001" w:usb1="080E0000" w:usb2="00000000" w:usb3="00000000" w:csb0="00040000" w:csb1="00000000"/>
    <w:embedRegular r:id="rId3" w:fontKey="{CF92BEAD-C1AB-49CE-B605-3F85A3011576}"/>
  </w:font>
  <w:font w:name="仿宋">
    <w:panose1 w:val="02010609060101010101"/>
    <w:charset w:val="86"/>
    <w:family w:val="modern"/>
    <w:pitch w:val="default"/>
    <w:sig w:usb0="800002BF" w:usb1="38CF7CFA" w:usb2="00000016" w:usb3="00000000" w:csb0="00040001" w:csb1="00000000"/>
    <w:embedRegular r:id="rId4" w:fontKey="{9619DC62-1679-4EAE-B1F6-11579C57D39D}"/>
  </w:font>
  <w:font w:name="方正小标宋简体">
    <w:panose1 w:val="03000509000000000000"/>
    <w:charset w:val="86"/>
    <w:family w:val="script"/>
    <w:pitch w:val="default"/>
    <w:sig w:usb0="00000001" w:usb1="080E0000" w:usb2="00000000" w:usb3="00000000" w:csb0="00040000" w:csb1="00000000"/>
    <w:embedRegular r:id="rId5" w:fontKey="{847D35D4-7F3A-413E-8A8F-1B01E0A17A86}"/>
  </w:font>
  <w:font w:name="楷体">
    <w:panose1 w:val="02010609060101010101"/>
    <w:charset w:val="86"/>
    <w:family w:val="modern"/>
    <w:pitch w:val="default"/>
    <w:sig w:usb0="800002BF" w:usb1="38CF7CFA" w:usb2="00000016" w:usb3="00000000" w:csb0="00040001" w:csb1="00000000"/>
    <w:embedRegular r:id="rId6" w:fontKey="{87666832-991C-4519-9093-6D97CC31E926}"/>
  </w:font>
  <w:font w:name="楷体_GB2312">
    <w:panose1 w:val="02010609030101010101"/>
    <w:charset w:val="86"/>
    <w:family w:val="modern"/>
    <w:pitch w:val="default"/>
    <w:sig w:usb0="00000001" w:usb1="080E0000" w:usb2="00000000" w:usb3="00000000" w:csb0="00040000" w:csb1="00000000"/>
    <w:embedRegular r:id="rId7" w:fontKey="{A90DA79D-2BBE-4F4D-828D-D6BA0D0BE340}"/>
  </w:font>
  <w:font w:name="方正仿宋_GBK">
    <w:panose1 w:val="03000509000000000000"/>
    <w:charset w:val="86"/>
    <w:family w:val="auto"/>
    <w:pitch w:val="default"/>
    <w:sig w:usb0="00000001" w:usb1="080E0000" w:usb2="00000000" w:usb3="00000000" w:csb0="00040000" w:csb1="00000000"/>
    <w:embedRegular r:id="rId8" w:fontKey="{0BAFA0DD-D92D-48F2-B1DE-7AC31C62ECF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pict>
        <v:shape id="文本框 1026" o:spid="_x0000_s3077"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KoSrGrjAQAAvAMAAA4A&#10;AAAAAAAAAQAgAAAAHgEAAGRycy9lMm9Eb2MueG1sUEsFBgAAAAAGAAYAWQEAAHMFAAAAAA==&#10;">
          <v:path/>
          <v:fill on="f" focussize="0,0"/>
          <v:stroke on="f" joinstyle="miter"/>
          <v:imagedata o:title=""/>
          <o:lock v:ext="edit"/>
          <v:textbox inset="0mm,0mm,0mm,0mm" style="mso-fit-shape-to-text:t;">
            <w:txbxContent>
              <w:p>
                <w:pPr>
                  <w:pStyle w:val="9"/>
                </w:pPr>
              </w:p>
            </w:txbxContent>
          </v:textbox>
        </v:shape>
      </w:pict>
    </w:r>
    <w:r>
      <w:pict>
        <v:shape id="文本框 1025" o:spid="_x0000_s307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gL3s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ZIC97LAQAAnAMAAA4AAAAAAAAAAQAgAAAAHgEAAGRycy9lMm9E&#10;b2MueG1sUEsFBgAAAAAGAAYAWQEAAFsFAAAAAA==&#10;">
          <v:path/>
          <v:fill on="f" focussize="0,0"/>
          <v:stroke on="f" joinstyle="miter"/>
          <v:imagedata o:title=""/>
          <o:lock v:ext="edit"/>
          <v:textbox inset="0mm,0mm,0mm,0mm" style="mso-fit-shape-to-text:t;">
            <w:txbxContent>
              <w:p>
                <w:pPr>
                  <w:pStyle w:val="9"/>
                  <w:jc w:val="center"/>
                </w:pPr>
              </w:p>
              <w:p/>
            </w:txbxContent>
          </v:textbox>
        </v:shape>
      </w:pic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文本框 1027"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Oo9B33jAQAAvAMAAA4A&#10;AAAAAAAAAQAgAAAAHgEAAGRycy9lMm9Eb2MueG1sUEsFBgAAAAAGAAYAWQEAAHMFAAAAAA==&#10;">
          <v:path/>
          <v:fill on="f" focussize="0,0"/>
          <v:stroke on="f" joinstyle="miter"/>
          <v:imagedata o:title=""/>
          <o:lock v:ext="edit"/>
          <v:textbox inset="0mm,0mm,0mm,0mm" style="mso-fit-shape-to-text:t;">
            <w:txbxContent>
              <w:p>
                <w:pPr>
                  <w:pStyle w:val="9"/>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pict>
        <v:shape id="文本框 1028" o:spid="_x0000_s3074"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E/N7nMoBAACcAwAADgAAAAAAAAABACAAAAAeAQAAZHJzL2Uyb0Rv&#10;Yy54bWxQSwUGAAAAAAYABgBZAQAAWgUAAAAA&#10;">
          <v:path/>
          <v:fill on="f" focussize="0,0"/>
          <v:stroke on="f" joinstyle="miter"/>
          <v:imagedata o:title=""/>
          <o:lock v:ext="edit"/>
          <v:textbox inset="0mm,0mm,0mm,0mm" style="mso-fit-shape-to-text:t;">
            <w:txbxContent>
              <w:p>
                <w:pPr>
                  <w:pStyle w:val="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- 10 -</w:t>
                </w:r>
                <w:r>
                  <w:rPr>
                    <w:rFonts w:hint="eastAsia" w:ascii="方正仿宋_GBK" w:hAnsi="方正仿宋_GBK" w:eastAsia="方正仿宋_GBK" w:cs="方正仿宋_GBK"/>
                    <w:sz w:val="28"/>
                    <w:szCs w:val="28"/>
                  </w:rPr>
                  <w:fldChar w:fldCharType="end"/>
                </w:r>
              </w:p>
            </w:txbxContent>
          </v:textbox>
        </v:shape>
      </w:pict>
    </w:r>
    <w:r>
      <w:pict>
        <v:shape id="文本框 1029" o:spid="_x0000_s3073"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2f7gKsoBAACcAwAADgAAAAAAAAABACAAAAAeAQAAZHJzL2Uyb0Rv&#10;Yy54bWxQSwUGAAAAAAYABgBZAQAAWgUAAAAA&#10;">
          <v:path/>
          <v:fill on="f" focussize="0,0"/>
          <v:stroke on="f" joinstyle="miter"/>
          <v:imagedata o:title=""/>
          <o:lock v:ext="edit"/>
          <v:textbox inset="0mm,0mm,0mm,0mm" style="mso-fit-shape-to-text:t;">
            <w:txbxContent>
              <w:sdt>
                <w:sdtPr>
                  <w:id w:val="-1994781956"/>
                </w:sdtPr>
                <w:sdtContent>
                  <w:p>
                    <w:pPr>
                      <w:pStyle w:val="9"/>
                      <w:jc w:val="center"/>
                    </w:pPr>
                  </w:p>
                </w:sdtContent>
              </w:sdt>
              <w:p/>
            </w:txbxContent>
          </v:textbox>
        </v:shape>
      </w:pict>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文本框 1030" o:spid="_x0000_s3075"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gdKrMkBAACd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BY3YUmJ4xYnfvn+7fLj1+XnV7Ks&#10;XhaJ+gA1Zj4EzE3DGz9gepYu+wGdmfmgos1f5EQwjgKfrwLLIRGRH61X63WFIYGx+YI47PY8REhv&#10;pbckGw2NOMEiLD+9hzSmzim5mvP32pgyReP+ciBm9rBbj9lKw36YGt/79ox8ehx+Qx3uOiXmnUNt&#10;857MRpyN/WwcQ9SHrixSrgfh9TFhE6W3XGGEnQrj1Aq7acPyWvx5L1m3v2r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qB0qsyQEAAJ0DAAAOAAAAAAAAAAEAIAAAAB4BAABkcnMvZTJvRG9j&#10;LnhtbFBLBQYAAAAABgAGAFkBAABZBQAAAAA=&#10;">
          <v:path/>
          <v:fill on="f" focussize="0,0"/>
          <v:stroke on="f" joinstyle="miter"/>
          <v:imagedata o:title=""/>
          <o:lock v:ext="edit"/>
          <v:textbox inset="0mm,0mm,0mm,0mm" style="mso-fit-shape-to-text:t;">
            <w:txbxContent>
              <w:p>
                <w:pPr>
                  <w:pStyle w:val="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- 1 -</w:t>
                </w:r>
                <w:r>
                  <w:rPr>
                    <w:rFonts w:hint="eastAsia" w:ascii="方正仿宋_GBK" w:hAnsi="方正仿宋_GBK" w:eastAsia="方正仿宋_GBK" w:cs="方正仿宋_GBK"/>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TrueTypeFonts/>
  <w:saveSubsetFonts/>
  <w:documentProtection w:enforcement="0"/>
  <w:defaultTabStop w:val="420"/>
  <w:drawingGridHorizontalSpacing w:val="105"/>
  <w:drawingGridVerticalSpacing w:val="159"/>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1361C"/>
    <w:rsid w:val="00020149"/>
    <w:rsid w:val="000222C6"/>
    <w:rsid w:val="0002549F"/>
    <w:rsid w:val="000468DB"/>
    <w:rsid w:val="00047412"/>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01CD"/>
    <w:rsid w:val="00114E9B"/>
    <w:rsid w:val="00142216"/>
    <w:rsid w:val="00144D6A"/>
    <w:rsid w:val="0014729F"/>
    <w:rsid w:val="00157BAB"/>
    <w:rsid w:val="001654D1"/>
    <w:rsid w:val="00174518"/>
    <w:rsid w:val="0018106D"/>
    <w:rsid w:val="001877A7"/>
    <w:rsid w:val="00191536"/>
    <w:rsid w:val="00196687"/>
    <w:rsid w:val="001B1154"/>
    <w:rsid w:val="001B7CEE"/>
    <w:rsid w:val="001C0962"/>
    <w:rsid w:val="001C1539"/>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3360"/>
    <w:rsid w:val="002D6D05"/>
    <w:rsid w:val="002F1818"/>
    <w:rsid w:val="002F567B"/>
    <w:rsid w:val="003216A9"/>
    <w:rsid w:val="00326CEF"/>
    <w:rsid w:val="00335A74"/>
    <w:rsid w:val="00340D9B"/>
    <w:rsid w:val="0036561B"/>
    <w:rsid w:val="0037013F"/>
    <w:rsid w:val="00380C92"/>
    <w:rsid w:val="003A484F"/>
    <w:rsid w:val="003A4883"/>
    <w:rsid w:val="003B0BE0"/>
    <w:rsid w:val="003B0C1B"/>
    <w:rsid w:val="003B688C"/>
    <w:rsid w:val="003C0291"/>
    <w:rsid w:val="003C39AE"/>
    <w:rsid w:val="003C7B60"/>
    <w:rsid w:val="003D0C0F"/>
    <w:rsid w:val="003D1FB2"/>
    <w:rsid w:val="003D2EA0"/>
    <w:rsid w:val="003D66DA"/>
    <w:rsid w:val="003E1310"/>
    <w:rsid w:val="003E6F55"/>
    <w:rsid w:val="00406254"/>
    <w:rsid w:val="00416CD4"/>
    <w:rsid w:val="004223DE"/>
    <w:rsid w:val="00434489"/>
    <w:rsid w:val="0043580F"/>
    <w:rsid w:val="00437085"/>
    <w:rsid w:val="00443880"/>
    <w:rsid w:val="004464F4"/>
    <w:rsid w:val="00461C62"/>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1302F"/>
    <w:rsid w:val="00520DA0"/>
    <w:rsid w:val="005338F9"/>
    <w:rsid w:val="005664BB"/>
    <w:rsid w:val="00566FFA"/>
    <w:rsid w:val="0057481D"/>
    <w:rsid w:val="00575F0B"/>
    <w:rsid w:val="0058486E"/>
    <w:rsid w:val="00585B33"/>
    <w:rsid w:val="0059014D"/>
    <w:rsid w:val="005B0D32"/>
    <w:rsid w:val="005B0EDC"/>
    <w:rsid w:val="005B3EB8"/>
    <w:rsid w:val="005B5C64"/>
    <w:rsid w:val="005C6BD0"/>
    <w:rsid w:val="005C6C4C"/>
    <w:rsid w:val="005D1C8B"/>
    <w:rsid w:val="005D468D"/>
    <w:rsid w:val="005D5CED"/>
    <w:rsid w:val="005F1A4C"/>
    <w:rsid w:val="00605688"/>
    <w:rsid w:val="006070AF"/>
    <w:rsid w:val="00607E6C"/>
    <w:rsid w:val="006101B1"/>
    <w:rsid w:val="006105C7"/>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938C4"/>
    <w:rsid w:val="006A3141"/>
    <w:rsid w:val="006A5E34"/>
    <w:rsid w:val="006B2422"/>
    <w:rsid w:val="006B2B9A"/>
    <w:rsid w:val="006C1937"/>
    <w:rsid w:val="006F020C"/>
    <w:rsid w:val="00703A1F"/>
    <w:rsid w:val="007127B7"/>
    <w:rsid w:val="00716703"/>
    <w:rsid w:val="0071798E"/>
    <w:rsid w:val="00727533"/>
    <w:rsid w:val="00737E96"/>
    <w:rsid w:val="007416B6"/>
    <w:rsid w:val="00746F48"/>
    <w:rsid w:val="0075404D"/>
    <w:rsid w:val="0076182A"/>
    <w:rsid w:val="00767B7E"/>
    <w:rsid w:val="007770C3"/>
    <w:rsid w:val="00784D24"/>
    <w:rsid w:val="00785FBA"/>
    <w:rsid w:val="00786E4A"/>
    <w:rsid w:val="007875EB"/>
    <w:rsid w:val="0079426B"/>
    <w:rsid w:val="007B1A9A"/>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5860"/>
    <w:rsid w:val="008B768C"/>
    <w:rsid w:val="008C4DB1"/>
    <w:rsid w:val="008C4EAF"/>
    <w:rsid w:val="008C5176"/>
    <w:rsid w:val="008C7FD0"/>
    <w:rsid w:val="008E1DE7"/>
    <w:rsid w:val="008E707C"/>
    <w:rsid w:val="008F46E0"/>
    <w:rsid w:val="008F7667"/>
    <w:rsid w:val="00900B08"/>
    <w:rsid w:val="00902155"/>
    <w:rsid w:val="00902FA3"/>
    <w:rsid w:val="00923564"/>
    <w:rsid w:val="0092392E"/>
    <w:rsid w:val="009315F9"/>
    <w:rsid w:val="00933499"/>
    <w:rsid w:val="00935C98"/>
    <w:rsid w:val="00942DA3"/>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3F9C"/>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3D7"/>
    <w:rsid w:val="00A91760"/>
    <w:rsid w:val="00A93B00"/>
    <w:rsid w:val="00A93C21"/>
    <w:rsid w:val="00AA4454"/>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04DCC"/>
    <w:rsid w:val="00C30E69"/>
    <w:rsid w:val="00C33E72"/>
    <w:rsid w:val="00C354B2"/>
    <w:rsid w:val="00C35554"/>
    <w:rsid w:val="00C42709"/>
    <w:rsid w:val="00C533CC"/>
    <w:rsid w:val="00C5751C"/>
    <w:rsid w:val="00C61BFC"/>
    <w:rsid w:val="00C62B85"/>
    <w:rsid w:val="00C65438"/>
    <w:rsid w:val="00C91CBB"/>
    <w:rsid w:val="00C93D4B"/>
    <w:rsid w:val="00CB4E70"/>
    <w:rsid w:val="00CC09B6"/>
    <w:rsid w:val="00CC666F"/>
    <w:rsid w:val="00CD1E3F"/>
    <w:rsid w:val="00CE0357"/>
    <w:rsid w:val="00CE2FD5"/>
    <w:rsid w:val="00CE44F6"/>
    <w:rsid w:val="00CE49DA"/>
    <w:rsid w:val="00CE7B61"/>
    <w:rsid w:val="00D00095"/>
    <w:rsid w:val="00D114F0"/>
    <w:rsid w:val="00D162CB"/>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DF5F6D"/>
    <w:rsid w:val="00E01053"/>
    <w:rsid w:val="00E07ACF"/>
    <w:rsid w:val="00E26E12"/>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48B1"/>
    <w:rsid w:val="00F05438"/>
    <w:rsid w:val="00F1361C"/>
    <w:rsid w:val="00F156F0"/>
    <w:rsid w:val="00F160C7"/>
    <w:rsid w:val="00F2408F"/>
    <w:rsid w:val="00F240E9"/>
    <w:rsid w:val="00F252F3"/>
    <w:rsid w:val="00F36D8F"/>
    <w:rsid w:val="00F417B1"/>
    <w:rsid w:val="00F45853"/>
    <w:rsid w:val="00F602DF"/>
    <w:rsid w:val="00F633A2"/>
    <w:rsid w:val="00F754A1"/>
    <w:rsid w:val="00F81FD9"/>
    <w:rsid w:val="00F841AA"/>
    <w:rsid w:val="00F84A94"/>
    <w:rsid w:val="00F87E96"/>
    <w:rsid w:val="00FA23E8"/>
    <w:rsid w:val="00FD3CC1"/>
    <w:rsid w:val="00FE5BAF"/>
    <w:rsid w:val="00FF1E02"/>
    <w:rsid w:val="00FF30B4"/>
    <w:rsid w:val="010B1D26"/>
    <w:rsid w:val="015C4603"/>
    <w:rsid w:val="01AF2756"/>
    <w:rsid w:val="01B87FBB"/>
    <w:rsid w:val="01FE1013"/>
    <w:rsid w:val="024070D0"/>
    <w:rsid w:val="0289574E"/>
    <w:rsid w:val="02F53C0C"/>
    <w:rsid w:val="02FB13EA"/>
    <w:rsid w:val="03174241"/>
    <w:rsid w:val="035B0BE1"/>
    <w:rsid w:val="03655089"/>
    <w:rsid w:val="03693357"/>
    <w:rsid w:val="03897489"/>
    <w:rsid w:val="03C362FB"/>
    <w:rsid w:val="03D16A21"/>
    <w:rsid w:val="0432486C"/>
    <w:rsid w:val="04623AF4"/>
    <w:rsid w:val="04E0259A"/>
    <w:rsid w:val="053741C0"/>
    <w:rsid w:val="05A179CA"/>
    <w:rsid w:val="05A533AB"/>
    <w:rsid w:val="05C70BED"/>
    <w:rsid w:val="05EB1BA7"/>
    <w:rsid w:val="06042855"/>
    <w:rsid w:val="06973AA5"/>
    <w:rsid w:val="06C32F58"/>
    <w:rsid w:val="06CE4708"/>
    <w:rsid w:val="079757C3"/>
    <w:rsid w:val="07A56A30"/>
    <w:rsid w:val="07CC18D5"/>
    <w:rsid w:val="07CE22BC"/>
    <w:rsid w:val="07EF6C30"/>
    <w:rsid w:val="08021AA4"/>
    <w:rsid w:val="08310177"/>
    <w:rsid w:val="08714B70"/>
    <w:rsid w:val="089D3995"/>
    <w:rsid w:val="08D14AFC"/>
    <w:rsid w:val="096465FC"/>
    <w:rsid w:val="09665942"/>
    <w:rsid w:val="09A612B7"/>
    <w:rsid w:val="09C36BA5"/>
    <w:rsid w:val="0A137941"/>
    <w:rsid w:val="0A250800"/>
    <w:rsid w:val="0A5D2937"/>
    <w:rsid w:val="0B1A5F84"/>
    <w:rsid w:val="0B51768B"/>
    <w:rsid w:val="0B6060DB"/>
    <w:rsid w:val="0BB76003"/>
    <w:rsid w:val="0BC5682D"/>
    <w:rsid w:val="0C5D1930"/>
    <w:rsid w:val="0C73787A"/>
    <w:rsid w:val="0C762ABE"/>
    <w:rsid w:val="0C765F33"/>
    <w:rsid w:val="0CCB1D0B"/>
    <w:rsid w:val="0CD26535"/>
    <w:rsid w:val="0D157EFB"/>
    <w:rsid w:val="0D31167F"/>
    <w:rsid w:val="0D340081"/>
    <w:rsid w:val="0D7E7809"/>
    <w:rsid w:val="0D8B4744"/>
    <w:rsid w:val="0D8F0E14"/>
    <w:rsid w:val="0DA574A0"/>
    <w:rsid w:val="0DD97124"/>
    <w:rsid w:val="0DDC15AF"/>
    <w:rsid w:val="0F401213"/>
    <w:rsid w:val="0F5875A4"/>
    <w:rsid w:val="0F846632"/>
    <w:rsid w:val="0F9A7776"/>
    <w:rsid w:val="0FAD7D01"/>
    <w:rsid w:val="0FB368B1"/>
    <w:rsid w:val="100C28A0"/>
    <w:rsid w:val="105218DC"/>
    <w:rsid w:val="1058277E"/>
    <w:rsid w:val="10B27BB7"/>
    <w:rsid w:val="10C055FF"/>
    <w:rsid w:val="10C13DA4"/>
    <w:rsid w:val="11C377AF"/>
    <w:rsid w:val="12325D6F"/>
    <w:rsid w:val="12B77880"/>
    <w:rsid w:val="12C0677E"/>
    <w:rsid w:val="12F63F52"/>
    <w:rsid w:val="132862E2"/>
    <w:rsid w:val="133E04B4"/>
    <w:rsid w:val="135E5946"/>
    <w:rsid w:val="1386141A"/>
    <w:rsid w:val="13876C41"/>
    <w:rsid w:val="13B34615"/>
    <w:rsid w:val="13DE0E13"/>
    <w:rsid w:val="1428267C"/>
    <w:rsid w:val="14B758D6"/>
    <w:rsid w:val="1544674E"/>
    <w:rsid w:val="1548226D"/>
    <w:rsid w:val="158E3F87"/>
    <w:rsid w:val="159535AB"/>
    <w:rsid w:val="160B1439"/>
    <w:rsid w:val="160D197A"/>
    <w:rsid w:val="16B726C2"/>
    <w:rsid w:val="16BB723D"/>
    <w:rsid w:val="175255D0"/>
    <w:rsid w:val="17BE35A1"/>
    <w:rsid w:val="18151311"/>
    <w:rsid w:val="182A0879"/>
    <w:rsid w:val="18627B31"/>
    <w:rsid w:val="1868110A"/>
    <w:rsid w:val="18D508B8"/>
    <w:rsid w:val="195F3D88"/>
    <w:rsid w:val="199018BA"/>
    <w:rsid w:val="199D4872"/>
    <w:rsid w:val="19A25DF0"/>
    <w:rsid w:val="19B207F7"/>
    <w:rsid w:val="1A2F458A"/>
    <w:rsid w:val="1A4B18CF"/>
    <w:rsid w:val="1A655C91"/>
    <w:rsid w:val="1A963F01"/>
    <w:rsid w:val="1AFB6FE2"/>
    <w:rsid w:val="1AFC711A"/>
    <w:rsid w:val="1B0A3C63"/>
    <w:rsid w:val="1B205BAA"/>
    <w:rsid w:val="1BE377A3"/>
    <w:rsid w:val="1C173335"/>
    <w:rsid w:val="1C7C1EAD"/>
    <w:rsid w:val="1C7F000D"/>
    <w:rsid w:val="1CC8661C"/>
    <w:rsid w:val="1CCA09B3"/>
    <w:rsid w:val="1D280748"/>
    <w:rsid w:val="1D4465F6"/>
    <w:rsid w:val="1DE734ED"/>
    <w:rsid w:val="1E2563C8"/>
    <w:rsid w:val="1E3D7E27"/>
    <w:rsid w:val="1E435243"/>
    <w:rsid w:val="1EBF3F47"/>
    <w:rsid w:val="1F170340"/>
    <w:rsid w:val="1F906468"/>
    <w:rsid w:val="1FC430F7"/>
    <w:rsid w:val="1FED0ABC"/>
    <w:rsid w:val="1FEE2282"/>
    <w:rsid w:val="20A5741B"/>
    <w:rsid w:val="20A61A08"/>
    <w:rsid w:val="20CA1BF3"/>
    <w:rsid w:val="211E45CD"/>
    <w:rsid w:val="215A1886"/>
    <w:rsid w:val="21CE79CC"/>
    <w:rsid w:val="222C02E8"/>
    <w:rsid w:val="22335728"/>
    <w:rsid w:val="22621453"/>
    <w:rsid w:val="228A24E3"/>
    <w:rsid w:val="22B023DF"/>
    <w:rsid w:val="22BA5D66"/>
    <w:rsid w:val="22C72EC7"/>
    <w:rsid w:val="22E01C4D"/>
    <w:rsid w:val="231A04A7"/>
    <w:rsid w:val="23204397"/>
    <w:rsid w:val="23222D70"/>
    <w:rsid w:val="232F5974"/>
    <w:rsid w:val="233313F1"/>
    <w:rsid w:val="23D02C1A"/>
    <w:rsid w:val="240371BF"/>
    <w:rsid w:val="2405188E"/>
    <w:rsid w:val="24180CEF"/>
    <w:rsid w:val="246A5A6C"/>
    <w:rsid w:val="253C5ED9"/>
    <w:rsid w:val="25517775"/>
    <w:rsid w:val="25574550"/>
    <w:rsid w:val="25D46B46"/>
    <w:rsid w:val="262C18EA"/>
    <w:rsid w:val="26AC77F3"/>
    <w:rsid w:val="26F752F4"/>
    <w:rsid w:val="273D31BB"/>
    <w:rsid w:val="277B1B8F"/>
    <w:rsid w:val="279568D8"/>
    <w:rsid w:val="27DA7990"/>
    <w:rsid w:val="28A4752D"/>
    <w:rsid w:val="28B26EDC"/>
    <w:rsid w:val="28CC41A8"/>
    <w:rsid w:val="29224F99"/>
    <w:rsid w:val="292D6B60"/>
    <w:rsid w:val="298852FF"/>
    <w:rsid w:val="298B0D03"/>
    <w:rsid w:val="29FD04D3"/>
    <w:rsid w:val="2A334ED3"/>
    <w:rsid w:val="2A3B6BCB"/>
    <w:rsid w:val="2AF55BAB"/>
    <w:rsid w:val="2B871F62"/>
    <w:rsid w:val="2B9F750B"/>
    <w:rsid w:val="2C2B3FA3"/>
    <w:rsid w:val="2CE47395"/>
    <w:rsid w:val="2D1C027E"/>
    <w:rsid w:val="2D1E1572"/>
    <w:rsid w:val="2DDB75E8"/>
    <w:rsid w:val="2E0C653E"/>
    <w:rsid w:val="2E561F08"/>
    <w:rsid w:val="2F1263D7"/>
    <w:rsid w:val="2F2715F6"/>
    <w:rsid w:val="2F4A7F2F"/>
    <w:rsid w:val="2F4D72CC"/>
    <w:rsid w:val="2FB4151F"/>
    <w:rsid w:val="2FBD6ABB"/>
    <w:rsid w:val="2FCE529F"/>
    <w:rsid w:val="2FFC7A4B"/>
    <w:rsid w:val="3088519E"/>
    <w:rsid w:val="30952EBD"/>
    <w:rsid w:val="30CD206B"/>
    <w:rsid w:val="30E20819"/>
    <w:rsid w:val="30F620D2"/>
    <w:rsid w:val="31022B43"/>
    <w:rsid w:val="31082994"/>
    <w:rsid w:val="315F77A2"/>
    <w:rsid w:val="31837041"/>
    <w:rsid w:val="319F7F4E"/>
    <w:rsid w:val="322E08E9"/>
    <w:rsid w:val="3241136A"/>
    <w:rsid w:val="325E506A"/>
    <w:rsid w:val="328F6E0D"/>
    <w:rsid w:val="32BC4840"/>
    <w:rsid w:val="32D32B91"/>
    <w:rsid w:val="32EF1474"/>
    <w:rsid w:val="330D2A20"/>
    <w:rsid w:val="330F76A3"/>
    <w:rsid w:val="338708B8"/>
    <w:rsid w:val="33D36EC6"/>
    <w:rsid w:val="33DF1C25"/>
    <w:rsid w:val="34065753"/>
    <w:rsid w:val="345F216D"/>
    <w:rsid w:val="34FD4E22"/>
    <w:rsid w:val="35047E7D"/>
    <w:rsid w:val="353E67AD"/>
    <w:rsid w:val="35530750"/>
    <w:rsid w:val="358B18CD"/>
    <w:rsid w:val="35DA7959"/>
    <w:rsid w:val="360D5A27"/>
    <w:rsid w:val="36201E17"/>
    <w:rsid w:val="3734179A"/>
    <w:rsid w:val="37346BA7"/>
    <w:rsid w:val="378E5A3C"/>
    <w:rsid w:val="37C63C1E"/>
    <w:rsid w:val="37F56E05"/>
    <w:rsid w:val="38100406"/>
    <w:rsid w:val="3819139B"/>
    <w:rsid w:val="3859198E"/>
    <w:rsid w:val="385E75FD"/>
    <w:rsid w:val="38CB3CB7"/>
    <w:rsid w:val="39037C35"/>
    <w:rsid w:val="396D430E"/>
    <w:rsid w:val="39A04FBE"/>
    <w:rsid w:val="3A656C15"/>
    <w:rsid w:val="3A8A28C3"/>
    <w:rsid w:val="3B801E78"/>
    <w:rsid w:val="3BE36995"/>
    <w:rsid w:val="3C17009E"/>
    <w:rsid w:val="3C407CF9"/>
    <w:rsid w:val="3C4570D1"/>
    <w:rsid w:val="3C805442"/>
    <w:rsid w:val="3CDD2C61"/>
    <w:rsid w:val="3CE30C53"/>
    <w:rsid w:val="3D7E1D5A"/>
    <w:rsid w:val="3DEB1B94"/>
    <w:rsid w:val="3E4070AA"/>
    <w:rsid w:val="3E7C0F5B"/>
    <w:rsid w:val="3E870B8C"/>
    <w:rsid w:val="3EC53572"/>
    <w:rsid w:val="3F197AAE"/>
    <w:rsid w:val="3F3518A9"/>
    <w:rsid w:val="3F421A98"/>
    <w:rsid w:val="3F470E0D"/>
    <w:rsid w:val="3F591FBD"/>
    <w:rsid w:val="3F7A325B"/>
    <w:rsid w:val="3F7C6255"/>
    <w:rsid w:val="3FE8038D"/>
    <w:rsid w:val="409E7FE6"/>
    <w:rsid w:val="40CF4174"/>
    <w:rsid w:val="41A82A8A"/>
    <w:rsid w:val="41AA64F2"/>
    <w:rsid w:val="41BB66D8"/>
    <w:rsid w:val="41CC5445"/>
    <w:rsid w:val="41F73EC8"/>
    <w:rsid w:val="42065D2D"/>
    <w:rsid w:val="42CA0B08"/>
    <w:rsid w:val="42DE56A6"/>
    <w:rsid w:val="432A7264"/>
    <w:rsid w:val="43434448"/>
    <w:rsid w:val="43AC6F29"/>
    <w:rsid w:val="43C43C4F"/>
    <w:rsid w:val="44360AC4"/>
    <w:rsid w:val="443D5524"/>
    <w:rsid w:val="44621EB2"/>
    <w:rsid w:val="446E6689"/>
    <w:rsid w:val="44AC4FD9"/>
    <w:rsid w:val="45105067"/>
    <w:rsid w:val="459C2073"/>
    <w:rsid w:val="45D57BBB"/>
    <w:rsid w:val="45D624DC"/>
    <w:rsid w:val="45FC6C51"/>
    <w:rsid w:val="45FD220F"/>
    <w:rsid w:val="460835F7"/>
    <w:rsid w:val="461A1DA8"/>
    <w:rsid w:val="46840B9E"/>
    <w:rsid w:val="46CC4C42"/>
    <w:rsid w:val="46D3706A"/>
    <w:rsid w:val="472667F5"/>
    <w:rsid w:val="47C4446B"/>
    <w:rsid w:val="47DE6D51"/>
    <w:rsid w:val="48032D09"/>
    <w:rsid w:val="48565019"/>
    <w:rsid w:val="487C4537"/>
    <w:rsid w:val="49316595"/>
    <w:rsid w:val="49F56AF9"/>
    <w:rsid w:val="49F84F9B"/>
    <w:rsid w:val="4A025347"/>
    <w:rsid w:val="4A0439F4"/>
    <w:rsid w:val="4A2C0098"/>
    <w:rsid w:val="4A8D7428"/>
    <w:rsid w:val="4AA72651"/>
    <w:rsid w:val="4AE87EAC"/>
    <w:rsid w:val="4AEF2ABA"/>
    <w:rsid w:val="4B856BFE"/>
    <w:rsid w:val="4C176BB3"/>
    <w:rsid w:val="4C6037F6"/>
    <w:rsid w:val="4C6D30F5"/>
    <w:rsid w:val="4C801AD8"/>
    <w:rsid w:val="4C9F3FFF"/>
    <w:rsid w:val="4CC87156"/>
    <w:rsid w:val="4CC93231"/>
    <w:rsid w:val="4CD07C75"/>
    <w:rsid w:val="4D3E1A1F"/>
    <w:rsid w:val="4D403248"/>
    <w:rsid w:val="4D5605BD"/>
    <w:rsid w:val="4D5D7EF0"/>
    <w:rsid w:val="4DB67697"/>
    <w:rsid w:val="4DE406BA"/>
    <w:rsid w:val="4DF24902"/>
    <w:rsid w:val="4DFB5C19"/>
    <w:rsid w:val="4E8620D9"/>
    <w:rsid w:val="4EB54BC8"/>
    <w:rsid w:val="4ECE2238"/>
    <w:rsid w:val="4F175A02"/>
    <w:rsid w:val="4F2F1CC6"/>
    <w:rsid w:val="4F950445"/>
    <w:rsid w:val="4F9D2D19"/>
    <w:rsid w:val="50114E6E"/>
    <w:rsid w:val="50125B7B"/>
    <w:rsid w:val="50363313"/>
    <w:rsid w:val="50815F10"/>
    <w:rsid w:val="508C2783"/>
    <w:rsid w:val="50EA4451"/>
    <w:rsid w:val="511F29D5"/>
    <w:rsid w:val="51394722"/>
    <w:rsid w:val="51A237C4"/>
    <w:rsid w:val="51B13DBF"/>
    <w:rsid w:val="51ED369D"/>
    <w:rsid w:val="51F22E29"/>
    <w:rsid w:val="521B41D3"/>
    <w:rsid w:val="52623E3A"/>
    <w:rsid w:val="526D681A"/>
    <w:rsid w:val="52726D54"/>
    <w:rsid w:val="52E75FDA"/>
    <w:rsid w:val="53421B21"/>
    <w:rsid w:val="53B00491"/>
    <w:rsid w:val="53F2486A"/>
    <w:rsid w:val="541257AE"/>
    <w:rsid w:val="54226B8C"/>
    <w:rsid w:val="5440615A"/>
    <w:rsid w:val="55541B1E"/>
    <w:rsid w:val="561F70A3"/>
    <w:rsid w:val="56812C84"/>
    <w:rsid w:val="57537E9F"/>
    <w:rsid w:val="57A7480F"/>
    <w:rsid w:val="57AE6DBE"/>
    <w:rsid w:val="57E063C3"/>
    <w:rsid w:val="58235667"/>
    <w:rsid w:val="58A409B7"/>
    <w:rsid w:val="58BA014C"/>
    <w:rsid w:val="58D91109"/>
    <w:rsid w:val="58DF7AF4"/>
    <w:rsid w:val="59183B0D"/>
    <w:rsid w:val="592C3733"/>
    <w:rsid w:val="595835C3"/>
    <w:rsid w:val="595D1251"/>
    <w:rsid w:val="59C723F4"/>
    <w:rsid w:val="5A1E2357"/>
    <w:rsid w:val="5A3B3CFB"/>
    <w:rsid w:val="5A5169D1"/>
    <w:rsid w:val="5A8C0CB2"/>
    <w:rsid w:val="5ABB267F"/>
    <w:rsid w:val="5AFA10F9"/>
    <w:rsid w:val="5B0A37BD"/>
    <w:rsid w:val="5B37546E"/>
    <w:rsid w:val="5BEF27F4"/>
    <w:rsid w:val="5BF80A02"/>
    <w:rsid w:val="5C8B5E23"/>
    <w:rsid w:val="5CC166A3"/>
    <w:rsid w:val="5D157324"/>
    <w:rsid w:val="5DF10801"/>
    <w:rsid w:val="5E3D6F6C"/>
    <w:rsid w:val="5E876781"/>
    <w:rsid w:val="5EC73871"/>
    <w:rsid w:val="5EE01CF1"/>
    <w:rsid w:val="5F6C0F11"/>
    <w:rsid w:val="5F783197"/>
    <w:rsid w:val="5F8A585A"/>
    <w:rsid w:val="6023070C"/>
    <w:rsid w:val="606E657D"/>
    <w:rsid w:val="60B94D5F"/>
    <w:rsid w:val="60D3750C"/>
    <w:rsid w:val="60E62C34"/>
    <w:rsid w:val="61545CF8"/>
    <w:rsid w:val="616F0B3B"/>
    <w:rsid w:val="617862F7"/>
    <w:rsid w:val="61F25963"/>
    <w:rsid w:val="626949E9"/>
    <w:rsid w:val="62884575"/>
    <w:rsid w:val="62DF1D7D"/>
    <w:rsid w:val="63965484"/>
    <w:rsid w:val="63B21C08"/>
    <w:rsid w:val="642E4675"/>
    <w:rsid w:val="645770ED"/>
    <w:rsid w:val="64914DD0"/>
    <w:rsid w:val="64A91F79"/>
    <w:rsid w:val="656F4B15"/>
    <w:rsid w:val="65830156"/>
    <w:rsid w:val="65CF2739"/>
    <w:rsid w:val="66A0398E"/>
    <w:rsid w:val="66A16C80"/>
    <w:rsid w:val="67270AAE"/>
    <w:rsid w:val="67664DCC"/>
    <w:rsid w:val="67A9599D"/>
    <w:rsid w:val="68305357"/>
    <w:rsid w:val="684E32E4"/>
    <w:rsid w:val="68B27AEA"/>
    <w:rsid w:val="68D345B7"/>
    <w:rsid w:val="68F26736"/>
    <w:rsid w:val="696040AF"/>
    <w:rsid w:val="69796AFE"/>
    <w:rsid w:val="69CA4930"/>
    <w:rsid w:val="69CB66AE"/>
    <w:rsid w:val="69DE2236"/>
    <w:rsid w:val="69EB4053"/>
    <w:rsid w:val="6A5372EB"/>
    <w:rsid w:val="6A930543"/>
    <w:rsid w:val="6AC95409"/>
    <w:rsid w:val="6AE47D4E"/>
    <w:rsid w:val="6BD15467"/>
    <w:rsid w:val="6C2C2BF3"/>
    <w:rsid w:val="6C4D03CE"/>
    <w:rsid w:val="6CE416BD"/>
    <w:rsid w:val="6D061FFC"/>
    <w:rsid w:val="6D09472C"/>
    <w:rsid w:val="6D150E46"/>
    <w:rsid w:val="6D53317F"/>
    <w:rsid w:val="6DC02E81"/>
    <w:rsid w:val="6E1C17AE"/>
    <w:rsid w:val="6E3A4444"/>
    <w:rsid w:val="6E485F31"/>
    <w:rsid w:val="6E7C6CBD"/>
    <w:rsid w:val="6EA5532C"/>
    <w:rsid w:val="6EB27643"/>
    <w:rsid w:val="6EB9631C"/>
    <w:rsid w:val="6EBD5495"/>
    <w:rsid w:val="6ED27217"/>
    <w:rsid w:val="6F310918"/>
    <w:rsid w:val="6F3E21D0"/>
    <w:rsid w:val="6F793246"/>
    <w:rsid w:val="6FBC108E"/>
    <w:rsid w:val="6FC35C6D"/>
    <w:rsid w:val="6FF05815"/>
    <w:rsid w:val="70312640"/>
    <w:rsid w:val="70677C05"/>
    <w:rsid w:val="70C766B3"/>
    <w:rsid w:val="71035EEE"/>
    <w:rsid w:val="71046E78"/>
    <w:rsid w:val="71B34553"/>
    <w:rsid w:val="71F35294"/>
    <w:rsid w:val="71F442A2"/>
    <w:rsid w:val="72360588"/>
    <w:rsid w:val="72734D90"/>
    <w:rsid w:val="72824BF1"/>
    <w:rsid w:val="72CC3D0E"/>
    <w:rsid w:val="72E44695"/>
    <w:rsid w:val="72EC7D7A"/>
    <w:rsid w:val="734C5B55"/>
    <w:rsid w:val="73A6124C"/>
    <w:rsid w:val="74093FF0"/>
    <w:rsid w:val="744B7032"/>
    <w:rsid w:val="74595D08"/>
    <w:rsid w:val="75090501"/>
    <w:rsid w:val="75B848A0"/>
    <w:rsid w:val="761E331B"/>
    <w:rsid w:val="76221481"/>
    <w:rsid w:val="765C715D"/>
    <w:rsid w:val="76A63C53"/>
    <w:rsid w:val="777F2C6A"/>
    <w:rsid w:val="779560BF"/>
    <w:rsid w:val="77F21D32"/>
    <w:rsid w:val="7849376D"/>
    <w:rsid w:val="7853588C"/>
    <w:rsid w:val="786074F6"/>
    <w:rsid w:val="78B441AC"/>
    <w:rsid w:val="78E45CF4"/>
    <w:rsid w:val="790D23B2"/>
    <w:rsid w:val="79163FCC"/>
    <w:rsid w:val="79586C62"/>
    <w:rsid w:val="7987234D"/>
    <w:rsid w:val="799259F2"/>
    <w:rsid w:val="79B60A56"/>
    <w:rsid w:val="79D30215"/>
    <w:rsid w:val="79E96C96"/>
    <w:rsid w:val="7A375FF9"/>
    <w:rsid w:val="7A5B1A9C"/>
    <w:rsid w:val="7A991552"/>
    <w:rsid w:val="7AA82C59"/>
    <w:rsid w:val="7B0E2D7E"/>
    <w:rsid w:val="7B4A15C5"/>
    <w:rsid w:val="7B4B4EC9"/>
    <w:rsid w:val="7B903407"/>
    <w:rsid w:val="7BB7745B"/>
    <w:rsid w:val="7BBF0267"/>
    <w:rsid w:val="7C0653DE"/>
    <w:rsid w:val="7C0C0EBB"/>
    <w:rsid w:val="7C18349F"/>
    <w:rsid w:val="7C1B7F05"/>
    <w:rsid w:val="7C645036"/>
    <w:rsid w:val="7C6D66C4"/>
    <w:rsid w:val="7C7261CE"/>
    <w:rsid w:val="7CA6650B"/>
    <w:rsid w:val="7D225521"/>
    <w:rsid w:val="7D2910D3"/>
    <w:rsid w:val="7D8716EC"/>
    <w:rsid w:val="7D8C0783"/>
    <w:rsid w:val="7D914CA6"/>
    <w:rsid w:val="7D9D2A7D"/>
    <w:rsid w:val="7DFE68B0"/>
    <w:rsid w:val="7E0967B9"/>
    <w:rsid w:val="7E09713D"/>
    <w:rsid w:val="7E5C67D7"/>
    <w:rsid w:val="7E9E66E6"/>
    <w:rsid w:val="7F426FA0"/>
    <w:rsid w:val="7F4E4233"/>
    <w:rsid w:val="7F5324CB"/>
    <w:rsid w:val="7F952C76"/>
    <w:rsid w:val="7FE842C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6"/>
    <w:qFormat/>
    <w:uiPriority w:val="99"/>
    <w:pPr>
      <w:spacing w:beforeLines="30"/>
    </w:pPr>
    <w:rPr>
      <w:rFonts w:ascii="仿宋_GB2312" w:eastAsia="仿宋_GB2312"/>
      <w:kern w:val="0"/>
      <w:sz w:val="30"/>
    </w:rPr>
  </w:style>
  <w:style w:type="paragraph" w:styleId="6">
    <w:name w:val="Body Text Indent"/>
    <w:basedOn w:val="1"/>
    <w:semiHidden/>
    <w:qFormat/>
    <w:uiPriority w:val="99"/>
    <w:pPr>
      <w:spacing w:after="120"/>
      <w:ind w:left="420" w:leftChars="200"/>
    </w:p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2"/>
    <w:semiHidden/>
    <w:unhideWhenUsed/>
    <w:qFormat/>
    <w:uiPriority w:val="99"/>
    <w:rPr>
      <w:sz w:val="18"/>
      <w:szCs w:val="18"/>
    </w:rPr>
  </w:style>
  <w:style w:type="paragraph" w:styleId="9">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qFormat/>
    <w:uiPriority w:val="0"/>
    <w:pPr>
      <w:jc w:val="left"/>
    </w:pPr>
    <w:rPr>
      <w:kern w:val="0"/>
      <w:sz w:val="24"/>
    </w:rPr>
  </w:style>
  <w:style w:type="paragraph" w:styleId="14">
    <w:name w:val="Body Text First Indent 2"/>
    <w:basedOn w:val="6"/>
    <w:qFormat/>
    <w:uiPriority w:val="99"/>
    <w:pPr>
      <w:ind w:firstLine="420" w:firstLineChars="200"/>
    </w:pPr>
  </w:style>
  <w:style w:type="character" w:styleId="17">
    <w:name w:val="Strong"/>
    <w:basedOn w:val="16"/>
    <w:qFormat/>
    <w:uiPriority w:val="99"/>
    <w:rPr>
      <w:b/>
    </w:rPr>
  </w:style>
  <w:style w:type="character" w:styleId="18">
    <w:name w:val="FollowedHyperlink"/>
    <w:basedOn w:val="16"/>
    <w:semiHidden/>
    <w:unhideWhenUsed/>
    <w:qFormat/>
    <w:uiPriority w:val="99"/>
    <w:rPr>
      <w:color w:val="333333"/>
      <w:u w:val="none"/>
    </w:rPr>
  </w:style>
  <w:style w:type="character" w:styleId="19">
    <w:name w:val="Emphasis"/>
    <w:basedOn w:val="16"/>
    <w:qFormat/>
    <w:uiPriority w:val="20"/>
    <w:rPr>
      <w:i/>
    </w:rPr>
  </w:style>
  <w:style w:type="character" w:styleId="20">
    <w:name w:val="Hyperlink"/>
    <w:basedOn w:val="16"/>
    <w:unhideWhenUsed/>
    <w:qFormat/>
    <w:uiPriority w:val="99"/>
    <w:rPr>
      <w:color w:val="0000FF" w:themeColor="hyperlink"/>
      <w:u w:val="single"/>
    </w:rPr>
  </w:style>
  <w:style w:type="character" w:customStyle="1" w:styleId="21">
    <w:name w:val="Header Char"/>
    <w:basedOn w:val="16"/>
    <w:semiHidden/>
    <w:qFormat/>
    <w:uiPriority w:val="99"/>
    <w:rPr>
      <w:rFonts w:ascii="Times New Roman" w:hAnsi="Times New Roman"/>
      <w:sz w:val="18"/>
      <w:szCs w:val="18"/>
    </w:rPr>
  </w:style>
  <w:style w:type="character" w:customStyle="1" w:styleId="22">
    <w:name w:val="页眉 Char"/>
    <w:link w:val="10"/>
    <w:semiHidden/>
    <w:qFormat/>
    <w:locked/>
    <w:uiPriority w:val="99"/>
    <w:rPr>
      <w:sz w:val="18"/>
    </w:rPr>
  </w:style>
  <w:style w:type="character" w:customStyle="1" w:styleId="23">
    <w:name w:val="Footer Char"/>
    <w:basedOn w:val="16"/>
    <w:semiHidden/>
    <w:qFormat/>
    <w:uiPriority w:val="99"/>
    <w:rPr>
      <w:rFonts w:ascii="Times New Roman" w:hAnsi="Times New Roman"/>
      <w:sz w:val="18"/>
      <w:szCs w:val="18"/>
    </w:rPr>
  </w:style>
  <w:style w:type="character" w:customStyle="1" w:styleId="24">
    <w:name w:val="页脚 Char"/>
    <w:link w:val="9"/>
    <w:qFormat/>
    <w:locked/>
    <w:uiPriority w:val="99"/>
    <w:rPr>
      <w:sz w:val="18"/>
    </w:rPr>
  </w:style>
  <w:style w:type="character" w:customStyle="1" w:styleId="25">
    <w:name w:val="Body Text Char"/>
    <w:basedOn w:val="16"/>
    <w:semiHidden/>
    <w:qFormat/>
    <w:uiPriority w:val="99"/>
    <w:rPr>
      <w:rFonts w:ascii="Times New Roman" w:hAnsi="Times New Roman"/>
      <w:szCs w:val="24"/>
    </w:rPr>
  </w:style>
  <w:style w:type="character" w:customStyle="1" w:styleId="26">
    <w:name w:val="正文文本 Char"/>
    <w:link w:val="5"/>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Char"/>
    <w:basedOn w:val="16"/>
    <w:link w:val="2"/>
    <w:qFormat/>
    <w:uiPriority w:val="9"/>
    <w:rPr>
      <w:rFonts w:ascii="Times New Roman" w:hAnsi="Times New Roman"/>
      <w:b/>
      <w:bCs/>
      <w:kern w:val="44"/>
      <w:sz w:val="44"/>
      <w:szCs w:val="44"/>
    </w:rPr>
  </w:style>
  <w:style w:type="character" w:customStyle="1" w:styleId="30">
    <w:name w:val="标题 2 Char"/>
    <w:basedOn w:val="16"/>
    <w:link w:val="3"/>
    <w:qFormat/>
    <w:uiPriority w:val="9"/>
    <w:rPr>
      <w:rFonts w:asciiTheme="majorHAnsi" w:hAnsiTheme="majorHAnsi" w:eastAsiaTheme="majorEastAsia" w:cstheme="majorBidi"/>
      <w:b/>
      <w:bCs/>
      <w:kern w:val="2"/>
      <w:sz w:val="32"/>
      <w:szCs w:val="32"/>
    </w:rPr>
  </w:style>
  <w:style w:type="paragraph" w:customStyle="1" w:styleId="31">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2">
    <w:name w:val="批注框文本 Char"/>
    <w:basedOn w:val="16"/>
    <w:link w:val="8"/>
    <w:semiHidden/>
    <w:qFormat/>
    <w:uiPriority w:val="99"/>
    <w:rPr>
      <w:rFonts w:ascii="Times New Roman" w:hAnsi="Times New Roman"/>
      <w:kern w:val="2"/>
      <w:sz w:val="18"/>
      <w:szCs w:val="18"/>
    </w:rPr>
  </w:style>
  <w:style w:type="character" w:customStyle="1" w:styleId="33">
    <w:name w:val="标题 3 Char"/>
    <w:basedOn w:val="16"/>
    <w:link w:val="4"/>
    <w:qFormat/>
    <w:uiPriority w:val="9"/>
    <w:rPr>
      <w:rFonts w:ascii="Times New Roman" w:hAnsi="Times New Roman"/>
      <w:b/>
      <w:bCs/>
      <w:kern w:val="2"/>
      <w:sz w:val="32"/>
      <w:szCs w:val="32"/>
    </w:rPr>
  </w:style>
  <w:style w:type="paragraph" w:customStyle="1" w:styleId="34">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5">
    <w:name w:val="Table Paragraph"/>
    <w:basedOn w:val="1"/>
    <w:qFormat/>
    <w:uiPriority w:val="0"/>
    <w:rPr>
      <w:rFonts w:ascii="宋体" w:hAnsi="宋体" w:cs="宋体"/>
    </w:rPr>
  </w:style>
  <w:style w:type="character" w:customStyle="1" w:styleId="36">
    <w:name w:val="标题 2 Char1"/>
    <w:basedOn w:val="16"/>
    <w:link w:val="3"/>
    <w:qFormat/>
    <w:locked/>
    <w:uiPriority w:val="9"/>
    <w:rPr>
      <w:rFonts w:ascii="Cambria" w:hAnsi="Cambria" w:eastAsia="宋体" w:cs="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chart" Target="charts/chart7.xml"/><Relationship Id="rId14" Type="http://schemas.openxmlformats.org/officeDocument/2006/relationships/chart" Target="charts/chart6.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cap="all" spc="150" baseline="0">
                <a:solidFill>
                  <a:schemeClr val="tx1">
                    <a:lumMod val="50000"/>
                    <a:lumOff val="50000"/>
                  </a:schemeClr>
                </a:solidFill>
                <a:latin typeface="+mn-lt"/>
                <a:ea typeface="+mn-ea"/>
                <a:cs typeface="+mn-cs"/>
              </a:defRPr>
            </a:pPr>
            <a:r>
              <a:rPr sz="1600" b="0">
                <a:solidFill>
                  <a:sysClr val="windowText" lastClr="000000"/>
                </a:solidFill>
                <a:latin typeface="方正小标宋简体" panose="03000509000000000000" pitchFamily="4" charset="-122"/>
                <a:ea typeface="方正小标宋简体" panose="03000509000000000000" pitchFamily="4" charset="-122"/>
              </a:rPr>
              <a:t>收、支决算总计变动情况图</a:t>
            </a:r>
            <a:endParaRPr sz="1600">
              <a:solidFill>
                <a:sysClr val="windowText" lastClr="000000"/>
              </a:solidFill>
              <a:latin typeface="方正小标宋简体" panose="03000509000000000000" pitchFamily="4" charset="-122"/>
              <a:ea typeface="方正小标宋简体" panose="03000509000000000000" pitchFamily="4" charset="-122"/>
            </a:endParaRPr>
          </a:p>
          <a:p>
            <a:pPr defTabSz="914400">
              <a:defRPr lang="zh-CN" sz="1800" b="1" i="0" u="none" strike="noStrike" kern="1200" cap="all" spc="150" baseline="0">
                <a:solidFill>
                  <a:schemeClr val="tx1">
                    <a:lumMod val="50000"/>
                    <a:lumOff val="50000"/>
                  </a:schemeClr>
                </a:solidFill>
                <a:latin typeface="+mn-lt"/>
                <a:ea typeface="+mn-ea"/>
                <a:cs typeface="+mn-cs"/>
              </a:defRPr>
            </a:pPr>
            <a:r>
              <a:rPr sz="1200" b="0">
                <a:solidFill>
                  <a:sysClr val="windowText" lastClr="000000"/>
                </a:solidFill>
                <a:latin typeface="方正小标宋简体" panose="03000509000000000000" pitchFamily="4" charset="-122"/>
                <a:ea typeface="方正小标宋简体" panose="03000509000000000000" pitchFamily="4" charset="-122"/>
              </a:rPr>
              <a:t>（单位：万元）</a:t>
            </a:r>
            <a:endParaRPr sz="1200" b="0">
              <a:solidFill>
                <a:sysClr val="windowText" lastClr="000000"/>
              </a:solidFill>
              <a:latin typeface="方正小标宋简体" panose="03000509000000000000" pitchFamily="4" charset="-122"/>
              <a:ea typeface="方正小标宋简体" panose="03000509000000000000" pitchFamily="4" charset="-122"/>
            </a:endParaRPr>
          </a:p>
        </c:rich>
      </c:tx>
      <c:layout/>
      <c:overlay val="0"/>
      <c:spPr>
        <a:noFill/>
        <a:ln>
          <a:noFill/>
        </a:ln>
        <a:effectLst/>
      </c:spPr>
    </c:title>
    <c:autoTitleDeleted val="0"/>
    <c:plotArea>
      <c:layout>
        <c:manualLayout>
          <c:layoutTarget val="inner"/>
          <c:xMode val="edge"/>
          <c:yMode val="edge"/>
          <c:x val="0.0889801384272442"/>
          <c:y val="0.39993181264713"/>
          <c:w val="0.88183440123845"/>
          <c:h val="0.455478889881033"/>
        </c:manualLayout>
      </c:layout>
      <c:barChart>
        <c:barDir val="col"/>
        <c:grouping val="clustered"/>
        <c:varyColors val="0"/>
        <c:ser>
          <c:idx val="0"/>
          <c:order val="0"/>
          <c:tx>
            <c:strRef>
              <c:f>Sheet1!$B$1</c:f>
              <c:strCache>
                <c:ptCount val="1"/>
                <c:pt idx="0">
                  <c:v>2019年</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263.19</c:v>
                </c:pt>
                <c:pt idx="1">
                  <c:v>311.68</c:v>
                </c:pt>
              </c:numCache>
            </c:numRef>
          </c:val>
        </c:ser>
        <c:ser>
          <c:idx val="1"/>
          <c:order val="1"/>
          <c:tx>
            <c:strRef>
              <c:f>Sheet1!$C$1</c:f>
              <c:strCache>
                <c:ptCount val="1"/>
                <c:pt idx="0">
                  <c:v>2020年</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dLbl>
              <c:idx val="0"/>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t>347.6</a:t>
                    </a:r>
                    <a:endParaRPr lang="en-US"/>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347.6</c:v>
                </c:pt>
                <c:pt idx="1">
                  <c:v>320.28</c:v>
                </c:pt>
              </c:numCache>
            </c:numRef>
          </c:val>
        </c:ser>
        <c:dLbls>
          <c:showLegendKey val="0"/>
          <c:showVal val="1"/>
          <c:showCatName val="0"/>
          <c:showSerName val="0"/>
          <c:showPercent val="0"/>
          <c:showBubbleSize val="0"/>
        </c:dLbls>
        <c:gapWidth val="164"/>
        <c:overlap val="-22"/>
        <c:axId val="264577792"/>
        <c:axId val="264579328"/>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dLbls>
                  <c:delete val="1"/>
                </c:dLbls>
                <c:cat>
                  <c:strRef>
                    <c:extLst>
                      <c:ext uri="{02D57815-91ED-43cb-92C2-25804820EDAC}">
                        <c15:fullRef>
                          <c15:sqref/>
                        </c15:fullRef>
                        <c15:formulaRef>
                          <c15:sqref>Sheet1!$A$2:$A$3</c15:sqref>
                        </c15:formulaRef>
                      </c:ext>
                    </c:extLst>
                    <c:strCache>
                      <c:ptCount val="2"/>
                      <c:pt idx="0">
                        <c:v>收入</c:v>
                      </c:pt>
                      <c:pt idx="1">
                        <c:v>支出</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264577792"/>
        <c:scaling>
          <c:orientation val="minMax"/>
        </c:scaling>
        <c:delete val="0"/>
        <c:axPos val="b"/>
        <c:majorTickMark val="none"/>
        <c:minorTickMark val="none"/>
        <c:tickLblPos val="nextTo"/>
        <c:spPr>
          <a:noFill/>
          <a:ln w="19050" cap="flat" cmpd="sng" algn="ctr">
            <a:solidFill>
              <a:schemeClr val="tx1">
                <a:lumMod val="25000"/>
                <a:lumOff val="7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4579328"/>
        <c:crosses val="autoZero"/>
        <c:auto val="1"/>
        <c:lblAlgn val="ctr"/>
        <c:lblOffset val="100"/>
        <c:noMultiLvlLbl val="0"/>
      </c:catAx>
      <c:valAx>
        <c:axId val="2645793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4577792"/>
        <c:crosses val="autoZero"/>
        <c:crossBetween val="between"/>
      </c:valAx>
      <c:spPr>
        <a:noFill/>
        <a:ln>
          <a:noFill/>
        </a:ln>
        <a:effectLst/>
      </c:spPr>
    </c:plotArea>
    <c:legend>
      <c:legendPos val="t"/>
      <c:layout>
        <c:manualLayout>
          <c:xMode val="edge"/>
          <c:yMode val="edge"/>
          <c:x val="0.637169568020632"/>
          <c:y val="0.236285858077504"/>
          <c:w val="0.342359767891683"/>
          <c:h val="0.084297936587820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600">
                <a:solidFill>
                  <a:sysClr val="windowText" lastClr="000000"/>
                </a:solidFill>
                <a:latin typeface="方正小标宋简体" panose="03000509000000000000" pitchFamily="4" charset="-122"/>
                <a:ea typeface="方正小标宋简体" panose="03000509000000000000" pitchFamily="4" charset="-122"/>
              </a:rPr>
              <a:t>收入决算结构图</a:t>
            </a:r>
            <a:endParaRPr>
              <a:solidFill>
                <a:sysClr val="windowText" lastClr="000000"/>
              </a:solidFill>
              <a:latin typeface="方正小标宋简体" panose="03000509000000000000" pitchFamily="4" charset="-122"/>
              <a:ea typeface="方正小标宋简体" panose="03000509000000000000" pitchFamily="4" charset="-122"/>
            </a:endParaRPr>
          </a:p>
          <a:p>
            <a:pPr defTabSz="914400">
              <a:defRPr lang="zh-CN" sz="1400" b="0" i="0" u="none" strike="noStrike" kern="1200" spc="0" baseline="0">
                <a:solidFill>
                  <a:schemeClr val="tx1">
                    <a:lumMod val="65000"/>
                    <a:lumOff val="35000"/>
                  </a:schemeClr>
                </a:solidFill>
                <a:latin typeface="+mn-lt"/>
                <a:ea typeface="+mn-ea"/>
                <a:cs typeface="+mn-cs"/>
              </a:defRPr>
            </a:pPr>
            <a:r>
              <a:rPr sz="1200">
                <a:solidFill>
                  <a:sysClr val="windowText" lastClr="000000"/>
                </a:solidFill>
                <a:latin typeface="方正小标宋简体" panose="03000509000000000000" pitchFamily="4" charset="-122"/>
                <a:ea typeface="方正小标宋简体" panose="03000509000000000000" pitchFamily="4" charset="-122"/>
              </a:rPr>
              <a:t>（单位：万元）</a:t>
            </a:r>
            <a:endParaRPr sz="1200">
              <a:solidFill>
                <a:sysClr val="windowText" lastClr="000000"/>
              </a:solidFill>
              <a:latin typeface="方正小标宋简体" panose="03000509000000000000" pitchFamily="4" charset="-122"/>
              <a:ea typeface="方正小标宋简体" panose="03000509000000000000" pitchFamily="4" charset="-122"/>
            </a:endParaRPr>
          </a:p>
        </c:rich>
      </c:tx>
      <c:layout>
        <c:manualLayout>
          <c:xMode val="edge"/>
          <c:yMode val="edge"/>
          <c:x val="0.374012544305637"/>
          <c:y val="0.0321134888996381"/>
        </c:manualLayout>
      </c:layout>
      <c:overlay val="0"/>
      <c:spPr>
        <a:noFill/>
        <a:ln>
          <a:noFill/>
        </a:ln>
        <a:effectLst/>
      </c:spPr>
    </c:title>
    <c:autoTitleDeleted val="0"/>
    <c:plotArea>
      <c:layout/>
      <c:pieChart>
        <c:varyColors val="1"/>
        <c:ser>
          <c:idx val="0"/>
          <c:order val="0"/>
          <c:tx>
            <c:strRef>
              <c:f>Sheet1!$B$1</c:f>
              <c:strCache>
                <c:ptCount val="1"/>
                <c:pt idx="0">
                  <c:v>2020年收入
（万元）</c:v>
                </c:pt>
              </c:strCache>
            </c:strRef>
          </c:tx>
          <c:explosion val="0"/>
          <c:dPt>
            <c:idx val="0"/>
            <c:bubble3D val="0"/>
            <c:spPr>
              <a:solidFill>
                <a:schemeClr val="accent1"/>
              </a:solidFill>
              <a:ln w="19050">
                <a:solidFill>
                  <a:schemeClr val="lt1"/>
                </a:solidFill>
              </a:ln>
              <a:effectLst/>
            </c:spPr>
          </c:dPt>
          <c:dLbls>
            <c:dLbl>
              <c:idx val="0"/>
              <c:layout>
                <c:manualLayout>
                  <c:x val="-8.60319332926572e-7"/>
                  <c:y val="-0.220277506475038"/>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bg1"/>
                        </a:solidFill>
                        <a:latin typeface="+mn-lt"/>
                        <a:ea typeface="+mn-ea"/>
                        <a:cs typeface="+mn-cs"/>
                      </a:defRPr>
                    </a:pPr>
                    <a:r>
                      <a:rPr lang="en-US" sz="1400" u="heavy">
                        <a:solidFill>
                          <a:schemeClr val="bg1"/>
                        </a:solidFill>
                      </a:rPr>
                      <a:t>347.6</a:t>
                    </a:r>
                    <a:endParaRPr sz="1400" u="heavy">
                      <a:solidFill>
                        <a:schemeClr val="bg1"/>
                      </a:solidFill>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bg1"/>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manualLayout>
                      <c:w val="0.202152891808064"/>
                      <c:h val="0.0827000447027269"/>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一般公共预算财政拨款收入</c:v>
                </c:pt>
              </c:strCache>
            </c:strRef>
          </c:cat>
          <c:val>
            <c:numRef>
              <c:f>Sheet1!$B$2</c:f>
              <c:numCache>
                <c:formatCode>General</c:formatCode>
                <c:ptCount val="1"/>
                <c:pt idx="0">
                  <c:v>347.6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03227337446607"/>
          <c:y val="0.520891364902507"/>
          <c:w val="0.39202657807309"/>
          <c:h val="0.12743732590529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600">
                <a:latin typeface="方正小标宋简体" panose="03000509000000000000" pitchFamily="4" charset="-122"/>
                <a:ea typeface="方正小标宋简体" panose="03000509000000000000" pitchFamily="4" charset="-122"/>
              </a:rPr>
              <a:t>支出决算结构图</a:t>
            </a:r>
            <a:endParaRPr sz="1600">
              <a:latin typeface="方正小标宋简体" panose="03000509000000000000" pitchFamily="4" charset="-122"/>
              <a:ea typeface="方正小标宋简体" panose="03000509000000000000" pitchFamily="4" charset="-122"/>
            </a:endParaRPr>
          </a:p>
          <a:p>
            <a:pPr defTabSz="914400">
              <a:defRPr lang="zh-CN" sz="1400" b="0" i="0" u="none" strike="noStrike" kern="1200" spc="0" baseline="0">
                <a:solidFill>
                  <a:schemeClr val="tx1">
                    <a:lumMod val="65000"/>
                    <a:lumOff val="35000"/>
                  </a:schemeClr>
                </a:solidFill>
                <a:latin typeface="+mn-lt"/>
                <a:ea typeface="+mn-ea"/>
                <a:cs typeface="+mn-cs"/>
              </a:defRPr>
            </a:pPr>
            <a:r>
              <a:rPr sz="1200">
                <a:latin typeface="方正小标宋简体" panose="03000509000000000000" pitchFamily="4" charset="-122"/>
                <a:ea typeface="方正小标宋简体" panose="03000509000000000000" pitchFamily="4" charset="-122"/>
              </a:rPr>
              <a:t>（单位：万元）</a:t>
            </a:r>
            <a:endParaRPr sz="1200">
              <a:latin typeface="方正小标宋简体" panose="03000509000000000000" pitchFamily="4" charset="-122"/>
              <a:ea typeface="方正小标宋简体" panose="03000509000000000000" pitchFamily="4" charset="-122"/>
            </a:endParaRPr>
          </a:p>
        </c:rich>
      </c:tx>
      <c:layout/>
      <c:overlay val="0"/>
      <c:spPr>
        <a:noFill/>
        <a:ln>
          <a:noFill/>
        </a:ln>
        <a:effectLst/>
      </c:spPr>
    </c:title>
    <c:autoTitleDeleted val="0"/>
    <c:plotArea>
      <c:layout/>
      <c:pieChart>
        <c:varyColors val="1"/>
        <c:ser>
          <c:idx val="0"/>
          <c:order val="0"/>
          <c:tx>
            <c:strRef>
              <c:f>Sheet1!$B$1</c:f>
              <c:strCache>
                <c:ptCount val="1"/>
                <c:pt idx="0">
                  <c:v>本年支出</c:v>
                </c:pt>
              </c:strCache>
            </c:strRef>
          </c:tx>
          <c:explosion val="0"/>
          <c:dPt>
            <c:idx val="0"/>
            <c:bubble3D val="0"/>
          </c:dPt>
          <c:dPt>
            <c:idx val="1"/>
            <c:bubble3D val="0"/>
          </c:dPt>
          <c:dLbls>
            <c:dLbl>
              <c:idx val="0"/>
              <c:layout>
                <c:manualLayout>
                  <c:x val="-0.127332402062531"/>
                  <c:y val="-0.208813217867045"/>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sz="1200">
                        <a:solidFill>
                          <a:schemeClr val="bg1"/>
                        </a:solidFill>
                      </a:rPr>
                      <a:t>302.23</a:t>
                    </a:r>
                    <a:endParaRPr sz="1200">
                      <a:solidFill>
                        <a:schemeClr val="bg1"/>
                      </a:solidFill>
                    </a:endParaRPr>
                  </a:p>
                  <a:p>
                    <a:pPr>
                      <a:defRPr lang="zh-CN" sz="900" b="0" i="0" u="none" strike="noStrike" kern="1200" baseline="0">
                        <a:solidFill>
                          <a:schemeClr val="tx1">
                            <a:lumMod val="75000"/>
                            <a:lumOff val="25000"/>
                          </a:schemeClr>
                        </a:solidFill>
                        <a:latin typeface="+mn-lt"/>
                        <a:ea typeface="+mn-ea"/>
                        <a:cs typeface="+mn-cs"/>
                      </a:defRPr>
                    </a:pPr>
                    <a:r>
                      <a:rPr lang="en-US" sz="1200">
                        <a:solidFill>
                          <a:schemeClr val="bg1"/>
                        </a:solidFill>
                      </a:rPr>
                      <a:t>94.36</a:t>
                    </a:r>
                    <a:r>
                      <a:rPr sz="1200">
                        <a:solidFill>
                          <a:schemeClr val="bg1"/>
                        </a:solidFill>
                      </a:rPr>
                      <a:t>%</a:t>
                    </a:r>
                    <a:endParaRPr sz="1200">
                      <a:solidFill>
                        <a:schemeClr val="bg1"/>
                      </a:solidFill>
                    </a:endParaRP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0236148758720436"/>
                  <c:y val="0.170731776794138"/>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sz="1200">
                        <a:solidFill>
                          <a:schemeClr val="bg1"/>
                        </a:solidFill>
                      </a:rPr>
                      <a:t>18.05</a:t>
                    </a:r>
                    <a:endParaRPr sz="1200">
                      <a:solidFill>
                        <a:schemeClr val="bg1"/>
                      </a:solidFill>
                    </a:endParaRPr>
                  </a:p>
                  <a:p>
                    <a:pPr>
                      <a:defRPr lang="zh-CN" sz="900" b="0" i="0" u="none" strike="noStrike" kern="1200" baseline="0">
                        <a:solidFill>
                          <a:schemeClr val="tx1">
                            <a:lumMod val="75000"/>
                            <a:lumOff val="25000"/>
                          </a:schemeClr>
                        </a:solidFill>
                        <a:latin typeface="+mn-lt"/>
                        <a:ea typeface="+mn-ea"/>
                        <a:cs typeface="+mn-cs"/>
                      </a:defRPr>
                    </a:pPr>
                    <a:r>
                      <a:rPr lang="en-US" sz="1200">
                        <a:solidFill>
                          <a:schemeClr val="bg1"/>
                        </a:solidFill>
                      </a:rPr>
                      <a:t>5.64</a:t>
                    </a:r>
                    <a:r>
                      <a:rPr sz="1200">
                        <a:solidFill>
                          <a:schemeClr val="bg1"/>
                        </a:solidFill>
                      </a:rPr>
                      <a:t>%</a:t>
                    </a:r>
                    <a:endParaRPr sz="1200">
                      <a:solidFill>
                        <a:schemeClr val="bg1"/>
                      </a:solidFill>
                    </a:endParaRPr>
                  </a:p>
                </c:rich>
              </c:tx>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302.23</c:v>
                </c:pt>
                <c:pt idx="1">
                  <c:v>18.05</c:v>
                </c:pt>
              </c:numCache>
            </c:numRef>
          </c:val>
        </c:ser>
        <c:ser>
          <c:idx val="1"/>
          <c:order val="1"/>
          <c:tx>
            <c:strRef>
              <c:f>Sheet1!$C$1</c:f>
              <c:strCache>
                <c:ptCount val="1"/>
                <c:pt idx="0">
                  <c:v>百分比</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Sheet1!$C$2:$C$3</c:f>
              <c:numCache>
                <c:formatCode>0.00%</c:formatCode>
                <c:ptCount val="2"/>
                <c:pt idx="0">
                  <c:v>0.9436</c:v>
                </c:pt>
                <c:pt idx="1">
                  <c:v>0.0564</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cap="all" spc="150" baseline="0">
                <a:solidFill>
                  <a:schemeClr val="tx1">
                    <a:lumMod val="50000"/>
                    <a:lumOff val="50000"/>
                  </a:schemeClr>
                </a:solidFill>
                <a:latin typeface="+mn-lt"/>
                <a:ea typeface="+mn-ea"/>
                <a:cs typeface="+mn-cs"/>
              </a:defRPr>
            </a:pPr>
            <a:r>
              <a:rPr sz="1600" b="0">
                <a:solidFill>
                  <a:sysClr val="windowText" lastClr="000000"/>
                </a:solidFill>
                <a:latin typeface="方正小标宋简体" panose="03000509000000000000" pitchFamily="4" charset="-122"/>
                <a:ea typeface="方正小标宋简体" panose="03000509000000000000" pitchFamily="4" charset="-122"/>
              </a:rPr>
              <a:t>财政拨款收、支决算总计变动情况图</a:t>
            </a:r>
            <a:endParaRPr sz="1600" b="0">
              <a:solidFill>
                <a:sysClr val="windowText" lastClr="000000"/>
              </a:solidFill>
              <a:latin typeface="方正小标宋简体" panose="03000509000000000000" pitchFamily="4" charset="-122"/>
              <a:ea typeface="方正小标宋简体" panose="03000509000000000000" pitchFamily="4" charset="-122"/>
            </a:endParaRPr>
          </a:p>
          <a:p>
            <a:pPr defTabSz="914400">
              <a:defRPr lang="zh-CN" sz="1800" b="1" i="0" u="none" strike="noStrike" kern="1200" cap="all" spc="150" baseline="0">
                <a:solidFill>
                  <a:schemeClr val="tx1">
                    <a:lumMod val="50000"/>
                    <a:lumOff val="50000"/>
                  </a:schemeClr>
                </a:solidFill>
                <a:latin typeface="+mn-lt"/>
                <a:ea typeface="+mn-ea"/>
                <a:cs typeface="+mn-cs"/>
              </a:defRPr>
            </a:pPr>
            <a:r>
              <a:rPr sz="1200" b="0">
                <a:solidFill>
                  <a:sysClr val="windowText" lastClr="000000"/>
                </a:solidFill>
                <a:latin typeface="方正小标宋简体" panose="03000509000000000000" pitchFamily="4" charset="-122"/>
                <a:ea typeface="方正小标宋简体" panose="03000509000000000000" pitchFamily="4" charset="-122"/>
              </a:rPr>
              <a:t>（单位：万元）</a:t>
            </a:r>
            <a:endParaRPr sz="1200" b="0">
              <a:solidFill>
                <a:sysClr val="windowText" lastClr="000000"/>
              </a:solidFill>
              <a:latin typeface="方正小标宋简体" panose="03000509000000000000" pitchFamily="4" charset="-122"/>
              <a:ea typeface="方正小标宋简体" panose="03000509000000000000" pitchFamily="4" charset="-122"/>
            </a:endParaRPr>
          </a:p>
        </c:rich>
      </c:tx>
      <c:layout>
        <c:manualLayout>
          <c:xMode val="edge"/>
          <c:yMode val="edge"/>
          <c:x val="0.188221582766769"/>
          <c:y val="0.0316610714044635"/>
        </c:manualLayout>
      </c:layout>
      <c:overlay val="0"/>
      <c:spPr>
        <a:noFill/>
        <a:ln>
          <a:noFill/>
        </a:ln>
        <a:effectLst/>
      </c:spPr>
    </c:title>
    <c:autoTitleDeleted val="0"/>
    <c:plotArea>
      <c:layout>
        <c:manualLayout>
          <c:layoutTarget val="inner"/>
          <c:xMode val="edge"/>
          <c:yMode val="edge"/>
          <c:x val="0.107693420803357"/>
          <c:y val="0.332618915517161"/>
          <c:w val="0.892306579196642"/>
          <c:h val="0.55724731561195"/>
        </c:manualLayout>
      </c:layout>
      <c:barChart>
        <c:barDir val="col"/>
        <c:grouping val="clustered"/>
        <c:varyColors val="0"/>
        <c:ser>
          <c:idx val="0"/>
          <c:order val="0"/>
          <c:tx>
            <c:strRef>
              <c:f>Sheet1!$B$1</c:f>
              <c:strCache>
                <c:ptCount val="1"/>
                <c:pt idx="0">
                  <c:v>2019年</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财政收入</c:v>
                </c:pt>
                <c:pt idx="1">
                  <c:v>财政支出</c:v>
                </c:pt>
              </c:strCache>
            </c:strRef>
          </c:cat>
          <c:val>
            <c:numRef>
              <c:f>Sheet1!$B$2:$B$3</c:f>
              <c:numCache>
                <c:formatCode>General</c:formatCode>
                <c:ptCount val="2"/>
                <c:pt idx="0">
                  <c:v>263.19</c:v>
                </c:pt>
                <c:pt idx="1">
                  <c:v>311.68</c:v>
                </c:pt>
              </c:numCache>
            </c:numRef>
          </c:val>
        </c:ser>
        <c:ser>
          <c:idx val="1"/>
          <c:order val="1"/>
          <c:tx>
            <c:strRef>
              <c:f>Sheet1!$C$1</c:f>
              <c:strCache>
                <c:ptCount val="1"/>
                <c:pt idx="0">
                  <c:v>2020年</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dLbl>
              <c:idx val="0"/>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347.6</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财政收入</c:v>
                </c:pt>
                <c:pt idx="1">
                  <c:v>财政支出</c:v>
                </c:pt>
              </c:strCache>
            </c:strRef>
          </c:cat>
          <c:val>
            <c:numRef>
              <c:f>Sheet1!$C$2:$C$3</c:f>
              <c:numCache>
                <c:formatCode>General</c:formatCode>
                <c:ptCount val="2"/>
                <c:pt idx="0">
                  <c:v>347.6</c:v>
                </c:pt>
                <c:pt idx="1">
                  <c:v>320.28</c:v>
                </c:pt>
              </c:numCache>
            </c:numRef>
          </c:val>
        </c:ser>
        <c:dLbls>
          <c:showLegendKey val="0"/>
          <c:showVal val="1"/>
          <c:showCatName val="0"/>
          <c:showSerName val="0"/>
          <c:showPercent val="0"/>
          <c:showBubbleSize val="0"/>
        </c:dLbls>
        <c:gapWidth val="164"/>
        <c:overlap val="-22"/>
        <c:axId val="41820160"/>
        <c:axId val="41821696"/>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dLbls>
                  <c:delete val="1"/>
                </c:dLbls>
                <c:cat>
                  <c:strRef>
                    <c:extLst>
                      <c:ext uri="{02D57815-91ED-43cb-92C2-25804820EDAC}">
                        <c15:fullRef>
                          <c15:sqref/>
                        </c15:fullRef>
                        <c15:formulaRef>
                          <c15:sqref>Sheet1!$A$2:$A$3</c15:sqref>
                        </c15:formulaRef>
                      </c:ext>
                    </c:extLst>
                    <c:strCache>
                      <c:ptCount val="2"/>
                      <c:pt idx="0">
                        <c:v>财政收入</c:v>
                      </c:pt>
                      <c:pt idx="1">
                        <c:v>财政支出</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41820160"/>
        <c:scaling>
          <c:orientation val="minMax"/>
        </c:scaling>
        <c:delete val="0"/>
        <c:axPos val="b"/>
        <c:majorTickMark val="none"/>
        <c:minorTickMark val="none"/>
        <c:tickLblPos val="nextTo"/>
        <c:spPr>
          <a:noFill/>
          <a:ln w="19050" cap="flat" cmpd="sng" algn="ctr">
            <a:solidFill>
              <a:schemeClr val="tx1">
                <a:lumMod val="25000"/>
                <a:lumOff val="7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821696"/>
        <c:crosses val="autoZero"/>
        <c:auto val="1"/>
        <c:lblAlgn val="ctr"/>
        <c:lblOffset val="100"/>
        <c:noMultiLvlLbl val="0"/>
      </c:catAx>
      <c:valAx>
        <c:axId val="4182169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820160"/>
        <c:crosses val="autoZero"/>
        <c:crossBetween val="between"/>
      </c:valAx>
      <c:spPr>
        <a:noFill/>
        <a:ln>
          <a:noFill/>
        </a:ln>
        <a:effectLst/>
      </c:spPr>
    </c:plotArea>
    <c:legend>
      <c:legendPos val="t"/>
      <c:layout>
        <c:manualLayout>
          <c:xMode val="edge"/>
          <c:yMode val="edge"/>
          <c:x val="0.637169568020632"/>
          <c:y val="0.236285858077504"/>
          <c:w val="0.342359767891683"/>
          <c:h val="0.084297936587820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cap="all" spc="150" baseline="0">
                <a:solidFill>
                  <a:schemeClr val="tx1">
                    <a:lumMod val="50000"/>
                    <a:lumOff val="50000"/>
                  </a:schemeClr>
                </a:solidFill>
                <a:latin typeface="+mn-lt"/>
                <a:ea typeface="+mn-ea"/>
                <a:cs typeface="+mn-cs"/>
              </a:defRPr>
            </a:pPr>
            <a:r>
              <a:rPr sz="1600" b="0">
                <a:solidFill>
                  <a:sysClr val="windowText" lastClr="000000"/>
                </a:solidFill>
                <a:latin typeface="方正小标宋简体" panose="03000509000000000000" pitchFamily="4" charset="-122"/>
                <a:ea typeface="方正小标宋简体" panose="03000509000000000000" pitchFamily="4" charset="-122"/>
              </a:rPr>
              <a:t>一般公共预算财政拨款支出决算变动情况图</a:t>
            </a:r>
            <a:endParaRPr sz="1600" b="0">
              <a:solidFill>
                <a:sysClr val="windowText" lastClr="000000"/>
              </a:solidFill>
              <a:latin typeface="方正小标宋简体" panose="03000509000000000000" pitchFamily="4" charset="-122"/>
              <a:ea typeface="方正小标宋简体" panose="03000509000000000000" pitchFamily="4" charset="-122"/>
            </a:endParaRPr>
          </a:p>
          <a:p>
            <a:pPr defTabSz="914400">
              <a:defRPr lang="zh-CN" sz="1800" b="1" i="0" u="none" strike="noStrike" kern="1200" cap="all" spc="150" baseline="0">
                <a:solidFill>
                  <a:schemeClr val="tx1">
                    <a:lumMod val="50000"/>
                    <a:lumOff val="50000"/>
                  </a:schemeClr>
                </a:solidFill>
                <a:latin typeface="+mn-lt"/>
                <a:ea typeface="+mn-ea"/>
                <a:cs typeface="+mn-cs"/>
              </a:defRPr>
            </a:pPr>
            <a:r>
              <a:rPr sz="1200" b="0">
                <a:solidFill>
                  <a:sysClr val="windowText" lastClr="000000"/>
                </a:solidFill>
                <a:latin typeface="方正小标宋简体" panose="03000509000000000000" pitchFamily="4" charset="-122"/>
                <a:ea typeface="方正小标宋简体" panose="03000509000000000000" pitchFamily="4" charset="-122"/>
              </a:rPr>
              <a:t>（单位：万元）</a:t>
            </a:r>
            <a:endParaRPr sz="1200" b="0">
              <a:solidFill>
                <a:sysClr val="windowText" lastClr="000000"/>
              </a:solidFill>
              <a:latin typeface="方正小标宋简体" panose="03000509000000000000" pitchFamily="4" charset="-122"/>
              <a:ea typeface="方正小标宋简体" panose="03000509000000000000" pitchFamily="4" charset="-122"/>
            </a:endParaRPr>
          </a:p>
        </c:rich>
      </c:tx>
      <c:layout>
        <c:manualLayout>
          <c:xMode val="edge"/>
          <c:yMode val="edge"/>
          <c:x val="0.12410875417887"/>
          <c:y val="0.0489662676822633"/>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2019年</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extLst>
                <c:ext xmlns:c15="http://schemas.microsoft.com/office/drawing/2012/chart" uri="{02D57815-91ED-43cb-92C2-25804820EDAC}">
                  <c15:fullRef>
                    <c15:sqref>Sheet1!$A$2</c15:sqref>
                  </c15:fullRef>
                </c:ext>
              </c:extLst>
              <c:f>Sheet1!$A$2</c:f>
              <c:strCache>
                <c:ptCount val="1"/>
                <c:pt idx="0">
                  <c:v>一般公共预算财政拨款支出</c:v>
                </c:pt>
              </c:strCache>
            </c:strRef>
          </c:cat>
          <c:val>
            <c:numRef>
              <c:extLst>
                <c:ext xmlns:c15="http://schemas.microsoft.com/office/drawing/2012/chart" uri="{02D57815-91ED-43cb-92C2-25804820EDAC}">
                  <c15:fullRef>
                    <c15:sqref>Sheet1!$B$2</c15:sqref>
                  </c15:fullRef>
                </c:ext>
              </c:extLst>
              <c:f>Sheet1!$B$2</c:f>
              <c:numCache>
                <c:formatCode>General</c:formatCode>
                <c:ptCount val="1"/>
                <c:pt idx="0">
                  <c:v>311.69</c:v>
                </c:pt>
              </c:numCache>
            </c:numRef>
          </c:val>
        </c:ser>
        <c:ser>
          <c:idx val="1"/>
          <c:order val="1"/>
          <c:tx>
            <c:strRef>
              <c:f>Sheet1!$C$1</c:f>
              <c:strCache>
                <c:ptCount val="1"/>
                <c:pt idx="0">
                  <c:v>2020年</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extLst>
                <c:ext xmlns:c15="http://schemas.microsoft.com/office/drawing/2012/chart" uri="{02D57815-91ED-43cb-92C2-25804820EDAC}">
                  <c15:fullRef>
                    <c15:sqref>Sheet1!$A$2</c15:sqref>
                  </c15:fullRef>
                </c:ext>
              </c:extLst>
              <c:f>Sheet1!$A$2</c:f>
              <c:strCache>
                <c:ptCount val="1"/>
                <c:pt idx="0">
                  <c:v>一般公共预算财政拨款支出</c:v>
                </c:pt>
              </c:strCache>
            </c:strRef>
          </c:cat>
          <c:val>
            <c:numRef>
              <c:extLst>
                <c:ext xmlns:c15="http://schemas.microsoft.com/office/drawing/2012/chart" uri="{02D57815-91ED-43cb-92C2-25804820EDAC}">
                  <c15:fullRef>
                    <c15:sqref>Sheet1!$C$2</c15:sqref>
                  </c15:fullRef>
                </c:ext>
              </c:extLst>
              <c:f>Sheet1!$C$2</c:f>
              <c:numCache>
                <c:formatCode>General</c:formatCode>
                <c:ptCount val="1"/>
                <c:pt idx="0">
                  <c:v>320.28</c:v>
                </c:pt>
              </c:numCache>
            </c:numRef>
          </c:val>
        </c:ser>
        <c:dLbls>
          <c:showLegendKey val="0"/>
          <c:showVal val="1"/>
          <c:showCatName val="0"/>
          <c:showSerName val="0"/>
          <c:showPercent val="0"/>
          <c:showBubbleSize val="0"/>
        </c:dLbls>
        <c:gapWidth val="164"/>
        <c:overlap val="-22"/>
        <c:axId val="96922624"/>
        <c:axId val="97030912"/>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extLst>
                      <c:ext uri="{02D57815-91ED-43cb-92C2-25804820EDAC}">
                        <c15:fullRef>
                          <c15:sqref>Sheet1!$A$2</c15:sqref>
                        </c15:fullRef>
                        <c15:formulaRef>
                          <c15:sqref>Sheet1!$A$2</c15:sqref>
                        </c15:formulaRef>
                      </c:ext>
                    </c:extLst>
                    <c:strCache>
                      <c:ptCount val="1"/>
                      <c:pt idx="0">
                        <c:v>一般公共预算财政拨款支出</c:v>
                      </c:pt>
                    </c:strCache>
                  </c:strRef>
                </c:cat>
              </c15:ser>
            </c15:filteredBarSeries>
          </c:ext>
        </c:extLst>
      </c:barChart>
      <c:catAx>
        <c:axId val="96922624"/>
        <c:scaling>
          <c:orientation val="minMax"/>
        </c:scaling>
        <c:delete val="0"/>
        <c:axPos val="b"/>
        <c:majorTickMark val="none"/>
        <c:minorTickMark val="none"/>
        <c:tickLblPos val="nextTo"/>
        <c:spPr>
          <a:noFill/>
          <a:ln w="19050" cap="flat" cmpd="sng" algn="ctr">
            <a:solidFill>
              <a:schemeClr val="tx1">
                <a:lumMod val="25000"/>
                <a:lumOff val="7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030912"/>
        <c:crosses val="autoZero"/>
        <c:auto val="1"/>
        <c:lblAlgn val="ctr"/>
        <c:lblOffset val="100"/>
        <c:noMultiLvlLbl val="0"/>
      </c:catAx>
      <c:valAx>
        <c:axId val="9703091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6922624"/>
        <c:crosses val="autoZero"/>
        <c:crossBetween val="between"/>
      </c:valAx>
      <c:spPr>
        <a:noFill/>
        <a:ln>
          <a:noFill/>
        </a:ln>
        <a:effectLst/>
      </c:spPr>
    </c:plotArea>
    <c:legend>
      <c:legendPos val="t"/>
      <c:layout>
        <c:manualLayout>
          <c:xMode val="edge"/>
          <c:yMode val="edge"/>
          <c:x val="0.707922149122807"/>
          <c:y val="0.293247588424437"/>
          <c:w val="0.284950657894737"/>
          <c:h val="0.084673097534834"/>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sz="1600">
                <a:solidFill>
                  <a:sysClr val="windowText" lastClr="000000"/>
                </a:solidFill>
                <a:latin typeface="方正小标宋简体" panose="03000509000000000000" pitchFamily="4" charset="-122"/>
                <a:ea typeface="方正小标宋简体" panose="03000509000000000000" pitchFamily="4" charset="-122"/>
              </a:rPr>
              <a:t>一般公共预算财政拨款支出决算结构</a:t>
            </a:r>
            <a:endParaRPr altLang="en-US" sz="1600">
              <a:solidFill>
                <a:sysClr val="windowText" lastClr="000000"/>
              </a:solidFill>
              <a:latin typeface="方正小标宋简体" panose="03000509000000000000" pitchFamily="4" charset="-122"/>
              <a:ea typeface="方正小标宋简体" panose="03000509000000000000" pitchFamily="4" charset="-122"/>
            </a:endParaRPr>
          </a:p>
          <a:p>
            <a:pPr defTabSz="914400">
              <a:defRPr lang="zh-CN" sz="1400" b="0" i="0" u="none" strike="noStrike" kern="1200" spc="0" baseline="0">
                <a:solidFill>
                  <a:schemeClr val="tx1">
                    <a:lumMod val="65000"/>
                    <a:lumOff val="35000"/>
                  </a:schemeClr>
                </a:solidFill>
                <a:latin typeface="+mn-lt"/>
                <a:ea typeface="+mn-ea"/>
                <a:cs typeface="+mn-cs"/>
              </a:defRPr>
            </a:pPr>
            <a:r>
              <a:rPr altLang="en-US">
                <a:solidFill>
                  <a:sysClr val="windowText" lastClr="000000"/>
                </a:solidFill>
                <a:latin typeface="方正小标宋简体" panose="03000509000000000000" pitchFamily="4" charset="-122"/>
                <a:ea typeface="方正小标宋简体" panose="03000509000000000000" pitchFamily="4" charset="-122"/>
              </a:rPr>
              <a:t>（单位：万元）</a:t>
            </a:r>
            <a:endParaRPr altLang="en-US">
              <a:solidFill>
                <a:sysClr val="windowText" lastClr="000000"/>
              </a:solidFill>
              <a:latin typeface="方正小标宋简体" panose="03000509000000000000" pitchFamily="4" charset="-122"/>
              <a:ea typeface="方正小标宋简体" panose="03000509000000000000" pitchFamily="4" charset="-122"/>
            </a:endParaRPr>
          </a:p>
        </c:rich>
      </c:tx>
      <c:layout>
        <c:manualLayout>
          <c:xMode val="edge"/>
          <c:yMode val="edge"/>
          <c:x val="0.161955544134652"/>
          <c:y val="0.0281030444964871"/>
        </c:manualLayout>
      </c:layout>
      <c:overlay val="0"/>
      <c:spPr>
        <a:noFill/>
        <a:ln>
          <a:noFill/>
        </a:ln>
        <a:effectLst/>
      </c:spPr>
    </c:title>
    <c:autoTitleDeleted val="0"/>
    <c:plotArea>
      <c:layout/>
      <c:pieChart>
        <c:varyColors val="1"/>
        <c:ser>
          <c:idx val="0"/>
          <c:order val="0"/>
          <c:tx>
            <c:strRef>
              <c:f>Sheet1!$B$1</c:f>
              <c:strCache>
                <c:ptCount val="1"/>
                <c:pt idx="0">
                  <c:v>本年支出</c:v>
                </c:pt>
              </c:strCache>
            </c:strRef>
          </c:tx>
          <c:explosion val="0"/>
          <c:dPt>
            <c:idx val="0"/>
            <c:bubble3D val="0"/>
            <c:explosion val="7"/>
            <c:spPr>
              <a:solidFill>
                <a:schemeClr val="accent1"/>
              </a:solidFill>
              <a:ln w="19050">
                <a:solidFill>
                  <a:schemeClr val="lt1"/>
                </a:solidFill>
              </a:ln>
              <a:effectLst/>
            </c:spPr>
          </c:dPt>
          <c:dPt>
            <c:idx val="1"/>
            <c:bubble3D val="0"/>
            <c:explosion val="8"/>
            <c:spPr>
              <a:solidFill>
                <a:schemeClr val="accent2"/>
              </a:solidFill>
              <a:ln w="19050">
                <a:solidFill>
                  <a:schemeClr val="lt1"/>
                </a:solidFill>
              </a:ln>
              <a:effectLst/>
            </c:spPr>
          </c:dPt>
          <c:dPt>
            <c:idx val="2"/>
            <c:bubble3D val="0"/>
            <c:explosion val="8"/>
            <c:spPr>
              <a:solidFill>
                <a:schemeClr val="accent3"/>
              </a:solidFill>
              <a:ln w="19050">
                <a:solidFill>
                  <a:schemeClr val="lt1"/>
                </a:solidFill>
              </a:ln>
              <a:effectLst/>
            </c:spPr>
          </c:dPt>
          <c:dPt>
            <c:idx val="3"/>
            <c:bubble3D val="0"/>
            <c:explosion val="8"/>
            <c:spPr>
              <a:solidFill>
                <a:schemeClr val="accent4"/>
              </a:solidFill>
              <a:ln w="19050">
                <a:solidFill>
                  <a:schemeClr val="lt1"/>
                </a:solidFill>
              </a:ln>
              <a:effectLst/>
            </c:spPr>
          </c:dPt>
          <c:dPt>
            <c:idx val="4"/>
            <c:bubble3D val="0"/>
            <c:explosion val="8"/>
            <c:spPr>
              <a:solidFill>
                <a:schemeClr val="accent5"/>
              </a:solidFill>
              <a:ln w="19050">
                <a:solidFill>
                  <a:schemeClr val="lt1"/>
                </a:solidFill>
              </a:ln>
              <a:effectLst/>
            </c:spPr>
          </c:dPt>
          <c:dPt>
            <c:idx val="5"/>
            <c:bubble3D val="0"/>
            <c:explosion val="2"/>
            <c:spPr>
              <a:solidFill>
                <a:schemeClr val="accent6"/>
              </a:solidFill>
              <a:ln w="19050">
                <a:solidFill>
                  <a:schemeClr val="lt1"/>
                </a:solidFill>
              </a:ln>
              <a:effectLst/>
            </c:spPr>
          </c:dPt>
          <c:dLbls>
            <c:dLbl>
              <c:idx val="0"/>
              <c:layout>
                <c:manualLayout>
                  <c:x val="-0.0269818835924451"/>
                  <c:y val="-0.00351288056206089"/>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17.89</a:t>
                    </a:r>
                    <a:r>
                      <a:t>， </a:t>
                    </a:r>
                    <a:r>
                      <a:rPr lang="en-US" altLang="zh-CN"/>
                      <a:t>5.58</a:t>
                    </a:r>
                    <a:r>
                      <a:t>%</a:t>
                    </a:r>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1"/>
              <c:layout>
                <c:manualLayout>
                  <c:x val="0.021200051394064"/>
                  <c:y val="0.0175644028103044"/>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10.12</a:t>
                    </a:r>
                    <a:r>
                      <a:t>， </a:t>
                    </a:r>
                    <a:r>
                      <a:rPr lang="en-US" altLang="zh-CN"/>
                      <a:t>3.16</a:t>
                    </a:r>
                    <a:r>
                      <a:t>%</a:t>
                    </a:r>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2"/>
              <c:layout>
                <c:manualLayout>
                  <c:x val="0.0250546061929847"/>
                  <c:y val="0.031615925058548"/>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12.70</a:t>
                    </a:r>
                    <a:r>
                      <a:t>， 3.</a:t>
                    </a:r>
                    <a:r>
                      <a:rPr lang="en-US" altLang="zh-CN"/>
                      <a:t>97</a:t>
                    </a:r>
                    <a:r>
                      <a:t>%</a:t>
                    </a:r>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3"/>
              <c:layout>
                <c:manualLayout>
                  <c:x val="0.0327637157908262"/>
                  <c:y val="0.108899297423888"/>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0.5</a:t>
                    </a:r>
                    <a:r>
                      <a:t>， </a:t>
                    </a:r>
                    <a:r>
                      <a:rPr lang="en-US" altLang="zh-CN"/>
                      <a:t>0.16</a:t>
                    </a:r>
                    <a:r>
                      <a:t>%</a:t>
                    </a:r>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4"/>
              <c:layout>
                <c:manualLayout>
                  <c:x val="0.00578183219838109"/>
                  <c:y val="0.0105386416861827"/>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9.55</a:t>
                    </a:r>
                    <a:r>
                      <a:t>，</a:t>
                    </a:r>
                    <a:r>
                      <a:rPr lang="en-US" altLang="zh-CN"/>
                      <a:t>2.98</a:t>
                    </a:r>
                    <a:r>
                      <a:t>%</a:t>
                    </a:r>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5"/>
              <c:layout>
                <c:manualLayout>
                  <c:x val="-0.0289091609919054"/>
                  <c:y val="-0.133489461358314"/>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269.52</a:t>
                    </a:r>
                    <a:r>
                      <a:t>，</a:t>
                    </a:r>
                    <a:r>
                      <a:rPr lang="en-US" altLang="zh-CN"/>
                      <a:t>84.15</a:t>
                    </a:r>
                    <a:r>
                      <a:t>%</a:t>
                    </a:r>
                  </a:p>
                </c:rich>
              </c:tx>
              <c:dLblPos val="bestFit"/>
              <c:showLegendKey val="0"/>
              <c:showVal val="1"/>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Sheet1!$A$2:$A$7</c:f>
              <c:strCache>
                <c:ptCount val="6"/>
                <c:pt idx="0">
                  <c:v>社会保障和就业</c:v>
                </c:pt>
                <c:pt idx="1">
                  <c:v>卫生健康</c:v>
                </c:pt>
                <c:pt idx="2">
                  <c:v>住房保障</c:v>
                </c:pt>
                <c:pt idx="3">
                  <c:v>节能环保</c:v>
                </c:pt>
                <c:pt idx="4">
                  <c:v>农林水</c:v>
                </c:pt>
                <c:pt idx="5">
                  <c:v>商品服务业等</c:v>
                </c:pt>
              </c:strCache>
            </c:strRef>
          </c:cat>
          <c:val>
            <c:numRef>
              <c:f>Sheet1!$B$2:$B$7</c:f>
              <c:numCache>
                <c:formatCode>General</c:formatCode>
                <c:ptCount val="6"/>
                <c:pt idx="0">
                  <c:v>17.89</c:v>
                </c:pt>
                <c:pt idx="1">
                  <c:v>10.12</c:v>
                </c:pt>
                <c:pt idx="2">
                  <c:v>12.7</c:v>
                </c:pt>
                <c:pt idx="3">
                  <c:v>9.55</c:v>
                </c:pt>
                <c:pt idx="4">
                  <c:v>0.5</c:v>
                </c:pt>
                <c:pt idx="5">
                  <c:v>269.52</c:v>
                </c:pt>
              </c:numCache>
            </c:numRef>
          </c:val>
        </c:ser>
        <c:ser>
          <c:idx val="1"/>
          <c:order val="1"/>
          <c:tx>
            <c:strRef>
              <c:f>Sheet1!$C$1</c:f>
              <c:strCache>
                <c:ptCount val="1"/>
                <c:pt idx="0">
                  <c:v>百分比</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explosion val="1"/>
            <c:spPr>
              <a:solidFill>
                <a:schemeClr val="accent4"/>
              </a:solidFill>
              <a:ln w="19050">
                <a:solidFill>
                  <a:schemeClr val="lt1"/>
                </a:solidFill>
              </a:ln>
              <a:effectLst/>
            </c:spPr>
          </c:dPt>
          <c:dPt>
            <c:idx val="4"/>
            <c:bubble3D val="0"/>
            <c:explosion val="1"/>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Sheet1!$A$2:$A$7</c:f>
              <c:strCache>
                <c:ptCount val="6"/>
                <c:pt idx="0">
                  <c:v>社会保障和就业</c:v>
                </c:pt>
                <c:pt idx="1">
                  <c:v>卫生健康</c:v>
                </c:pt>
                <c:pt idx="2">
                  <c:v>住房保障</c:v>
                </c:pt>
                <c:pt idx="3">
                  <c:v>节能环保</c:v>
                </c:pt>
                <c:pt idx="4">
                  <c:v>农林水</c:v>
                </c:pt>
                <c:pt idx="5">
                  <c:v>商品服务业等</c:v>
                </c:pt>
              </c:strCache>
            </c:strRef>
          </c:cat>
          <c:val>
            <c:numRef>
              <c:f>Sheet1!$C$2:$C$7</c:f>
              <c:numCache>
                <c:formatCode>0.00%</c:formatCode>
                <c:ptCount val="6"/>
                <c:pt idx="0">
                  <c:v>0.0558</c:v>
                </c:pt>
                <c:pt idx="1">
                  <c:v>0.0316</c:v>
                </c:pt>
                <c:pt idx="2">
                  <c:v>0.0397</c:v>
                </c:pt>
                <c:pt idx="3">
                  <c:v>0.0298</c:v>
                </c:pt>
                <c:pt idx="4">
                  <c:v>0.0016</c:v>
                </c:pt>
                <c:pt idx="5">
                  <c:v>0.8415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no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solidFill>
                  <a:sysClr val="windowText" lastClr="000000"/>
                </a:solidFill>
                <a:latin typeface="方正小标宋简体" panose="03000509000000000000" pitchFamily="4" charset="-122"/>
                <a:ea typeface="方正小标宋简体" panose="03000509000000000000" pitchFamily="4" charset="-122"/>
              </a:rPr>
              <a:t>“</a:t>
            </a:r>
            <a:r>
              <a:rPr altLang="en-US">
                <a:solidFill>
                  <a:sysClr val="windowText" lastClr="000000"/>
                </a:solidFill>
                <a:latin typeface="方正小标宋简体" panose="03000509000000000000" pitchFamily="4" charset="-122"/>
                <a:ea typeface="方正小标宋简体" panose="03000509000000000000" pitchFamily="4" charset="-122"/>
              </a:rPr>
              <a:t>三公</a:t>
            </a:r>
            <a:r>
              <a:rPr lang="en-US" altLang="zh-CN">
                <a:solidFill>
                  <a:sysClr val="windowText" lastClr="000000"/>
                </a:solidFill>
                <a:latin typeface="方正小标宋简体" panose="03000509000000000000" pitchFamily="4" charset="-122"/>
                <a:ea typeface="方正小标宋简体" panose="03000509000000000000" pitchFamily="4" charset="-122"/>
              </a:rPr>
              <a:t>”</a:t>
            </a:r>
            <a:r>
              <a:rPr>
                <a:solidFill>
                  <a:sysClr val="windowText" lastClr="000000"/>
                </a:solidFill>
                <a:latin typeface="方正小标宋简体" panose="03000509000000000000" pitchFamily="4" charset="-122"/>
                <a:ea typeface="方正小标宋简体" panose="03000509000000000000" pitchFamily="4" charset="-122"/>
              </a:rPr>
              <a:t>经费财政拨款支出结构</a:t>
            </a:r>
            <a:endParaRPr>
              <a:solidFill>
                <a:sysClr val="windowText" lastClr="000000"/>
              </a:solidFill>
              <a:latin typeface="方正小标宋简体" panose="03000509000000000000" pitchFamily="4" charset="-122"/>
              <a:ea typeface="方正小标宋简体" panose="03000509000000000000" pitchFamily="4" charset="-122"/>
            </a:endParaRPr>
          </a:p>
          <a:p>
            <a:pPr defTabSz="914400">
              <a:defRPr lang="zh-CN" sz="1400" b="0" i="0" u="none" strike="noStrike" kern="1200" spc="0" baseline="0">
                <a:solidFill>
                  <a:schemeClr val="tx1">
                    <a:lumMod val="65000"/>
                    <a:lumOff val="35000"/>
                  </a:schemeClr>
                </a:solidFill>
                <a:latin typeface="+mn-lt"/>
                <a:ea typeface="+mn-ea"/>
                <a:cs typeface="+mn-cs"/>
              </a:defRPr>
            </a:pPr>
            <a:r>
              <a:rPr sz="1200">
                <a:solidFill>
                  <a:sysClr val="windowText" lastClr="000000"/>
                </a:solidFill>
                <a:latin typeface="方正小标宋简体" panose="03000509000000000000" pitchFamily="4" charset="-122"/>
                <a:ea typeface="方正小标宋简体" panose="03000509000000000000" pitchFamily="4" charset="-122"/>
              </a:rPr>
              <a:t>（单位：万元）</a:t>
            </a:r>
            <a:endParaRPr sz="1200">
              <a:solidFill>
                <a:sysClr val="windowText" lastClr="000000"/>
              </a:solidFill>
              <a:latin typeface="方正小标宋简体" panose="03000509000000000000" pitchFamily="4" charset="-122"/>
              <a:ea typeface="方正小标宋简体" panose="03000509000000000000" pitchFamily="4" charset="-122"/>
            </a:endParaRPr>
          </a:p>
        </c:rich>
      </c:tx>
      <c:layout/>
      <c:overlay val="0"/>
      <c:spPr>
        <a:noFill/>
        <a:ln>
          <a:noFill/>
        </a:ln>
        <a:effectLst/>
      </c:spPr>
    </c:title>
    <c:autoTitleDeleted val="0"/>
    <c:plotArea>
      <c:layout/>
      <c:pieChart>
        <c:varyColors val="1"/>
        <c:ser>
          <c:idx val="0"/>
          <c:order val="0"/>
          <c:tx>
            <c:strRef>
              <c:f>Sheet1!$B$1</c:f>
              <c:strCache>
                <c:ptCount val="1"/>
                <c:pt idx="0">
                  <c:v>支出决算</c:v>
                </c:pt>
              </c:strCache>
            </c:strRef>
          </c:tx>
          <c:explosion val="0"/>
          <c:dPt>
            <c:idx val="0"/>
            <c:bubble3D val="0"/>
            <c:spPr>
              <a:solidFill>
                <a:schemeClr val="accent2"/>
              </a:solidFill>
              <a:ln w="19050">
                <a:solidFill>
                  <a:schemeClr val="lt1"/>
                </a:solidFill>
              </a:ln>
              <a:effectLst/>
            </c:spPr>
          </c:dPt>
          <c:dPt>
            <c:idx val="1"/>
            <c:bubble3D val="0"/>
            <c:spPr>
              <a:solidFill>
                <a:schemeClr val="accent4"/>
              </a:solidFill>
              <a:ln w="19050">
                <a:solidFill>
                  <a:schemeClr val="lt1"/>
                </a:solidFill>
              </a:ln>
              <a:effectLst/>
            </c:spPr>
          </c:dPt>
          <c:dPt>
            <c:idx val="2"/>
            <c:bubble3D val="0"/>
            <c:spPr>
              <a:solidFill>
                <a:schemeClr val="accent6"/>
              </a:solidFill>
              <a:ln w="19050">
                <a:solidFill>
                  <a:schemeClr val="lt1"/>
                </a:solidFill>
              </a:ln>
              <a:effectLst/>
            </c:spPr>
          </c:dPt>
          <c:dLbls>
            <c:dLbl>
              <c:idx val="0"/>
              <c:layout>
                <c:manualLayout>
                  <c:x val="-0.00191987712786382"/>
                  <c:y val="0"/>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t>0万元，0.00%</a:t>
                    </a:r>
                  </a:p>
                </c:rich>
              </c:tx>
              <c:dLblPos val="bestFit"/>
              <c:showLegendKey val="0"/>
              <c:showVal val="1"/>
              <c:showCatName val="0"/>
              <c:showSerName val="0"/>
              <c:showPercent val="1"/>
              <c:showBubbleSize val="0"/>
              <c:extLst>
                <c:ext xmlns:c15="http://schemas.microsoft.com/office/drawing/2012/chart" uri="{CE6537A1-D6FC-4f65-9D91-7224C49458BB}">
                  <c15:layout>
                    <c:manualLayout>
                      <c:w val="0.340970177908614"/>
                      <c:h val="0.0712627669452182"/>
                    </c:manualLayout>
                  </c15:layout>
                </c:ext>
              </c:extLst>
            </c:dLbl>
            <c:dLbl>
              <c:idx val="1"/>
              <c:delete val="1"/>
            </c:dLbl>
            <c:dLbl>
              <c:idx val="2"/>
              <c:layout>
                <c:manualLayout>
                  <c:x val="0.00191929658566665"/>
                  <c:y val="-0.256716608620268"/>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t>0.58</a:t>
                    </a:r>
                    <a:r>
                      <a:t>万元， 100.00%</a:t>
                    </a:r>
                  </a:p>
                </c:rich>
              </c:tx>
              <c:dLblPos val="bestFit"/>
              <c:showLegendKey val="0"/>
              <c:showVal val="1"/>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因公出国（境）费用</c:v>
                </c:pt>
                <c:pt idx="1">
                  <c:v>公务用车购置及运行维护费</c:v>
                </c:pt>
                <c:pt idx="2">
                  <c:v>公务接待费</c:v>
                </c:pt>
              </c:strCache>
            </c:strRef>
          </c:cat>
          <c:val>
            <c:numRef>
              <c:f>Sheet1!$B$2:$B$4</c:f>
              <c:numCache>
                <c:formatCode>General</c:formatCode>
                <c:ptCount val="3"/>
                <c:pt idx="0">
                  <c:v>0</c:v>
                </c:pt>
                <c:pt idx="1">
                  <c:v>0</c:v>
                </c:pt>
                <c:pt idx="2">
                  <c:v>0.58</c:v>
                </c:pt>
              </c:numCache>
            </c:numRef>
          </c:val>
        </c:ser>
        <c:ser>
          <c:idx val="1"/>
          <c:order val="1"/>
          <c:tx>
            <c:strRef>
              <c:f>Sheet1!$C$1</c:f>
              <c:strCache>
                <c:ptCount val="1"/>
                <c:pt idx="0">
                  <c:v>百分比</c:v>
                </c:pt>
              </c:strCache>
            </c:strRef>
          </c:tx>
          <c:explosion val="0"/>
          <c:dPt>
            <c:idx val="0"/>
            <c:bubble3D val="0"/>
            <c:spPr>
              <a:solidFill>
                <a:schemeClr val="accent2"/>
              </a:solidFill>
              <a:ln w="19050">
                <a:solidFill>
                  <a:schemeClr val="lt1"/>
                </a:solidFill>
              </a:ln>
              <a:effectLst/>
            </c:spPr>
          </c:dPt>
          <c:dPt>
            <c:idx val="1"/>
            <c:bubble3D val="0"/>
            <c:spPr>
              <a:solidFill>
                <a:schemeClr val="accent4"/>
              </a:solidFill>
              <a:ln w="19050">
                <a:solidFill>
                  <a:schemeClr val="lt1"/>
                </a:solidFill>
              </a:ln>
              <a:effectLst/>
            </c:spPr>
          </c:dPt>
          <c:dPt>
            <c:idx val="2"/>
            <c:bubble3D val="0"/>
            <c:spPr>
              <a:solidFill>
                <a:schemeClr val="accent6"/>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因公出国（境）费用</c:v>
                </c:pt>
                <c:pt idx="1">
                  <c:v>公务用车购置及运行维护费</c:v>
                </c:pt>
                <c:pt idx="2">
                  <c:v>公务接待费</c:v>
                </c:pt>
              </c:strCache>
            </c:strRef>
          </c:cat>
          <c:val>
            <c:numRef>
              <c:f>Sheet1!$C$2:$C$4</c:f>
              <c:numCache>
                <c:formatCode>0%</c:formatCode>
                <c:ptCount val="3"/>
                <c:pt idx="0">
                  <c:v>0</c:v>
                </c:pt>
                <c:pt idx="1">
                  <c:v>0</c:v>
                </c:pt>
                <c:pt idx="2">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7"/>
    <customShpInfo spid="_x0000_s3076"/>
    <customShpInfo spid="_x0000_s1026"/>
    <customShpInfo spid="_x0000_s3074"/>
    <customShpInfo spid="_x0000_s3073"/>
    <customShpInfo spid="_x0000_s307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0ACD3-C931-4644-801A-B9EA7D580E31}">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46</Pages>
  <Words>16621</Words>
  <Characters>17865</Characters>
  <Lines>132</Lines>
  <Paragraphs>37</Paragraphs>
  <TotalTime>28</TotalTime>
  <ScaleCrop>false</ScaleCrop>
  <LinksUpToDate>false</LinksUpToDate>
  <CharactersWithSpaces>17914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王忠烈</cp:lastModifiedBy>
  <cp:lastPrinted>2021-09-27T01:15:00Z</cp:lastPrinted>
  <dcterms:modified xsi:type="dcterms:W3CDTF">2021-09-27T07:04:42Z</dcterms:modified>
  <dc:title>四川省***</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E8489239DE2541A6A180D7E75CFB23FF</vt:lpwstr>
  </property>
</Properties>
</file>