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方正小标宋简体" w:hAnsi="宋体" w:eastAsia="方正小标宋简体"/>
          <w:sz w:val="44"/>
          <w:szCs w:val="44"/>
        </w:rPr>
      </w:pPr>
    </w:p>
    <w:p>
      <w:pPr>
        <w:pStyle w:val="8"/>
        <w:jc w:val="center"/>
        <w:rPr>
          <w:rFonts w:ascii="方正小标宋简体" w:hAnsi="宋体" w:eastAsia="方正小标宋简体"/>
          <w:sz w:val="44"/>
          <w:szCs w:val="44"/>
        </w:rPr>
      </w:pPr>
    </w:p>
    <w:p>
      <w:pPr>
        <w:pStyle w:val="8"/>
        <w:jc w:val="center"/>
        <w:rPr>
          <w:rFonts w:ascii="方正小标宋简体" w:hAnsi="宋体" w:eastAsia="方正小标宋简体"/>
          <w:sz w:val="44"/>
          <w:szCs w:val="44"/>
        </w:rPr>
      </w:pPr>
      <w:r>
        <w:rPr>
          <w:rFonts w:hint="eastAsia" w:ascii="方正小标宋简体" w:hAnsi="宋体" w:eastAsia="方正小标宋简体"/>
          <w:sz w:val="44"/>
          <w:szCs w:val="44"/>
        </w:rPr>
        <w:t>2023年度</w:t>
      </w:r>
      <w:bookmarkStart w:id="0" w:name="_Toc15396598"/>
      <w:bookmarkStart w:id="1" w:name="_Toc15377426"/>
      <w:bookmarkStart w:id="2" w:name="_Toc15378442"/>
      <w:bookmarkStart w:id="3" w:name="_Toc15396476"/>
      <w:bookmarkStart w:id="4" w:name="_Toc15377194"/>
      <w:r>
        <w:rPr>
          <w:rFonts w:hint="eastAsia" w:ascii="方正小标宋简体" w:hAnsi="宋体" w:eastAsia="方正小标宋简体"/>
          <w:sz w:val="44"/>
          <w:szCs w:val="44"/>
        </w:rPr>
        <w:t>四川省</w:t>
      </w:r>
      <w:bookmarkStart w:id="5" w:name="_Toc15306268"/>
      <w:r>
        <w:rPr>
          <w:rFonts w:hint="eastAsia" w:ascii="方正小标宋简体" w:hAnsi="宋体" w:eastAsia="方正小标宋简体"/>
          <w:sz w:val="44"/>
          <w:szCs w:val="44"/>
        </w:rPr>
        <w:t>广元市利州区应急管理局</w:t>
      </w:r>
      <w:bookmarkEnd w:id="0"/>
      <w:bookmarkEnd w:id="1"/>
      <w:bookmarkEnd w:id="2"/>
      <w:bookmarkEnd w:id="3"/>
      <w:bookmarkEnd w:id="4"/>
      <w:bookmarkEnd w:id="5"/>
    </w:p>
    <w:p>
      <w:pPr>
        <w:pStyle w:val="8"/>
        <w:jc w:val="center"/>
        <w:rPr>
          <w:rFonts w:ascii="方正小标宋简体" w:hAnsi="宋体" w:eastAsia="方正小标宋简体"/>
          <w:sz w:val="44"/>
          <w:szCs w:val="44"/>
        </w:rPr>
      </w:pPr>
      <w:r>
        <w:rPr>
          <w:rFonts w:hint="eastAsia" w:ascii="方正小标宋简体" w:hAnsi="宋体" w:eastAsia="方正小标宋简体"/>
          <w:sz w:val="44"/>
          <w:szCs w:val="44"/>
        </w:rPr>
        <w:t>(部门公开)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3"/>
      </w:pPr>
      <w:r>
        <w:rPr>
          <w:rFonts w:hint="eastAsia"/>
        </w:rPr>
        <w:t>公开时间：2023年9月 26 日</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p>
    <w:p>
      <w:pPr>
        <w:pStyle w:val="15"/>
        <w:adjustRightInd w:val="0"/>
        <w:snapToGrid w:val="0"/>
        <w:spacing w:line="44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第一部分部门概况</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一、部门职责</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二、机构设置</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2023年度部门决算情况说明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一、收入支出决算总体情况说明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四、财政拨款收入支出决算总体情况说明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五、一般公共预算财政拨款支出决算情况说明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六、一般公共预算财政拨款基本支出决算情况说明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七、财政拨款“三公”经费支出决算情况说明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八、政府性基金预算支出决算情况说明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九、国有资本经营预算支出决算情况说明</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十、其他重要事项的情况说明</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第三部分名词解释</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第四部分附件</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第五部分附表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四、财政拨款收入支出决算总表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五、财政拨款支出决算明细表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六、一般公共预算财政拨款支出决算表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七、一般公共预算财政拨款支出决算明细表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八、一般公共预算财政拨款基本支出决算明细表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九、一般公共预算财政拨款项目支出决算表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十、政府性基金预算财政拨款收入支出决算表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十一、国有资本经营预算财政拨款收入支出决算表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十二、国有资本经营预算财政拨款支出决算表</w:t>
      </w:r>
    </w:p>
    <w:p>
      <w:pPr>
        <w:pStyle w:val="15"/>
        <w:adjustRightInd w:val="0"/>
        <w:snapToGrid w:val="0"/>
        <w:spacing w:line="4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十三、财政拨款“三公”经费支出决算表</w:t>
      </w:r>
    </w:p>
    <w:p>
      <w:pPr>
        <w:pStyle w:val="15"/>
        <w:adjustRightInd w:val="0"/>
        <w:snapToGrid w:val="0"/>
        <w:spacing w:line="440" w:lineRule="exact"/>
        <w:jc w:val="left"/>
        <w:rPr>
          <w:rFonts w:hint="eastAsia" w:ascii="方正仿宋简体" w:hAnsi="方正仿宋简体" w:eastAsia="方正仿宋简体" w:cs="方正仿宋简体"/>
          <w:sz w:val="32"/>
          <w:szCs w:val="32"/>
        </w:rPr>
      </w:pPr>
    </w:p>
    <w:p>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pPr>
        <w:pStyle w:val="5"/>
        <w:jc w:val="center"/>
        <w:rPr>
          <w:rFonts w:ascii="黑体" w:hAnsi="黑体" w:eastAsia="黑体"/>
          <w:b w:val="0"/>
          <w:bCs w:val="0"/>
        </w:rPr>
      </w:pPr>
      <w:r>
        <w:rPr>
          <w:rFonts w:hint="eastAsia" w:ascii="黑体" w:hAnsi="黑体" w:eastAsia="黑体"/>
          <w:b w:val="0"/>
        </w:rPr>
        <w:t xml:space="preserve">第一部分 </w:t>
      </w:r>
      <w:r>
        <w:rPr>
          <w:rStyle w:val="21"/>
          <w:rFonts w:hint="eastAsia" w:ascii="黑体" w:hAnsi="黑体" w:eastAsia="黑体"/>
          <w:b w:val="0"/>
          <w:bCs w:val="0"/>
        </w:rPr>
        <w:t>部门概况</w:t>
      </w:r>
      <w:bookmarkEnd w:id="6"/>
      <w:bookmarkEnd w:id="7"/>
    </w:p>
    <w:p>
      <w:pPr>
        <w:pStyle w:val="6"/>
        <w:ind w:firstLine="480" w:firstLineChars="150"/>
        <w:rPr>
          <w:rFonts w:ascii="仿宋_GB2312" w:hAnsi="仿宋" w:eastAsia="仿宋_GB2312"/>
          <w:color w:val="000000"/>
        </w:rPr>
      </w:pPr>
      <w:r>
        <w:rPr>
          <w:rFonts w:hint="eastAsia" w:ascii="黑体" w:hAnsi="黑体" w:eastAsia="黑体"/>
          <w:b w:val="0"/>
        </w:rPr>
        <w:t>一、部门职责</w:t>
      </w:r>
      <w:r>
        <w:rPr>
          <w:rFonts w:hint="eastAsia" w:ascii="仿宋" w:hAnsi="仿宋" w:eastAsia="仿宋"/>
          <w:color w:val="000000"/>
        </w:rPr>
        <w:t>（职能参照区政府批准的三定方案）</w:t>
      </w:r>
    </w:p>
    <w:p>
      <w:pPr>
        <w:pStyle w:val="6"/>
        <w:ind w:firstLine="482" w:firstLineChars="150"/>
        <w:rPr>
          <w:rFonts w:ascii="仿宋_GB2312" w:hAnsi="仿宋" w:eastAsia="仿宋_GB2312"/>
          <w:color w:val="000000"/>
        </w:rPr>
      </w:pPr>
      <w:r>
        <w:rPr>
          <w:rFonts w:hint="eastAsia" w:ascii="仿宋_GB2312" w:hAnsi="仿宋" w:eastAsia="仿宋_GB2312"/>
          <w:color w:val="000000"/>
        </w:rPr>
        <w:t>1.负责应急管理工作，组织和指导各乡镇（街道）、区级各部门应对安全生产类、自然灾害类等突发事件和综合防灾减灾救灾工作。负责安全生产综合监督管理和工矿商贸、煤炭行业安全生产监督管理工作。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2.拟订应急管理、安全生产等政策措施，组织编制应急救援体系建设、安全生产和综合防灾减灾规划。</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4 .牵头建立统一的应急管理信息系统，负责信息传输渠道的规划和布局，建立监测预警和灾情报告制度，健全自然灾害信息资源获取和共享机制，依法统一发布灾情。</w:t>
      </w:r>
    </w:p>
    <w:p>
      <w:pPr>
        <w:pStyle w:val="8"/>
        <w:adjustRightInd w:val="0"/>
        <w:snapToGrid w:val="0"/>
        <w:spacing w:line="576" w:lineRule="exact"/>
        <w:ind w:firstLine="320" w:firstLineChars="1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5.负责组织、指导、协调安全生产类、自然灾害类等突发事件应急救援，承担全区应对灾害指挥部工作，综合研判突发事件发展态势并提出应对建议，负责组织灾害应急处置工作。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6.统一协调指挥各类应急专业队伍，建立应急协调联动机制，推进指挥平台对接，提请衔接解放军和武警部队参与应急救援工作。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7.按照国家、省、市相关政策和规定负责消防、森林火灾扑救、抗洪抢险、地震和地质灾害救援、生产安全事故救援等专业应急救援力量建设，依法依规统筹指导各乡镇（街道）、区级有关部门及社会应急救援力量和应急能力建设。</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8.按照国家相关政策和省、市、区相关规定负责消防工作，组织和指导消防监督、火灾预防、火灾扑救等工作。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9.负责灾害综合监测预警工作，承担自然灾害综合风险评估工作。指导协调森林火灾、水旱灾害、地质灾害等防治工作。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10.负责组织、协调灾害救助工作，组织和指导灾情核查、损失评估、救灾捐赠工作，管理、分配中央、省级、市级下拨及区级救灾款物并监督使用。</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11.依法承担区政府安全生产综合监督管理责任，指导协调、监督检查各乡镇（街道）和区级有关部门安全生产工作，组织开展安全生产巡查、考核工作。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13.承担煤矿、非煤矿山安全生产准入初审，危险化学品和烟花爆竹等生产经营单位安全生产准入及非药品类易制毒化学品备案管理责任。</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查处理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17.依法组织、指导生产安全事故调查处理，监督事故查处和责任追究落实情况。组织开展自然灾害类突发事件的调查评估工作。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18.开展应急管理和安全生产方面的交流与合作，参与安全生产类、自然灾害类等突发事件的跨区域救援工作 。</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19.制定应急物资和应急救援装备规划并组织实施，会同区发展改革局等部门建立健全应急物资信息平台和调拨制度，在救灾时统一调度。</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20.负责应急管理、安全生产等宣传教育和培训工作，组织和指导应急管理、安全生产的科学技术研究、推广应用和信息化建设工作。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21.负责职责范围内的职业健康、生态环境保护、审批服务便民化等工作。</w:t>
      </w:r>
    </w:p>
    <w:p>
      <w:pPr>
        <w:pStyle w:val="8"/>
        <w:adjustRightInd w:val="0"/>
        <w:snapToGrid w:val="0"/>
        <w:spacing w:line="576" w:lineRule="exact"/>
        <w:ind w:firstLine="640" w:firstLineChars="200"/>
        <w:outlineLvl w:val="2"/>
        <w:rPr>
          <w:rFonts w:ascii="仿宋_GB2312" w:hAnsi="仿宋" w:eastAsia="仿宋_GB2312"/>
          <w:bCs/>
          <w:color w:val="000000"/>
          <w:sz w:val="32"/>
          <w:szCs w:val="32"/>
        </w:rPr>
      </w:pPr>
      <w:r>
        <w:rPr>
          <w:rFonts w:hint="eastAsia" w:ascii="仿宋_GB2312" w:hAnsi="仿宋" w:eastAsia="仿宋_GB2312"/>
          <w:bCs/>
          <w:color w:val="000000"/>
          <w:sz w:val="32"/>
          <w:szCs w:val="32"/>
        </w:rPr>
        <w:t>22.完成区委、区政府交办的其他任务。</w:t>
      </w:r>
    </w:p>
    <w:p>
      <w:pPr>
        <w:pStyle w:val="6"/>
        <w:ind w:firstLine="640" w:firstLineChars="200"/>
        <w:rPr>
          <w:rStyle w:val="22"/>
          <w:b w:val="0"/>
          <w:bCs w:val="0"/>
        </w:rPr>
      </w:pPr>
      <w:bookmarkStart w:id="8" w:name="_Toc15377200"/>
      <w:bookmarkStart w:id="9" w:name="_Toc15396601"/>
      <w:r>
        <w:rPr>
          <w:rFonts w:hint="eastAsia" w:ascii="黑体" w:eastAsia="黑体"/>
          <w:b w:val="0"/>
        </w:rPr>
        <w:t>二、</w:t>
      </w:r>
      <w:r>
        <w:rPr>
          <w:rFonts w:hint="eastAsia" w:ascii="黑体" w:hAnsi="黑体" w:eastAsia="黑体"/>
          <w:b w:val="0"/>
        </w:rPr>
        <w:t>机</w:t>
      </w:r>
      <w:r>
        <w:rPr>
          <w:rStyle w:val="22"/>
          <w:rFonts w:hint="eastAsia" w:ascii="黑体" w:hAnsi="黑体" w:eastAsia="黑体"/>
          <w:b w:val="0"/>
          <w:bCs w:val="0"/>
        </w:rPr>
        <w:t>构设置</w:t>
      </w:r>
      <w:bookmarkEnd w:id="8"/>
      <w:bookmarkEnd w:id="9"/>
    </w:p>
    <w:p>
      <w:pPr>
        <w:ind w:firstLine="640" w:firstLineChars="200"/>
        <w:rPr>
          <w:rFonts w:ascii="仿宋" w:hAnsi="仿宋" w:eastAsia="仿宋"/>
          <w:sz w:val="32"/>
          <w:szCs w:val="32"/>
        </w:rPr>
      </w:pPr>
      <w:r>
        <w:rPr>
          <w:rFonts w:hint="eastAsia" w:ascii="仿宋" w:hAnsi="仿宋" w:eastAsia="仿宋"/>
          <w:sz w:val="32"/>
          <w:szCs w:val="32"/>
        </w:rPr>
        <w:t>区应急管理局下属二级预算单位5个，其中行政单位1个，其他事业单位4个。</w:t>
      </w:r>
    </w:p>
    <w:p>
      <w:pPr>
        <w:pStyle w:val="8"/>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纳入2023年度部门决算编制范围的二级预算单位包括：</w:t>
      </w:r>
    </w:p>
    <w:p>
      <w:pPr>
        <w:pStyle w:val="8"/>
        <w:adjustRightInd w:val="0"/>
        <w:snapToGrid w:val="0"/>
        <w:spacing w:line="576" w:lineRule="exact"/>
        <w:ind w:firstLine="640" w:firstLineChars="200"/>
        <w:outlineLvl w:val="2"/>
        <w:rPr>
          <w:rFonts w:ascii="仿宋" w:hAnsi="仿宋" w:eastAsia="仿宋"/>
          <w:color w:val="000000"/>
          <w:sz w:val="32"/>
          <w:szCs w:val="32"/>
        </w:rPr>
      </w:pPr>
      <w:bookmarkStart w:id="10" w:name="_Toc15377432"/>
      <w:bookmarkStart w:id="11" w:name="_Toc15378448"/>
      <w:bookmarkStart w:id="12" w:name="_Toc15306275"/>
      <w:bookmarkStart w:id="13" w:name="_Toc15377201"/>
      <w:r>
        <w:rPr>
          <w:rFonts w:hint="eastAsia" w:ascii="仿宋" w:hAnsi="仿宋" w:eastAsia="仿宋"/>
          <w:color w:val="000000"/>
          <w:sz w:val="32"/>
          <w:szCs w:val="32"/>
        </w:rPr>
        <w:t>1.区减灾中心</w:t>
      </w:r>
    </w:p>
    <w:p>
      <w:pPr>
        <w:pStyle w:val="8"/>
        <w:adjustRightInd w:val="0"/>
        <w:snapToGrid w:val="0"/>
        <w:spacing w:line="576"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2.区安全生产应急救援中心</w:t>
      </w:r>
    </w:p>
    <w:p>
      <w:pPr>
        <w:pStyle w:val="8"/>
        <w:adjustRightInd w:val="0"/>
        <w:snapToGrid w:val="0"/>
        <w:spacing w:line="576"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3.区应急管理技术服务中心</w:t>
      </w:r>
    </w:p>
    <w:p>
      <w:pPr>
        <w:pStyle w:val="8"/>
        <w:adjustRightInd w:val="0"/>
        <w:snapToGrid w:val="0"/>
        <w:spacing w:line="576"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4.区矿山安全技术指导站</w:t>
      </w:r>
      <w:bookmarkEnd w:id="10"/>
      <w:bookmarkEnd w:id="11"/>
      <w:bookmarkEnd w:id="12"/>
      <w:bookmarkEnd w:id="13"/>
      <w:r>
        <w:rPr>
          <w:rFonts w:ascii="仿宋" w:hAnsi="仿宋" w:eastAsia="仿宋"/>
          <w:sz w:val="32"/>
          <w:szCs w:val="32"/>
        </w:rPr>
        <w:br w:type="page"/>
      </w:r>
    </w:p>
    <w:p>
      <w:pPr>
        <w:pStyle w:val="5"/>
        <w:ind w:right="440"/>
        <w:jc w:val="center"/>
        <w:rPr>
          <w:rFonts w:ascii="黑体" w:hAnsi="黑体" w:eastAsia="黑体"/>
          <w:b w:val="0"/>
          <w:bCs w:val="0"/>
        </w:rPr>
      </w:pPr>
      <w:bookmarkStart w:id="14" w:name="_Toc15396602"/>
      <w:bookmarkStart w:id="15" w:name="_Toc15377204"/>
      <w:r>
        <w:rPr>
          <w:rFonts w:hint="eastAsia" w:ascii="黑体" w:hAnsi="黑体" w:eastAsia="黑体"/>
          <w:b w:val="0"/>
        </w:rPr>
        <w:t>第二部分 2023年度</w:t>
      </w:r>
      <w:r>
        <w:rPr>
          <w:rStyle w:val="21"/>
          <w:rFonts w:hint="eastAsia" w:ascii="黑体" w:hAnsi="黑体" w:eastAsia="黑体"/>
          <w:b w:val="0"/>
          <w:bCs w:val="0"/>
        </w:rPr>
        <w:t>部门决算情况说明</w:t>
      </w:r>
      <w:bookmarkEnd w:id="14"/>
      <w:bookmarkEnd w:id="15"/>
    </w:p>
    <w:p>
      <w:pPr>
        <w:pStyle w:val="26"/>
        <w:numPr>
          <w:ilvl w:val="0"/>
          <w:numId w:val="1"/>
        </w:numPr>
        <w:spacing w:line="600" w:lineRule="exact"/>
        <w:ind w:firstLineChars="0"/>
        <w:outlineLvl w:val="1"/>
        <w:rPr>
          <w:rStyle w:val="22"/>
          <w:rFonts w:ascii="黑体" w:hAnsi="黑体" w:eastAsia="黑体"/>
          <w:b w:val="0"/>
        </w:rPr>
      </w:pPr>
      <w:bookmarkStart w:id="16" w:name="_Toc15396603"/>
      <w:bookmarkStart w:id="17" w:name="_Toc15377205"/>
      <w:r>
        <w:rPr>
          <w:rFonts w:hint="eastAsia" w:ascii="黑体" w:hAnsi="黑体" w:eastAsia="黑体"/>
          <w:sz w:val="32"/>
          <w:szCs w:val="32"/>
        </w:rPr>
        <w:t>收</w:t>
      </w:r>
      <w:r>
        <w:rPr>
          <w:rStyle w:val="22"/>
          <w:rFonts w:hint="eastAsia" w:ascii="黑体" w:hAnsi="黑体" w:eastAsia="黑体"/>
          <w:b w:val="0"/>
        </w:rPr>
        <w:t>入支出决算总体情况说明</w:t>
      </w:r>
      <w:bookmarkEnd w:id="16"/>
      <w:bookmarkEnd w:id="17"/>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2023年度收、支总计均为2359.92万元。与2022年度相比，收、支总计各减少279.84万元，下降11</w:t>
      </w:r>
      <w:r>
        <w:rPr>
          <w:rFonts w:ascii="仿宋" w:hAnsi="仿宋" w:eastAsia="仿宋"/>
          <w:sz w:val="32"/>
          <w:szCs w:val="32"/>
        </w:rPr>
        <w:t>%</w:t>
      </w:r>
      <w:r>
        <w:rPr>
          <w:rFonts w:hint="eastAsia" w:ascii="仿宋" w:hAnsi="仿宋" w:eastAsia="仿宋"/>
          <w:sz w:val="32"/>
          <w:szCs w:val="32"/>
        </w:rPr>
        <w:t>。主要变动原因是中央省救灾专项资金金额比往年有所减少。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
        <w:ind w:left="420"/>
      </w:pPr>
      <w:r>
        <w:drawing>
          <wp:inline distT="0" distB="0" distL="0" distR="0">
            <wp:extent cx="4838700" cy="2571750"/>
            <wp:effectExtent l="19050" t="0" r="19050" b="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6"/>
        <w:numPr>
          <w:ilvl w:val="0"/>
          <w:numId w:val="1"/>
        </w:numPr>
        <w:spacing w:line="600" w:lineRule="exact"/>
        <w:ind w:firstLineChars="0"/>
        <w:outlineLvl w:val="1"/>
        <w:rPr>
          <w:rStyle w:val="22"/>
          <w:rFonts w:ascii="黑体" w:hAnsi="黑体" w:eastAsia="黑体"/>
          <w:b w:val="0"/>
          <w:color w:val="000000" w:themeColor="text1"/>
        </w:rPr>
      </w:pPr>
      <w:bookmarkStart w:id="18" w:name="_Toc15396604"/>
      <w:bookmarkStart w:id="19" w:name="_Toc15377206"/>
      <w:r>
        <w:rPr>
          <w:rFonts w:hint="eastAsia" w:ascii="黑体" w:hAnsi="黑体" w:eastAsia="黑体"/>
          <w:color w:val="000000" w:themeColor="text1"/>
          <w:sz w:val="32"/>
          <w:szCs w:val="32"/>
        </w:rPr>
        <w:t>收</w:t>
      </w:r>
      <w:r>
        <w:rPr>
          <w:rStyle w:val="22"/>
          <w:rFonts w:hint="eastAsia" w:ascii="黑体" w:hAnsi="黑体" w:eastAsia="黑体"/>
          <w:b w:val="0"/>
          <w:color w:val="000000" w:themeColor="text1"/>
        </w:rPr>
        <w:t>入决算情况说明</w:t>
      </w:r>
      <w:bookmarkEnd w:id="18"/>
      <w:bookmarkEnd w:id="19"/>
    </w:p>
    <w:p>
      <w:pPr>
        <w:spacing w:line="600" w:lineRule="exact"/>
        <w:ind w:firstLine="640" w:firstLineChars="200"/>
        <w:outlineLvl w:val="1"/>
        <w:rPr>
          <w:rFonts w:ascii="仿宋" w:hAnsi="仿宋" w:eastAsia="仿宋"/>
          <w:color w:val="000000" w:themeColor="text1"/>
          <w:sz w:val="32"/>
          <w:szCs w:val="32"/>
        </w:rPr>
      </w:pPr>
      <w:r>
        <w:rPr>
          <w:rFonts w:hint="eastAsia" w:ascii="仿宋" w:hAnsi="仿宋" w:eastAsia="仿宋"/>
          <w:color w:val="000000" w:themeColor="text1"/>
          <w:sz w:val="32"/>
          <w:szCs w:val="32"/>
        </w:rPr>
        <w:t>2023年度本年收入合计2359.92万元，其中：一般公共预算财政拨款收入2359.92万元，占100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；政府性基金预算财政拨款收入0万元，占0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；国有资本经营预算财政拨款收入0万元，占0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；上级补助收入0万元，占0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；事业收入0万元，占0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；经营收入0万元，占0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；附属单位上缴收入0万元，占0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；其他收入0万元，占0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1"/>
        <w:rPr>
          <w:rFonts w:ascii="仿宋" w:hAnsi="仿宋" w:eastAsia="仿宋"/>
          <w:b/>
          <w:color w:val="000000" w:themeColor="text1"/>
          <w:sz w:val="32"/>
          <w:szCs w:val="32"/>
        </w:rPr>
      </w:pPr>
      <w:r>
        <w:rPr>
          <w:rFonts w:hint="eastAsia" w:ascii="仿宋" w:hAnsi="仿宋" w:eastAsia="仿宋"/>
          <w:b/>
          <w:color w:val="000000" w:themeColor="text1"/>
          <w:sz w:val="32"/>
          <w:szCs w:val="32"/>
        </w:rPr>
        <w:t>（注：数据来源于财决</w:t>
      </w:r>
      <w:r>
        <w:rPr>
          <w:rFonts w:ascii="仿宋" w:hAnsi="仿宋" w:eastAsia="仿宋"/>
          <w:b/>
          <w:color w:val="000000" w:themeColor="text1"/>
          <w:sz w:val="32"/>
          <w:szCs w:val="32"/>
        </w:rPr>
        <w:t>01表）</w:t>
      </w:r>
    </w:p>
    <w:p>
      <w:pPr>
        <w:pStyle w:val="2"/>
        <w:rPr>
          <w:color w:val="000000" w:themeColor="text1"/>
        </w:rPr>
      </w:pPr>
    </w:p>
    <w:p>
      <w:pPr>
        <w:pStyle w:val="3"/>
        <w:ind w:left="420"/>
        <w:rPr>
          <w:color w:val="000000" w:themeColor="text1"/>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rPr>
          <w:rFonts w:ascii="仿宋" w:hAnsi="仿宋" w:eastAsia="仿宋"/>
          <w:color w:val="FF0000"/>
          <w:sz w:val="32"/>
          <w:szCs w:val="32"/>
        </w:rPr>
      </w:pPr>
      <w:r>
        <w:rPr>
          <w:color w:val="FF0000"/>
        </w:rPr>
        <w:drawing>
          <wp:anchor distT="0" distB="0" distL="114300" distR="114300" simplePos="0" relativeHeight="251660288" behindDoc="0" locked="0" layoutInCell="1" allowOverlap="1">
            <wp:simplePos x="0" y="0"/>
            <wp:positionH relativeFrom="column">
              <wp:posOffset>9525</wp:posOffset>
            </wp:positionH>
            <wp:positionV relativeFrom="paragraph">
              <wp:posOffset>76200</wp:posOffset>
            </wp:positionV>
            <wp:extent cx="5274310" cy="3076575"/>
            <wp:effectExtent l="19050" t="0" r="21590" b="0"/>
            <wp:wrapSquare wrapText="bothSides"/>
            <wp:docPr id="2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6"/>
        <w:numPr>
          <w:ilvl w:val="0"/>
          <w:numId w:val="1"/>
        </w:numPr>
        <w:spacing w:line="600" w:lineRule="exact"/>
        <w:ind w:firstLineChars="0"/>
        <w:outlineLvl w:val="1"/>
        <w:rPr>
          <w:rStyle w:val="22"/>
          <w:rFonts w:ascii="黑体" w:hAnsi="黑体" w:eastAsia="黑体"/>
          <w:b w:val="0"/>
          <w:color w:val="000000" w:themeColor="text1"/>
        </w:rPr>
      </w:pPr>
      <w:bookmarkStart w:id="20" w:name="_Toc15377207"/>
      <w:bookmarkStart w:id="21" w:name="_Toc15396605"/>
      <w:r>
        <w:rPr>
          <w:rFonts w:hint="eastAsia" w:ascii="黑体" w:hAnsi="黑体" w:eastAsia="黑体"/>
          <w:color w:val="000000" w:themeColor="text1"/>
          <w:sz w:val="32"/>
          <w:szCs w:val="32"/>
        </w:rPr>
        <w:t>支</w:t>
      </w:r>
      <w:r>
        <w:rPr>
          <w:rStyle w:val="22"/>
          <w:rFonts w:hint="eastAsia" w:ascii="黑体" w:hAnsi="黑体" w:eastAsia="黑体"/>
          <w:b w:val="0"/>
          <w:color w:val="000000" w:themeColor="text1"/>
        </w:rPr>
        <w:t>出决算情况说明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2023年度本年支出合计2359.92万元，其中：基本支出1251.66万元，占53</w:t>
      </w:r>
      <w:r>
        <w:rPr>
          <w:rFonts w:ascii="仿宋" w:hAnsi="仿宋" w:eastAsia="仿宋"/>
          <w:sz w:val="32"/>
          <w:szCs w:val="32"/>
        </w:rPr>
        <w:t>%</w:t>
      </w:r>
      <w:r>
        <w:rPr>
          <w:rFonts w:hint="eastAsia" w:ascii="仿宋" w:hAnsi="仿宋" w:eastAsia="仿宋"/>
          <w:sz w:val="32"/>
          <w:szCs w:val="32"/>
        </w:rPr>
        <w:t>；项目支出1108.26万元，占47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outlineLvl w:val="1"/>
        <w:rPr>
          <w:rFonts w:ascii="黑体" w:hAnsi="黑体" w:eastAsia="黑体"/>
          <w:sz w:val="32"/>
          <w:szCs w:val="32"/>
        </w:rPr>
      </w:pPr>
      <w:bookmarkStart w:id="22" w:name="_Toc15396606"/>
      <w:bookmarkStart w:id="23" w:name="_Toc15377208"/>
      <w:r>
        <w:rPr>
          <w:rFonts w:hint="eastAsia" w:ascii="黑体" w:hAnsi="黑体" w:eastAsia="黑体"/>
          <w:sz w:val="32"/>
          <w:szCs w:val="32"/>
        </w:rPr>
        <w:drawing>
          <wp:anchor distT="0" distB="0" distL="114300" distR="114300" simplePos="0" relativeHeight="251659264" behindDoc="1" locked="0" layoutInCell="1" allowOverlap="1">
            <wp:simplePos x="0" y="0"/>
            <wp:positionH relativeFrom="column">
              <wp:posOffset>247650</wp:posOffset>
            </wp:positionH>
            <wp:positionV relativeFrom="paragraph">
              <wp:posOffset>209550</wp:posOffset>
            </wp:positionV>
            <wp:extent cx="3376930" cy="2295525"/>
            <wp:effectExtent l="19050" t="0" r="13970" b="0"/>
            <wp:wrapTight wrapText="bothSides">
              <wp:wrapPolygon>
                <wp:start x="-122" y="0"/>
                <wp:lineTo x="-122" y="21510"/>
                <wp:lineTo x="21689" y="21510"/>
                <wp:lineTo x="21689" y="0"/>
                <wp:lineTo x="-122" y="0"/>
              </wp:wrapPolygon>
            </wp:wrapTight>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outlineLvl w:val="1"/>
        <w:rPr>
          <w:rFonts w:ascii="黑体" w:hAnsi="黑体" w:eastAsia="黑体"/>
          <w:sz w:val="32"/>
          <w:szCs w:val="32"/>
        </w:rPr>
      </w:pPr>
    </w:p>
    <w:p>
      <w:pPr>
        <w:spacing w:line="600" w:lineRule="exact"/>
        <w:outlineLvl w:val="1"/>
        <w:rPr>
          <w:rFonts w:ascii="黑体" w:hAnsi="黑体" w:eastAsia="黑体"/>
          <w:sz w:val="32"/>
          <w:szCs w:val="32"/>
        </w:rPr>
      </w:pPr>
    </w:p>
    <w:p>
      <w:pPr>
        <w:spacing w:line="600" w:lineRule="exact"/>
        <w:outlineLvl w:val="1"/>
        <w:rPr>
          <w:rFonts w:ascii="黑体" w:hAnsi="黑体" w:eastAsia="黑体"/>
          <w:sz w:val="32"/>
          <w:szCs w:val="32"/>
        </w:rPr>
      </w:pPr>
    </w:p>
    <w:p>
      <w:pPr>
        <w:pStyle w:val="3"/>
        <w:ind w:left="0" w:leftChars="0" w:firstLine="0" w:firstLineChars="0"/>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Style w:val="22"/>
          <w:rFonts w:ascii="黑体" w:hAnsi="黑体" w:eastAsia="黑体"/>
          <w:b w:val="0"/>
        </w:rPr>
      </w:pPr>
      <w:r>
        <w:rPr>
          <w:rFonts w:hint="eastAsia" w:ascii="黑体" w:hAnsi="黑体" w:eastAsia="黑体"/>
          <w:sz w:val="32"/>
          <w:szCs w:val="32"/>
        </w:rPr>
        <w:t>四、财</w:t>
      </w:r>
      <w:r>
        <w:rPr>
          <w:rStyle w:val="22"/>
          <w:rFonts w:hint="eastAsia" w:ascii="黑体" w:hAnsi="黑体" w:eastAsia="黑体"/>
          <w:b w:val="0"/>
        </w:rPr>
        <w:t>政拨款收入支出决算总体情况说明</w:t>
      </w:r>
      <w:bookmarkEnd w:id="22"/>
      <w:bookmarkEnd w:id="23"/>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2023年度财政拨款收、支总计均为2359.99万元。与2022年度相比，财政拨款收、支总计各</w:t>
      </w:r>
      <w:r>
        <w:rPr>
          <w:rFonts w:ascii="仿宋" w:hAnsi="仿宋" w:eastAsia="仿宋"/>
          <w:sz w:val="32"/>
          <w:szCs w:val="32"/>
        </w:rPr>
        <w:t>/</w:t>
      </w:r>
      <w:r>
        <w:rPr>
          <w:rFonts w:hint="eastAsia" w:ascii="仿宋" w:hAnsi="仿宋" w:eastAsia="仿宋"/>
          <w:sz w:val="32"/>
          <w:szCs w:val="32"/>
        </w:rPr>
        <w:t>减少279.84万元，下降11</w:t>
      </w:r>
      <w:r>
        <w:rPr>
          <w:rFonts w:ascii="仿宋" w:hAnsi="仿宋" w:eastAsia="仿宋"/>
          <w:sz w:val="32"/>
          <w:szCs w:val="32"/>
        </w:rPr>
        <w:t>%</w:t>
      </w:r>
      <w:r>
        <w:rPr>
          <w:rFonts w:hint="eastAsia" w:ascii="仿宋" w:hAnsi="仿宋" w:eastAsia="仿宋"/>
          <w:sz w:val="32"/>
          <w:szCs w:val="32"/>
        </w:rPr>
        <w:t>。主要变动原因是中央、省救灾专项资金比去年有所下降。</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pPr>
    </w:p>
    <w:p>
      <w:pPr>
        <w:pStyle w:val="3"/>
        <w:ind w:left="420"/>
      </w:pPr>
      <w:r>
        <w:rPr>
          <w:rFonts w:hint="eastAsia"/>
        </w:rPr>
        <w:drawing>
          <wp:inline distT="0" distB="0" distL="114300" distR="114300">
            <wp:extent cx="4861560" cy="3429000"/>
            <wp:effectExtent l="19050" t="0" r="15240" b="0"/>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2"/>
          <w:rFonts w:ascii="黑体" w:hAnsi="黑体" w:eastAsia="黑体"/>
          <w:b w:val="0"/>
        </w:rPr>
      </w:pPr>
      <w:bookmarkStart w:id="24" w:name="_Toc15396607"/>
      <w:bookmarkStart w:id="25" w:name="_Toc15377209"/>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b w:val="0"/>
        </w:rPr>
        <w:t>般公共预算财政拨款支出决算情况说明</w:t>
      </w:r>
      <w:bookmarkEnd w:id="24"/>
      <w:bookmarkEnd w:id="25"/>
    </w:p>
    <w:p>
      <w:pPr>
        <w:spacing w:line="600" w:lineRule="exact"/>
        <w:ind w:firstLine="643" w:firstLineChars="200"/>
        <w:outlineLvl w:val="2"/>
        <w:rPr>
          <w:rFonts w:ascii="仿宋" w:hAnsi="仿宋" w:eastAsia="仿宋"/>
          <w:b/>
          <w:sz w:val="32"/>
          <w:szCs w:val="32"/>
        </w:rPr>
      </w:pPr>
      <w:bookmarkStart w:id="26" w:name="_Toc15377210"/>
      <w:r>
        <w:rPr>
          <w:rFonts w:hint="eastAsia" w:ascii="仿宋" w:hAnsi="仿宋" w:eastAsia="仿宋"/>
          <w:b/>
          <w:sz w:val="32"/>
          <w:szCs w:val="32"/>
        </w:rPr>
        <w:t>（一）一般公共预算财政拨款支出决算总体情况</w:t>
      </w:r>
      <w:bookmarkEnd w:id="26"/>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2023年度一般公共预算财政拨款支出2359.86万元，占本年支出合计的100</w:t>
      </w:r>
      <w:r>
        <w:rPr>
          <w:rFonts w:ascii="仿宋" w:hAnsi="仿宋" w:eastAsia="仿宋"/>
          <w:sz w:val="32"/>
          <w:szCs w:val="32"/>
        </w:rPr>
        <w:t>%</w:t>
      </w:r>
      <w:r>
        <w:rPr>
          <w:rFonts w:hint="eastAsia" w:ascii="仿宋" w:hAnsi="仿宋" w:eastAsia="仿宋"/>
          <w:sz w:val="32"/>
          <w:szCs w:val="32"/>
        </w:rPr>
        <w:t>。与2022年度相比，一般公共预算财政拨款支出减少279.9万元，下降11</w:t>
      </w:r>
      <w:r>
        <w:rPr>
          <w:rFonts w:ascii="仿宋" w:hAnsi="仿宋" w:eastAsia="仿宋"/>
          <w:sz w:val="32"/>
          <w:szCs w:val="32"/>
        </w:rPr>
        <w:t>%</w:t>
      </w:r>
      <w:r>
        <w:rPr>
          <w:rFonts w:hint="eastAsia" w:ascii="仿宋" w:hAnsi="仿宋" w:eastAsia="仿宋"/>
          <w:sz w:val="32"/>
          <w:szCs w:val="32"/>
        </w:rPr>
        <w:t>。主要变动原因是中央、省救灾专项资金比去年有所下降。</w:t>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 （柱状图）</w:t>
      </w:r>
    </w:p>
    <w:p>
      <w:pPr>
        <w:pStyle w:val="2"/>
      </w:pPr>
    </w:p>
    <w:p>
      <w:pPr>
        <w:pStyle w:val="3"/>
        <w:ind w:left="420"/>
      </w:pPr>
      <w:r>
        <w:rPr>
          <w:rFonts w:hint="eastAsia"/>
        </w:rPr>
        <w:drawing>
          <wp:inline distT="0" distB="0" distL="114300" distR="114300">
            <wp:extent cx="4861560" cy="3429000"/>
            <wp:effectExtent l="4445" t="4445" r="10795" b="14605"/>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3" w:firstLineChars="200"/>
        <w:outlineLvl w:val="2"/>
        <w:rPr>
          <w:rFonts w:ascii="仿宋" w:hAnsi="仿宋" w:eastAsia="仿宋"/>
          <w:b/>
          <w:sz w:val="32"/>
          <w:szCs w:val="32"/>
        </w:rPr>
      </w:pPr>
      <w:bookmarkStart w:id="27" w:name="_Toc15377211"/>
      <w:r>
        <w:rPr>
          <w:rFonts w:hint="eastAsia" w:ascii="仿宋" w:hAnsi="仿宋" w:eastAsia="仿宋"/>
          <w:b/>
          <w:sz w:val="32"/>
          <w:szCs w:val="32"/>
        </w:rPr>
        <w:t>（二）一般公共预算财政拨款支出决算结构情况</w:t>
      </w:r>
      <w:bookmarkEnd w:id="27"/>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2023年度一般公共预算财政拨款支出2359.86万元，主要用于以下方面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149.31万元，占6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42.24万元，占2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84.45万元，占4</w:t>
      </w:r>
      <w:r>
        <w:rPr>
          <w:rFonts w:ascii="仿宋" w:hAnsi="仿宋" w:eastAsia="仿宋"/>
          <w:sz w:val="32"/>
          <w:szCs w:val="32"/>
        </w:rPr>
        <w:t>%</w:t>
      </w:r>
      <w:r>
        <w:rPr>
          <w:rFonts w:hint="eastAsia" w:ascii="仿宋" w:hAnsi="仿宋" w:eastAsia="仿宋"/>
          <w:sz w:val="32"/>
          <w:szCs w:val="32"/>
        </w:rPr>
        <w:t>；灾害防治及应急管理支出2083.86万元，占88</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 （饼状图）</w:t>
      </w:r>
    </w:p>
    <w:p>
      <w:pPr>
        <w:pStyle w:val="2"/>
      </w:pPr>
    </w:p>
    <w:p>
      <w:pPr>
        <w:pStyle w:val="3"/>
        <w:ind w:left="0" w:leftChars="0"/>
      </w:pPr>
      <w:r>
        <w:rPr>
          <w:rFonts w:hint="eastAsia"/>
        </w:rPr>
        <w:drawing>
          <wp:inline distT="0" distB="0" distL="114300" distR="114300">
            <wp:extent cx="5274310" cy="4147820"/>
            <wp:effectExtent l="19050" t="0" r="21590" b="5080"/>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sz w:val="32"/>
          <w:szCs w:val="32"/>
        </w:rPr>
      </w:pPr>
      <w:bookmarkStart w:id="28" w:name="_Toc15377212"/>
      <w:r>
        <w:rPr>
          <w:rFonts w:hint="eastAsia" w:ascii="仿宋" w:hAnsi="仿宋" w:eastAsia="仿宋"/>
          <w:b/>
          <w:sz w:val="32"/>
          <w:szCs w:val="32"/>
        </w:rPr>
        <w:t>（三）一般公共预算财政拨款支出决算具体情况</w:t>
      </w:r>
      <w:bookmarkEnd w:id="28"/>
    </w:p>
    <w:p>
      <w:pPr>
        <w:spacing w:line="600" w:lineRule="exact"/>
        <w:ind w:firstLine="645"/>
        <w:rPr>
          <w:rFonts w:ascii="仿宋" w:hAnsi="仿宋" w:eastAsia="仿宋"/>
          <w:sz w:val="32"/>
          <w:szCs w:val="32"/>
        </w:rPr>
      </w:pPr>
      <w:bookmarkStart w:id="29" w:name="_Toc15377213"/>
      <w:bookmarkStart w:id="30" w:name="_Toc15377444"/>
      <w:bookmarkStart w:id="31" w:name="_Toc15378460"/>
      <w:r>
        <w:rPr>
          <w:rFonts w:hint="eastAsia" w:ascii="仿宋" w:hAnsi="仿宋" w:eastAsia="仿宋"/>
          <w:sz w:val="32"/>
          <w:szCs w:val="32"/>
        </w:rPr>
        <w:t>2023年度一般公共预算支出决算数为2359.86万元，完成预算100</w:t>
      </w:r>
      <w:r>
        <w:rPr>
          <w:rFonts w:ascii="仿宋" w:hAnsi="仿宋" w:eastAsia="仿宋"/>
          <w:sz w:val="32"/>
          <w:szCs w:val="32"/>
        </w:rPr>
        <w:t>%</w:t>
      </w:r>
      <w:r>
        <w:rPr>
          <w:rFonts w:hint="eastAsia" w:ascii="仿宋" w:hAnsi="仿宋" w:eastAsia="仿宋"/>
          <w:sz w:val="32"/>
          <w:szCs w:val="32"/>
        </w:rPr>
        <w:t>。其中：</w:t>
      </w:r>
      <w:bookmarkEnd w:id="29"/>
      <w:bookmarkEnd w:id="30"/>
      <w:bookmarkEnd w:id="31"/>
    </w:p>
    <w:p>
      <w:pPr>
        <w:spacing w:line="600" w:lineRule="exact"/>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灾害防治及应急管理支出224（类）01（款）99（项）</w:t>
      </w:r>
      <w:r>
        <w:rPr>
          <w:rFonts w:ascii="仿宋" w:hAnsi="仿宋" w:eastAsia="仿宋"/>
          <w:sz w:val="32"/>
          <w:szCs w:val="32"/>
        </w:rPr>
        <w:t>:</w:t>
      </w:r>
      <w:r>
        <w:rPr>
          <w:rFonts w:hint="eastAsia" w:ascii="仿宋" w:hAnsi="仿宋" w:eastAsia="仿宋"/>
          <w:sz w:val="32"/>
          <w:szCs w:val="32"/>
        </w:rPr>
        <w:t>支出决算为2083.86万元，完成预算100</w:t>
      </w:r>
      <w:r>
        <w:rPr>
          <w:rFonts w:ascii="仿宋" w:hAnsi="仿宋" w:eastAsia="仿宋"/>
          <w:sz w:val="32"/>
          <w:szCs w:val="32"/>
        </w:rPr>
        <w:t>%</w:t>
      </w:r>
      <w:r>
        <w:rPr>
          <w:rFonts w:hint="eastAsia" w:ascii="仿宋" w:hAnsi="仿宋" w:eastAsia="仿宋"/>
          <w:sz w:val="32"/>
          <w:szCs w:val="32"/>
        </w:rPr>
        <w:t>，决算数等于预算数。</w:t>
      </w:r>
    </w:p>
    <w:p>
      <w:pPr>
        <w:spacing w:line="60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卫生健康支出210（类）11（款）01（项）</w:t>
      </w:r>
      <w:r>
        <w:rPr>
          <w:rFonts w:ascii="仿宋" w:hAnsi="仿宋" w:eastAsia="仿宋"/>
          <w:sz w:val="32"/>
          <w:szCs w:val="32"/>
        </w:rPr>
        <w:t>:</w:t>
      </w:r>
      <w:r>
        <w:rPr>
          <w:rFonts w:hint="eastAsia" w:ascii="仿宋" w:hAnsi="仿宋" w:eastAsia="仿宋"/>
          <w:sz w:val="32"/>
          <w:szCs w:val="32"/>
        </w:rPr>
        <w:t>支出决算为42.24万元，完成预算100</w:t>
      </w:r>
      <w:r>
        <w:rPr>
          <w:rFonts w:ascii="仿宋" w:hAnsi="仿宋" w:eastAsia="仿宋"/>
          <w:sz w:val="32"/>
          <w:szCs w:val="32"/>
        </w:rPr>
        <w:t>%</w:t>
      </w:r>
      <w:r>
        <w:rPr>
          <w:rFonts w:hint="eastAsia" w:ascii="仿宋" w:hAnsi="仿宋" w:eastAsia="仿宋"/>
          <w:sz w:val="32"/>
          <w:szCs w:val="32"/>
        </w:rPr>
        <w:t>，决算数等于预算数。</w:t>
      </w:r>
    </w:p>
    <w:p>
      <w:pPr>
        <w:spacing w:line="600" w:lineRule="exact"/>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住房保障改革支出221（类）01（款）02（项）</w:t>
      </w:r>
      <w:r>
        <w:rPr>
          <w:rFonts w:ascii="仿宋" w:hAnsi="仿宋" w:eastAsia="仿宋"/>
          <w:sz w:val="32"/>
          <w:szCs w:val="32"/>
        </w:rPr>
        <w:t>:</w:t>
      </w:r>
      <w:r>
        <w:rPr>
          <w:rFonts w:hint="eastAsia" w:ascii="仿宋" w:hAnsi="仿宋" w:eastAsia="仿宋"/>
          <w:sz w:val="32"/>
          <w:szCs w:val="32"/>
        </w:rPr>
        <w:t>支出决算为84.45万元，完成预算100</w:t>
      </w:r>
      <w:r>
        <w:rPr>
          <w:rFonts w:ascii="仿宋" w:hAnsi="仿宋" w:eastAsia="仿宋"/>
          <w:sz w:val="32"/>
          <w:szCs w:val="32"/>
        </w:rPr>
        <w:t>%</w:t>
      </w:r>
      <w:r>
        <w:rPr>
          <w:rFonts w:hint="eastAsia" w:ascii="仿宋" w:hAnsi="仿宋" w:eastAsia="仿宋"/>
          <w:sz w:val="32"/>
          <w:szCs w:val="32"/>
        </w:rPr>
        <w:t>，决算数等于预算数。</w:t>
      </w:r>
    </w:p>
    <w:p>
      <w:pPr>
        <w:spacing w:line="600" w:lineRule="exact"/>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社会保障和就业208（类）05（款）05（项）</w:t>
      </w:r>
      <w:r>
        <w:rPr>
          <w:rFonts w:ascii="仿宋" w:hAnsi="仿宋" w:eastAsia="仿宋"/>
          <w:sz w:val="32"/>
          <w:szCs w:val="32"/>
        </w:rPr>
        <w:t>:</w:t>
      </w:r>
      <w:r>
        <w:rPr>
          <w:rFonts w:hint="eastAsia" w:ascii="仿宋" w:hAnsi="仿宋" w:eastAsia="仿宋"/>
          <w:sz w:val="32"/>
          <w:szCs w:val="32"/>
        </w:rPr>
        <w:t>支出决算为149.30万元，完成预算100</w:t>
      </w:r>
      <w:r>
        <w:rPr>
          <w:rFonts w:ascii="仿宋" w:hAnsi="仿宋" w:eastAsia="仿宋"/>
          <w:sz w:val="32"/>
          <w:szCs w:val="32"/>
        </w:rPr>
        <w:t>%</w:t>
      </w:r>
      <w:r>
        <w:rPr>
          <w:rFonts w:hint="eastAsia" w:ascii="仿宋" w:hAnsi="仿宋" w:eastAsia="仿宋"/>
          <w:sz w:val="32"/>
          <w:szCs w:val="32"/>
        </w:rPr>
        <w:t>，决算数等于预算数。</w:t>
      </w:r>
    </w:p>
    <w:p>
      <w:pPr>
        <w:spacing w:line="600" w:lineRule="exact"/>
        <w:ind w:firstLine="645"/>
        <w:rPr>
          <w:rFonts w:ascii="仿宋" w:hAnsi="仿宋" w:eastAsia="仿宋"/>
          <w:sz w:val="32"/>
          <w:szCs w:val="32"/>
        </w:rPr>
      </w:pPr>
      <w:r>
        <w:rPr>
          <w:rFonts w:hint="eastAsia" w:ascii="仿宋" w:hAnsi="仿宋" w:eastAsia="仿宋"/>
          <w:sz w:val="32"/>
          <w:szCs w:val="32"/>
        </w:rPr>
        <w:t>（注：数据来源于财决</w:t>
      </w:r>
      <w:r>
        <w:rPr>
          <w:rFonts w:ascii="仿宋" w:hAnsi="仿宋" w:eastAsia="仿宋"/>
          <w:sz w:val="32"/>
          <w:szCs w:val="32"/>
        </w:rPr>
        <w:t>0</w:t>
      </w:r>
      <w:r>
        <w:rPr>
          <w:rFonts w:hint="eastAsia" w:ascii="仿宋" w:hAnsi="仿宋" w:eastAsia="仿宋"/>
          <w:sz w:val="32"/>
          <w:szCs w:val="32"/>
        </w:rPr>
        <w:t>1-1表和财决08表，仅罗列本部门涉及的全部功能分类科目，至项级。上述“预算”口径为全年预算数。增减变动原因为决算数</w:t>
      </w:r>
      <w:r>
        <w:rPr>
          <w:rFonts w:ascii="仿宋" w:hAnsi="仿宋" w:eastAsia="仿宋"/>
          <w:sz w:val="32"/>
          <w:szCs w:val="32"/>
        </w:rPr>
        <w:t>&lt;</w:t>
      </w:r>
      <w:r>
        <w:rPr>
          <w:rFonts w:hint="eastAsia" w:ascii="仿宋" w:hAnsi="仿宋" w:eastAsia="仿宋"/>
          <w:sz w:val="32"/>
          <w:szCs w:val="32"/>
        </w:rPr>
        <w:t>项级</w:t>
      </w:r>
      <w:r>
        <w:rPr>
          <w:rFonts w:ascii="仿宋" w:hAnsi="仿宋" w:eastAsia="仿宋"/>
          <w:sz w:val="32"/>
          <w:szCs w:val="32"/>
        </w:rPr>
        <w:t>&gt;</w:t>
      </w:r>
      <w:r>
        <w:rPr>
          <w:rFonts w:hint="eastAsia" w:ascii="仿宋" w:hAnsi="仿宋" w:eastAsia="仿宋"/>
          <w:sz w:val="32"/>
          <w:szCs w:val="32"/>
        </w:rPr>
        <w:t>和全年预算数</w:t>
      </w:r>
      <w:r>
        <w:rPr>
          <w:rFonts w:ascii="仿宋" w:hAnsi="仿宋" w:eastAsia="仿宋"/>
          <w:sz w:val="32"/>
          <w:szCs w:val="32"/>
        </w:rPr>
        <w:t>&lt;</w:t>
      </w:r>
      <w:r>
        <w:rPr>
          <w:rFonts w:hint="eastAsia" w:ascii="仿宋" w:hAnsi="仿宋" w:eastAsia="仿宋"/>
          <w:sz w:val="32"/>
          <w:szCs w:val="32"/>
        </w:rPr>
        <w:t>项级</w:t>
      </w:r>
      <w:r>
        <w:rPr>
          <w:rFonts w:ascii="仿宋" w:hAnsi="仿宋" w:eastAsia="仿宋"/>
          <w:sz w:val="32"/>
          <w:szCs w:val="32"/>
        </w:rPr>
        <w:t>&gt;</w:t>
      </w:r>
      <w:r>
        <w:rPr>
          <w:rFonts w:hint="eastAsia" w:ascii="仿宋" w:hAnsi="仿宋" w:eastAsia="仿宋"/>
          <w:sz w:val="32"/>
          <w:szCs w:val="32"/>
        </w:rPr>
        <w:t>比较，与预算数持平可以不写原因。）</w:t>
      </w:r>
    </w:p>
    <w:p>
      <w:pPr>
        <w:tabs>
          <w:tab w:val="right" w:pos="8306"/>
        </w:tabs>
        <w:spacing w:line="600" w:lineRule="exact"/>
        <w:ind w:firstLine="640"/>
        <w:outlineLvl w:val="1"/>
        <w:rPr>
          <w:rStyle w:val="22"/>
        </w:rPr>
      </w:pPr>
      <w:bookmarkStart w:id="32" w:name="_Toc15396608"/>
      <w:bookmarkStart w:id="3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2"/>
          <w:rFonts w:hint="eastAsia" w:ascii="黑体" w:hAnsi="黑体" w:eastAsia="黑体"/>
          <w:b w:val="0"/>
        </w:rPr>
        <w:t>般公共预算财政拨款基本支出决算情况说明</w:t>
      </w:r>
      <w:bookmarkEnd w:id="32"/>
      <w:bookmarkEnd w:id="33"/>
      <w:r>
        <w:rPr>
          <w:rStyle w:val="22"/>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2023年度一般公共预算财政拨款基本支出1251.59万元，其中：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人员经费1115.03万元，主要包括：基本工资、津贴补贴、奖金、绩效工资、机关事业单位基本养老保险缴费、职业年金缴费、职工医疗保险缴费、</w:t>
      </w:r>
      <w:r>
        <w:rPr>
          <w:rFonts w:hint="eastAsia" w:ascii="仿宋" w:hAnsi="仿宋" w:eastAsia="仿宋"/>
          <w:color w:val="000000" w:themeColor="text1"/>
          <w:sz w:val="32"/>
          <w:szCs w:val="32"/>
        </w:rPr>
        <w:t>住房公积金、</w:t>
      </w:r>
      <w:r>
        <w:rPr>
          <w:rFonts w:hint="eastAsia" w:ascii="仿宋" w:hAnsi="仿宋" w:eastAsia="仿宋"/>
          <w:sz w:val="32"/>
          <w:szCs w:val="32"/>
        </w:rPr>
        <w:t>其他社会保障缴费、其他工资福利支出、生活补助、奖励金支出。</w:t>
      </w:r>
      <w:r>
        <w:rPr>
          <w:rFonts w:ascii="仿宋" w:hAnsi="仿宋" w:eastAsia="仿宋"/>
          <w:sz w:val="32"/>
          <w:szCs w:val="32"/>
        </w:rPr>
        <w:br w:type="textWrapping"/>
      </w:r>
      <w:r>
        <w:rPr>
          <w:rFonts w:hint="eastAsia" w:ascii="仿宋" w:hAnsi="仿宋" w:eastAsia="仿宋"/>
          <w:sz w:val="32"/>
          <w:szCs w:val="32"/>
        </w:rPr>
        <w:t>　　公用经费136.56万元，主要包括：办公费、印刷费、水费、邮电费、差旅费、公务接待费、委托业务费、工会经费、福利费、其他交通费用。</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outlineLvl w:val="1"/>
        <w:rPr>
          <w:rStyle w:val="22"/>
          <w:rFonts w:ascii="黑体" w:hAnsi="黑体" w:eastAsia="黑体"/>
          <w:b w:val="0"/>
        </w:rPr>
      </w:pPr>
      <w:bookmarkStart w:id="34" w:name="_Toc15396609"/>
      <w:bookmarkStart w:id="35" w:name="_Toc15377215"/>
      <w:r>
        <w:rPr>
          <w:rFonts w:hint="eastAsia" w:ascii="黑体" w:eastAsia="黑体"/>
          <w:sz w:val="32"/>
          <w:szCs w:val="32"/>
        </w:rPr>
        <w:t>七、</w:t>
      </w:r>
      <w:r>
        <w:rPr>
          <w:rStyle w:val="22"/>
          <w:rFonts w:hint="eastAsia" w:ascii="黑体" w:hAnsi="黑体" w:eastAsia="黑体"/>
          <w:b w:val="0"/>
        </w:rPr>
        <w:t>财政拨款</w:t>
      </w:r>
      <w:r>
        <w:rPr>
          <w:rStyle w:val="22"/>
          <w:rFonts w:hint="eastAsia" w:ascii="黑体" w:hAnsi="黑体" w:eastAsia="黑体"/>
        </w:rPr>
        <w:t>“</w:t>
      </w:r>
      <w:r>
        <w:rPr>
          <w:rStyle w:val="22"/>
          <w:rFonts w:hint="eastAsia" w:ascii="黑体" w:hAnsi="黑体" w:eastAsia="黑体"/>
          <w:b w:val="0"/>
        </w:rPr>
        <w:t>三公”经费支出决算情况说明</w:t>
      </w:r>
      <w:bookmarkEnd w:id="34"/>
      <w:bookmarkEnd w:id="35"/>
    </w:p>
    <w:p>
      <w:pPr>
        <w:spacing w:line="600" w:lineRule="exact"/>
        <w:ind w:firstLine="640"/>
        <w:outlineLvl w:val="2"/>
        <w:rPr>
          <w:rFonts w:ascii="仿宋" w:hAnsi="仿宋" w:eastAsia="仿宋"/>
          <w:b/>
          <w:sz w:val="32"/>
          <w:szCs w:val="32"/>
        </w:rPr>
      </w:pPr>
      <w:bookmarkStart w:id="36" w:name="_Toc15377216"/>
      <w:r>
        <w:rPr>
          <w:rFonts w:hint="eastAsia" w:ascii="仿宋" w:hAnsi="仿宋" w:eastAsia="仿宋"/>
          <w:b/>
          <w:sz w:val="32"/>
          <w:szCs w:val="32"/>
        </w:rPr>
        <w:t>（一）“三公”经费财政拨款支出决算总体情况说明</w:t>
      </w:r>
      <w:bookmarkEnd w:id="36"/>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2023年度“三公”经费财政拨款支出决算为5.24万元，完成预算175</w:t>
      </w:r>
      <w:r>
        <w:rPr>
          <w:rFonts w:ascii="仿宋" w:hAnsi="仿宋" w:eastAsia="仿宋"/>
          <w:sz w:val="32"/>
          <w:szCs w:val="32"/>
        </w:rPr>
        <w:t>%</w:t>
      </w:r>
      <w:r>
        <w:rPr>
          <w:rFonts w:hint="eastAsia" w:ascii="仿宋" w:hAnsi="仿宋" w:eastAsia="仿宋"/>
          <w:sz w:val="32"/>
          <w:szCs w:val="32"/>
        </w:rPr>
        <w:t>，较上年度支出增加/1.41万元，增长37%。决算数大于预算数的主要原因：2022年“三公”经费支出财政未完全保障致2023年“三公”经费支出数大于预算指标数。加之2022年疫情期间各种检查次数减少所致。</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7" w:name="_Toc15377217"/>
      <w:r>
        <w:rPr>
          <w:rFonts w:hint="eastAsia" w:ascii="仿宋" w:hAnsi="仿宋" w:eastAsia="仿宋"/>
          <w:b/>
          <w:sz w:val="32"/>
          <w:szCs w:val="32"/>
        </w:rPr>
        <w:t>（二）“三公”经费财政拨款支出决算具体情况说明</w:t>
      </w:r>
      <w:bookmarkEnd w:id="37"/>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；公务接待费支出决算5.24万元，占100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3"/>
        <w:ind w:left="0" w:leftChars="0" w:firstLine="0" w:firstLineChars="0"/>
      </w:pPr>
    </w:p>
    <w:p>
      <w:pPr>
        <w:pStyle w:val="3"/>
        <w:ind w:left="420"/>
      </w:pPr>
      <w:r>
        <w:rPr>
          <w:rFonts w:hint="eastAsia"/>
        </w:rPr>
        <w:drawing>
          <wp:inline distT="0" distB="0" distL="114300" distR="114300">
            <wp:extent cx="3565525" cy="2344420"/>
            <wp:effectExtent l="19050" t="0" r="15875" b="0"/>
            <wp:docPr id="2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方正仿宋简体" w:hAnsi="方正仿宋简体" w:eastAsia="方正仿宋简体" w:cs="方正仿宋简体"/>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0万元。全年按规定更新购置公务用车0辆，其中：轿车0辆、金额0万元，越野车0辆、金额0万元，载客汽车0辆、金额0万元，主要用于…。截至2023年</w:t>
      </w:r>
      <w:r>
        <w:rPr>
          <w:rFonts w:ascii="仿宋_GB2312" w:eastAsia="仿宋_GB2312"/>
          <w:sz w:val="32"/>
          <w:szCs w:val="32"/>
        </w:rPr>
        <w:t>12</w:t>
      </w:r>
      <w:r>
        <w:rPr>
          <w:rFonts w:hint="eastAsia" w:ascii="仿宋_GB2312" w:eastAsia="仿宋_GB2312"/>
          <w:sz w:val="32"/>
          <w:szCs w:val="32"/>
        </w:rPr>
        <w:t>月31日，单位共有公务用车0辆，特种车4辆，其中：安全执法车3辆，由原区安监局购置；人工影响天气火箭炮专用车1辆、由原区应急办购置。</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5.24万元，完成预算175</w:t>
      </w:r>
      <w:r>
        <w:rPr>
          <w:rFonts w:ascii="仿宋_GB2312" w:eastAsia="仿宋_GB2312"/>
          <w:sz w:val="32"/>
          <w:szCs w:val="32"/>
        </w:rPr>
        <w:t>%</w:t>
      </w:r>
      <w:r>
        <w:rPr>
          <w:rFonts w:hint="eastAsia" w:ascii="仿宋_GB2312" w:eastAsia="仿宋_GB2312"/>
          <w:sz w:val="32"/>
          <w:szCs w:val="32"/>
        </w:rPr>
        <w:t>。公务接待费支出决算比2022年度增加1.41万元，增长37</w:t>
      </w:r>
      <w:r>
        <w:rPr>
          <w:rFonts w:ascii="仿宋_GB2312" w:eastAsia="仿宋_GB2312"/>
          <w:sz w:val="32"/>
          <w:szCs w:val="32"/>
        </w:rPr>
        <w:t>%</w:t>
      </w:r>
      <w:r>
        <w:rPr>
          <w:rFonts w:hint="eastAsia" w:ascii="仿宋_GB2312" w:eastAsia="仿宋_GB2312"/>
          <w:sz w:val="32"/>
          <w:szCs w:val="32"/>
        </w:rPr>
        <w:t>。主要原因是2022年“三公”经费支出财政未完全保障到位致2023年“三公”经费支出数大于预算指标数。加之2022年疫情期间各种检查次比2023年减少所致。</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5.24</w:t>
      </w:r>
      <w:r>
        <w:rPr>
          <w:rFonts w:hint="eastAsia" w:ascii="仿宋_GB2312" w:eastAsia="仿宋_GB2312"/>
          <w:sz w:val="32"/>
          <w:szCs w:val="32"/>
        </w:rPr>
        <w:t>万元，主要用于煤矿、非煤矿矿山、危化、应急执法及应急安全开支的餐费等。国内公务接待47批次，454人次（不包括陪同人员），共计支出5.24万元，具体内容包括：煤矿、非煤矿矿山、危化、应急执法及应急安全、冬春救助、抗洪抢险、森林防火等各种接待。</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（具体项目）。外事接待0批次，0人次（不包括陪同人员），共计支出0万元。</w:t>
      </w:r>
      <w:bookmarkStart w:id="38" w:name="_Toc15396610"/>
      <w:bookmarkStart w:id="39" w:name="_Toc15377218"/>
    </w:p>
    <w:p>
      <w:pPr>
        <w:spacing w:line="600" w:lineRule="exact"/>
        <w:ind w:firstLine="640"/>
        <w:outlineLvl w:val="1"/>
        <w:rPr>
          <w:rStyle w:val="22"/>
          <w:rFonts w:ascii="黑体" w:hAnsi="黑体" w:eastAsia="黑体"/>
        </w:rPr>
      </w:pPr>
      <w:r>
        <w:rPr>
          <w:rFonts w:hint="eastAsia" w:ascii="黑体" w:eastAsia="黑体"/>
          <w:sz w:val="32"/>
          <w:szCs w:val="32"/>
        </w:rPr>
        <w:t>八、</w:t>
      </w:r>
      <w:r>
        <w:rPr>
          <w:rStyle w:val="22"/>
          <w:rFonts w:hint="eastAsia" w:ascii="黑体" w:hAnsi="黑体" w:eastAsia="黑体"/>
          <w:b w:val="0"/>
        </w:rPr>
        <w:t>政府性基金预算支出决算情况说明</w:t>
      </w:r>
      <w:bookmarkEnd w:id="38"/>
      <w:bookmarkEnd w:id="39"/>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2023年度政府性基金预算财政拨款支出0万元。</w:t>
      </w:r>
    </w:p>
    <w:p>
      <w:pPr>
        <w:numPr>
          <w:ilvl w:val="0"/>
          <w:numId w:val="2"/>
        </w:numPr>
        <w:spacing w:line="600" w:lineRule="exact"/>
        <w:ind w:firstLine="640"/>
        <w:outlineLvl w:val="1"/>
        <w:rPr>
          <w:rStyle w:val="22"/>
          <w:rFonts w:ascii="黑体" w:hAnsi="黑体" w:eastAsia="黑体"/>
          <w:b w:val="0"/>
        </w:rPr>
      </w:pPr>
      <w:bookmarkStart w:id="40" w:name="_Toc15377219"/>
      <w:bookmarkStart w:id="41" w:name="_Toc15396611"/>
      <w:r>
        <w:rPr>
          <w:rStyle w:val="22"/>
          <w:rFonts w:hint="eastAsia" w:ascii="黑体" w:hAnsi="黑体" w:eastAsia="黑体"/>
          <w:b w:val="0"/>
        </w:rPr>
        <w:t>国有资本经营预算支出决算情况说明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2023年度国有资本经营预算财政拨款支出0万元。</w:t>
      </w:r>
    </w:p>
    <w:p>
      <w:pPr>
        <w:numPr>
          <w:ilvl w:val="0"/>
          <w:numId w:val="2"/>
        </w:numPr>
        <w:spacing w:line="600" w:lineRule="exact"/>
        <w:ind w:firstLine="640"/>
        <w:outlineLvl w:val="1"/>
        <w:rPr>
          <w:rStyle w:val="22"/>
          <w:rFonts w:ascii="黑体" w:hAnsi="黑体" w:eastAsia="黑体"/>
          <w:b w:val="0"/>
        </w:rPr>
      </w:pPr>
      <w:bookmarkStart w:id="42" w:name="_Toc15377221"/>
      <w:bookmarkStart w:id="43" w:name="_Toc15396612"/>
      <w:r>
        <w:rPr>
          <w:rStyle w:val="22"/>
          <w:rFonts w:hint="eastAsia" w:ascii="黑体" w:hAnsi="黑体" w:eastAsia="黑体"/>
          <w:b w:val="0"/>
        </w:rPr>
        <w:t>其他重要事项的情况说明</w:t>
      </w:r>
      <w:bookmarkEnd w:id="42"/>
      <w:bookmarkEnd w:id="43"/>
    </w:p>
    <w:p>
      <w:pPr>
        <w:spacing w:line="600" w:lineRule="exact"/>
        <w:ind w:firstLine="643" w:firstLineChars="200"/>
        <w:outlineLvl w:val="2"/>
        <w:rPr>
          <w:rFonts w:ascii="仿宋" w:hAnsi="仿宋" w:eastAsia="仿宋"/>
          <w:sz w:val="32"/>
          <w:szCs w:val="32"/>
        </w:rPr>
      </w:pPr>
      <w:bookmarkStart w:id="44" w:name="_Toc15377222"/>
      <w:r>
        <w:rPr>
          <w:rFonts w:hint="eastAsia" w:ascii="仿宋" w:hAnsi="仿宋" w:eastAsia="仿宋"/>
          <w:b/>
          <w:sz w:val="32"/>
          <w:szCs w:val="32"/>
        </w:rPr>
        <w:t>（一）机关运行经费支出情况</w:t>
      </w:r>
      <w:bookmarkEnd w:id="4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2023年度，机关运行经费支出136.56万元，比2022年度增加59.51万元，增长77</w:t>
      </w:r>
      <w:r>
        <w:rPr>
          <w:rFonts w:ascii="仿宋_GB2312" w:eastAsia="仿宋_GB2312"/>
          <w:sz w:val="32"/>
          <w:szCs w:val="32"/>
        </w:rPr>
        <w:t>%</w:t>
      </w:r>
      <w:r>
        <w:rPr>
          <w:rFonts w:hint="eastAsia" w:ascii="仿宋_GB2312" w:eastAsia="仿宋_GB2312"/>
          <w:sz w:val="32"/>
          <w:szCs w:val="32"/>
        </w:rPr>
        <w:t>。主要原因是2023年新招考人员及调入人员经费所致。</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3"/>
      <w:r>
        <w:rPr>
          <w:rFonts w:hint="eastAsia" w:ascii="仿宋" w:hAnsi="仿宋" w:eastAsia="仿宋"/>
          <w:b/>
          <w:sz w:val="32"/>
          <w:szCs w:val="32"/>
        </w:rPr>
        <w:t>（二）政府采购支出情况</w:t>
      </w:r>
      <w:bookmarkEnd w:id="4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2023年度，政府采购支出总额0万元，其中：政府采购货物支出0万元、政府采购工程支出0万元、政府采购服务支出0万元。主要用于</w:t>
      </w:r>
      <w:r>
        <w:rPr>
          <w:rFonts w:ascii="仿宋_GB2312" w:eastAsia="仿宋_GB2312"/>
          <w:sz w:val="32"/>
          <w:szCs w:val="32"/>
        </w:rPr>
        <w:t>…</w:t>
      </w:r>
      <w:r>
        <w:rPr>
          <w:rFonts w:hint="eastAsia" w:ascii="仿宋_GB2312" w:eastAsia="仿宋_GB2312"/>
          <w:sz w:val="32"/>
          <w:szCs w:val="32"/>
        </w:rPr>
        <w:t>（具体工作）。授予中小企业合同金额0万元，占政府采购支出总额的0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4"/>
      <w:r>
        <w:rPr>
          <w:rFonts w:hint="eastAsia" w:ascii="仿宋" w:hAnsi="仿宋" w:eastAsia="仿宋"/>
          <w:b/>
          <w:sz w:val="32"/>
          <w:szCs w:val="32"/>
        </w:rPr>
        <w:t>（三）国有资产占有使用情况</w:t>
      </w:r>
      <w:bookmarkEnd w:id="4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日，共有车辆0辆，其中：主要领导干部用车0辆、机要通信用车0辆、应急保障用车0辆、其他用车0辆，其他用车主要是用于……。单价</w:t>
      </w:r>
      <w:r>
        <w:rPr>
          <w:rFonts w:ascii="仿宋_GB2312" w:eastAsia="仿宋_GB2312"/>
          <w:sz w:val="32"/>
          <w:szCs w:val="32"/>
        </w:rPr>
        <w:t>100</w:t>
      </w:r>
      <w:r>
        <w:rPr>
          <w:rFonts w:hint="eastAsia" w:ascii="仿宋_GB2312" w:eastAsia="仿宋_GB2312"/>
          <w:sz w:val="32"/>
          <w:szCs w:val="32"/>
        </w:rPr>
        <w:t>万元以上设备（不含车辆）0台（套）。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7项目（安全专项及常态化、防震减灾工作经费及森林防火及病虫害防治、应急会商系统维护、执法中队建设项目、项目争取工作经费、高危行业专家补助、外聘技术人员工资及保险）等7个项目开展了预算事前绩效评估，对7个项目编制了绩效目标，预算执行过程中，选取7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XX部门整体（含部门预算项目）绩效自评报告、XX等专项预算项目绩效自评报告，其中，XX部门整体（含部门预算项目）绩效自评得分为XX分，绩效自评综述：......；XX专项预算项目绩效自评得分为XX分，绩效自评综述：......。绩效自评报告详见附件。（如不涉及，可根据实际修改表述。）</w:t>
      </w:r>
    </w:p>
    <w:p>
      <w:pPr>
        <w:widowControl/>
        <w:ind w:firstLine="643" w:firstLineChars="200"/>
        <w:jc w:val="left"/>
        <w:rPr>
          <w:rFonts w:ascii="仿宋_GB2312" w:eastAsia="仿宋_GB2312"/>
          <w:b/>
          <w:sz w:val="32"/>
          <w:szCs w:val="32"/>
        </w:rPr>
      </w:pP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
      <w:pPr>
        <w:numPr>
          <w:ilvl w:val="0"/>
          <w:numId w:val="3"/>
        </w:numPr>
        <w:spacing w:line="600" w:lineRule="exact"/>
        <w:ind w:firstLine="660" w:firstLineChars="150"/>
        <w:jc w:val="center"/>
        <w:outlineLvl w:val="0"/>
        <w:rPr>
          <w:rStyle w:val="21"/>
          <w:rFonts w:ascii="黑体" w:hAnsi="黑体" w:eastAsia="黑体"/>
          <w:b w:val="0"/>
        </w:rPr>
      </w:pPr>
      <w:bookmarkStart w:id="47" w:name="_Toc15396613"/>
      <w:bookmarkStart w:id="48" w:name="_Toc15377225"/>
      <w:r>
        <w:rPr>
          <w:rFonts w:hint="eastAsia" w:ascii="黑体" w:hAnsi="黑体" w:eastAsia="黑体"/>
          <w:sz w:val="44"/>
          <w:szCs w:val="44"/>
        </w:rPr>
        <w:t>名</w:t>
      </w:r>
      <w:r>
        <w:rPr>
          <w:rStyle w:val="21"/>
          <w:rFonts w:hint="eastAsia" w:ascii="黑体" w:hAnsi="黑体" w:eastAsia="黑体"/>
          <w:b w:val="0"/>
        </w:rPr>
        <w:t>词解释</w:t>
      </w:r>
      <w:bookmarkEnd w:id="47"/>
      <w:bookmarkEnd w:id="48"/>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 xml:space="preserve">. </w:t>
      </w:r>
      <w:r>
        <w:rPr>
          <w:rFonts w:hint="eastAsia" w:ascii="仿宋_GB2312" w:eastAsia="仿宋_GB2312"/>
          <w:color w:val="auto"/>
          <w:sz w:val="32"/>
          <w:szCs w:val="32"/>
        </w:rPr>
        <w:t>年末结转和结余：指单位按有关规定结转到下年或以后年度继续使用的资金。</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4.一般行政管理事务224（类）01（款）02（项）：指应急会商系统及指挥中心运行支出。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5.住房保障改革支出221（类）02（款）01（项）：指行政事业单位住房公积金支出。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6.矿山安全224（类）04（款）04（项）：指矿山安全监察事务支出。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7.自然灾害救灾及恢复重建224（类）07（款）99（项）：指自然灾害救灾及恢复重建。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8.其它灾害防治及应急管理224（类）99（款）99（项）：指其它灾害防治及应急管理支出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9.社会保障和就业208（类）行政事业单位离退休05（款）机关事业单位基本养老保险缴费支出05（项）：指单位缴纳的基本养老保险费支出。指单位缴纳的其他社会保障缴费支出。</w:t>
      </w:r>
    </w:p>
    <w:p>
      <w:pPr>
        <w:spacing w:line="550" w:lineRule="exact"/>
        <w:ind w:firstLine="640"/>
        <w:rPr>
          <w:rFonts w:ascii="仿宋_GB2312" w:eastAsia="仿宋_GB2312" w:cs="仿宋"/>
          <w:kern w:val="0"/>
          <w:sz w:val="32"/>
          <w:szCs w:val="32"/>
        </w:rPr>
      </w:pPr>
      <w:r>
        <w:rPr>
          <w:rFonts w:hint="eastAsia" w:ascii="仿宋_GB2312" w:eastAsia="仿宋_GB2312" w:cs="仿宋"/>
          <w:kern w:val="0"/>
          <w:sz w:val="32"/>
          <w:szCs w:val="32"/>
        </w:rPr>
        <w:t>10. 卫生健康支出210（类）卫生健康管理事务11（款）行政运行01（项）：指本单位的人员.基本医疗保险缴费经费。</w:t>
      </w:r>
    </w:p>
    <w:p>
      <w:pPr>
        <w:pStyle w:val="8"/>
        <w:spacing w:line="550" w:lineRule="exact"/>
        <w:ind w:firstLine="600"/>
        <w:rPr>
          <w:rFonts w:ascii="仿宋_GB2312" w:eastAsia="仿宋_GB2312" w:cs="仿宋"/>
          <w:kern w:val="0"/>
          <w:sz w:val="32"/>
          <w:szCs w:val="32"/>
        </w:rPr>
      </w:pPr>
      <w:r>
        <w:rPr>
          <w:rFonts w:hint="eastAsia" w:ascii="仿宋_GB2312" w:eastAsia="仿宋_GB2312" w:cs="仿宋"/>
          <w:kern w:val="0"/>
          <w:sz w:val="32"/>
          <w:szCs w:val="32"/>
        </w:rPr>
        <w:t>11.安全监管224（类）01（款）06（项）：指单位安全专项、执法建设支出。</w:t>
      </w:r>
    </w:p>
    <w:p>
      <w:pPr>
        <w:pStyle w:val="8"/>
        <w:spacing w:line="550" w:lineRule="exact"/>
        <w:ind w:firstLine="600"/>
        <w:rPr>
          <w:rFonts w:ascii="仿宋_GB2312" w:eastAsia="仿宋_GB2312" w:cs="仿宋"/>
          <w:kern w:val="0"/>
          <w:sz w:val="32"/>
          <w:szCs w:val="32"/>
        </w:rPr>
      </w:pPr>
      <w:r>
        <w:rPr>
          <w:rFonts w:hint="eastAsia" w:ascii="仿宋_GB2312" w:eastAsia="仿宋_GB2312" w:cs="仿宋"/>
          <w:kern w:val="0"/>
          <w:sz w:val="32"/>
          <w:szCs w:val="32"/>
        </w:rPr>
        <w:t>12.应急救援224（类）01（款）08（项）：指自然灾害抢险、抗旱、救灾、应急管理支出。</w:t>
      </w:r>
    </w:p>
    <w:p>
      <w:pPr>
        <w:pStyle w:val="8"/>
        <w:spacing w:line="550" w:lineRule="exact"/>
        <w:ind w:firstLine="600"/>
        <w:rPr>
          <w:rFonts w:ascii="仿宋_GB2312" w:eastAsia="仿宋_GB2312" w:cs="仿宋"/>
          <w:kern w:val="0"/>
          <w:sz w:val="32"/>
          <w:szCs w:val="32"/>
        </w:rPr>
      </w:pPr>
      <w:r>
        <w:rPr>
          <w:rFonts w:hint="eastAsia" w:ascii="仿宋_GB2312" w:eastAsia="仿宋_GB2312" w:cs="仿宋"/>
          <w:kern w:val="0"/>
          <w:sz w:val="32"/>
          <w:szCs w:val="32"/>
        </w:rPr>
        <w:t>13.自然灾害救灾及恢复重建224（类）07（款）03（项）：指自然灾害转移安置、房屋加固、地质灾害、生活补助、抗洪抢险、生活困难补助支出。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14.社会保障和就业208（类）行政事业单位离退休05（款）机关事业单位职业年金险缴费支出06（项）：指单位缴纳的职业年金保险费支出。</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15.其他社会保障和就业208（类）行政事业单位99（款）机关事业单位工伤、失业缴费支出99（项）：指单位缴纳的其他社会保障缴费支出。</w:t>
      </w:r>
    </w:p>
    <w:p>
      <w:pPr>
        <w:pStyle w:val="8"/>
        <w:spacing w:line="550" w:lineRule="exact"/>
        <w:ind w:firstLine="600"/>
        <w:rPr>
          <w:rFonts w:ascii="仿宋_GB2312" w:eastAsia="仿宋_GB2312" w:cs="仿宋"/>
          <w:kern w:val="0"/>
          <w:sz w:val="32"/>
          <w:szCs w:val="32"/>
        </w:rPr>
      </w:pPr>
      <w:r>
        <w:rPr>
          <w:rFonts w:hint="eastAsia" w:ascii="仿宋_GB2312" w:eastAsia="仿宋_GB2312" w:cs="仿宋"/>
          <w:kern w:val="0"/>
          <w:sz w:val="32"/>
          <w:szCs w:val="32"/>
        </w:rPr>
        <w:t>16.灾害防治及应急管理224（类）01（款）01（项）：批机关单位行政运行开支。</w:t>
      </w:r>
    </w:p>
    <w:p>
      <w:pPr>
        <w:spacing w:line="600" w:lineRule="exact"/>
        <w:ind w:firstLine="640"/>
        <w:rPr>
          <w:rFonts w:ascii="仿宋" w:hAnsi="仿宋" w:eastAsia="仿宋"/>
          <w:b/>
          <w:sz w:val="32"/>
          <w:szCs w:val="32"/>
        </w:rPr>
      </w:pPr>
      <w:r>
        <w:rPr>
          <w:rFonts w:hint="eastAsia" w:ascii="仿宋" w:hAnsi="仿宋" w:eastAsia="仿宋"/>
          <w:b/>
          <w:sz w:val="32"/>
          <w:szCs w:val="32"/>
        </w:rPr>
        <w:t>（解释本部门决算报表中涉及的全部功能分类科目至项级，不涉及的科目请自行删除。请参照《2023年政府收支分类科目》增减内容。）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8.</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2…</w:t>
      </w:r>
      <w:r>
        <w:rPr>
          <w:rFonts w:hint="eastAsia" w:ascii="仿宋_GB2312" w:eastAsia="仿宋_GB2312"/>
          <w:color w:val="auto"/>
          <w:sz w:val="32"/>
          <w:szCs w:val="32"/>
        </w:rPr>
        <w:t>..</w:t>
      </w:r>
    </w:p>
    <w:p>
      <w:pPr>
        <w:pStyle w:val="27"/>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Fonts w:ascii="黑体" w:hAnsi="黑体" w:eastAsia="黑体"/>
          <w:bCs/>
          <w:kern w:val="44"/>
          <w:sz w:val="44"/>
          <w:szCs w:val="44"/>
        </w:rPr>
      </w:pPr>
      <w:bookmarkStart w:id="49" w:name="_Toc15377226"/>
      <w:r>
        <w:rPr>
          <w:rFonts w:ascii="宋体"/>
          <w:b/>
          <w:sz w:val="44"/>
          <w:szCs w:val="44"/>
        </w:rPr>
        <w:br w:type="page"/>
      </w:r>
      <w:bookmarkStart w:id="50" w:name="_Toc15396614"/>
      <w:r>
        <w:rPr>
          <w:rFonts w:hint="eastAsia" w:ascii="黑体" w:hAnsi="黑体" w:eastAsia="黑体"/>
          <w:sz w:val="44"/>
          <w:szCs w:val="44"/>
        </w:rPr>
        <w:t>第</w:t>
      </w:r>
      <w:r>
        <w:rPr>
          <w:rStyle w:val="21"/>
          <w:rFonts w:hint="eastAsia" w:ascii="黑体" w:hAnsi="黑体" w:eastAsia="黑体"/>
          <w:b w:val="0"/>
        </w:rPr>
        <w:t xml:space="preserve">四部分 </w:t>
      </w:r>
      <w:bookmarkEnd w:id="50"/>
    </w:p>
    <w:p>
      <w:pPr>
        <w:spacing w:line="572" w:lineRule="exact"/>
        <w:jc w:val="left"/>
        <w:outlineLvl w:val="0"/>
        <w:rPr>
          <w:rFonts w:ascii="方正小标宋简体" w:hAnsi="方正小标宋简体" w:eastAsia="黑体" w:cs="方正小标宋简体"/>
          <w:sz w:val="44"/>
          <w:szCs w:val="44"/>
        </w:rPr>
      </w:pPr>
      <w:r>
        <w:rPr>
          <w:rFonts w:hint="eastAsia" w:ascii="黑体" w:hAnsi="黑体" w:eastAsia="黑体" w:cs="黑体"/>
          <w:sz w:val="32"/>
          <w:szCs w:val="32"/>
        </w:rPr>
        <w:t>附件1</w:t>
      </w:r>
    </w:p>
    <w:p>
      <w:pPr>
        <w:widowControl/>
        <w:spacing w:line="560" w:lineRule="exact"/>
        <w:contextualSpacing/>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广元市利州区应急管理局</w:t>
      </w:r>
    </w:p>
    <w:p>
      <w:pPr>
        <w:widowControl/>
        <w:spacing w:line="560" w:lineRule="exact"/>
        <w:contextualSpacing/>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2023年部门整体支出绩效自评报告</w:t>
      </w:r>
    </w:p>
    <w:p>
      <w:pPr>
        <w:widowControl/>
        <w:spacing w:line="578" w:lineRule="exact"/>
        <w:contextualSpacing/>
        <w:jc w:val="center"/>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（报告范围包括机关和下属单位）</w:t>
      </w:r>
    </w:p>
    <w:p>
      <w:pPr>
        <w:widowControl/>
        <w:adjustRightInd w:val="0"/>
        <w:snapToGrid w:val="0"/>
        <w:spacing w:line="56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spacing w:line="578" w:lineRule="exact"/>
        <w:contextualSpacing/>
        <w:rPr>
          <w:rFonts w:ascii="Times New Roman" w:hAnsi="Times New Roman" w:eastAsia="仿宋_GB2312"/>
          <w:sz w:val="32"/>
          <w:szCs w:val="32"/>
          <w:shd w:val="clear" w:color="auto" w:fill="FFFFFF"/>
        </w:rPr>
      </w:pPr>
      <w:r>
        <w:rPr>
          <w:rFonts w:hint="eastAsia" w:ascii="Times New Roman" w:hAnsi="Times New Roman" w:eastAsia="仿宋_GB2312"/>
          <w:b/>
          <w:sz w:val="32"/>
          <w:szCs w:val="32"/>
          <w:shd w:val="clear" w:color="auto" w:fill="FFFFFF"/>
        </w:rPr>
        <w:t>一、部门（单位）基本情况</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利州区应急管理局属一级行政单位（正科级），内设机构：办公室（政策法规股、规划财务股）、应急指挥中心（预案管理和科技与信息股）、救灾与物资保障股（自然灾害救援股）、安全生产综合协调股（调查评估与统计股、行政审批股）、煤炭管理股（煤矿安全监管股）、危险化学品安全监管股（安全生产基础管理股）。</w:t>
      </w:r>
    </w:p>
    <w:p>
      <w:pPr>
        <w:widowControl/>
        <w:spacing w:line="578" w:lineRule="exact"/>
        <w:ind w:firstLine="630" w:firstLineChars="196"/>
        <w:contextualSpacing/>
        <w:jc w:val="left"/>
        <w:rPr>
          <w:rFonts w:ascii="Times New Roman" w:hAnsi="Times New Roman" w:eastAsia="仿宋_GB2312"/>
          <w:b/>
          <w:sz w:val="32"/>
          <w:szCs w:val="32"/>
          <w:shd w:val="clear" w:color="auto" w:fill="FFFFFF"/>
        </w:rPr>
      </w:pPr>
      <w:r>
        <w:rPr>
          <w:rFonts w:hint="eastAsia" w:ascii="Times New Roman" w:hAnsi="Times New Roman" w:eastAsia="仿宋_GB2312"/>
          <w:b/>
          <w:sz w:val="32"/>
          <w:szCs w:val="32"/>
          <w:shd w:val="clear" w:color="auto" w:fill="FFFFFF"/>
        </w:rPr>
        <w:t>（一）机构职能和人员概况。</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1．负责应急管理工作，组织和指导各乡镇（街道）、区级各部门应对安全生产类、自然灾害类等突发事件和综合防灾减灾救灾工作。负责安全生产综合监督管理和工矿商贸、煤炭行业安全生产监督管理工作。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2．拟订应急管理、安全生产等政策措施，组织编制应急救援体系建设、安全生产和综合防灾减灾规划。</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 .牵头建立统一的应急管理信息系统，负责信息传输渠道的规划和布局，建立监测预警和灾情报告制度，健全自然灾害信息资源获取和共享机制，依法统一发布灾情。</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5．负责组织、指导、协调安全生产类、自然灾害类等突发事件应急救援，承担全区应对灾害指挥部工作，综合研判突发事件发展态势并提出应对建议，负责组织灾害应急处置工作。</w:t>
      </w:r>
    </w:p>
    <w:p>
      <w:pPr>
        <w:widowControl/>
        <w:spacing w:line="578" w:lineRule="exact"/>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6．统一协调指挥各类应急专业队伍，建立应急协调联动机制，推进指挥平台对接，提请衔接解放军和武警部队参与应急救援工作。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7．按照国家、省、市相关政策和规定负责消防、森林火灾扑救、抗洪抢险、地震和地质灾害救援、生产安全事故救援等专业应急救援力量建设，依法依规统筹指导各乡镇（街道）、区级有关部门及社会应急救援力量和应急能力建设。</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8．按照国家相关政策和省、市、区相关规定负责消防工作，组织和指导消防监督、火灾预防、火灾扑救等工作。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9．负责灾害综合监测预警工作，承担自然灾害综合风险评估工作。指导协调森林火灾、水旱灾害、地质灾害等防治工作。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10．负责组织、协调灾害救助工作，组织和指导灾情核查、损失评估、救灾捐赠工作，管理、分配中央、省级、市级下拨及区级救灾款物并监督使用。</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11．依法承担区政府安全生产综合监督管理责任，指导协调、监督检查各乡镇（街道）和区级有关部门安全生产工作，组织开展安全生产巡查、考核工作。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13．承担煤矿、非煤矿山安全生产准入初审，危险化学品和烟花爆竹等生产经营单位安全生产准备入及非药品类易制毒化学品备案管理责任。</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14．拟订煤炭产业发展计划并组织实施，按权限审核、上报煤炭建设项目并负责监督管理。负责煤炭生产协调和监督管理，煤炭行业结构调整和产业升级，瓦斯治理和利用。推进煤炭体制改革。</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理处理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16．承担防震减灾工作职责。负责地震监测设施和观测环境保护工作，负责全区工程建设场地地震安全性评价的监督管理工作，承担全区重大工程的抗震设防监督工作。接受上级地震机构的业务指导。</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17．依法组织、指导生产安全事故调查处理，监督事故查处和责任追究落实情况。组织开展自然灾害类突发事件的调查评估工作。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18．开展应急管理和安全生产方面的交流与合作，参与安全生产类、自然灾害类等突发事件的跨区域救援工作 。</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19．制定应急物资和应急救援装备规划并组织实施，会同区发展改革局等部门建立健全应急物资信息平台和调拨制度，在救灾时统一调度。</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20．负责应急管理、安全生产等宣传教育和培训工作，组织和指导应急管理、安全生产的科学技术研究、推广应用和信息化建设工作。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21．负责职责范围内的职业健康、生态环境保护、审批服务便民化等工作。</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22．完成区委、区政府交办的其他任务。</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人员情况</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2023年利州区应急管理局总编制82名，其中行政编制14名，工勤编制2名，事业编制66名， 2023年在职人员总数76名，其中公务员12人，参公人员13人，事业管理人员51人，外聘专业技术人员1人。</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pPr>
        <w:pStyle w:val="8"/>
        <w:adjustRightInd w:val="0"/>
        <w:snapToGrid w:val="0"/>
        <w:spacing w:line="550" w:lineRule="exact"/>
        <w:ind w:firstLine="643" w:firstLineChars="200"/>
        <w:rPr>
          <w:rFonts w:ascii="Times New Roman" w:hAnsi="Times New Roman" w:eastAsia="楷体_GB2312"/>
          <w:b/>
          <w:bCs/>
          <w:color w:val="000000"/>
          <w:kern w:val="0"/>
          <w:sz w:val="32"/>
          <w:szCs w:val="32"/>
          <w:shd w:val="clear" w:color="auto" w:fill="FFFFFF"/>
          <w:lang w:val="zh-CN"/>
        </w:rPr>
      </w:pPr>
      <w:r>
        <w:rPr>
          <w:rFonts w:ascii="Times New Roman" w:hAnsi="Times New Roman" w:eastAsia="楷体_GB2312"/>
          <w:b/>
          <w:bCs/>
          <w:color w:val="000000"/>
          <w:kern w:val="0"/>
          <w:sz w:val="32"/>
          <w:szCs w:val="32"/>
          <w:shd w:val="clear" w:color="auto" w:fill="FFFFFF"/>
          <w:lang w:val="zh-CN"/>
        </w:rPr>
        <w:t>（一）</w:t>
      </w:r>
      <w:r>
        <w:rPr>
          <w:rFonts w:hint="eastAsia" w:ascii="Times New Roman" w:hAnsi="Times New Roman" w:eastAsia="楷体_GB2312"/>
          <w:b/>
          <w:bCs/>
          <w:color w:val="000000"/>
          <w:kern w:val="0"/>
          <w:sz w:val="32"/>
          <w:szCs w:val="32"/>
          <w:shd w:val="clear" w:color="auto" w:fill="FFFFFF"/>
          <w:lang w:val="zh-CN"/>
        </w:rPr>
        <w:t>收入情况</w:t>
      </w:r>
      <w:r>
        <w:rPr>
          <w:rFonts w:ascii="Times New Roman" w:hAnsi="Times New Roman" w:eastAsia="楷体_GB2312"/>
          <w:b/>
          <w:bCs/>
          <w:color w:val="000000"/>
          <w:kern w:val="0"/>
          <w:sz w:val="32"/>
          <w:szCs w:val="32"/>
          <w:shd w:val="clear" w:color="auto" w:fill="FFFFFF"/>
          <w:lang w:val="zh-CN"/>
        </w:rPr>
        <w:t>。</w:t>
      </w:r>
    </w:p>
    <w:p>
      <w:pPr>
        <w:widowControl/>
        <w:spacing w:line="578" w:lineRule="exact"/>
        <w:ind w:firstLine="640" w:firstLineChars="200"/>
        <w:contextualSpacing/>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2023年部门收入2359.91万元，其中一般公共预算收入拨款2359.85万元，占总收入99.99%；政府性基金预算收入0万元，占总收入的0%；其他收入（利息）0.058万元，占0.01%。</w:t>
      </w:r>
    </w:p>
    <w:p>
      <w:pPr>
        <w:pStyle w:val="8"/>
        <w:adjustRightInd w:val="0"/>
        <w:snapToGrid w:val="0"/>
        <w:spacing w:line="550" w:lineRule="exact"/>
        <w:ind w:firstLine="643" w:firstLineChars="200"/>
        <w:rPr>
          <w:rFonts w:ascii="Times New Roman" w:hAnsi="Times New Roman" w:eastAsia="楷体_GB2312"/>
          <w:b/>
          <w:bCs/>
          <w:color w:val="000000"/>
          <w:kern w:val="0"/>
          <w:sz w:val="32"/>
          <w:szCs w:val="32"/>
          <w:shd w:val="clear" w:color="auto" w:fill="FFFFFF"/>
          <w:lang w:val="zh-CN"/>
        </w:rPr>
      </w:pPr>
      <w:r>
        <w:rPr>
          <w:rFonts w:ascii="Times New Roman" w:hAnsi="Times New Roman" w:eastAsia="楷体_GB2312"/>
          <w:b/>
          <w:bCs/>
          <w:color w:val="000000"/>
          <w:kern w:val="0"/>
          <w:sz w:val="32"/>
          <w:szCs w:val="32"/>
          <w:shd w:val="clear" w:color="auto" w:fill="FFFFFF"/>
          <w:lang w:val="zh-CN"/>
        </w:rPr>
        <w:t>（</w:t>
      </w:r>
      <w:r>
        <w:rPr>
          <w:rFonts w:hint="eastAsia" w:ascii="Times New Roman" w:hAnsi="Times New Roman" w:eastAsia="楷体_GB2312"/>
          <w:b/>
          <w:bCs/>
          <w:color w:val="000000"/>
          <w:kern w:val="0"/>
          <w:sz w:val="32"/>
          <w:szCs w:val="32"/>
          <w:shd w:val="clear" w:color="auto" w:fill="FFFFFF"/>
          <w:lang w:val="zh-CN"/>
        </w:rPr>
        <w:t>二</w:t>
      </w:r>
      <w:r>
        <w:rPr>
          <w:rFonts w:ascii="Times New Roman" w:hAnsi="Times New Roman" w:eastAsia="楷体_GB2312"/>
          <w:b/>
          <w:bCs/>
          <w:color w:val="000000"/>
          <w:kern w:val="0"/>
          <w:sz w:val="32"/>
          <w:szCs w:val="32"/>
          <w:shd w:val="clear" w:color="auto" w:fill="FFFFFF"/>
          <w:lang w:val="zh-CN"/>
        </w:rPr>
        <w:t>）</w:t>
      </w:r>
      <w:r>
        <w:rPr>
          <w:rFonts w:hint="eastAsia" w:ascii="Times New Roman" w:hAnsi="Times New Roman" w:eastAsia="楷体_GB2312"/>
          <w:b/>
          <w:bCs/>
          <w:color w:val="000000"/>
          <w:kern w:val="0"/>
          <w:sz w:val="32"/>
          <w:szCs w:val="32"/>
          <w:shd w:val="clear" w:color="auto" w:fill="FFFFFF"/>
          <w:lang w:val="zh-CN"/>
        </w:rPr>
        <w:t>支出情况</w:t>
      </w:r>
      <w:r>
        <w:rPr>
          <w:rFonts w:ascii="Times New Roman" w:hAnsi="Times New Roman" w:eastAsia="楷体_GB2312"/>
          <w:b/>
          <w:bCs/>
          <w:color w:val="000000"/>
          <w:kern w:val="0"/>
          <w:sz w:val="32"/>
          <w:szCs w:val="32"/>
          <w:shd w:val="clear" w:color="auto" w:fill="FFFFFF"/>
          <w:lang w:val="zh-CN"/>
        </w:rPr>
        <w:t>。</w:t>
      </w:r>
    </w:p>
    <w:p>
      <w:pPr>
        <w:pStyle w:val="8"/>
        <w:adjustRightInd w:val="0"/>
        <w:snapToGrid w:val="0"/>
        <w:spacing w:line="55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2023年部门支出2359.91万元，按资金来源分类：其中一般公共预算支出拨款2359.85万元，占总支出99.99%；政府性基金预算支出0万元，占总支出的0%；其他支出（利息）0.058万元，占0.01%。按资金性质分类：基本支出1251.66万元，占总支出53%，项目支出1108.25万元，占总支出的47%。按经费支出分类：工资福利支出1062.40万元，占总支出的45.12%；商品和服务支出303.40万元，占总支出12.86%；对个人和家庭的补助支出841.63万元，占总支出的35.75%；其他资本性支出147.48万元，占总支出的6.25%，对企业补助5万元，占总支出的0.02%</w:t>
      </w:r>
    </w:p>
    <w:p>
      <w:pPr>
        <w:pStyle w:val="8"/>
        <w:adjustRightInd w:val="0"/>
        <w:snapToGrid w:val="0"/>
        <w:spacing w:line="550" w:lineRule="exact"/>
        <w:ind w:firstLine="643" w:firstLineChars="200"/>
        <w:rPr>
          <w:rFonts w:ascii="Times New Roman" w:hAnsi="Times New Roman" w:eastAsia="楷体_GB2312"/>
          <w:b/>
          <w:bCs/>
          <w:color w:val="000000"/>
          <w:kern w:val="0"/>
          <w:sz w:val="32"/>
          <w:szCs w:val="32"/>
          <w:shd w:val="clear" w:color="auto" w:fill="FFFFFF"/>
          <w:lang w:val="zh-CN"/>
        </w:rPr>
      </w:pPr>
      <w:r>
        <w:rPr>
          <w:rFonts w:ascii="Times New Roman" w:hAnsi="Times New Roman" w:eastAsia="楷体_GB2312"/>
          <w:b/>
          <w:bCs/>
          <w:color w:val="000000"/>
          <w:kern w:val="0"/>
          <w:sz w:val="32"/>
          <w:szCs w:val="32"/>
          <w:shd w:val="clear" w:color="auto" w:fill="FFFFFF"/>
          <w:lang w:val="zh-CN"/>
        </w:rPr>
        <w:t>（</w:t>
      </w:r>
      <w:r>
        <w:rPr>
          <w:rFonts w:hint="eastAsia" w:ascii="Times New Roman" w:hAnsi="Times New Roman" w:eastAsia="楷体_GB2312"/>
          <w:b/>
          <w:bCs/>
          <w:color w:val="000000"/>
          <w:kern w:val="0"/>
          <w:sz w:val="32"/>
          <w:szCs w:val="32"/>
          <w:shd w:val="clear" w:color="auto" w:fill="FFFFFF"/>
          <w:lang w:val="zh-CN"/>
        </w:rPr>
        <w:t>三</w:t>
      </w:r>
      <w:r>
        <w:rPr>
          <w:rFonts w:ascii="Times New Roman" w:hAnsi="Times New Roman" w:eastAsia="楷体_GB2312"/>
          <w:b/>
          <w:bCs/>
          <w:color w:val="000000"/>
          <w:kern w:val="0"/>
          <w:sz w:val="32"/>
          <w:szCs w:val="32"/>
          <w:shd w:val="clear" w:color="auto" w:fill="FFFFFF"/>
          <w:lang w:val="zh-CN"/>
        </w:rPr>
        <w:t>）结余分配和结转结余情况</w:t>
      </w:r>
      <w:r>
        <w:rPr>
          <w:rFonts w:hint="eastAsia" w:ascii="Times New Roman" w:hAnsi="Times New Roman" w:eastAsia="楷体_GB2312"/>
          <w:b/>
          <w:bCs/>
          <w:color w:val="000000"/>
          <w:kern w:val="0"/>
          <w:sz w:val="32"/>
          <w:szCs w:val="32"/>
          <w:shd w:val="clear" w:color="auto" w:fill="FFFFFF"/>
          <w:lang w:val="zh-CN"/>
        </w:rPr>
        <w:t>。</w:t>
      </w:r>
    </w:p>
    <w:p>
      <w:pPr>
        <w:pStyle w:val="8"/>
        <w:adjustRightInd w:val="0"/>
        <w:snapToGrid w:val="0"/>
        <w:spacing w:line="55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2023年单位共计结转转移性项目资金中央和省级自然灾害救灾资金（冬春救助）527万元，占总结转的100%。</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pPr>
        <w:adjustRightInd w:val="0"/>
        <w:snapToGrid w:val="0"/>
        <w:spacing w:line="578" w:lineRule="exact"/>
        <w:ind w:firstLine="643" w:firstLineChars="200"/>
        <w:contextualSpacing/>
        <w:jc w:val="left"/>
        <w:rPr>
          <w:rFonts w:ascii="Times New Roman" w:hAnsi="Times New Roman"/>
          <w:kern w:val="0"/>
          <w:szCs w:val="32"/>
          <w:shd w:val="clear" w:color="auto" w:fill="FFFFFF"/>
          <w:lang w:val="zh-CN"/>
        </w:rPr>
      </w:pPr>
      <w:r>
        <w:rPr>
          <w:rFonts w:ascii="Times New Roman" w:hAnsi="Times New Roman" w:eastAsia="楷体_GB2312"/>
          <w:b/>
          <w:bCs/>
          <w:kern w:val="0"/>
          <w:sz w:val="32"/>
          <w:szCs w:val="32"/>
          <w:shd w:val="clear" w:color="auto" w:fill="FFFFFF"/>
          <w:lang w:val="zh-CN"/>
        </w:rPr>
        <w:t>（一）</w:t>
      </w:r>
      <w:r>
        <w:rPr>
          <w:rFonts w:hint="eastAsia" w:ascii="Times New Roman" w:hAnsi="Times New Roman" w:eastAsia="楷体_GB2312"/>
          <w:b/>
          <w:bCs/>
          <w:kern w:val="0"/>
          <w:sz w:val="32"/>
          <w:szCs w:val="32"/>
          <w:shd w:val="clear" w:color="auto" w:fill="FFFFFF"/>
          <w:lang w:val="zh-CN"/>
        </w:rPr>
        <w:t>部门预算</w:t>
      </w:r>
      <w:r>
        <w:rPr>
          <w:rFonts w:ascii="Times New Roman" w:hAnsi="Times New Roman" w:eastAsia="楷体_GB2312"/>
          <w:b/>
          <w:bCs/>
          <w:kern w:val="0"/>
          <w:sz w:val="32"/>
          <w:szCs w:val="32"/>
          <w:shd w:val="clear" w:color="auto" w:fill="FFFFFF"/>
          <w:lang w:val="zh-CN"/>
        </w:rPr>
        <w:t>总体绩效分析。</w:t>
      </w:r>
      <w:r>
        <w:rPr>
          <w:rFonts w:ascii="Times New Roman" w:hAnsi="Times New Roman" w:eastAsia="仿宋_GB2312"/>
          <w:sz w:val="32"/>
          <w:szCs w:val="32"/>
          <w:lang w:val="zh-CN"/>
        </w:rPr>
        <w:t>根据部门预算绩效评价指标体系“总体绩效”涉及</w:t>
      </w:r>
      <w:r>
        <w:rPr>
          <w:rFonts w:hint="eastAsia" w:ascii="Times New Roman" w:hAnsi="Times New Roman" w:eastAsia="仿宋_GB2312"/>
          <w:sz w:val="32"/>
          <w:szCs w:val="32"/>
          <w:lang w:val="zh-CN"/>
        </w:rPr>
        <w:t>二、三级</w:t>
      </w:r>
      <w:r>
        <w:rPr>
          <w:rFonts w:ascii="Times New Roman" w:hAnsi="Times New Roman" w:eastAsia="仿宋_GB2312"/>
          <w:sz w:val="32"/>
          <w:szCs w:val="32"/>
          <w:lang w:val="zh-CN"/>
        </w:rPr>
        <w:t>指标进行</w:t>
      </w:r>
      <w:r>
        <w:rPr>
          <w:rFonts w:hint="eastAsia" w:ascii="Times New Roman" w:hAnsi="Times New Roman" w:eastAsia="仿宋_GB2312"/>
          <w:sz w:val="32"/>
          <w:szCs w:val="32"/>
          <w:lang w:val="zh-CN"/>
        </w:rPr>
        <w:t>逐项</w:t>
      </w:r>
      <w:r>
        <w:rPr>
          <w:rFonts w:ascii="Times New Roman" w:hAnsi="Times New Roman" w:eastAsia="仿宋_GB2312"/>
          <w:sz w:val="32"/>
          <w:szCs w:val="32"/>
          <w:lang w:val="zh-CN"/>
        </w:rPr>
        <w:t>绩效分析</w:t>
      </w:r>
      <w:r>
        <w:rPr>
          <w:rFonts w:hint="eastAsia" w:ascii="Times New Roman" w:hAnsi="Times New Roman" w:eastAsia="仿宋_GB2312"/>
          <w:sz w:val="32"/>
          <w:szCs w:val="32"/>
          <w:lang w:val="zh-CN"/>
        </w:rPr>
        <w:t>并评分</w:t>
      </w:r>
      <w:r>
        <w:rPr>
          <w:rFonts w:ascii="Times New Roman" w:hAnsi="Times New Roman" w:eastAsia="仿宋_GB2312"/>
          <w:sz w:val="32"/>
          <w:szCs w:val="32"/>
          <w:lang w:val="zh-CN"/>
        </w:rPr>
        <w:t>，依次包括履职效能、预算管理、财务管理、资产管理、采购管理等情况。</w:t>
      </w:r>
    </w:p>
    <w:p>
      <w:pPr>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1.履职效能。</w:t>
      </w:r>
    </w:p>
    <w:p>
      <w:pPr>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1）扎实开展主题教育，严格“三会一课”制度，组织主题党日活动6次、三级书记讲党课6次，各支部每周五开展主题教育集中理论学习并组织党员开展学习讨论；在主题教育开展期间，共开展集中学习21次，专题研讨9次，讨论交流4次，举行退休老党员茶话会开展集中学习1次；利用红色资源开展党性教育，到广元烈士陵园缅怀纪念革命先烈1次。稳步推进机关建设、基层党组织标准化建设、党建引领城乡基层治理，扎实开展“六项工作大排查”专项行动，基层党组织换届等五项工作大排查，发现并整改问题9个；在全区工会组织的学习贯彻二十大精神知识竞赛中取得第二名。</w:t>
      </w:r>
    </w:p>
    <w:p>
      <w:pPr>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2）安全生产综合监管。全面落实省、市、区有关安全部署，确保各项安全生产工作落实落地，开展安全生产督导检查4次。发现并整改问题隐患112项。印发了《广元市利州区重大事故隐患专项排查整治2023行动实施方案》，全面排查整治各类风险隐患22条，已整改19项，剩余3项正在整改中。 “强安2023”专项执法行动。灵活运用“线上+线下”监管模式，优化“互联网+执法+双随机一公开”执法监察方式，突出对矿山、有限空间等危险作业行为的执法监管，加大对“三违”行为的处罚力度，全年共派出检查小组40个，出动执法人员92人次，聘用安全专家24人次，检查企业54家，发现隐患151条，已整改130条，现场紧急处置1家，行政处罚立案17起，罚款12.4万元，依法实行“一案双查”1家，下达执法文书146份，移交案件1起。</w:t>
      </w:r>
    </w:p>
    <w:p>
      <w:pPr>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3）应急预案体系。积极推进区、乡镇（街道）各类应急预案的修编和备案工作，做好新旧预案衔接，逐步形成“横向到边、纵向到底”的应急预案体系。制定了多灾种叠加应急预案、气象自然灾害应急预案、一般洪涝灾害应急预案和乡镇（街道）总体应急预案、专项应急预案84个，区级主要专项应急预案36个，区级主要部门应急预案20个。</w:t>
      </w:r>
    </w:p>
    <w:p>
      <w:pPr>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4）防汛抗旱。严格落实汛期24小时领导带班和值班值守制度，常态化开展巡查和雨前预警、雨中响应、雨后治理工作，严格执行“30123”叫应机制，共排查我区121个山洪隐患点，启动4次应急响应，紧急转移3828人次，取得了利州区汛期零伤亡的好成绩。协调各类队伍出动112次335车320人，向38个村（社区）运送饮用水660吨、农田抗旱用水1200吨，完成抗旱浇灌面积500公顷，解决15129人和960头大牲畜饮水困难。防灾减灾。指导宝轮镇新街社区成功创建全国综合减灾示范社区。编制《广元市利州区贯彻落实〈“十四五”国家综合防灾减灾规划〉实施方案》。通过国家灾情系统报送全区灾情11次，共计受灾人口100451人，紧急避险转移3828人，紧急转移安置27人，其中因旱需生活救助人口36201人。积极做好冬春救助等灾害救助和物资管理，2023年春节前发放冬春生活救助资金662万元，救助17059户43751人。精准摸排2023—2024年度冬春生活需政府救助受灾困难群众17940户41756人。地震地灾。积极处置地灾险情，建立94个地灾点动态台账，逐一治理销号。森林防灭火。在全市率先推行森林防灭火“十户联保”创新试点。成立森林防火“十户联保”重点工作推进领导小组，印发《广元市利州区森林防灭火“十户联保”工作实施方案》。按省森林草原防灭火办公室《关于持续开展末端发力终端见效工作长效机制的通知》，区乡村三级签订责任清单146份、责任与任务承诺书830份。排查出各类森林火灾风险隐患86处，实行“清单制+责任制+销号制”，逐一建立火灾隐患台账，全面整改到位。乡、村两级开展半专业化扑火队、群众义务扑火队应急演练73场次，开展森林防灭火“我承诺我倡议”“开学第一课”等防火宣传活动，制作标语标牌220幅，宣传片、小视频20余条，发放防火令3万份、宣传资料3万余份</w:t>
      </w:r>
    </w:p>
    <w:p>
      <w:pPr>
        <w:spacing w:line="560" w:lineRule="exact"/>
        <w:ind w:firstLine="640" w:firstLineChars="200"/>
        <w:rPr>
          <w:rFonts w:ascii="仿宋_GB2312" w:hAnsi="宋体" w:eastAsia="仿宋_GB2312" w:cs="宋体"/>
          <w:kern w:val="0"/>
          <w:sz w:val="32"/>
          <w:szCs w:val="32"/>
        </w:rPr>
      </w:pPr>
      <w:r>
        <w:rPr>
          <w:rFonts w:hint="eastAsia" w:ascii="Times New Roman" w:hAnsi="Times New Roman" w:eastAsia="仿宋_GB2312"/>
          <w:sz w:val="32"/>
          <w:szCs w:val="32"/>
          <w:lang w:val="zh-CN"/>
        </w:rPr>
        <w:t>2.</w:t>
      </w:r>
      <w:r>
        <w:rPr>
          <w:rFonts w:ascii="Times New Roman" w:hAnsi="Times New Roman" w:eastAsia="仿宋_GB2312"/>
          <w:sz w:val="32"/>
          <w:szCs w:val="32"/>
          <w:lang w:val="zh-CN"/>
        </w:rPr>
        <w:t>预算管理</w:t>
      </w:r>
      <w:r>
        <w:rPr>
          <w:rFonts w:hint="eastAsia" w:ascii="Times New Roman" w:hAnsi="Times New Roman" w:eastAsia="仿宋_GB2312"/>
          <w:sz w:val="32"/>
          <w:szCs w:val="32"/>
          <w:lang w:val="zh-CN"/>
        </w:rPr>
        <w:t>。</w:t>
      </w:r>
      <w:r>
        <w:rPr>
          <w:rFonts w:hint="eastAsia" w:ascii="仿宋_GB2312" w:hAnsi="宋体" w:eastAsia="仿宋_GB2312" w:cs="宋体"/>
          <w:kern w:val="0"/>
          <w:sz w:val="32"/>
          <w:szCs w:val="32"/>
        </w:rPr>
        <w:t>结合单位实际情况，对各项经费支出及非税收入在预算收入管理中严格坚持以下原则：（1）坚持经费管理及人员编制管理相结合严格按照人事审核，财政把关后的人事工资表进行人员工资的财政统发和单位日常公用经费支出原则；其他规定的编外机构、超编人员财政不安排工资及任何经费 。（2）按照要求坚持财政资金保工资发放、保机构运转、保稳定、保重点支出的原则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财务管理</w:t>
      </w:r>
      <w:r>
        <w:rPr>
          <w:rFonts w:hint="eastAsia" w:ascii="仿宋_GB2312" w:hAnsi="宋体" w:eastAsia="仿宋_GB2312" w:cs="宋体"/>
          <w:kern w:val="0"/>
          <w:sz w:val="32"/>
          <w:szCs w:val="32"/>
        </w:rPr>
        <w:t>。局机关经费必须实行“一账制”统一管理，严格执行财经纪律。经费的使用要坚持“统一管理，保证重点，量入为出，励行节约”和“一支笔”审批的原则。预算外收入必须统一全额上缴财政局专户，严禁任何科室和人员坐收坐支，严禁设账外账和私设“小金库”，严禁公款私存。</w:t>
      </w:r>
    </w:p>
    <w:p>
      <w:pPr>
        <w:spacing w:line="560" w:lineRule="exact"/>
        <w:ind w:firstLine="640" w:firstLineChars="200"/>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4.</w:t>
      </w:r>
      <w:r>
        <w:rPr>
          <w:rFonts w:ascii="楷体_GB2312" w:hAnsi="楷体_GB2312" w:eastAsia="楷体_GB2312" w:cs="楷体_GB2312"/>
          <w:kern w:val="0"/>
          <w:sz w:val="32"/>
          <w:szCs w:val="32"/>
          <w:shd w:val="clear" w:color="auto" w:fill="FFFFFF"/>
          <w:lang w:val="zh-CN"/>
        </w:rPr>
        <w:t>资产管理</w:t>
      </w:r>
      <w:r>
        <w:rPr>
          <w:rFonts w:hint="eastAsia" w:ascii="楷体_GB2312" w:hAnsi="楷体_GB2312" w:eastAsia="楷体_GB2312" w:cs="楷体_GB2312"/>
          <w:kern w:val="0"/>
          <w:sz w:val="32"/>
          <w:szCs w:val="32"/>
          <w:shd w:val="clear" w:color="auto" w:fill="FFFFFF"/>
          <w:lang w:val="zh-CN"/>
        </w:rPr>
        <w:t>。</w:t>
      </w:r>
      <w:r>
        <w:rPr>
          <w:rFonts w:ascii="楷体_GB2312" w:hAnsi="楷体_GB2312" w:eastAsia="楷体_GB2312" w:cs="楷体_GB2312"/>
          <w:kern w:val="0"/>
          <w:sz w:val="32"/>
          <w:szCs w:val="32"/>
          <w:shd w:val="clear" w:color="auto" w:fill="FFFFFF"/>
        </w:rPr>
        <w:t>进一步规范了各类资产的购置审批、采购、使用、出租出借、处置、报废等管理制度。对单位公共财产物资实行统一管理、统一调配，并按使用人建立了资产实物管理台账，实行使用、保管登记制度。同时所有资产纳入资产信息系统和会计核算平台，及时准确反映资产增减变动情况，做到账卡相符、账</w:t>
      </w:r>
      <w:r>
        <w:rPr>
          <w:rFonts w:hint="eastAsia" w:ascii="楷体_GB2312" w:hAnsi="楷体_GB2312" w:eastAsia="楷体_GB2312" w:cs="楷体_GB2312"/>
          <w:kern w:val="0"/>
          <w:sz w:val="32"/>
          <w:szCs w:val="32"/>
          <w:shd w:val="clear" w:color="auto" w:fill="FFFFFF"/>
        </w:rPr>
        <w:t>帐</w:t>
      </w:r>
      <w:r>
        <w:rPr>
          <w:rFonts w:ascii="楷体_GB2312" w:hAnsi="楷体_GB2312" w:eastAsia="楷体_GB2312" w:cs="楷体_GB2312"/>
          <w:kern w:val="0"/>
          <w:sz w:val="32"/>
          <w:szCs w:val="32"/>
          <w:shd w:val="clear" w:color="auto" w:fill="FFFFFF"/>
        </w:rPr>
        <w:t>相符、账实相符，每年底还要对财产物资进行清查、盘点、核对、处置，确保资产信息清晰完整真实。202</w:t>
      </w:r>
      <w:r>
        <w:rPr>
          <w:rFonts w:hint="eastAsia" w:ascii="楷体_GB2312" w:hAnsi="楷体_GB2312" w:eastAsia="楷体_GB2312" w:cs="楷体_GB2312"/>
          <w:kern w:val="0"/>
          <w:sz w:val="32"/>
          <w:szCs w:val="32"/>
          <w:shd w:val="clear" w:color="auto" w:fill="FFFFFF"/>
        </w:rPr>
        <w:t>3</w:t>
      </w:r>
      <w:r>
        <w:rPr>
          <w:rFonts w:ascii="楷体_GB2312" w:hAnsi="楷体_GB2312" w:eastAsia="楷体_GB2312" w:cs="楷体_GB2312"/>
          <w:kern w:val="0"/>
          <w:sz w:val="32"/>
          <w:szCs w:val="32"/>
          <w:shd w:val="clear" w:color="auto" w:fill="FFFFFF"/>
        </w:rPr>
        <w:t>年底我局资产总额</w:t>
      </w:r>
      <w:r>
        <w:rPr>
          <w:rFonts w:hint="eastAsia" w:ascii="楷体_GB2312" w:hAnsi="楷体_GB2312" w:eastAsia="楷体_GB2312" w:cs="楷体_GB2312"/>
          <w:kern w:val="0"/>
          <w:sz w:val="32"/>
          <w:szCs w:val="32"/>
          <w:shd w:val="clear" w:color="auto" w:fill="FFFFFF"/>
        </w:rPr>
        <w:t>383.15</w:t>
      </w:r>
      <w:r>
        <w:rPr>
          <w:rFonts w:ascii="楷体_GB2312" w:hAnsi="楷体_GB2312" w:eastAsia="楷体_GB2312" w:cs="楷体_GB2312"/>
          <w:kern w:val="0"/>
          <w:sz w:val="32"/>
          <w:szCs w:val="32"/>
          <w:shd w:val="clear" w:color="auto" w:fill="FFFFFF"/>
        </w:rPr>
        <w:t>万元，</w:t>
      </w:r>
      <w:r>
        <w:rPr>
          <w:rFonts w:hint="eastAsia" w:ascii="楷体_GB2312" w:hAnsi="楷体_GB2312" w:eastAsia="楷体_GB2312" w:cs="楷体_GB2312"/>
          <w:kern w:val="0"/>
          <w:sz w:val="32"/>
          <w:szCs w:val="32"/>
          <w:shd w:val="clear" w:color="auto" w:fill="FFFFFF"/>
        </w:rPr>
        <w:t>固定资产折旧255.27万元。</w:t>
      </w:r>
    </w:p>
    <w:p>
      <w:pPr>
        <w:adjustRightInd w:val="0"/>
        <w:snapToGrid w:val="0"/>
        <w:spacing w:line="578" w:lineRule="exact"/>
        <w:ind w:firstLine="640" w:firstLineChars="200"/>
        <w:contextualSpacing/>
        <w:jc w:val="lef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5.</w:t>
      </w:r>
      <w:r>
        <w:rPr>
          <w:rFonts w:ascii="楷体_GB2312" w:hAnsi="楷体_GB2312" w:eastAsia="楷体_GB2312" w:cs="楷体_GB2312"/>
          <w:kern w:val="0"/>
          <w:sz w:val="32"/>
          <w:szCs w:val="32"/>
          <w:shd w:val="clear" w:color="auto" w:fill="FFFFFF"/>
        </w:rPr>
        <w:t>采购管理</w:t>
      </w:r>
      <w:r>
        <w:rPr>
          <w:rFonts w:hint="eastAsia" w:ascii="楷体_GB2312" w:hAnsi="楷体_GB2312" w:eastAsia="楷体_GB2312" w:cs="楷体_GB2312"/>
          <w:kern w:val="0"/>
          <w:sz w:val="32"/>
          <w:szCs w:val="32"/>
          <w:shd w:val="clear" w:color="auto" w:fill="FFFFFF"/>
        </w:rPr>
        <w:t>。</w:t>
      </w:r>
      <w:r>
        <w:rPr>
          <w:rFonts w:ascii="楷体_GB2312" w:hAnsi="楷体_GB2312" w:eastAsia="楷体_GB2312" w:cs="楷体_GB2312"/>
          <w:kern w:val="0"/>
          <w:sz w:val="32"/>
          <w:szCs w:val="32"/>
          <w:shd w:val="clear" w:color="auto" w:fill="FFFFFF"/>
        </w:rPr>
        <w:t>202</w:t>
      </w:r>
      <w:r>
        <w:rPr>
          <w:rFonts w:hint="eastAsia" w:ascii="楷体_GB2312" w:hAnsi="楷体_GB2312" w:eastAsia="楷体_GB2312" w:cs="楷体_GB2312"/>
          <w:kern w:val="0"/>
          <w:sz w:val="32"/>
          <w:szCs w:val="32"/>
          <w:shd w:val="clear" w:color="auto" w:fill="FFFFFF"/>
        </w:rPr>
        <w:t>3</w:t>
      </w:r>
      <w:r>
        <w:rPr>
          <w:rFonts w:ascii="楷体_GB2312" w:hAnsi="楷体_GB2312" w:eastAsia="楷体_GB2312" w:cs="楷体_GB2312"/>
          <w:kern w:val="0"/>
          <w:sz w:val="32"/>
          <w:szCs w:val="32"/>
          <w:shd w:val="clear" w:color="auto" w:fill="FFFFFF"/>
        </w:rPr>
        <w:t>年行政运行费</w:t>
      </w:r>
      <w:r>
        <w:rPr>
          <w:rFonts w:hint="eastAsia" w:ascii="楷体_GB2312" w:hAnsi="楷体_GB2312" w:eastAsia="楷体_GB2312" w:cs="楷体_GB2312"/>
          <w:kern w:val="0"/>
          <w:sz w:val="32"/>
          <w:szCs w:val="32"/>
          <w:shd w:val="clear" w:color="auto" w:fill="FFFFFF"/>
        </w:rPr>
        <w:t>无</w:t>
      </w:r>
      <w:r>
        <w:rPr>
          <w:rFonts w:ascii="楷体_GB2312" w:hAnsi="楷体_GB2312" w:eastAsia="楷体_GB2312" w:cs="楷体_GB2312"/>
          <w:kern w:val="0"/>
          <w:sz w:val="32"/>
          <w:szCs w:val="32"/>
          <w:shd w:val="clear" w:color="auto" w:fill="FFFFFF"/>
        </w:rPr>
        <w:t>预算政府采购资金，全年无政府采购行为。各类项目</w:t>
      </w:r>
      <w:r>
        <w:rPr>
          <w:rFonts w:hint="eastAsia" w:ascii="楷体_GB2312" w:hAnsi="楷体_GB2312" w:eastAsia="楷体_GB2312" w:cs="楷体_GB2312"/>
          <w:kern w:val="0"/>
          <w:sz w:val="32"/>
          <w:szCs w:val="32"/>
          <w:shd w:val="clear" w:color="auto" w:fill="FFFFFF"/>
        </w:rPr>
        <w:t>采购</w:t>
      </w:r>
      <w:r>
        <w:rPr>
          <w:rFonts w:ascii="楷体_GB2312" w:hAnsi="楷体_GB2312" w:eastAsia="楷体_GB2312" w:cs="楷体_GB2312"/>
          <w:kern w:val="0"/>
          <w:sz w:val="32"/>
          <w:szCs w:val="32"/>
          <w:shd w:val="clear" w:color="auto" w:fill="FFFFFF"/>
        </w:rPr>
        <w:t>资金严格按照相关法规和政策执行</w:t>
      </w:r>
      <w:r>
        <w:rPr>
          <w:rFonts w:hint="eastAsia" w:ascii="楷体_GB2312" w:hAnsi="楷体_GB2312" w:eastAsia="楷体_GB2312" w:cs="楷体_GB2312"/>
          <w:kern w:val="0"/>
          <w:sz w:val="32"/>
          <w:szCs w:val="32"/>
          <w:shd w:val="clear" w:color="auto" w:fill="FFFFFF"/>
        </w:rPr>
        <w:t>。</w:t>
      </w:r>
    </w:p>
    <w:p>
      <w:pPr>
        <w:widowControl/>
        <w:adjustRightInd w:val="0"/>
        <w:snapToGrid w:val="0"/>
        <w:spacing w:line="578" w:lineRule="exact"/>
        <w:ind w:firstLine="643" w:firstLineChars="200"/>
        <w:contextualSpacing/>
        <w:jc w:val="left"/>
        <w:rPr>
          <w:rFonts w:ascii="Times New Roman" w:hAnsi="Times New Roman" w:eastAsia="仿宋_GB2312"/>
          <w:sz w:val="32"/>
          <w:szCs w:val="32"/>
        </w:rPr>
      </w:pPr>
      <w:r>
        <w:rPr>
          <w:rFonts w:ascii="Times New Roman" w:hAnsi="Times New Roman" w:eastAsia="楷体_GB2312"/>
          <w:b/>
          <w:bCs/>
          <w:kern w:val="0"/>
          <w:sz w:val="32"/>
          <w:szCs w:val="32"/>
          <w:shd w:val="clear" w:color="auto" w:fill="FFFFFF"/>
          <w:lang w:val="zh-CN"/>
        </w:rPr>
        <w:t>（二）部门预算项目绩效分析。</w:t>
      </w:r>
      <w:r>
        <w:rPr>
          <w:rFonts w:hint="eastAsia" w:ascii="Times New Roman" w:hAnsi="Times New Roman" w:eastAsia="仿宋_GB2312"/>
          <w:sz w:val="32"/>
          <w:szCs w:val="32"/>
          <w:lang w:val="zh-CN"/>
        </w:rPr>
        <w:t>填报以下数据，并</w:t>
      </w:r>
      <w:r>
        <w:rPr>
          <w:rFonts w:ascii="Times New Roman" w:hAnsi="Times New Roman" w:eastAsia="仿宋_GB2312"/>
          <w:sz w:val="32"/>
          <w:szCs w:val="32"/>
          <w:lang w:val="zh-CN"/>
        </w:rPr>
        <w:t>根据部门预算绩效评价指标体系“项目绩效”涉及</w:t>
      </w:r>
      <w:r>
        <w:rPr>
          <w:rFonts w:hint="eastAsia" w:ascii="Times New Roman" w:hAnsi="Times New Roman" w:eastAsia="仿宋_GB2312"/>
          <w:sz w:val="32"/>
          <w:szCs w:val="32"/>
          <w:lang w:val="zh-CN"/>
        </w:rPr>
        <w:t>二、三级</w:t>
      </w:r>
      <w:r>
        <w:rPr>
          <w:rFonts w:ascii="Times New Roman" w:hAnsi="Times New Roman" w:eastAsia="仿宋_GB2312"/>
          <w:sz w:val="32"/>
          <w:szCs w:val="32"/>
          <w:lang w:val="zh-CN"/>
        </w:rPr>
        <w:t>指标进行</w:t>
      </w:r>
      <w:r>
        <w:rPr>
          <w:rFonts w:hint="eastAsia" w:ascii="Times New Roman" w:hAnsi="Times New Roman" w:eastAsia="仿宋_GB2312"/>
          <w:sz w:val="32"/>
          <w:szCs w:val="32"/>
          <w:lang w:val="zh-CN"/>
        </w:rPr>
        <w:t>逐项</w:t>
      </w:r>
      <w:r>
        <w:rPr>
          <w:rFonts w:ascii="Times New Roman" w:hAnsi="Times New Roman" w:eastAsia="仿宋_GB2312"/>
          <w:sz w:val="32"/>
          <w:szCs w:val="32"/>
          <w:lang w:val="zh-CN"/>
        </w:rPr>
        <w:t>绩效分析</w:t>
      </w:r>
      <w:r>
        <w:rPr>
          <w:rFonts w:hint="eastAsia" w:ascii="Times New Roman" w:hAnsi="Times New Roman" w:eastAsia="仿宋_GB2312"/>
          <w:sz w:val="32"/>
          <w:szCs w:val="32"/>
          <w:lang w:val="zh-CN"/>
        </w:rPr>
        <w:t>并评分</w:t>
      </w:r>
      <w:r>
        <w:rPr>
          <w:rFonts w:ascii="Times New Roman" w:hAnsi="Times New Roman" w:eastAsia="仿宋_GB2312"/>
          <w:sz w:val="32"/>
          <w:szCs w:val="32"/>
          <w:lang w:val="zh-CN"/>
        </w:rPr>
        <w:t>，依次包括项目</w:t>
      </w:r>
      <w:r>
        <w:rPr>
          <w:rFonts w:ascii="Times New Roman" w:hAnsi="Times New Roman" w:eastAsia="仿宋_GB2312"/>
          <w:sz w:val="32"/>
          <w:szCs w:val="32"/>
        </w:rPr>
        <w:t>决策、项目执行、目标实现等情况</w:t>
      </w:r>
      <w:r>
        <w:rPr>
          <w:rFonts w:hint="eastAsia" w:ascii="Times New Roman" w:hAnsi="Times New Roman" w:eastAsia="仿宋_GB2312"/>
          <w:sz w:val="32"/>
          <w:szCs w:val="32"/>
        </w:rPr>
        <w:t>。</w:t>
      </w:r>
    </w:p>
    <w:p>
      <w:pPr>
        <w:widowControl/>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ascii="Times New Roman" w:hAnsi="Times New Roman" w:eastAsia="仿宋_GB2312"/>
          <w:sz w:val="32"/>
          <w:szCs w:val="32"/>
        </w:rPr>
        <w:t>常年项目绩效分析。</w:t>
      </w:r>
      <w:r>
        <w:rPr>
          <w:rFonts w:ascii="Times New Roman" w:hAnsi="Times New Roman" w:eastAsia="仿宋_GB2312"/>
          <w:sz w:val="32"/>
          <w:szCs w:val="32"/>
          <w:lang w:val="zh-CN"/>
        </w:rPr>
        <w:t>该类项目总数</w:t>
      </w:r>
      <w:r>
        <w:rPr>
          <w:rFonts w:hint="eastAsia" w:ascii="Times New Roman" w:hAnsi="Times New Roman" w:eastAsia="仿宋_GB2312"/>
          <w:sz w:val="32"/>
          <w:szCs w:val="32"/>
        </w:rPr>
        <w:t>7</w:t>
      </w:r>
      <w:r>
        <w:rPr>
          <w:rFonts w:ascii="Times New Roman" w:hAnsi="Times New Roman" w:eastAsia="仿宋_GB2312"/>
          <w:sz w:val="32"/>
          <w:szCs w:val="32"/>
          <w:lang w:val="zh-CN"/>
        </w:rPr>
        <w:t>个，涉及预算总金额</w:t>
      </w:r>
      <w:r>
        <w:rPr>
          <w:rFonts w:hint="eastAsia" w:ascii="Times New Roman" w:hAnsi="Times New Roman" w:eastAsia="仿宋_GB2312"/>
          <w:sz w:val="32"/>
          <w:szCs w:val="32"/>
        </w:rPr>
        <w:t>84</w:t>
      </w:r>
      <w:r>
        <w:rPr>
          <w:rFonts w:ascii="Times New Roman" w:hAnsi="Times New Roman" w:eastAsia="仿宋_GB2312"/>
          <w:sz w:val="32"/>
          <w:szCs w:val="32"/>
          <w:lang w:val="zh-CN"/>
        </w:rPr>
        <w:t>万元，1</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1</w:t>
      </w:r>
      <w:r>
        <w:rPr>
          <w:rFonts w:ascii="Times New Roman" w:hAnsi="Times New Roman" w:eastAsia="仿宋_GB2312"/>
          <w:sz w:val="32"/>
          <w:szCs w:val="32"/>
        </w:rPr>
        <w:t>2</w:t>
      </w:r>
      <w:r>
        <w:rPr>
          <w:rFonts w:ascii="Times New Roman" w:hAnsi="Times New Roman" w:eastAsia="仿宋_GB2312"/>
          <w:sz w:val="32"/>
          <w:szCs w:val="32"/>
          <w:lang w:val="zh-CN"/>
        </w:rPr>
        <w:t>月预算执行总体进度为</w:t>
      </w:r>
      <w:r>
        <w:rPr>
          <w:rFonts w:hint="eastAsia" w:ascii="Times New Roman" w:hAnsi="Times New Roman" w:eastAsia="仿宋_GB2312"/>
          <w:sz w:val="32"/>
          <w:szCs w:val="32"/>
          <w:lang w:val="zh-CN"/>
        </w:rPr>
        <w:t>91</w:t>
      </w:r>
      <w:r>
        <w:rPr>
          <w:rFonts w:ascii="Times New Roman" w:hAnsi="Times New Roman" w:eastAsia="仿宋_GB2312"/>
          <w:sz w:val="32"/>
          <w:szCs w:val="32"/>
          <w:lang w:val="zh-CN"/>
        </w:rPr>
        <w:t>%，其中：预算结余率大于</w:t>
      </w:r>
      <w:r>
        <w:rPr>
          <w:rFonts w:ascii="Times New Roman" w:hAnsi="Times New Roman" w:eastAsia="仿宋_GB2312"/>
          <w:sz w:val="32"/>
          <w:szCs w:val="32"/>
        </w:rPr>
        <w:t>10%</w:t>
      </w:r>
      <w:r>
        <w:rPr>
          <w:rFonts w:ascii="Times New Roman" w:hAnsi="Times New Roman" w:eastAsia="仿宋_GB2312"/>
          <w:sz w:val="32"/>
          <w:szCs w:val="32"/>
          <w:lang w:val="zh-CN"/>
        </w:rPr>
        <w:t>的项目共计</w:t>
      </w:r>
      <w:r>
        <w:rPr>
          <w:rFonts w:hint="eastAsia" w:ascii="Times New Roman" w:hAnsi="Times New Roman" w:eastAsia="仿宋_GB2312"/>
          <w:sz w:val="32"/>
          <w:szCs w:val="32"/>
          <w:lang w:val="zh-CN"/>
        </w:rPr>
        <w:t>1</w:t>
      </w:r>
      <w:r>
        <w:rPr>
          <w:rFonts w:ascii="Times New Roman" w:hAnsi="Times New Roman" w:eastAsia="仿宋_GB2312"/>
          <w:sz w:val="32"/>
          <w:szCs w:val="32"/>
          <w:lang w:val="zh-CN"/>
        </w:rPr>
        <w:t>个。</w:t>
      </w:r>
    </w:p>
    <w:p>
      <w:pPr>
        <w:widowControl/>
        <w:adjustRightInd w:val="0"/>
        <w:snapToGrid w:val="0"/>
        <w:spacing w:line="578" w:lineRule="exact"/>
        <w:ind w:firstLine="640" w:firstLineChars="200"/>
        <w:contextualSpacing/>
        <w:jc w:val="left"/>
        <w:rPr>
          <w:rFonts w:ascii="Times New Roman" w:hAnsi="Times New Roman" w:eastAsia="仿宋_GB2312"/>
          <w:sz w:val="32"/>
          <w:szCs w:val="32"/>
          <w:lang w:val="zh-CN"/>
        </w:rPr>
      </w:pPr>
      <w:r>
        <w:rPr>
          <w:rFonts w:ascii="Times New Roman" w:hAnsi="Times New Roman" w:eastAsia="仿宋_GB2312"/>
          <w:sz w:val="32"/>
          <w:szCs w:val="32"/>
        </w:rPr>
        <w:t>阶段</w:t>
      </w:r>
      <w:r>
        <w:rPr>
          <w:rFonts w:hint="eastAsia" w:ascii="Times New Roman" w:hAnsi="Times New Roman" w:eastAsia="仿宋_GB2312"/>
          <w:sz w:val="32"/>
          <w:szCs w:val="32"/>
        </w:rPr>
        <w:t>（</w:t>
      </w:r>
      <w:r>
        <w:rPr>
          <w:rFonts w:ascii="Times New Roman" w:hAnsi="Times New Roman" w:eastAsia="仿宋_GB2312"/>
          <w:sz w:val="32"/>
          <w:szCs w:val="32"/>
        </w:rPr>
        <w:t>一次性</w:t>
      </w:r>
      <w:r>
        <w:rPr>
          <w:rFonts w:hint="eastAsia" w:ascii="Times New Roman" w:hAnsi="Times New Roman" w:eastAsia="仿宋_GB2312"/>
          <w:sz w:val="32"/>
          <w:szCs w:val="32"/>
        </w:rPr>
        <w:t>）</w:t>
      </w:r>
      <w:r>
        <w:rPr>
          <w:rFonts w:ascii="Times New Roman" w:hAnsi="Times New Roman" w:eastAsia="仿宋_GB2312"/>
          <w:sz w:val="32"/>
          <w:szCs w:val="32"/>
        </w:rPr>
        <w:t>项目绩效分析。</w:t>
      </w:r>
      <w:r>
        <w:rPr>
          <w:rFonts w:ascii="Times New Roman" w:hAnsi="Times New Roman" w:eastAsia="仿宋_GB2312"/>
          <w:sz w:val="32"/>
          <w:szCs w:val="32"/>
          <w:lang w:val="zh-CN"/>
        </w:rPr>
        <w:t>该类项目总数</w:t>
      </w:r>
      <w:r>
        <w:rPr>
          <w:rFonts w:hint="eastAsia" w:ascii="Times New Roman" w:hAnsi="Times New Roman" w:eastAsia="仿宋_GB2312"/>
          <w:sz w:val="32"/>
          <w:szCs w:val="32"/>
          <w:lang w:val="zh-CN"/>
        </w:rPr>
        <w:t>2</w:t>
      </w:r>
      <w:r>
        <w:rPr>
          <w:rFonts w:ascii="Times New Roman" w:hAnsi="Times New Roman" w:eastAsia="仿宋_GB2312"/>
          <w:sz w:val="32"/>
          <w:szCs w:val="32"/>
          <w:lang w:val="zh-CN"/>
        </w:rPr>
        <w:t>个，涉及预算总金额</w:t>
      </w:r>
      <w:r>
        <w:rPr>
          <w:rFonts w:hint="eastAsia" w:ascii="Times New Roman" w:hAnsi="Times New Roman" w:eastAsia="仿宋_GB2312"/>
          <w:sz w:val="32"/>
          <w:szCs w:val="32"/>
          <w:lang w:val="zh-CN"/>
        </w:rPr>
        <w:t>49</w:t>
      </w:r>
      <w:r>
        <w:rPr>
          <w:rFonts w:ascii="Times New Roman" w:hAnsi="Times New Roman" w:eastAsia="仿宋_GB2312"/>
          <w:sz w:val="32"/>
          <w:szCs w:val="32"/>
          <w:lang w:val="zh-CN"/>
        </w:rPr>
        <w:t>万元，1</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1</w:t>
      </w:r>
      <w:r>
        <w:rPr>
          <w:rFonts w:ascii="Times New Roman" w:hAnsi="Times New Roman" w:eastAsia="仿宋_GB2312"/>
          <w:sz w:val="32"/>
          <w:szCs w:val="32"/>
        </w:rPr>
        <w:t>2</w:t>
      </w:r>
      <w:r>
        <w:rPr>
          <w:rFonts w:ascii="Times New Roman" w:hAnsi="Times New Roman" w:eastAsia="仿宋_GB2312"/>
          <w:sz w:val="32"/>
          <w:szCs w:val="32"/>
          <w:lang w:val="zh-CN"/>
        </w:rPr>
        <w:t>月预算执行总体进度为</w:t>
      </w:r>
      <w:r>
        <w:rPr>
          <w:rFonts w:hint="eastAsia" w:ascii="Times New Roman" w:hAnsi="Times New Roman" w:eastAsia="仿宋_GB2312"/>
          <w:sz w:val="32"/>
          <w:szCs w:val="32"/>
          <w:lang w:val="zh-CN"/>
        </w:rPr>
        <w:t>100</w:t>
      </w:r>
      <w:r>
        <w:rPr>
          <w:rFonts w:ascii="Times New Roman" w:hAnsi="Times New Roman" w:eastAsia="仿宋_GB2312"/>
          <w:sz w:val="32"/>
          <w:szCs w:val="32"/>
          <w:lang w:val="zh-CN"/>
        </w:rPr>
        <w:t>%，其中：预算结余率大于</w:t>
      </w:r>
      <w:r>
        <w:rPr>
          <w:rFonts w:ascii="Times New Roman" w:hAnsi="Times New Roman" w:eastAsia="仿宋_GB2312"/>
          <w:sz w:val="32"/>
          <w:szCs w:val="32"/>
        </w:rPr>
        <w:t>10%</w:t>
      </w:r>
      <w:r>
        <w:rPr>
          <w:rFonts w:ascii="Times New Roman" w:hAnsi="Times New Roman" w:eastAsia="仿宋_GB2312"/>
          <w:sz w:val="32"/>
          <w:szCs w:val="32"/>
          <w:lang w:val="zh-CN"/>
        </w:rPr>
        <w:t>的项目共计</w:t>
      </w:r>
      <w:r>
        <w:rPr>
          <w:rFonts w:hint="eastAsia" w:ascii="Times New Roman" w:hAnsi="Times New Roman" w:eastAsia="仿宋_GB2312"/>
          <w:sz w:val="32"/>
          <w:szCs w:val="32"/>
          <w:lang w:val="zh-CN"/>
        </w:rPr>
        <w:t>0</w:t>
      </w:r>
      <w:r>
        <w:rPr>
          <w:rFonts w:ascii="Times New Roman" w:hAnsi="Times New Roman" w:eastAsia="仿宋_GB2312"/>
          <w:sz w:val="32"/>
          <w:szCs w:val="32"/>
          <w:lang w:val="zh-CN"/>
        </w:rPr>
        <w:t>个。</w:t>
      </w:r>
    </w:p>
    <w:p>
      <w:pPr>
        <w:widowControl/>
        <w:adjustRightInd w:val="0"/>
        <w:snapToGrid w:val="0"/>
        <w:spacing w:line="578"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四、评价结论及建议</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（一）评价结论。</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本部门按要求对2023年部门整体支出开展绩效自评，从评价情况来看项目完成、项目效益、满意度等方面绩效指标完成情况良好。</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（二）存在问题。</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1.个别项目指标未细化量化，未明确预期工作目标，缺乏可考核性；2.部门整体支出绩效自评质量有待提高；3.在绩效目标三级指标“量化细化”的编制上还需进一步完善，4.在设定部门整体支出绩效目标时，未考虑不可控因素导致的偏差。</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（三）改进建议。</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1．进一步强化绩效管理意识，提高绩效目标编报质量。</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2．加强预算绩效管理制度及新预算法学习培训。</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3.强化预算编制执行能力，提高预算管理水平。</w:t>
      </w:r>
    </w:p>
    <w:p>
      <w:pPr>
        <w:snapToGrid w:val="0"/>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4.建议区财政局组织绩效评价方面的业务培训与指导工作。</w:t>
      </w:r>
    </w:p>
    <w:p>
      <w:pPr>
        <w:pStyle w:val="3"/>
        <w:ind w:left="0" w:leftChars="0" w:firstLine="0" w:firstLineChars="0"/>
        <w:rPr>
          <w:lang w:val="zh-CN"/>
        </w:rPr>
      </w:pPr>
    </w:p>
    <w:p>
      <w:pPr>
        <w:pStyle w:val="3"/>
        <w:spacing w:line="560" w:lineRule="exact"/>
        <w:ind w:leftChars="0" w:firstLine="640"/>
        <w:rPr>
          <w:rFonts w:hAnsi="Times New Roman"/>
          <w:sz w:val="32"/>
          <w:lang w:val="zh-CN"/>
        </w:rPr>
      </w:pPr>
      <w:r>
        <w:rPr>
          <w:rFonts w:hint="eastAsia" w:hAnsi="Times New Roman"/>
          <w:sz w:val="32"/>
          <w:lang w:val="zh-CN"/>
        </w:rPr>
        <w:t>附表：</w:t>
      </w:r>
      <w:r>
        <w:rPr>
          <w:rFonts w:hint="eastAsia" w:hAnsi="Times New Roman"/>
          <w:sz w:val="32"/>
        </w:rPr>
        <w:t>部门预算项目支出绩效自评表（202</w:t>
      </w:r>
      <w:r>
        <w:rPr>
          <w:rFonts w:hint="eastAsia"/>
          <w:sz w:val="32"/>
        </w:rPr>
        <w:t>3</w:t>
      </w:r>
      <w:r>
        <w:rPr>
          <w:rFonts w:hint="eastAsia" w:hAnsi="Times New Roman"/>
          <w:sz w:val="32"/>
        </w:rPr>
        <w:t>年度）</w:t>
      </w:r>
    </w:p>
    <w:p>
      <w:pPr>
        <w:pStyle w:val="3"/>
        <w:spacing w:line="560" w:lineRule="exact"/>
        <w:ind w:leftChars="0" w:firstLine="640"/>
        <w:rPr>
          <w:rFonts w:hAnsi="仿宋_GB2312" w:eastAsia="仿宋_GB2312" w:cs="仿宋_GB2312"/>
          <w:kern w:val="0"/>
          <w:sz w:val="32"/>
          <w:lang w:val="zh-CN"/>
        </w:rPr>
      </w:pPr>
      <w:r>
        <w:rPr>
          <w:rFonts w:hint="eastAsia" w:hAnsi="仿宋_GB2312" w:eastAsia="仿宋_GB2312" w:cs="仿宋_GB2312"/>
          <w:kern w:val="0"/>
          <w:sz w:val="32"/>
        </w:rPr>
        <w:t>（备注：按照绩效自评工作安排，各部门已在预算管理一体化系统绩效自评模块上传“部门预算项目支出绩效自评表（2023年度）”，该表格应作为附表予以公开。）</w:t>
      </w:r>
    </w:p>
    <w:p>
      <w:pPr>
        <w:pStyle w:val="3"/>
        <w:ind w:left="420"/>
        <w:rPr>
          <w:lang w:val="zh-CN"/>
        </w:rPr>
      </w:pPr>
    </w:p>
    <w:p>
      <w:pPr>
        <w:pStyle w:val="3"/>
        <w:ind w:left="420"/>
        <w:rPr>
          <w:lang w:val="zh-CN"/>
        </w:rPr>
      </w:pPr>
    </w:p>
    <w:p>
      <w:pPr>
        <w:pStyle w:val="3"/>
        <w:ind w:left="420"/>
        <w:rPr>
          <w:lang w:val="zh-CN"/>
        </w:rPr>
      </w:pPr>
    </w:p>
    <w:p>
      <w:pPr>
        <w:pStyle w:val="3"/>
        <w:ind w:left="420"/>
        <w:rPr>
          <w:lang w:val="zh-CN"/>
        </w:rPr>
        <w:sectPr>
          <w:pgSz w:w="11906" w:h="16838"/>
          <w:pgMar w:top="1440" w:right="1800" w:bottom="1440" w:left="1800" w:header="720" w:footer="720" w:gutter="0"/>
          <w:cols w:space="720" w:num="1"/>
          <w:docGrid w:type="lines" w:linePitch="312" w:charSpace="0"/>
        </w:sectPr>
      </w:pPr>
    </w:p>
    <w:tbl>
      <w:tblPr>
        <w:tblStyle w:val="17"/>
        <w:tblpPr w:leftFromText="180" w:rightFromText="180" w:vertAnchor="text" w:horzAnchor="page" w:tblpX="670" w:tblpY="-174"/>
        <w:tblOverlap w:val="never"/>
        <w:tblW w:w="15640" w:type="dxa"/>
        <w:tblInd w:w="0" w:type="dxa"/>
        <w:tblLayout w:type="autofit"/>
        <w:tblCellMar>
          <w:top w:w="0" w:type="dxa"/>
          <w:left w:w="108" w:type="dxa"/>
          <w:bottom w:w="0" w:type="dxa"/>
          <w:right w:w="108" w:type="dxa"/>
        </w:tblCellMar>
      </w:tblPr>
      <w:tblGrid>
        <w:gridCol w:w="1668"/>
        <w:gridCol w:w="1740"/>
        <w:gridCol w:w="1650"/>
        <w:gridCol w:w="1785"/>
        <w:gridCol w:w="517"/>
        <w:gridCol w:w="1228"/>
        <w:gridCol w:w="512"/>
        <w:gridCol w:w="1087"/>
        <w:gridCol w:w="768"/>
        <w:gridCol w:w="942"/>
        <w:gridCol w:w="3743"/>
      </w:tblGrid>
      <w:tr>
        <w:tblPrEx>
          <w:tblCellMar>
            <w:top w:w="0" w:type="dxa"/>
            <w:left w:w="108" w:type="dxa"/>
            <w:bottom w:w="0" w:type="dxa"/>
            <w:right w:w="108" w:type="dxa"/>
          </w:tblCellMar>
        </w:tblPrEx>
        <w:trPr>
          <w:trHeight w:val="540" w:hRule="atLeast"/>
        </w:trPr>
        <w:tc>
          <w:tcPr>
            <w:tcW w:w="15640" w:type="dxa"/>
            <w:gridSpan w:val="11"/>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trHeight w:val="379" w:hRule="atLeast"/>
        </w:trPr>
        <w:tc>
          <w:tcPr>
            <w:tcW w:w="34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232"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安全专项及安全常态化巡察经费</w:t>
            </w:r>
          </w:p>
        </w:tc>
      </w:tr>
      <w:tr>
        <w:tblPrEx>
          <w:tblCellMar>
            <w:top w:w="0" w:type="dxa"/>
            <w:left w:w="108" w:type="dxa"/>
            <w:bottom w:w="0" w:type="dxa"/>
            <w:right w:w="108" w:type="dxa"/>
          </w:tblCellMar>
        </w:tblPrEx>
        <w:trPr>
          <w:trHeight w:val="465" w:hRule="atLeast"/>
        </w:trPr>
        <w:tc>
          <w:tcPr>
            <w:tcW w:w="34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692" w:type="dxa"/>
            <w:gridSpan w:val="5"/>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453"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trHeight w:val="379" w:hRule="atLeast"/>
        </w:trPr>
        <w:tc>
          <w:tcPr>
            <w:tcW w:w="1668"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740"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692" w:type="dxa"/>
            <w:gridSpan w:val="5"/>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540" w:type="dxa"/>
            <w:gridSpan w:val="4"/>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trHeight w:val="1815"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5692" w:type="dxa"/>
            <w:gridSpan w:val="5"/>
            <w:tcBorders>
              <w:top w:val="single" w:color="auto" w:sz="4" w:space="0"/>
              <w:left w:val="nil"/>
              <w:bottom w:val="single" w:color="auto" w:sz="4" w:space="0"/>
              <w:right w:val="single" w:color="auto" w:sz="4" w:space="0"/>
            </w:tcBorders>
            <w:shd w:val="clear" w:color="000000" w:fill="FFFFFF"/>
            <w:vAlign w:val="center"/>
          </w:tcPr>
          <w:p>
            <w:pPr>
              <w:suppressAutoHyphens w:val="0"/>
              <w:spacing w:line="280" w:lineRule="exact"/>
              <w:jc w:val="left"/>
              <w:rPr>
                <w:rFonts w:ascii="宋体" w:hAnsi="宋体" w:cs="宋体"/>
                <w:color w:val="000000"/>
                <w:kern w:val="0"/>
                <w:sz w:val="16"/>
                <w:szCs w:val="16"/>
              </w:rPr>
            </w:pPr>
            <w:r>
              <w:rPr>
                <w:rFonts w:hint="eastAsia" w:ascii="宋体" w:hAnsi="宋体" w:cs="宋体"/>
                <w:color w:val="000000"/>
                <w:kern w:val="0"/>
                <w:sz w:val="16"/>
                <w:szCs w:val="16"/>
              </w:rPr>
              <w:t>安全专项方面：为推动经济高质量发展，保障3月安全生产警示月、百日安全无事故、6月安全生产月（启动仪式及咨询日）、安全生产法宣传周等活动，开展全区安全生产督查安全生产巡查，迎接国家、省、市安全生产年终考核、年度巡查及专项督查，配合省应急管理厅开展矿山检查等工作的顺利推进，及时反应安全生产、民生状况发展趋势等，提供决策参考建议和科学准确的数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安全常态化方面：顺利通过国家、省、市安全生产工作验收、督查、巡查及年度安全生党政同责考核工作，指导协调好重点行业领域安全生产综合监管工作，进一步提升安全生产水平。</w:t>
            </w:r>
          </w:p>
        </w:tc>
        <w:tc>
          <w:tcPr>
            <w:tcW w:w="6540" w:type="dxa"/>
            <w:gridSpan w:val="4"/>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综合监管。全面落实省、市、区有关安全部署，确保各项安全生产工作落实落地，开展安全生产督导检查4次。发现并整改问题隐患112项。印发了《广元市利州区重大事故隐患专项排查整治2023行动实施方案》，全面排查整治各类风险隐患22条，已整改19项，剩余3项正在整改中。联网直报。全区共发生各类生产安全事故5起，死亡4人；未发生较大及以上生产安全事故。死亡人数控制在市下达指标范围内。</w:t>
            </w:r>
          </w:p>
        </w:tc>
      </w:tr>
      <w:tr>
        <w:tblPrEx>
          <w:tblCellMar>
            <w:top w:w="0" w:type="dxa"/>
            <w:left w:w="108" w:type="dxa"/>
            <w:bottom w:w="0" w:type="dxa"/>
            <w:right w:w="108" w:type="dxa"/>
          </w:tblCellMar>
        </w:tblPrEx>
        <w:trPr>
          <w:trHeight w:val="1035"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232" w:type="dxa"/>
            <w:gridSpan w:val="9"/>
            <w:tcBorders>
              <w:top w:val="single" w:color="auto" w:sz="4" w:space="0"/>
              <w:left w:val="nil"/>
              <w:bottom w:val="single" w:color="auto" w:sz="4" w:space="0"/>
              <w:right w:val="single" w:color="auto" w:sz="4" w:space="0"/>
            </w:tcBorders>
            <w:shd w:val="clear" w:color="000000" w:fill="FFFFFF"/>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安全专项方面：全年开展3月安全生产警示月、百日安全无事故、6月安全生产月（启动仪式及咨询日）、安全生产法宣传周等活动，宣传对象达10余万人次；开展覆盖全区的安全生产督查2次，迎接省、市安全生产督查8次；安全生产培训涉及各乡镇街道、区级重点部门分管负责人及工作人员，监管能力水平整体提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安全常态化方面：顺利迎接省、市督查和安全生产党政同责考核工作；全年发生生产安全事故5起、死亡4人，与2022年相比持平，全区安全生产形势稳定向好。</w:t>
            </w:r>
          </w:p>
        </w:tc>
      </w:tr>
      <w:tr>
        <w:tblPrEx>
          <w:tblCellMar>
            <w:top w:w="0" w:type="dxa"/>
            <w:left w:w="108" w:type="dxa"/>
            <w:bottom w:w="0" w:type="dxa"/>
            <w:right w:w="108" w:type="dxa"/>
          </w:tblCellMar>
        </w:tblPrEx>
        <w:trPr>
          <w:trHeight w:val="540" w:hRule="atLeast"/>
        </w:trPr>
        <w:tc>
          <w:tcPr>
            <w:tcW w:w="1668"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trHeight w:val="319"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40.00</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39.56</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99.00%</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43"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2023年12月申报的资金使用计划数4419.35元，因资金紧张国库领导未审核，致该经费未能支付、资金未及时使用；年终决算后，安全专项及安全常态化资金剩余资金由财政自动收回。</w:t>
            </w:r>
          </w:p>
        </w:tc>
      </w:tr>
      <w:tr>
        <w:tblPrEx>
          <w:tblCellMar>
            <w:top w:w="0" w:type="dxa"/>
            <w:left w:w="108" w:type="dxa"/>
            <w:bottom w:w="0" w:type="dxa"/>
            <w:right w:w="108" w:type="dxa"/>
          </w:tblCellMar>
        </w:tblPrEx>
        <w:trPr>
          <w:trHeight w:val="30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40.00</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39.56</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99.00%</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43"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2"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43"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0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43"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2"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7" w:type="dxa"/>
            <w:gridSpan w:val="3"/>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43"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20" w:hRule="atLeast"/>
        </w:trPr>
        <w:tc>
          <w:tcPr>
            <w:tcW w:w="1668"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74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50"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1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22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51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8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trHeight w:val="45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年度大型安全宣传周、警示月活动</w:t>
            </w:r>
          </w:p>
        </w:tc>
        <w:tc>
          <w:tcPr>
            <w:tcW w:w="51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2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次</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安全启动仪式、确保宣传及时到位</w:t>
            </w:r>
          </w:p>
        </w:tc>
        <w:tc>
          <w:tcPr>
            <w:tcW w:w="51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2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确保安全持续稳定</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根据工作进度实施</w:t>
            </w:r>
          </w:p>
        </w:tc>
        <w:tc>
          <w:tcPr>
            <w:tcW w:w="51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5"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通过宣传、演练提升群众安全意识</w:t>
            </w:r>
          </w:p>
        </w:tc>
        <w:tc>
          <w:tcPr>
            <w:tcW w:w="51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2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通过宣传、减少群众经济损失</w:t>
            </w:r>
          </w:p>
        </w:tc>
        <w:tc>
          <w:tcPr>
            <w:tcW w:w="51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2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较大优化</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我区事故隐患逐年好转</w:t>
            </w:r>
          </w:p>
        </w:tc>
        <w:tc>
          <w:tcPr>
            <w:tcW w:w="51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隐患排查深入推进</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668" w:type="dxa"/>
            <w:vMerge w:val="continue"/>
            <w:tcBorders>
              <w:top w:val="nil"/>
              <w:left w:val="single" w:color="auto" w:sz="4" w:space="0"/>
              <w:bottom w:val="single" w:color="auto" w:sz="4" w:space="0"/>
              <w:right w:val="single" w:color="auto" w:sz="4" w:space="0"/>
            </w:tcBorders>
            <w:vAlign w:val="center"/>
          </w:tcPr>
          <w:p>
            <w:pPr>
              <w:suppressAutoHyphens w:val="0"/>
              <w:spacing w:line="280" w:lineRule="exact"/>
              <w:jc w:val="left"/>
              <w:rPr>
                <w:rFonts w:ascii="宋体" w:hAnsi="宋体" w:cs="宋体"/>
                <w:b/>
                <w:bCs/>
                <w:color w:val="000000"/>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785"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相关对象满意度</w:t>
            </w:r>
          </w:p>
        </w:tc>
        <w:tc>
          <w:tcPr>
            <w:tcW w:w="517"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right"/>
              <w:rPr>
                <w:rFonts w:ascii="宋体" w:hAnsi="宋体" w:cs="宋体"/>
                <w:color w:val="000000"/>
                <w:kern w:val="0"/>
                <w:sz w:val="18"/>
                <w:szCs w:val="18"/>
              </w:rPr>
            </w:pPr>
            <w:r>
              <w:rPr>
                <w:rFonts w:hint="eastAsia" w:ascii="宋体" w:hAnsi="宋体" w:cs="宋体"/>
                <w:color w:val="000000"/>
                <w:kern w:val="0"/>
                <w:sz w:val="18"/>
                <w:szCs w:val="18"/>
              </w:rPr>
              <w:t>95</w:t>
            </w:r>
          </w:p>
        </w:tc>
        <w:tc>
          <w:tcPr>
            <w:tcW w:w="512"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87"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dxa"/>
            <w:tcBorders>
              <w:top w:val="nil"/>
              <w:left w:val="nil"/>
              <w:bottom w:val="single" w:color="auto" w:sz="4" w:space="0"/>
              <w:right w:val="single" w:color="auto" w:sz="4" w:space="0"/>
            </w:tcBorders>
            <w:shd w:val="clear" w:color="auto" w:fill="auto"/>
            <w:noWrap/>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018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68"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42"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3743" w:type="dxa"/>
            <w:tcBorders>
              <w:top w:val="nil"/>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0" w:hRule="atLeast"/>
        </w:trPr>
        <w:tc>
          <w:tcPr>
            <w:tcW w:w="1668" w:type="dxa"/>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3972" w:type="dxa"/>
            <w:gridSpan w:val="10"/>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项目支出绩效目标设置了数量、质量、经济效益、社会效益、可持续影响、服务满意度等指标。通过绩效自评，年初设置的绩效目标已基本完成，自评分93分。</w:t>
            </w:r>
          </w:p>
        </w:tc>
      </w:tr>
      <w:tr>
        <w:tblPrEx>
          <w:tblCellMar>
            <w:top w:w="0" w:type="dxa"/>
            <w:left w:w="108" w:type="dxa"/>
            <w:bottom w:w="0" w:type="dxa"/>
            <w:right w:w="108" w:type="dxa"/>
          </w:tblCellMar>
        </w:tblPrEx>
        <w:trPr>
          <w:trHeight w:val="480" w:hRule="atLeast"/>
        </w:trPr>
        <w:tc>
          <w:tcPr>
            <w:tcW w:w="1668" w:type="dxa"/>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3972" w:type="dxa"/>
            <w:gridSpan w:val="10"/>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1、预算绩效目标编制还不够完善，科学性、合理性、严谨性和可控性有所缺乏。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2、在资金安排和使用上，及时性和规范性还有待加强。</w:t>
            </w:r>
          </w:p>
        </w:tc>
      </w:tr>
      <w:tr>
        <w:tblPrEx>
          <w:tblCellMar>
            <w:top w:w="0" w:type="dxa"/>
            <w:left w:w="108" w:type="dxa"/>
            <w:bottom w:w="0" w:type="dxa"/>
            <w:right w:w="108" w:type="dxa"/>
          </w:tblCellMar>
        </w:tblPrEx>
        <w:trPr>
          <w:trHeight w:val="499" w:hRule="atLeast"/>
        </w:trPr>
        <w:tc>
          <w:tcPr>
            <w:tcW w:w="1668" w:type="dxa"/>
            <w:tcBorders>
              <w:top w:val="nil"/>
              <w:left w:val="single" w:color="auto" w:sz="4" w:space="0"/>
              <w:bottom w:val="single" w:color="auto" w:sz="4" w:space="0"/>
              <w:right w:val="single" w:color="auto" w:sz="4" w:space="0"/>
            </w:tcBorders>
            <w:shd w:val="clear" w:color="auto" w:fill="auto"/>
            <w:vAlign w:val="center"/>
          </w:tcPr>
          <w:p>
            <w:pPr>
              <w:suppressAutoHyphens w:val="0"/>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3972" w:type="dxa"/>
            <w:gridSpan w:val="10"/>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1、加强新行政单位会计制度和预算绩效管理实施办法的学习。进一步优化预算编制，避免预算支出与实际执行出现较大偏差的现象。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2、加强制度建设，进一步完善专项资金管理制度体系，严格资金审批程序，加大资金监管力度，严格落实资金使用用途，提高资金使用效益。</w:t>
            </w:r>
          </w:p>
        </w:tc>
      </w:tr>
      <w:tr>
        <w:tblPrEx>
          <w:tblCellMar>
            <w:top w:w="0" w:type="dxa"/>
            <w:left w:w="108" w:type="dxa"/>
            <w:bottom w:w="0" w:type="dxa"/>
            <w:right w:w="108" w:type="dxa"/>
          </w:tblCellMar>
        </w:tblPrEx>
        <w:trPr>
          <w:trHeight w:val="270" w:hRule="atLeast"/>
        </w:trPr>
        <w:tc>
          <w:tcPr>
            <w:tcW w:w="73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项目负责人：张力</w:t>
            </w:r>
          </w:p>
        </w:tc>
        <w:tc>
          <w:tcPr>
            <w:tcW w:w="8280" w:type="dxa"/>
            <w:gridSpan w:val="6"/>
            <w:tcBorders>
              <w:top w:val="single" w:color="auto" w:sz="4" w:space="0"/>
              <w:left w:val="nil"/>
              <w:bottom w:val="single" w:color="auto" w:sz="4" w:space="0"/>
              <w:right w:val="single" w:color="auto" w:sz="4" w:space="0"/>
            </w:tcBorders>
            <w:shd w:val="clear" w:color="auto" w:fill="auto"/>
            <w:vAlign w:val="center"/>
          </w:tcPr>
          <w:p>
            <w:pPr>
              <w:suppressAutoHyphens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trHeight w:val="582" w:hRule="atLeast"/>
        </w:trPr>
        <w:tc>
          <w:tcPr>
            <w:tcW w:w="15640" w:type="dxa"/>
            <w:gridSpan w:val="11"/>
            <w:tcBorders>
              <w:top w:val="nil"/>
              <w:left w:val="nil"/>
              <w:bottom w:val="nil"/>
              <w:right w:val="nil"/>
            </w:tcBorders>
            <w:shd w:val="clear" w:color="auto" w:fill="auto"/>
            <w:vAlign w:val="center"/>
          </w:tcPr>
          <w:p>
            <w:pPr>
              <w:suppressAutoHyphens w:val="0"/>
              <w:spacing w:line="280" w:lineRule="exact"/>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bl>
    <w:p>
      <w:pPr>
        <w:pStyle w:val="3"/>
        <w:spacing w:after="0" w:line="280" w:lineRule="exact"/>
        <w:ind w:left="0" w:leftChars="0"/>
        <w:rPr>
          <w:lang w:val="zh-CN"/>
        </w:rPr>
      </w:pPr>
    </w:p>
    <w:tbl>
      <w:tblPr>
        <w:tblStyle w:val="17"/>
        <w:tblW w:w="15936" w:type="dxa"/>
        <w:jc w:val="center"/>
        <w:tblLayout w:type="autofit"/>
        <w:tblCellMar>
          <w:top w:w="0" w:type="dxa"/>
          <w:left w:w="108" w:type="dxa"/>
          <w:bottom w:w="0" w:type="dxa"/>
          <w:right w:w="108" w:type="dxa"/>
        </w:tblCellMar>
      </w:tblPr>
      <w:tblGrid>
        <w:gridCol w:w="318"/>
        <w:gridCol w:w="478"/>
        <w:gridCol w:w="863"/>
        <w:gridCol w:w="263"/>
        <w:gridCol w:w="539"/>
        <w:gridCol w:w="681"/>
        <w:gridCol w:w="479"/>
        <w:gridCol w:w="422"/>
        <w:gridCol w:w="749"/>
        <w:gridCol w:w="479"/>
        <w:gridCol w:w="422"/>
        <w:gridCol w:w="876"/>
        <w:gridCol w:w="516"/>
        <w:gridCol w:w="16"/>
        <w:gridCol w:w="38"/>
        <w:gridCol w:w="472"/>
        <w:gridCol w:w="45"/>
        <w:gridCol w:w="899"/>
        <w:gridCol w:w="260"/>
        <w:gridCol w:w="78"/>
        <w:gridCol w:w="181"/>
        <w:gridCol w:w="238"/>
        <w:gridCol w:w="93"/>
        <w:gridCol w:w="753"/>
        <w:gridCol w:w="222"/>
        <w:gridCol w:w="113"/>
        <w:gridCol w:w="431"/>
        <w:gridCol w:w="201"/>
        <w:gridCol w:w="135"/>
        <w:gridCol w:w="601"/>
        <w:gridCol w:w="169"/>
        <w:gridCol w:w="170"/>
        <w:gridCol w:w="3380"/>
        <w:gridCol w:w="356"/>
      </w:tblGrid>
      <w:tr>
        <w:tblPrEx>
          <w:tblCellMar>
            <w:top w:w="0" w:type="dxa"/>
            <w:left w:w="108" w:type="dxa"/>
            <w:bottom w:w="0" w:type="dxa"/>
            <w:right w:w="108" w:type="dxa"/>
          </w:tblCellMar>
        </w:tblPrEx>
        <w:trPr>
          <w:gridAfter w:val="1"/>
          <w:wAfter w:w="356" w:type="dxa"/>
          <w:trHeight w:val="540" w:hRule="atLeast"/>
          <w:jc w:val="center"/>
        </w:trPr>
        <w:tc>
          <w:tcPr>
            <w:tcW w:w="15580" w:type="dxa"/>
            <w:gridSpan w:val="33"/>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gridAfter w:val="1"/>
          <w:wAfter w:w="356" w:type="dxa"/>
          <w:trHeight w:val="379" w:hRule="atLeast"/>
          <w:jc w:val="center"/>
        </w:trPr>
        <w:tc>
          <w:tcPr>
            <w:tcW w:w="31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438" w:type="dxa"/>
            <w:gridSpan w:val="27"/>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执法中队建设</w:t>
            </w:r>
          </w:p>
        </w:tc>
      </w:tr>
      <w:tr>
        <w:tblPrEx>
          <w:tblCellMar>
            <w:top w:w="0" w:type="dxa"/>
            <w:left w:w="108" w:type="dxa"/>
            <w:bottom w:w="0" w:type="dxa"/>
            <w:right w:w="108" w:type="dxa"/>
          </w:tblCellMar>
        </w:tblPrEx>
        <w:trPr>
          <w:gridAfter w:val="1"/>
          <w:wAfter w:w="356" w:type="dxa"/>
          <w:trHeight w:val="642" w:hRule="atLeast"/>
          <w:jc w:val="center"/>
        </w:trPr>
        <w:tc>
          <w:tcPr>
            <w:tcW w:w="31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932"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422"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gridAfter w:val="1"/>
          <w:wAfter w:w="356" w:type="dxa"/>
          <w:trHeight w:val="379" w:hRule="atLeast"/>
          <w:jc w:val="center"/>
        </w:trPr>
        <w:tc>
          <w:tcPr>
            <w:tcW w:w="16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48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932"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506" w:type="dxa"/>
            <w:gridSpan w:val="12"/>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gridAfter w:val="1"/>
          <w:wAfter w:w="356" w:type="dxa"/>
          <w:trHeight w:val="159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5932" w:type="dxa"/>
            <w:gridSpan w:val="15"/>
            <w:tcBorders>
              <w:top w:val="single" w:color="auto" w:sz="4" w:space="0"/>
              <w:left w:val="nil"/>
              <w:bottom w:val="single" w:color="auto" w:sz="4" w:space="0"/>
              <w:right w:val="single" w:color="auto" w:sz="4" w:space="0"/>
            </w:tcBorders>
            <w:shd w:val="clear" w:color="000000" w:fill="FFFFFF"/>
            <w:vAlign w:val="center"/>
          </w:tcPr>
          <w:p>
            <w:pPr>
              <w:widowControl/>
              <w:suppressAutoHyphens w:val="0"/>
              <w:spacing w:line="260" w:lineRule="exact"/>
              <w:jc w:val="left"/>
              <w:rPr>
                <w:rFonts w:ascii="宋体" w:hAnsi="宋体" w:cs="宋体"/>
                <w:color w:val="000000"/>
                <w:kern w:val="0"/>
                <w:sz w:val="16"/>
                <w:szCs w:val="16"/>
              </w:rPr>
            </w:pPr>
            <w:r>
              <w:rPr>
                <w:rFonts w:hint="eastAsia" w:ascii="宋体" w:hAnsi="宋体" w:cs="宋体"/>
                <w:color w:val="000000"/>
                <w:kern w:val="0"/>
                <w:sz w:val="16"/>
                <w:szCs w:val="16"/>
              </w:rPr>
              <w:t xml:space="preserve">通过强化应急管理和安全生产监管执法，进一步促进矿山、危化、烟花爆竹、商贸等行业领域生产经营单位落实安全生产主体责任，杜绝较大及以上生产安全事故，有效防范和减少一般事故发生   </w:t>
            </w:r>
          </w:p>
        </w:tc>
        <w:tc>
          <w:tcPr>
            <w:tcW w:w="6506" w:type="dxa"/>
            <w:gridSpan w:val="12"/>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强安2023”专项执法行动。灵活运用“线上+线下”监管模式，优化“互联网+执法+双随机一公开”执法监察方式，突出对矿山、有限空间等危险作业行为的执法监管，加大对“三违”行为的处罚力度，全年共派出检查小组40个，出动执法人员92人次，聘用安全专家24人次，检查企业54家，发现隐患151条，已整改130条，现场紧急处置1家，行政处罚立案17起，罚款12.4万元，依法实行“一案双查”1家，下达执法文书146份，移交案件1起。</w:t>
            </w:r>
          </w:p>
        </w:tc>
      </w:tr>
      <w:tr>
        <w:tblPrEx>
          <w:tblCellMar>
            <w:top w:w="0" w:type="dxa"/>
            <w:left w:w="108" w:type="dxa"/>
            <w:bottom w:w="0" w:type="dxa"/>
            <w:right w:w="108" w:type="dxa"/>
          </w:tblCellMar>
        </w:tblPrEx>
        <w:trPr>
          <w:gridAfter w:val="1"/>
          <w:wAfter w:w="356" w:type="dxa"/>
          <w:trHeight w:val="1035"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438" w:type="dxa"/>
            <w:gridSpan w:val="27"/>
            <w:tcBorders>
              <w:top w:val="single" w:color="auto" w:sz="4" w:space="0"/>
              <w:left w:val="nil"/>
              <w:bottom w:val="single" w:color="auto" w:sz="4" w:space="0"/>
              <w:right w:val="single" w:color="auto" w:sz="4" w:space="0"/>
            </w:tcBorders>
            <w:shd w:val="clear" w:color="000000" w:fill="FFFFFF"/>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按照《2022年度安全生产监督检查计划》，对27家企业开展安全检查，其中检查重点企业23家、双随机检查4家。执法中队负责辖区生产经营单位安全生产重大危险源监控和重大事故隐患治理情况进行动态监察，负责受理和查处有关安全生产方面的投诉、举报和上级交办、有关部门移送以及通过检查发现的生产经营单位违反安全生产法律、法规和规章的案件及违法行为，参与安全生产事故的调查，安全生产执法统计和执法情况分析。</w:t>
            </w:r>
          </w:p>
        </w:tc>
      </w:tr>
      <w:tr>
        <w:tblPrEx>
          <w:tblCellMar>
            <w:top w:w="0" w:type="dxa"/>
            <w:left w:w="108" w:type="dxa"/>
            <w:bottom w:w="0" w:type="dxa"/>
            <w:right w:w="108" w:type="dxa"/>
          </w:tblCellMar>
        </w:tblPrEx>
        <w:trPr>
          <w:gridAfter w:val="1"/>
          <w:wAfter w:w="356" w:type="dxa"/>
          <w:trHeight w:val="540" w:hRule="atLeast"/>
          <w:jc w:val="center"/>
        </w:trPr>
        <w:tc>
          <w:tcPr>
            <w:tcW w:w="16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gridAfter w:val="1"/>
          <w:wAfter w:w="356" w:type="dxa"/>
          <w:trHeight w:val="319"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15.00</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14.99</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99.93%</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1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2023年12月申报的资金使用计划数73.83元，因国库资金紧张领导未审核，致该经费未能支付、资金未及时使用；年终决算后，执法中队建设剩余资金由财政自动收回。</w:t>
            </w:r>
          </w:p>
        </w:tc>
      </w:tr>
      <w:tr>
        <w:tblPrEx>
          <w:tblCellMar>
            <w:top w:w="0" w:type="dxa"/>
            <w:left w:w="108" w:type="dxa"/>
            <w:bottom w:w="0" w:type="dxa"/>
            <w:right w:w="108" w:type="dxa"/>
          </w:tblCellMar>
        </w:tblPrEx>
        <w:trPr>
          <w:gridAfter w:val="1"/>
          <w:wAfter w:w="356" w:type="dxa"/>
          <w:trHeight w:val="30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15.00</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14.99</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99.93%</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1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356" w:type="dxa"/>
          <w:trHeight w:val="342"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1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356" w:type="dxa"/>
          <w:trHeight w:val="30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1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356" w:type="dxa"/>
          <w:trHeight w:val="342"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505"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1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356" w:type="dxa"/>
          <w:trHeight w:val="720" w:hRule="atLeast"/>
          <w:jc w:val="center"/>
        </w:trPr>
        <w:tc>
          <w:tcPr>
            <w:tcW w:w="16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483"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16" w:type="dxa"/>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470" w:type="dxa"/>
            <w:gridSpan w:val="5"/>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5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84"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gridAfter w:val="1"/>
          <w:wAfter w:w="356" w:type="dxa"/>
          <w:trHeight w:val="45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驾驶员工资及保险、车辆运行</w:t>
            </w:r>
          </w:p>
        </w:tc>
        <w:tc>
          <w:tcPr>
            <w:tcW w:w="516" w:type="dxa"/>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人/辆</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27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事故发生次数</w:t>
            </w:r>
          </w:p>
        </w:tc>
        <w:tc>
          <w:tcPr>
            <w:tcW w:w="516" w:type="dxa"/>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kern w:val="0"/>
                <w:sz w:val="18"/>
                <w:szCs w:val="18"/>
              </w:rPr>
            </w:pPr>
            <w:r>
              <w:rPr>
                <w:rFonts w:hint="eastAsia" w:ascii="宋体" w:hAnsi="宋体" w:cs="宋体"/>
                <w:kern w:val="0"/>
                <w:sz w:val="18"/>
                <w:szCs w:val="18"/>
              </w:rPr>
              <w:t>＝</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起</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27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每月推进次数</w:t>
            </w:r>
          </w:p>
        </w:tc>
        <w:tc>
          <w:tcPr>
            <w:tcW w:w="516" w:type="dxa"/>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kern w:val="0"/>
                <w:sz w:val="18"/>
                <w:szCs w:val="18"/>
              </w:rPr>
            </w:pPr>
            <w:r>
              <w:rPr>
                <w:rFonts w:hint="eastAsia" w:ascii="宋体" w:hAnsi="宋体" w:cs="宋体"/>
                <w:kern w:val="0"/>
                <w:sz w:val="18"/>
                <w:szCs w:val="18"/>
              </w:rPr>
              <w:t>≥</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次</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495"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减少事故发生、保障人民生命财产</w:t>
            </w:r>
          </w:p>
        </w:tc>
        <w:tc>
          <w:tcPr>
            <w:tcW w:w="516" w:type="dxa"/>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营造良好发展环境</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45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保障安全执法不断提高</w:t>
            </w:r>
          </w:p>
        </w:tc>
        <w:tc>
          <w:tcPr>
            <w:tcW w:w="516" w:type="dxa"/>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27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安全生产持续推进</w:t>
            </w:r>
          </w:p>
        </w:tc>
        <w:tc>
          <w:tcPr>
            <w:tcW w:w="516" w:type="dxa"/>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不断推进</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270" w:hRule="atLeast"/>
          <w:jc w:val="center"/>
        </w:trPr>
        <w:tc>
          <w:tcPr>
            <w:tcW w:w="165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spacing w:line="260" w:lineRule="exact"/>
              <w:jc w:val="left"/>
              <w:rPr>
                <w:rFonts w:ascii="宋体" w:hAnsi="宋体" w:cs="宋体"/>
                <w:b/>
                <w:bCs/>
                <w:color w:val="000000"/>
                <w:kern w:val="0"/>
                <w:sz w:val="18"/>
                <w:szCs w:val="18"/>
              </w:rPr>
            </w:pPr>
          </w:p>
        </w:tc>
        <w:tc>
          <w:tcPr>
            <w:tcW w:w="1483"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77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相关对象满意度</w:t>
            </w:r>
          </w:p>
        </w:tc>
        <w:tc>
          <w:tcPr>
            <w:tcW w:w="516" w:type="dxa"/>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kern w:val="0"/>
                <w:sz w:val="18"/>
                <w:szCs w:val="18"/>
              </w:rPr>
            </w:pPr>
            <w:r>
              <w:rPr>
                <w:rFonts w:hint="eastAsia" w:ascii="宋体" w:hAnsi="宋体" w:cs="宋体"/>
                <w:kern w:val="0"/>
                <w:sz w:val="18"/>
                <w:szCs w:val="18"/>
              </w:rPr>
              <w:t>≥</w:t>
            </w:r>
          </w:p>
        </w:tc>
        <w:tc>
          <w:tcPr>
            <w:tcW w:w="1470" w:type="dxa"/>
            <w:gridSpan w:val="5"/>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right"/>
              <w:rPr>
                <w:rFonts w:ascii="宋体" w:hAnsi="宋体" w:cs="宋体"/>
                <w:color w:val="000000"/>
                <w:kern w:val="0"/>
                <w:sz w:val="18"/>
                <w:szCs w:val="18"/>
              </w:rPr>
            </w:pPr>
            <w:r>
              <w:rPr>
                <w:rFonts w:hint="eastAsia" w:ascii="宋体" w:hAnsi="宋体" w:cs="宋体"/>
                <w:color w:val="000000"/>
                <w:kern w:val="0"/>
                <w:sz w:val="18"/>
                <w:szCs w:val="18"/>
              </w:rPr>
              <w:t>95</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6" w:type="dxa"/>
            <w:gridSpan w:val="3"/>
            <w:tcBorders>
              <w:top w:val="nil"/>
              <w:left w:val="nil"/>
              <w:bottom w:val="single" w:color="auto" w:sz="4" w:space="0"/>
              <w:right w:val="single" w:color="auto" w:sz="4" w:space="0"/>
            </w:tcBorders>
            <w:shd w:val="clear" w:color="auto" w:fill="auto"/>
            <w:noWrap/>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270" w:hRule="atLeast"/>
          <w:jc w:val="center"/>
        </w:trPr>
        <w:tc>
          <w:tcPr>
            <w:tcW w:w="10158"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66"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37"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3719" w:type="dxa"/>
            <w:gridSpan w:val="3"/>
            <w:tcBorders>
              <w:top w:val="nil"/>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56" w:type="dxa"/>
          <w:trHeight w:val="540" w:hRule="atLeast"/>
          <w:jc w:val="center"/>
        </w:trPr>
        <w:tc>
          <w:tcPr>
            <w:tcW w:w="1659"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3921"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项目支出绩效目标设置了数量、质量、经济效益、社会效益、可持续影响、服务满意度等指标。通过绩效自评，年初设置的绩效目标已基本完成，自评分94分。</w:t>
            </w:r>
          </w:p>
        </w:tc>
      </w:tr>
      <w:tr>
        <w:tblPrEx>
          <w:tblCellMar>
            <w:top w:w="0" w:type="dxa"/>
            <w:left w:w="108" w:type="dxa"/>
            <w:bottom w:w="0" w:type="dxa"/>
            <w:right w:w="108" w:type="dxa"/>
          </w:tblCellMar>
        </w:tblPrEx>
        <w:trPr>
          <w:gridAfter w:val="1"/>
          <w:wAfter w:w="356" w:type="dxa"/>
          <w:trHeight w:val="990" w:hRule="atLeast"/>
          <w:jc w:val="center"/>
        </w:trPr>
        <w:tc>
          <w:tcPr>
            <w:tcW w:w="1659"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3921"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6"/>
                <w:szCs w:val="16"/>
              </w:rPr>
            </w:pPr>
            <w:r>
              <w:rPr>
                <w:rFonts w:hint="eastAsia" w:ascii="宋体" w:hAnsi="宋体" w:cs="宋体"/>
                <w:color w:val="000000"/>
                <w:kern w:val="0"/>
                <w:sz w:val="16"/>
                <w:szCs w:val="16"/>
              </w:rPr>
              <w:t>1.预算绩效目标编制还不够完善，科学性、合理性、严谨性和可控性有所缺乏。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2.在资金安排和使用上，及时性和规范性还有待加强。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执法中队建设经费不足，其原因是：2023年区级财政预算15万元，只能满足于驾驶人员劳务费、保险，3辆执法车燃油、保养支出已严重不足、执法人员工作经费无法保障，建议增加经费4万元（2名驾驶员工资及各类保险年约13.88万元，车辆燃油及保险保养年约7万元）</w:t>
            </w:r>
          </w:p>
        </w:tc>
      </w:tr>
      <w:tr>
        <w:tblPrEx>
          <w:tblCellMar>
            <w:top w:w="0" w:type="dxa"/>
            <w:left w:w="108" w:type="dxa"/>
            <w:bottom w:w="0" w:type="dxa"/>
            <w:right w:w="108" w:type="dxa"/>
          </w:tblCellMar>
        </w:tblPrEx>
        <w:trPr>
          <w:gridAfter w:val="1"/>
          <w:wAfter w:w="356" w:type="dxa"/>
          <w:trHeight w:val="369" w:hRule="atLeast"/>
          <w:jc w:val="center"/>
        </w:trPr>
        <w:tc>
          <w:tcPr>
            <w:tcW w:w="1659"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3921"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after="240" w:line="260" w:lineRule="exact"/>
              <w:jc w:val="left"/>
              <w:rPr>
                <w:rFonts w:ascii="宋体" w:hAnsi="宋体" w:cs="宋体"/>
                <w:color w:val="000000"/>
                <w:kern w:val="0"/>
                <w:sz w:val="16"/>
                <w:szCs w:val="16"/>
              </w:rPr>
            </w:pPr>
            <w:r>
              <w:rPr>
                <w:rFonts w:hint="eastAsia" w:ascii="宋体" w:hAnsi="宋体" w:cs="宋体"/>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2.按照预算规定的项目和用途严格财务审核，经费支出严格按预算规定项目的财务支出内容进行财务核算，在预算金额内严格控制费用的支出；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3.预算财务分析常态化，定期做好预算支出财务分析，做好单位整体支出预算评价工作。</w:t>
            </w:r>
          </w:p>
        </w:tc>
      </w:tr>
      <w:tr>
        <w:tblPrEx>
          <w:tblCellMar>
            <w:top w:w="0" w:type="dxa"/>
            <w:left w:w="108" w:type="dxa"/>
            <w:bottom w:w="0" w:type="dxa"/>
            <w:right w:w="108" w:type="dxa"/>
          </w:tblCellMar>
        </w:tblPrEx>
        <w:trPr>
          <w:gridAfter w:val="1"/>
          <w:wAfter w:w="356" w:type="dxa"/>
          <w:trHeight w:val="270" w:hRule="atLeast"/>
          <w:jc w:val="center"/>
        </w:trPr>
        <w:tc>
          <w:tcPr>
            <w:tcW w:w="708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项目负责人：石慧明</w:t>
            </w:r>
          </w:p>
        </w:tc>
        <w:tc>
          <w:tcPr>
            <w:tcW w:w="8495" w:type="dxa"/>
            <w:gridSpan w:val="20"/>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gridAfter w:val="1"/>
          <w:wAfter w:w="356" w:type="dxa"/>
          <w:trHeight w:val="582" w:hRule="atLeast"/>
          <w:jc w:val="center"/>
        </w:trPr>
        <w:tc>
          <w:tcPr>
            <w:tcW w:w="15580" w:type="dxa"/>
            <w:gridSpan w:val="33"/>
            <w:tcBorders>
              <w:top w:val="nil"/>
              <w:left w:val="nil"/>
              <w:bottom w:val="nil"/>
              <w:right w:val="nil"/>
            </w:tcBorders>
            <w:shd w:val="clear" w:color="auto" w:fill="auto"/>
            <w:vAlign w:val="center"/>
          </w:tcPr>
          <w:p>
            <w:pPr>
              <w:widowControl/>
              <w:suppressAutoHyphens w:val="0"/>
              <w:spacing w:line="260" w:lineRule="exact"/>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r>
        <w:tblPrEx>
          <w:tblCellMar>
            <w:top w:w="0" w:type="dxa"/>
            <w:left w:w="108" w:type="dxa"/>
            <w:bottom w:w="0" w:type="dxa"/>
            <w:right w:w="108" w:type="dxa"/>
          </w:tblCellMar>
        </w:tblPrEx>
        <w:trPr>
          <w:gridBefore w:val="2"/>
          <w:wBefore w:w="796" w:type="dxa"/>
          <w:trHeight w:val="540" w:hRule="atLeast"/>
          <w:jc w:val="center"/>
        </w:trPr>
        <w:tc>
          <w:tcPr>
            <w:tcW w:w="15140" w:type="dxa"/>
            <w:gridSpan w:val="32"/>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gridBefore w:val="2"/>
          <w:wBefore w:w="796" w:type="dxa"/>
          <w:trHeight w:val="379" w:hRule="atLeast"/>
          <w:jc w:val="center"/>
        </w:trPr>
        <w:tc>
          <w:tcPr>
            <w:tcW w:w="32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1893" w:type="dxa"/>
            <w:gridSpan w:val="26"/>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应急会商系统及指挥中心、人工影响天气作业经费</w:t>
            </w:r>
          </w:p>
        </w:tc>
      </w:tr>
      <w:tr>
        <w:tblPrEx>
          <w:tblCellMar>
            <w:top w:w="0" w:type="dxa"/>
            <w:left w:w="108" w:type="dxa"/>
            <w:bottom w:w="0" w:type="dxa"/>
            <w:right w:w="108" w:type="dxa"/>
          </w:tblCellMar>
        </w:tblPrEx>
        <w:trPr>
          <w:gridBefore w:val="2"/>
          <w:wBefore w:w="796" w:type="dxa"/>
          <w:trHeight w:val="642" w:hRule="atLeast"/>
          <w:jc w:val="center"/>
        </w:trPr>
        <w:tc>
          <w:tcPr>
            <w:tcW w:w="32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362"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443"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gridBefore w:val="2"/>
          <w:wBefore w:w="796" w:type="dxa"/>
          <w:trHeight w:val="379" w:hRule="atLeast"/>
          <w:jc w:val="center"/>
        </w:trPr>
        <w:tc>
          <w:tcPr>
            <w:tcW w:w="166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58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362"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531" w:type="dxa"/>
            <w:gridSpan w:val="11"/>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gridBefore w:val="2"/>
          <w:wBefore w:w="796" w:type="dxa"/>
          <w:trHeight w:val="1095"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5362"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应急视频会商系统由宝利通视频会议系统、华为视频会议系统及移动云视讯系统组成，用于国家、省、市、区视频会议及应急调度使用。应急指挥中心会场布设视频会议终端，参会人员通过视频会商系统实时接收信息、上报情况。</w:t>
            </w:r>
          </w:p>
        </w:tc>
        <w:tc>
          <w:tcPr>
            <w:tcW w:w="6531" w:type="dxa"/>
            <w:gridSpan w:val="11"/>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应急会商及指挥中心运行专项资金是指区级财政历年年初预算安排，用于我区会商应用信息维护及指挥中心人员经费等，传达中央、省、市安全生产相关指示精神，全年接收应急管理部调度2次、省应急厅调度20余次、开展各类视频会议100余次、调试视频信号200余次。</w:t>
            </w:r>
          </w:p>
        </w:tc>
      </w:tr>
      <w:tr>
        <w:tblPrEx>
          <w:tblCellMar>
            <w:top w:w="0" w:type="dxa"/>
            <w:left w:w="108" w:type="dxa"/>
            <w:bottom w:w="0" w:type="dxa"/>
            <w:right w:w="108" w:type="dxa"/>
          </w:tblCellMar>
        </w:tblPrEx>
        <w:trPr>
          <w:gridBefore w:val="2"/>
          <w:wBefore w:w="796" w:type="dxa"/>
          <w:trHeight w:val="90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1893" w:type="dxa"/>
            <w:gridSpan w:val="26"/>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该系统用于国家、省、市、区视频会议及应急调度使用，由应急指挥中心工作人员调试视频信号、切换会议系统、保障视频通讯信号稳定、图像清晰。</w:t>
            </w:r>
          </w:p>
        </w:tc>
      </w:tr>
      <w:tr>
        <w:tblPrEx>
          <w:tblCellMar>
            <w:top w:w="0" w:type="dxa"/>
            <w:left w:w="108" w:type="dxa"/>
            <w:bottom w:w="0" w:type="dxa"/>
            <w:right w:w="108" w:type="dxa"/>
          </w:tblCellMar>
        </w:tblPrEx>
        <w:trPr>
          <w:gridBefore w:val="2"/>
          <w:wBefore w:w="796" w:type="dxa"/>
          <w:trHeight w:val="540" w:hRule="atLeast"/>
          <w:jc w:val="center"/>
        </w:trPr>
        <w:tc>
          <w:tcPr>
            <w:tcW w:w="166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gridBefore w:val="2"/>
          <w:wBefore w:w="796" w:type="dxa"/>
          <w:trHeight w:val="319"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6.00</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6.00</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3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Before w:val="2"/>
          <w:wBefore w:w="796" w:type="dxa"/>
          <w:trHeight w:val="30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6.00</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6.00</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6" w:type="dxa"/>
            <w:gridSpan w:val="2"/>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2"/>
          <w:wBefore w:w="796" w:type="dxa"/>
          <w:trHeight w:val="342"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6" w:type="dxa"/>
            <w:gridSpan w:val="2"/>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2"/>
          <w:wBefore w:w="796" w:type="dxa"/>
          <w:trHeight w:val="30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6" w:type="dxa"/>
            <w:gridSpan w:val="2"/>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2"/>
          <w:wBefore w:w="796" w:type="dxa"/>
          <w:trHeight w:val="342"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66"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6" w:type="dxa"/>
            <w:gridSpan w:val="2"/>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2"/>
          <w:wBefore w:w="796" w:type="dxa"/>
          <w:trHeight w:val="310" w:hRule="atLeast"/>
          <w:jc w:val="center"/>
        </w:trPr>
        <w:tc>
          <w:tcPr>
            <w:tcW w:w="166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58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17"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237" w:type="dxa"/>
            <w:gridSpan w:val="3"/>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512"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8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gridBefore w:val="2"/>
          <w:wBefore w:w="796" w:type="dxa"/>
          <w:trHeight w:val="27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视频会议</w:t>
            </w:r>
          </w:p>
        </w:tc>
        <w:tc>
          <w:tcPr>
            <w:tcW w:w="517"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200</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次</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27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视频图像传输</w:t>
            </w:r>
          </w:p>
        </w:tc>
        <w:tc>
          <w:tcPr>
            <w:tcW w:w="517"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视频图像清晰</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27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工作按进度推进</w:t>
            </w:r>
          </w:p>
        </w:tc>
        <w:tc>
          <w:tcPr>
            <w:tcW w:w="517"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45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科技信息不断提高</w:t>
            </w:r>
          </w:p>
        </w:tc>
        <w:tc>
          <w:tcPr>
            <w:tcW w:w="517"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27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指挥及时准确</w:t>
            </w:r>
          </w:p>
        </w:tc>
        <w:tc>
          <w:tcPr>
            <w:tcW w:w="517"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准确无误</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45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确保人民安全形势稳定</w:t>
            </w:r>
          </w:p>
        </w:tc>
        <w:tc>
          <w:tcPr>
            <w:tcW w:w="517"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270" w:hRule="atLeast"/>
          <w:jc w:val="center"/>
        </w:trPr>
        <w:tc>
          <w:tcPr>
            <w:tcW w:w="1665"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8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46" w:type="dxa"/>
            <w:gridSpan w:val="4"/>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相关对象满意度</w:t>
            </w:r>
          </w:p>
        </w:tc>
        <w:tc>
          <w:tcPr>
            <w:tcW w:w="517"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3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512"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8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270" w:hRule="atLeast"/>
          <w:jc w:val="center"/>
        </w:trPr>
        <w:tc>
          <w:tcPr>
            <w:tcW w:w="9697"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6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4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3736" w:type="dxa"/>
            <w:gridSpan w:val="2"/>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2"/>
          <w:wBefore w:w="796" w:type="dxa"/>
          <w:trHeight w:val="540" w:hRule="atLeast"/>
          <w:jc w:val="center"/>
        </w:trPr>
        <w:tc>
          <w:tcPr>
            <w:tcW w:w="1665"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3475" w:type="dxa"/>
            <w:gridSpan w:val="2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项目支出绩效目标设置了数量、质量、经济效益、社会效益、可持续影响、服务满意度等指标。通过绩效自评，年初设置的绩效目标已基本完成，自评分94分。</w:t>
            </w:r>
          </w:p>
        </w:tc>
      </w:tr>
      <w:tr>
        <w:tblPrEx>
          <w:tblCellMar>
            <w:top w:w="0" w:type="dxa"/>
            <w:left w:w="108" w:type="dxa"/>
            <w:bottom w:w="0" w:type="dxa"/>
            <w:right w:w="108" w:type="dxa"/>
          </w:tblCellMar>
        </w:tblPrEx>
        <w:trPr>
          <w:gridBefore w:val="2"/>
          <w:wBefore w:w="796" w:type="dxa"/>
          <w:trHeight w:val="510" w:hRule="atLeast"/>
          <w:jc w:val="center"/>
        </w:trPr>
        <w:tc>
          <w:tcPr>
            <w:tcW w:w="1665"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3475" w:type="dxa"/>
            <w:gridSpan w:val="2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1.预算绩效目标编制还不够完善，科学性、合理性、严谨性和可控性有所缺乏。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2.在资金安排和使用上，及时性和规范性还有待加强。</w:t>
            </w:r>
          </w:p>
        </w:tc>
      </w:tr>
      <w:tr>
        <w:tblPrEx>
          <w:tblCellMar>
            <w:top w:w="0" w:type="dxa"/>
            <w:left w:w="108" w:type="dxa"/>
            <w:bottom w:w="0" w:type="dxa"/>
            <w:right w:w="108" w:type="dxa"/>
          </w:tblCellMar>
        </w:tblPrEx>
        <w:trPr>
          <w:gridBefore w:val="2"/>
          <w:wBefore w:w="796" w:type="dxa"/>
          <w:trHeight w:val="1080" w:hRule="atLeast"/>
          <w:jc w:val="center"/>
        </w:trPr>
        <w:tc>
          <w:tcPr>
            <w:tcW w:w="1665"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3475" w:type="dxa"/>
            <w:gridSpan w:val="2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2.按照预算规定的项目和用途严格财务审核，经费支出严格按预算规定项目的财务支出内容进行财务核算，在预算金额内严格控制费用的支出；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3.预算财务分析常态化，定期做好预算支出财务分析，做好单位整体支出预算评价工作。</w:t>
            </w:r>
          </w:p>
        </w:tc>
      </w:tr>
      <w:tr>
        <w:tblPrEx>
          <w:tblCellMar>
            <w:top w:w="0" w:type="dxa"/>
            <w:left w:w="108" w:type="dxa"/>
            <w:bottom w:w="0" w:type="dxa"/>
            <w:right w:w="108" w:type="dxa"/>
          </w:tblCellMar>
        </w:tblPrEx>
        <w:trPr>
          <w:gridBefore w:val="2"/>
          <w:wBefore w:w="796" w:type="dxa"/>
          <w:trHeight w:val="270" w:hRule="atLeast"/>
          <w:jc w:val="center"/>
        </w:trPr>
        <w:tc>
          <w:tcPr>
            <w:tcW w:w="686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项目负责人：喻晓辰</w:t>
            </w:r>
          </w:p>
        </w:tc>
        <w:tc>
          <w:tcPr>
            <w:tcW w:w="8280" w:type="dxa"/>
            <w:gridSpan w:val="17"/>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gridBefore w:val="2"/>
          <w:wBefore w:w="796" w:type="dxa"/>
          <w:trHeight w:val="582" w:hRule="atLeast"/>
          <w:jc w:val="center"/>
        </w:trPr>
        <w:tc>
          <w:tcPr>
            <w:tcW w:w="15140" w:type="dxa"/>
            <w:gridSpan w:val="3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r>
        <w:tblPrEx>
          <w:tblCellMar>
            <w:top w:w="0" w:type="dxa"/>
            <w:left w:w="108" w:type="dxa"/>
            <w:bottom w:w="0" w:type="dxa"/>
            <w:right w:w="108" w:type="dxa"/>
          </w:tblCellMar>
        </w:tblPrEx>
        <w:trPr>
          <w:gridBefore w:val="1"/>
          <w:wBefore w:w="318" w:type="dxa"/>
          <w:trHeight w:val="540" w:hRule="atLeast"/>
          <w:jc w:val="center"/>
        </w:trPr>
        <w:tc>
          <w:tcPr>
            <w:tcW w:w="15618" w:type="dxa"/>
            <w:gridSpan w:val="33"/>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gridBefore w:val="1"/>
          <w:wBefore w:w="318" w:type="dxa"/>
          <w:trHeight w:val="379" w:hRule="atLeast"/>
          <w:jc w:val="center"/>
        </w:trPr>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315" w:type="dxa"/>
            <w:gridSpan w:val="27"/>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高危行业专家补助</w:t>
            </w:r>
          </w:p>
        </w:tc>
      </w:tr>
      <w:tr>
        <w:tblPrEx>
          <w:tblCellMar>
            <w:top w:w="0" w:type="dxa"/>
            <w:left w:w="108" w:type="dxa"/>
            <w:bottom w:w="0" w:type="dxa"/>
            <w:right w:w="108" w:type="dxa"/>
          </w:tblCellMar>
        </w:tblPrEx>
        <w:trPr>
          <w:gridBefore w:val="1"/>
          <w:wBefore w:w="318" w:type="dxa"/>
          <w:trHeight w:val="642" w:hRule="atLeast"/>
          <w:jc w:val="center"/>
        </w:trPr>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691"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556"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gridBefore w:val="1"/>
          <w:wBefore w:w="318" w:type="dxa"/>
          <w:trHeight w:val="379" w:hRule="atLeast"/>
          <w:jc w:val="center"/>
        </w:trPr>
        <w:tc>
          <w:tcPr>
            <w:tcW w:w="16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69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691"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624" w:type="dxa"/>
            <w:gridSpan w:val="12"/>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gridBefore w:val="1"/>
          <w:wBefore w:w="318" w:type="dxa"/>
          <w:trHeight w:val="294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5691" w:type="dxa"/>
            <w:gridSpan w:val="1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深入开展煤矿隐患排查整治45次，排查各类问题隐患300余条，立案查处2起，罚款5万元。针对工贸行业八大高风险领域，结合我区工贸企业实际，建立经信、应急管理、消防等部门采取“部门包片+干部包企+联合检查+每月联席会通报”机制，聘请专家对辖区内重点工贸企业全覆盖督导检查，发现隐患问题500余条，督促整改450余条，其余问题正在整改中，处罚6家7.3万元，一案双罚1家。非煤矿山企业安全生产责任保险投保率达100%。非煤矿山企业安全生产责任保险投保率达100%。检查危化、烟花爆竹经营单位96家次，发现并整改问题186项，处罚烟花爆竹零售网点1家。</w:t>
            </w:r>
          </w:p>
        </w:tc>
        <w:tc>
          <w:tcPr>
            <w:tcW w:w="6624" w:type="dxa"/>
            <w:gridSpan w:val="12"/>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烟花爆竹：专家对企业安全负责人和管理人员持证上岗情况、烟花爆竹存储安全和经营场所消防安全进行诊断式安全检查及初验。指出了存在的安全隐患，提出了整改指令，要求各烟花爆竹批发零售企业要严格按照相关规定规范管理，强化防范措施落实，不断加强员工培训教育力度，督促批发零售企业对存在的安全隐患进行整改，杜绝安全生产事故发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危化领域：专家通过诊断式安全检查，对企业安全风险进行了辨识，对发现的安全风险提出了管控措施，对存在的安全隐患提出整改指令，进一步推进了我区危化企业全面推进双重预防机制建设，实现了安全管理关口前移、风险隐患源头治理的内在要求，我区危化领域安全生产形势持续稳定向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煤矿方面：煤矿组织专家对全区煤矿进行复产复工、节假日前安全生产大检查、煤矿隐患整改等方面的检查及验收，对发现的安全风险提出整改意见，全区煤矿安全生产形势持续稳定向好，生产安全事故起数、死亡人数、受伤人数实现全面下降。</w:t>
            </w:r>
          </w:p>
        </w:tc>
      </w:tr>
      <w:tr>
        <w:tblPrEx>
          <w:tblCellMar>
            <w:top w:w="0" w:type="dxa"/>
            <w:left w:w="108" w:type="dxa"/>
            <w:bottom w:w="0" w:type="dxa"/>
            <w:right w:w="108" w:type="dxa"/>
          </w:tblCellMar>
        </w:tblPrEx>
        <w:trPr>
          <w:gridBefore w:val="1"/>
          <w:wBefore w:w="318" w:type="dxa"/>
          <w:trHeight w:val="132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315" w:type="dxa"/>
            <w:gridSpan w:val="27"/>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烟花爆竹：专家对企业安全负责人和管理人员持证上岗情况、烟花爆竹存储安全和经营场所消防安全进行诊断式安全检查及初验;2.危化领域：专家通过诊断式安全检查，对企业安全风险进行了辨识，对发现的安全风险提出了管控措施，对存在的安全隐患提出整改指令，进一步推进了我区危化企业全面推进双重预防机制建设，实现了安全管理关口前移、风险隐患源头治理的内在要求，我区危化领域安全生产形势持续稳定向好;3.煤矿方面：煤矿组织专家对全区煤矿进行复产复工、节假日前安全生产大检查、煤矿隐患整改等方面的检查及验收，对发现的安全风险提出整改意见，全区煤矿安全生产形势持续稳定向好，生产安全事故起数、死亡人数、受伤人数实现全面下降。</w:t>
            </w:r>
          </w:p>
        </w:tc>
      </w:tr>
      <w:tr>
        <w:tblPrEx>
          <w:tblCellMar>
            <w:top w:w="0" w:type="dxa"/>
            <w:left w:w="108" w:type="dxa"/>
            <w:bottom w:w="0" w:type="dxa"/>
            <w:right w:w="108" w:type="dxa"/>
          </w:tblCellMar>
        </w:tblPrEx>
        <w:trPr>
          <w:gridBefore w:val="1"/>
          <w:wBefore w:w="318" w:type="dxa"/>
          <w:trHeight w:val="540" w:hRule="atLeast"/>
          <w:jc w:val="center"/>
        </w:trPr>
        <w:tc>
          <w:tcPr>
            <w:tcW w:w="16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gridBefore w:val="1"/>
          <w:wBefore w:w="318" w:type="dxa"/>
          <w:trHeight w:val="319"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0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Before w:val="1"/>
          <w:wBefore w:w="318" w:type="dxa"/>
          <w:trHeight w:val="30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06"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318" w:type="dxa"/>
          <w:trHeight w:val="342"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06"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318" w:type="dxa"/>
          <w:trHeight w:val="30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06"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318" w:type="dxa"/>
          <w:trHeight w:val="342"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11" w:type="dxa"/>
            <w:gridSpan w:val="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06"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318" w:type="dxa"/>
          <w:trHeight w:val="720" w:hRule="atLeast"/>
          <w:jc w:val="center"/>
        </w:trPr>
        <w:tc>
          <w:tcPr>
            <w:tcW w:w="16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699"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50"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830" w:type="dxa"/>
            <w:gridSpan w:val="4"/>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10"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204"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497"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68"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聘请专家</w:t>
            </w:r>
          </w:p>
        </w:tc>
        <w:tc>
          <w:tcPr>
            <w:tcW w:w="510"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20</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保障企业安全生产管理</w:t>
            </w:r>
          </w:p>
        </w:tc>
        <w:tc>
          <w:tcPr>
            <w:tcW w:w="510"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260</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起</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按时间进度推进</w:t>
            </w:r>
          </w:p>
        </w:tc>
        <w:tc>
          <w:tcPr>
            <w:tcW w:w="510"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提高专业技术水平</w:t>
            </w:r>
          </w:p>
        </w:tc>
        <w:tc>
          <w:tcPr>
            <w:tcW w:w="510"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保障企业安全生产</w:t>
            </w:r>
          </w:p>
        </w:tc>
        <w:tc>
          <w:tcPr>
            <w:tcW w:w="510"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不断提高</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减少安全事故发生</w:t>
            </w:r>
          </w:p>
        </w:tc>
        <w:tc>
          <w:tcPr>
            <w:tcW w:w="510" w:type="dxa"/>
            <w:gridSpan w:val="2"/>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次</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604" w:type="dxa"/>
            <w:gridSpan w:val="3"/>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699"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830" w:type="dxa"/>
            <w:gridSpan w:val="4"/>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相关对象满意度</w:t>
            </w:r>
          </w:p>
        </w:tc>
        <w:tc>
          <w:tcPr>
            <w:tcW w:w="510" w:type="dxa"/>
            <w:gridSpan w:val="2"/>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04"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95</w:t>
            </w:r>
          </w:p>
        </w:tc>
        <w:tc>
          <w:tcPr>
            <w:tcW w:w="497"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68"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5" w:type="dxa"/>
            <w:gridSpan w:val="3"/>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270" w:hRule="atLeast"/>
          <w:jc w:val="center"/>
        </w:trPr>
        <w:tc>
          <w:tcPr>
            <w:tcW w:w="10062"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4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05" w:type="dxa"/>
            <w:gridSpan w:val="3"/>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3906" w:type="dxa"/>
            <w:gridSpan w:val="3"/>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Before w:val="1"/>
          <w:wBefore w:w="318" w:type="dxa"/>
          <w:trHeight w:val="540" w:hRule="atLeast"/>
          <w:jc w:val="center"/>
        </w:trPr>
        <w:tc>
          <w:tcPr>
            <w:tcW w:w="1604"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4014"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xml:space="preserve"> 项目支出绩效目标设置了数量、质量、经济效益、社会效益、可持续影响、服务满意度等指标。通过绩效自评，年初设置的绩效目标已基本完成，自评分94分。</w:t>
            </w:r>
          </w:p>
        </w:tc>
      </w:tr>
      <w:tr>
        <w:tblPrEx>
          <w:tblCellMar>
            <w:top w:w="0" w:type="dxa"/>
            <w:left w:w="108" w:type="dxa"/>
            <w:bottom w:w="0" w:type="dxa"/>
            <w:right w:w="108" w:type="dxa"/>
          </w:tblCellMar>
        </w:tblPrEx>
        <w:trPr>
          <w:gridBefore w:val="1"/>
          <w:wBefore w:w="318" w:type="dxa"/>
          <w:trHeight w:val="462" w:hRule="atLeast"/>
          <w:jc w:val="center"/>
        </w:trPr>
        <w:tc>
          <w:tcPr>
            <w:tcW w:w="1604"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4014"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1.预算绩效目标编制还不够完善，科学性、合理性、严谨性和可控性有所缺乏。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2.在资金安排和使用上，及时性和规范性还有待加强。</w:t>
            </w:r>
          </w:p>
        </w:tc>
      </w:tr>
      <w:tr>
        <w:tblPrEx>
          <w:tblCellMar>
            <w:top w:w="0" w:type="dxa"/>
            <w:left w:w="108" w:type="dxa"/>
            <w:bottom w:w="0" w:type="dxa"/>
            <w:right w:w="108" w:type="dxa"/>
          </w:tblCellMar>
        </w:tblPrEx>
        <w:trPr>
          <w:gridBefore w:val="1"/>
          <w:wBefore w:w="318" w:type="dxa"/>
          <w:trHeight w:val="499" w:hRule="atLeast"/>
          <w:jc w:val="center"/>
        </w:trPr>
        <w:tc>
          <w:tcPr>
            <w:tcW w:w="1604" w:type="dxa"/>
            <w:gridSpan w:val="3"/>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4014" w:type="dxa"/>
            <w:gridSpan w:val="3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2.按照预算规定的项目和用途严格财务审核，经费支出严格按预算规定项目的财务支出内容进行财务核算，在预算金额内严格控制费用的支出；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3.预算财务分析常态化，定期做好预算支出财务分析，做好单位整体支出预算评价工作。</w:t>
            </w:r>
          </w:p>
        </w:tc>
      </w:tr>
      <w:tr>
        <w:tblPrEx>
          <w:tblCellMar>
            <w:top w:w="0" w:type="dxa"/>
            <w:left w:w="108" w:type="dxa"/>
            <w:bottom w:w="0" w:type="dxa"/>
            <w:right w:w="108" w:type="dxa"/>
          </w:tblCellMar>
        </w:tblPrEx>
        <w:trPr>
          <w:gridBefore w:val="1"/>
          <w:wBefore w:w="318" w:type="dxa"/>
          <w:trHeight w:val="270" w:hRule="atLeast"/>
          <w:jc w:val="center"/>
        </w:trPr>
        <w:tc>
          <w:tcPr>
            <w:tcW w:w="729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项目负责人：张力</w:t>
            </w:r>
          </w:p>
        </w:tc>
        <w:tc>
          <w:tcPr>
            <w:tcW w:w="8325" w:type="dxa"/>
            <w:gridSpan w:val="18"/>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gridBefore w:val="1"/>
          <w:wBefore w:w="318" w:type="dxa"/>
          <w:trHeight w:val="582" w:hRule="atLeast"/>
          <w:jc w:val="center"/>
        </w:trPr>
        <w:tc>
          <w:tcPr>
            <w:tcW w:w="15618" w:type="dxa"/>
            <w:gridSpan w:val="3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bl>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tbl>
      <w:tblPr>
        <w:tblStyle w:val="17"/>
        <w:tblW w:w="15760" w:type="dxa"/>
        <w:jc w:val="center"/>
        <w:tblLayout w:type="fixed"/>
        <w:tblCellMar>
          <w:top w:w="0" w:type="dxa"/>
          <w:left w:w="108" w:type="dxa"/>
          <w:bottom w:w="0" w:type="dxa"/>
          <w:right w:w="108" w:type="dxa"/>
        </w:tblCellMar>
      </w:tblPr>
      <w:tblGrid>
        <w:gridCol w:w="1627"/>
        <w:gridCol w:w="1701"/>
        <w:gridCol w:w="1615"/>
        <w:gridCol w:w="2224"/>
        <w:gridCol w:w="505"/>
        <w:gridCol w:w="1200"/>
        <w:gridCol w:w="239"/>
        <w:gridCol w:w="1326"/>
        <w:gridCol w:w="750"/>
        <w:gridCol w:w="919"/>
        <w:gridCol w:w="3654"/>
      </w:tblGrid>
      <w:tr>
        <w:tblPrEx>
          <w:tblCellMar>
            <w:top w:w="0" w:type="dxa"/>
            <w:left w:w="108" w:type="dxa"/>
            <w:bottom w:w="0" w:type="dxa"/>
            <w:right w:w="108" w:type="dxa"/>
          </w:tblCellMar>
        </w:tblPrEx>
        <w:trPr>
          <w:trHeight w:val="927" w:hRule="atLeast"/>
          <w:jc w:val="center"/>
        </w:trPr>
        <w:tc>
          <w:tcPr>
            <w:tcW w:w="15760" w:type="dxa"/>
            <w:gridSpan w:val="11"/>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trHeight w:val="386" w:hRule="atLeast"/>
          <w:jc w:val="center"/>
        </w:trPr>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432"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外聘技术人员工资及保险</w:t>
            </w:r>
          </w:p>
        </w:tc>
      </w:tr>
      <w:tr>
        <w:tblPrEx>
          <w:tblCellMar>
            <w:top w:w="0" w:type="dxa"/>
            <w:left w:w="108" w:type="dxa"/>
            <w:bottom w:w="0" w:type="dxa"/>
            <w:right w:w="108" w:type="dxa"/>
          </w:tblCellMar>
        </w:tblPrEx>
        <w:trPr>
          <w:trHeight w:val="646" w:hRule="atLeast"/>
          <w:jc w:val="center"/>
        </w:trPr>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783"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323"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trHeight w:val="386" w:hRule="atLeast"/>
          <w:jc w:val="center"/>
        </w:trPr>
        <w:tc>
          <w:tcPr>
            <w:tcW w:w="1627"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783"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649"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trHeight w:val="4644"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5783"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要负责全区煤矿安全技术管理体系建设、煤矿建设项目及配套工程技术方案审查；负责煤矿采掘头面和“以风定产”初审工作，煤矿安全生产标准化建设；组织企业技术攻关和科技交流等方面工作。作为高危企业，负责生产安全和技术人员尤为重要，煤矿事故频频发生与技术人员息息相关，加强与技术人员和管理与使用，最大限度的发挥在保障安全生产方面的作用，也增加煤矿安全生产性，减少事故的发生。</w:t>
            </w:r>
          </w:p>
        </w:tc>
        <w:tc>
          <w:tcPr>
            <w:tcW w:w="6649"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着手源头、夯实基础，强化“一通三防”工作。区内煤矿均属于低瓦斯矿井，指导各煤矿按照“五个一”2.为缓解和消除采掘接替紧张的问题，在充分研析了各矿的各大系统和储量核实报告的基础上，指导编制采掘计划，确保区内煤矿采掘面的正常接替。根据各矿工作面进度变化，督促煤矿根据现场实际情况及时调整采掘布置和施工组织；较好地解决了部分矿井采、掘衔接紧张的被动局面，确保了区内煤矿回采、准备、开拓工作面的正常接替。3.结合实际，优化设计，完善规程、措施管理。针对我区煤矿生产、建设条件变化多的特点，及时督促各矿编制合理的、针对性强的施工作业规程，使其更具科学性和可操作性，有效地指导生产，及时解决现场实际生产中存在的技术问题。全年共检查区内煤矿作业规程16份，措施11份。先后参与了金珠煤矿排水和恢复建设方案的设计优化和专家会审。4.扎实抓好矿井防治水工作。按照煤矿水害防治十六字原则，落实综合治理措施。全区正常生产和建设煤矿有针对性地开展了水患调查，基本查明各矿水文地质条件，为水害防治工作提供详实、可靠的技术依据。5.全年起草各类文件、报告、汇报材料和方案、安排等文字材料27份；全年下矿102天，下井97个。6.攻坚破难，抓好重点项目实施。2021年，在各项工作前期准备严重滞后、资金筹措不到位等困难情况下，再次临危受命，</w:t>
            </w:r>
          </w:p>
        </w:tc>
      </w:tr>
      <w:tr>
        <w:tblPrEx>
          <w:tblCellMar>
            <w:top w:w="0" w:type="dxa"/>
            <w:left w:w="108" w:type="dxa"/>
            <w:bottom w:w="0" w:type="dxa"/>
            <w:right w:w="108" w:type="dxa"/>
          </w:tblCellMar>
        </w:tblPrEx>
        <w:trPr>
          <w:trHeight w:val="937"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432"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着手源头、夯实基础，强化“一通三防”工作。2.为缓解和消除采掘接替紧张的问题，在充分研析了各矿的各大系统和储量核实报告的基础上，指导编制采掘计划，确保区内煤矿采掘面的正常接替。3.结合实际，优化设计，完善规程、措施管理。4.扎实抓好矿井防治水工作。5.全年起草各类文件、报告、汇报材料和方案、安排等文字材料27份；全年下矿102天，下井97个。6.攻坚破难，抓好重点项目实施。</w:t>
            </w:r>
          </w:p>
        </w:tc>
      </w:tr>
      <w:tr>
        <w:tblPrEx>
          <w:tblCellMar>
            <w:top w:w="0" w:type="dxa"/>
            <w:left w:w="108" w:type="dxa"/>
            <w:bottom w:w="0" w:type="dxa"/>
            <w:right w:w="108" w:type="dxa"/>
          </w:tblCellMar>
        </w:tblPrEx>
        <w:trPr>
          <w:trHeight w:val="628" w:hRule="atLeast"/>
          <w:jc w:val="center"/>
        </w:trPr>
        <w:tc>
          <w:tcPr>
            <w:tcW w:w="1627"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trHeight w:val="326"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54"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19"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54"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9"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54"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9"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54"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9"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54"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46" w:hRule="atLeast"/>
          <w:jc w:val="center"/>
        </w:trPr>
        <w:tc>
          <w:tcPr>
            <w:tcW w:w="1627"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70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1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22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0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2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23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3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聘请专业技术人员</w:t>
            </w:r>
          </w:p>
        </w:tc>
        <w:tc>
          <w:tcPr>
            <w:tcW w:w="50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定性</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9"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煤矿专业技术指导、培训</w:t>
            </w:r>
          </w:p>
        </w:tc>
        <w:tc>
          <w:tcPr>
            <w:tcW w:w="50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按时间进度推进</w:t>
            </w:r>
          </w:p>
        </w:tc>
        <w:tc>
          <w:tcPr>
            <w:tcW w:w="50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提高专业技术水平</w:t>
            </w:r>
          </w:p>
        </w:tc>
        <w:tc>
          <w:tcPr>
            <w:tcW w:w="505"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不断提升</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保障企业安全生产</w:t>
            </w:r>
          </w:p>
        </w:tc>
        <w:tc>
          <w:tcPr>
            <w:tcW w:w="505"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不断提高</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减少安全事故发生</w:t>
            </w:r>
          </w:p>
        </w:tc>
        <w:tc>
          <w:tcPr>
            <w:tcW w:w="505"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次</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15"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24"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相关对象满意度</w:t>
            </w:r>
          </w:p>
        </w:tc>
        <w:tc>
          <w:tcPr>
            <w:tcW w:w="505"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200"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95</w:t>
            </w:r>
          </w:p>
        </w:tc>
        <w:tc>
          <w:tcPr>
            <w:tcW w:w="239"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9" w:hRule="atLeast"/>
          <w:jc w:val="center"/>
        </w:trPr>
        <w:tc>
          <w:tcPr>
            <w:tcW w:w="1043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19"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3654"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5" w:hRule="atLeast"/>
          <w:jc w:val="center"/>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4133"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xml:space="preserve"> 项目支出绩效目标设置了数量、质量、经济效益、社会效益、可持续影响、服务满意度等指标。通过绩效自评，年初设置的绩效目标已基本完成，自评分98分。</w:t>
            </w:r>
          </w:p>
        </w:tc>
      </w:tr>
      <w:tr>
        <w:tblPrEx>
          <w:tblCellMar>
            <w:top w:w="0" w:type="dxa"/>
            <w:left w:w="108" w:type="dxa"/>
            <w:bottom w:w="0" w:type="dxa"/>
            <w:right w:w="108" w:type="dxa"/>
          </w:tblCellMar>
        </w:tblPrEx>
        <w:trPr>
          <w:trHeight w:val="628" w:hRule="atLeast"/>
          <w:jc w:val="center"/>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4133"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1.预算绩效目标编制还不够完善，不够细化、编制过程中科学性、合理性、严谨性和可控性有所缺乏。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2.在资金安排和使用上，及时性和规范性还有待加强。</w:t>
            </w:r>
          </w:p>
        </w:tc>
      </w:tr>
      <w:tr>
        <w:tblPrEx>
          <w:tblCellMar>
            <w:top w:w="0" w:type="dxa"/>
            <w:left w:w="108" w:type="dxa"/>
            <w:bottom w:w="0" w:type="dxa"/>
            <w:right w:w="108" w:type="dxa"/>
          </w:tblCellMar>
        </w:tblPrEx>
        <w:trPr>
          <w:trHeight w:val="1246" w:hRule="atLeast"/>
          <w:jc w:val="center"/>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4133"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2.按照预算规定的项目和用途严格财务审核，经费支出严格按预算规定项目的财务支出内容进行财务核算，在预算金额内严格控制费用的支出；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3.预算财务分析常态化，定期做好预算支出财务分析，做好单位整体支出预算评价工作。</w:t>
            </w:r>
          </w:p>
        </w:tc>
      </w:tr>
      <w:tr>
        <w:tblPrEx>
          <w:tblCellMar>
            <w:top w:w="0" w:type="dxa"/>
            <w:left w:w="108" w:type="dxa"/>
            <w:bottom w:w="0" w:type="dxa"/>
            <w:right w:w="108" w:type="dxa"/>
          </w:tblCellMar>
        </w:tblPrEx>
        <w:trPr>
          <w:trHeight w:val="319" w:hRule="atLeast"/>
          <w:jc w:val="center"/>
        </w:trPr>
        <w:tc>
          <w:tcPr>
            <w:tcW w:w="76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项目负责人：张力</w:t>
            </w:r>
          </w:p>
        </w:tc>
        <w:tc>
          <w:tcPr>
            <w:tcW w:w="8088" w:type="dxa"/>
            <w:gridSpan w:val="6"/>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trHeight w:val="628" w:hRule="atLeast"/>
          <w:jc w:val="center"/>
        </w:trPr>
        <w:tc>
          <w:tcPr>
            <w:tcW w:w="15760" w:type="dxa"/>
            <w:gridSpan w:val="11"/>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bl>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Chars="0" w:firstLine="640"/>
        <w:rPr>
          <w:rFonts w:hAnsi="仿宋_GB2312" w:eastAsia="仿宋_GB2312" w:cs="仿宋_GB2312"/>
          <w:kern w:val="0"/>
          <w:sz w:val="32"/>
        </w:rPr>
      </w:pPr>
    </w:p>
    <w:p>
      <w:pPr>
        <w:pStyle w:val="3"/>
        <w:spacing w:line="560" w:lineRule="exact"/>
        <w:ind w:left="0" w:leftChars="0" w:firstLine="0" w:firstLineChars="0"/>
        <w:rPr>
          <w:rFonts w:hAnsi="仿宋_GB2312" w:eastAsia="仿宋_GB2312" w:cs="仿宋_GB2312"/>
          <w:kern w:val="0"/>
          <w:sz w:val="32"/>
        </w:rPr>
      </w:pPr>
    </w:p>
    <w:tbl>
      <w:tblPr>
        <w:tblStyle w:val="17"/>
        <w:tblpPr w:leftFromText="180" w:rightFromText="180" w:vertAnchor="text" w:horzAnchor="page" w:tblpX="903" w:tblpY="94"/>
        <w:tblOverlap w:val="never"/>
        <w:tblW w:w="15640" w:type="dxa"/>
        <w:tblInd w:w="0" w:type="dxa"/>
        <w:tblLayout w:type="autofit"/>
        <w:tblCellMar>
          <w:top w:w="0" w:type="dxa"/>
          <w:left w:w="108" w:type="dxa"/>
          <w:bottom w:w="0" w:type="dxa"/>
          <w:right w:w="108" w:type="dxa"/>
        </w:tblCellMar>
      </w:tblPr>
      <w:tblGrid>
        <w:gridCol w:w="1625"/>
        <w:gridCol w:w="1713"/>
        <w:gridCol w:w="1650"/>
        <w:gridCol w:w="1800"/>
        <w:gridCol w:w="513"/>
        <w:gridCol w:w="1222"/>
        <w:gridCol w:w="750"/>
        <w:gridCol w:w="1070"/>
        <w:gridCol w:w="753"/>
        <w:gridCol w:w="918"/>
        <w:gridCol w:w="3626"/>
      </w:tblGrid>
      <w:tr>
        <w:tblPrEx>
          <w:tblCellMar>
            <w:top w:w="0" w:type="dxa"/>
            <w:left w:w="108" w:type="dxa"/>
            <w:bottom w:w="0" w:type="dxa"/>
            <w:right w:w="108" w:type="dxa"/>
          </w:tblCellMar>
        </w:tblPrEx>
        <w:trPr>
          <w:trHeight w:val="540" w:hRule="atLeast"/>
        </w:trPr>
        <w:tc>
          <w:tcPr>
            <w:tcW w:w="15640" w:type="dxa"/>
            <w:gridSpan w:val="11"/>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trHeight w:val="379" w:hRule="atLeast"/>
        </w:trPr>
        <w:tc>
          <w:tcPr>
            <w:tcW w:w="33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302"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项目争取工作经费</w:t>
            </w:r>
          </w:p>
        </w:tc>
      </w:tr>
      <w:tr>
        <w:tblPrEx>
          <w:tblCellMar>
            <w:top w:w="0" w:type="dxa"/>
            <w:left w:w="108" w:type="dxa"/>
            <w:bottom w:w="0" w:type="dxa"/>
            <w:right w:w="108" w:type="dxa"/>
          </w:tblCellMar>
        </w:tblPrEx>
        <w:trPr>
          <w:trHeight w:val="465" w:hRule="atLeast"/>
        </w:trPr>
        <w:tc>
          <w:tcPr>
            <w:tcW w:w="33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5935"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5297"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rPr>
          <w:trHeight w:val="379" w:hRule="atLeast"/>
        </w:trPr>
        <w:tc>
          <w:tcPr>
            <w:tcW w:w="162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713"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5935"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6367"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trHeight w:val="1815"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5935" w:type="dxa"/>
            <w:gridSpan w:val="5"/>
            <w:tcBorders>
              <w:top w:val="single" w:color="auto" w:sz="4" w:space="0"/>
              <w:left w:val="nil"/>
              <w:bottom w:val="single" w:color="auto" w:sz="4" w:space="0"/>
              <w:right w:val="single" w:color="auto" w:sz="4" w:space="0"/>
            </w:tcBorders>
            <w:shd w:val="clear" w:color="000000" w:fill="FFFFFF"/>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目前两项目已完成，已进行试生产阶段</w:t>
            </w:r>
          </w:p>
        </w:tc>
        <w:tc>
          <w:tcPr>
            <w:tcW w:w="6367"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广元市市中区从容煤矿水平延伸工程项目总投资8920万元，建设地点：荣山镇田湾一组，项目内容，土建工程巷道5000米，房屋建筑面积3050平方米，土石方50890立方米，机械设备等。2.广元市金珠煤矿扩建工程，项目总投资7550万元，建设地点：利州区三堆镇羊盘村，主要建设规模，巷道4000米，土建工程房屋面积2500立方米，土石方10000立方米，桥梁50米，机械设备等。以上项目年底已全面竣工，完成验收工作，现已正常生产。</w:t>
            </w:r>
          </w:p>
        </w:tc>
      </w:tr>
      <w:tr>
        <w:tblPrEx>
          <w:tblCellMar>
            <w:top w:w="0" w:type="dxa"/>
            <w:left w:w="108" w:type="dxa"/>
            <w:bottom w:w="0" w:type="dxa"/>
            <w:right w:w="108" w:type="dxa"/>
          </w:tblCellMar>
        </w:tblPrEx>
        <w:trPr>
          <w:trHeight w:val="1035"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302" w:type="dxa"/>
            <w:gridSpan w:val="9"/>
            <w:tcBorders>
              <w:top w:val="single" w:color="auto" w:sz="4" w:space="0"/>
              <w:left w:val="nil"/>
              <w:bottom w:val="single" w:color="auto" w:sz="4" w:space="0"/>
              <w:right w:val="single" w:color="auto" w:sz="4" w:space="0"/>
            </w:tcBorders>
            <w:shd w:val="clear" w:color="000000" w:fill="FFFFFF"/>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广元市市中区从容煤矿水平延伸工程项目总投资8920万元，建设地点：荣山镇田湾一组，项目内容，土建工程巷道5000米，房屋建筑面积3050平方米，土石方50890立方米，机械设备等。2.广元市金珠煤矿扩建工程，项目总投资7550万元，建设地点：利州区三堆镇羊盘村，主要建设规模，巷道4000米，土建工程房屋面积2500立方米，土石方10000立方米，桥梁50米，机械设备等</w:t>
            </w:r>
          </w:p>
        </w:tc>
      </w:tr>
      <w:tr>
        <w:tblPrEx>
          <w:tblCellMar>
            <w:top w:w="0" w:type="dxa"/>
            <w:left w:w="108" w:type="dxa"/>
            <w:bottom w:w="0" w:type="dxa"/>
            <w:right w:w="108" w:type="dxa"/>
          </w:tblCellMar>
        </w:tblPrEx>
        <w:trPr>
          <w:trHeight w:val="540" w:hRule="atLeast"/>
        </w:trPr>
        <w:tc>
          <w:tcPr>
            <w:tcW w:w="162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rPr>
          <w:trHeight w:val="10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2023年12月申报的资金使用计划数4万元，因资金紧张国库领导未审核，致该经费未能支付、资金未及时使用；年终决算后，剩余资金由财政自动收回。</w:t>
            </w:r>
          </w:p>
        </w:tc>
      </w:tr>
      <w:tr>
        <w:tblPrEx>
          <w:tblCellMar>
            <w:top w:w="0" w:type="dxa"/>
            <w:left w:w="108" w:type="dxa"/>
            <w:bottom w:w="0" w:type="dxa"/>
            <w:right w:w="108" w:type="dxa"/>
          </w:tblCellMar>
        </w:tblPrEx>
        <w:trPr>
          <w:trHeight w:val="3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2"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342"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48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20" w:hRule="atLeast"/>
        </w:trPr>
        <w:tc>
          <w:tcPr>
            <w:tcW w:w="162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7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222"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75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7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trHeight w:val="27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项目个数</w:t>
            </w:r>
          </w:p>
        </w:tc>
        <w:tc>
          <w:tcPr>
            <w:tcW w:w="5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个</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项目推进情况</w:t>
            </w:r>
          </w:p>
        </w:tc>
        <w:tc>
          <w:tcPr>
            <w:tcW w:w="5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高质量推进</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1963"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80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根据工作进度实施</w:t>
            </w:r>
          </w:p>
        </w:tc>
        <w:tc>
          <w:tcPr>
            <w:tcW w:w="51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月</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5"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80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提升地方就业率</w:t>
            </w:r>
          </w:p>
        </w:tc>
        <w:tc>
          <w:tcPr>
            <w:tcW w:w="5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3"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80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拉动地方经济发展</w:t>
            </w:r>
          </w:p>
        </w:tc>
        <w:tc>
          <w:tcPr>
            <w:tcW w:w="5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较好拉动</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3"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7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80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相关群众满意度</w:t>
            </w:r>
          </w:p>
        </w:tc>
        <w:tc>
          <w:tcPr>
            <w:tcW w:w="513"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1070"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3"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70" w:hRule="atLeast"/>
        </w:trPr>
        <w:tc>
          <w:tcPr>
            <w:tcW w:w="103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53"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3626"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0" w:hRule="atLeast"/>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401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xml:space="preserve"> 项目支出绩效目标设置了数量、质量、经济效益、社会效益、可持续影响、服务满意度等指标。通过绩效自评，年初设置的绩效目标已基本完成，自评分87分。</w:t>
            </w:r>
          </w:p>
        </w:tc>
      </w:tr>
      <w:tr>
        <w:tblPrEx>
          <w:tblCellMar>
            <w:top w:w="0" w:type="dxa"/>
            <w:left w:w="108" w:type="dxa"/>
            <w:bottom w:w="0" w:type="dxa"/>
            <w:right w:w="108" w:type="dxa"/>
          </w:tblCellMar>
        </w:tblPrEx>
        <w:trPr>
          <w:trHeight w:val="480" w:hRule="atLeast"/>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401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1、预算绩效目标编制还不够完善，科学性、合理性、严谨性和可控性有所缺乏。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2、在资金安排和使用上，及时性和规范性还有待加强。</w:t>
            </w:r>
          </w:p>
        </w:tc>
      </w:tr>
      <w:tr>
        <w:tblPrEx>
          <w:tblCellMar>
            <w:top w:w="0" w:type="dxa"/>
            <w:left w:w="108" w:type="dxa"/>
            <w:bottom w:w="0" w:type="dxa"/>
            <w:right w:w="108" w:type="dxa"/>
          </w:tblCellMar>
        </w:tblPrEx>
        <w:trPr>
          <w:trHeight w:val="765" w:hRule="atLeast"/>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401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1、加强新行政单位会计制度和预算绩效管理实施办法的学习。进一步优化预算编制，避免预算支出与实际执行出现较大偏差的现象。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2、加强制度建设，进一步完善专项资金管理制度体系，严格资金审批程序，加大资金监管力度，严格落实资金使用用途，提高资金使用效益。</w:t>
            </w:r>
          </w:p>
        </w:tc>
      </w:tr>
      <w:tr>
        <w:trPr>
          <w:trHeight w:val="270" w:hRule="atLeast"/>
        </w:trPr>
        <w:tc>
          <w:tcPr>
            <w:tcW w:w="73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项目负责人：王方强</w:t>
            </w:r>
          </w:p>
        </w:tc>
        <w:tc>
          <w:tcPr>
            <w:tcW w:w="8339" w:type="dxa"/>
            <w:gridSpan w:val="6"/>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trHeight w:val="582" w:hRule="atLeast"/>
        </w:trPr>
        <w:tc>
          <w:tcPr>
            <w:tcW w:w="15640" w:type="dxa"/>
            <w:gridSpan w:val="11"/>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bl>
    <w:tbl>
      <w:tblPr>
        <w:tblStyle w:val="17"/>
        <w:tblpPr w:leftFromText="180" w:rightFromText="180" w:vertAnchor="text" w:horzAnchor="page" w:tblpX="803" w:tblpY="86"/>
        <w:tblOverlap w:val="never"/>
        <w:tblW w:w="15560" w:type="dxa"/>
        <w:tblInd w:w="0" w:type="dxa"/>
        <w:tblLayout w:type="autofit"/>
        <w:tblCellMar>
          <w:top w:w="0" w:type="dxa"/>
          <w:left w:w="108" w:type="dxa"/>
          <w:bottom w:w="0" w:type="dxa"/>
          <w:right w:w="108" w:type="dxa"/>
        </w:tblCellMar>
      </w:tblPr>
      <w:tblGrid>
        <w:gridCol w:w="1435"/>
        <w:gridCol w:w="1507"/>
        <w:gridCol w:w="1430"/>
        <w:gridCol w:w="3556"/>
        <w:gridCol w:w="447"/>
        <w:gridCol w:w="1071"/>
        <w:gridCol w:w="397"/>
        <w:gridCol w:w="1024"/>
        <w:gridCol w:w="664"/>
        <w:gridCol w:w="811"/>
        <w:gridCol w:w="3218"/>
      </w:tblGrid>
      <w:tr>
        <w:tblPrEx>
          <w:tblCellMar>
            <w:top w:w="0" w:type="dxa"/>
            <w:left w:w="108" w:type="dxa"/>
            <w:bottom w:w="0" w:type="dxa"/>
            <w:right w:w="108" w:type="dxa"/>
          </w:tblCellMar>
        </w:tblPrEx>
        <w:trPr>
          <w:trHeight w:val="901" w:hRule="atLeast"/>
        </w:trPr>
        <w:tc>
          <w:tcPr>
            <w:tcW w:w="15560" w:type="dxa"/>
            <w:gridSpan w:val="11"/>
            <w:tcBorders>
              <w:top w:val="nil"/>
              <w:left w:val="nil"/>
              <w:bottom w:val="nil"/>
              <w:right w:val="nil"/>
            </w:tcBorders>
            <w:shd w:val="clear" w:color="auto" w:fill="auto"/>
            <w:vAlign w:val="center"/>
          </w:tcPr>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p>
          <w:p>
            <w:pPr>
              <w:widowControl/>
              <w:suppressAutoHyphens w:val="0"/>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2023年部门预算项目支出绩效自评表</w:t>
            </w:r>
          </w:p>
        </w:tc>
      </w:tr>
      <w:tr>
        <w:tblPrEx>
          <w:tblCellMar>
            <w:top w:w="0" w:type="dxa"/>
            <w:left w:w="108" w:type="dxa"/>
            <w:bottom w:w="0" w:type="dxa"/>
            <w:right w:w="108" w:type="dxa"/>
          </w:tblCellMar>
        </w:tblPrEx>
        <w:trPr>
          <w:trHeight w:val="310" w:hRule="atLeast"/>
        </w:trPr>
        <w:tc>
          <w:tcPr>
            <w:tcW w:w="2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2618"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防震减灾工作及森林防火经费</w:t>
            </w:r>
          </w:p>
        </w:tc>
      </w:tr>
      <w:tr>
        <w:tblPrEx>
          <w:tblCellMar>
            <w:top w:w="0" w:type="dxa"/>
            <w:left w:w="108" w:type="dxa"/>
            <w:bottom w:w="0" w:type="dxa"/>
            <w:right w:w="108" w:type="dxa"/>
          </w:tblCellMar>
        </w:tblPrEx>
        <w:trPr>
          <w:trHeight w:val="611" w:hRule="atLeast"/>
        </w:trPr>
        <w:tc>
          <w:tcPr>
            <w:tcW w:w="2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主管部门</w:t>
            </w:r>
          </w:p>
        </w:tc>
        <w:tc>
          <w:tcPr>
            <w:tcW w:w="6901"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区应急局</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实施单位</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（盖章）</w:t>
            </w:r>
          </w:p>
        </w:tc>
        <w:tc>
          <w:tcPr>
            <w:tcW w:w="4693"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区应急局</w:t>
            </w:r>
          </w:p>
        </w:tc>
      </w:tr>
      <w:tr>
        <w:tblPrEx>
          <w:tblCellMar>
            <w:top w:w="0" w:type="dxa"/>
            <w:left w:w="108" w:type="dxa"/>
            <w:bottom w:w="0" w:type="dxa"/>
            <w:right w:w="108" w:type="dxa"/>
          </w:tblCellMar>
        </w:tblPrEx>
        <w:trPr>
          <w:trHeight w:val="386"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项目基本情况</w:t>
            </w:r>
          </w:p>
        </w:tc>
        <w:tc>
          <w:tcPr>
            <w:tcW w:w="1507"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1.项目年度目标完成情况</w:t>
            </w:r>
          </w:p>
        </w:tc>
        <w:tc>
          <w:tcPr>
            <w:tcW w:w="6901"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项目年度目标</w:t>
            </w:r>
          </w:p>
        </w:tc>
        <w:tc>
          <w:tcPr>
            <w:tcW w:w="5717"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年度目标完成情况</w:t>
            </w:r>
          </w:p>
        </w:tc>
      </w:tr>
      <w:tr>
        <w:tblPrEx>
          <w:tblCellMar>
            <w:top w:w="0" w:type="dxa"/>
            <w:left w:w="108" w:type="dxa"/>
            <w:bottom w:w="0" w:type="dxa"/>
            <w:right w:w="108" w:type="dxa"/>
          </w:tblCellMar>
        </w:tblPrEx>
        <w:trPr>
          <w:trHeight w:val="1812"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6901" w:type="dxa"/>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组织全区森林火灾应急演练，做好“3·30”宣传活动；建立健全末端发力终端见效机制；防火期开展森林防火专项检查和扑火业务培训。</w:t>
            </w:r>
          </w:p>
        </w:tc>
        <w:tc>
          <w:tcPr>
            <w:tcW w:w="5717" w:type="dxa"/>
            <w:gridSpan w:val="4"/>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在东坝街道柜北社区黑石坡举办“守护青山 2023”全区森林火灾扑救应急演练；建立区、乡镇（街道）、村（社区）三级责任清单146份，包保责任人签订责任与任务承诺书809份，积极组织开展森林防灭火进林区、进村社、进企业、进工地、进学校“五进”活动，张贴、发放《广元市利州区人民政府2024年森林防火命令》4万余份；完成省市2023年度对全区森林防灭火党政同责5个大项，79个小项的资料汇编报送工作。</w:t>
            </w:r>
          </w:p>
        </w:tc>
      </w:tr>
      <w:tr>
        <w:tblPrEx>
          <w:tblCellMar>
            <w:top w:w="0" w:type="dxa"/>
            <w:left w:w="108" w:type="dxa"/>
            <w:bottom w:w="0" w:type="dxa"/>
            <w:right w:w="108" w:type="dxa"/>
          </w:tblCellMar>
        </w:tblPrEx>
        <w:trPr>
          <w:trHeight w:val="9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b/>
                <w:bCs/>
                <w:color w:val="000000"/>
                <w:kern w:val="0"/>
                <w:sz w:val="18"/>
                <w:szCs w:val="18"/>
              </w:rPr>
            </w:pPr>
            <w:r>
              <w:rPr>
                <w:rFonts w:hint="eastAsia" w:ascii="宋体" w:hAnsi="宋体" w:cs="宋体"/>
                <w:b/>
                <w:bCs/>
                <w:color w:val="000000"/>
                <w:kern w:val="0"/>
                <w:sz w:val="18"/>
                <w:szCs w:val="18"/>
              </w:rPr>
              <w:t>2.项目实施内容及过程概述</w:t>
            </w:r>
          </w:p>
        </w:tc>
        <w:tc>
          <w:tcPr>
            <w:tcW w:w="12618" w:type="dxa"/>
            <w:gridSpan w:val="9"/>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承担指挥部日常工作。负责沟通、联络、协调；承办相关会议、文件起草、议定事项跟踪督办；研究提出指挥部年度工作要点和任务分工方案，指导、督促各级森防指组织开展火灾预防，开展挂牌督办、通报和约谈，督促工作落实；传达贯彻落实国家、省、市、区领导指示批示精神以及国家、省、市、区指挥部的决策部署；分析和研判灾情发展动态，落实应急处置措施；调度火灾扑救情况。</w:t>
            </w:r>
          </w:p>
        </w:tc>
      </w:tr>
      <w:tr>
        <w:tblPrEx>
          <w:tblCellMar>
            <w:top w:w="0" w:type="dxa"/>
            <w:left w:w="108" w:type="dxa"/>
            <w:bottom w:w="0" w:type="dxa"/>
            <w:right w:w="108" w:type="dxa"/>
          </w:tblCellMar>
        </w:tblPrEx>
        <w:trPr>
          <w:trHeight w:val="611"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预算执行情况</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（10分）</w:t>
            </w: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年度预算数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年初预算</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调整后预算数</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预算执行数</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预算执行率</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原因</w:t>
            </w: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总额</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218"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其中：财政资金</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18"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18"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单位资金</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18"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其他资金</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18"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11"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绩效指标（90分）</w:t>
            </w:r>
          </w:p>
        </w:tc>
        <w:tc>
          <w:tcPr>
            <w:tcW w:w="150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430"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355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44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指标性质</w:t>
            </w:r>
          </w:p>
        </w:tc>
        <w:tc>
          <w:tcPr>
            <w:tcW w:w="107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度量单位</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完成值</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未完成原因分析</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全区防火演练及处置</w:t>
            </w:r>
          </w:p>
        </w:tc>
        <w:tc>
          <w:tcPr>
            <w:tcW w:w="44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高质量完成</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森林防灭火宣传</w:t>
            </w:r>
          </w:p>
        </w:tc>
        <w:tc>
          <w:tcPr>
            <w:tcW w:w="44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森林防灭火检查</w:t>
            </w:r>
          </w:p>
        </w:tc>
        <w:tc>
          <w:tcPr>
            <w:tcW w:w="44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专项督查</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生态效益</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植被覆盖率</w:t>
            </w:r>
          </w:p>
        </w:tc>
        <w:tc>
          <w:tcPr>
            <w:tcW w:w="44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减少自然灾害带来的损失</w:t>
            </w:r>
          </w:p>
        </w:tc>
        <w:tc>
          <w:tcPr>
            <w:tcW w:w="44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降低财产损失</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我区人民防震减灾、防火知识水平不断提升</w:t>
            </w:r>
          </w:p>
        </w:tc>
        <w:tc>
          <w:tcPr>
            <w:tcW w:w="44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防火意识提升</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扑火技能、防灾能力提升</w:t>
            </w:r>
          </w:p>
        </w:tc>
        <w:tc>
          <w:tcPr>
            <w:tcW w:w="44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071"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业务水平提升</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1"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ascii="宋体" w:hAnsi="宋体" w:cs="宋体"/>
                <w:b/>
                <w:bCs/>
                <w:color w:val="000000"/>
                <w:kern w:val="0"/>
                <w:sz w:val="18"/>
                <w:szCs w:val="18"/>
              </w:rPr>
            </w:pPr>
          </w:p>
        </w:tc>
        <w:tc>
          <w:tcPr>
            <w:tcW w:w="1507" w:type="dxa"/>
            <w:tcBorders>
              <w:top w:val="nil"/>
              <w:left w:val="nil"/>
              <w:bottom w:val="single" w:color="auto" w:sz="4" w:space="0"/>
              <w:right w:val="single" w:color="auto" w:sz="4" w:space="0"/>
            </w:tcBorders>
            <w:shd w:val="clear" w:color="auto" w:fill="auto"/>
            <w:noWrap/>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430"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3556" w:type="dxa"/>
            <w:tcBorders>
              <w:top w:val="nil"/>
              <w:left w:val="nil"/>
              <w:bottom w:val="single" w:color="auto" w:sz="4" w:space="0"/>
              <w:right w:val="single" w:color="auto" w:sz="4" w:space="0"/>
            </w:tcBorders>
            <w:shd w:val="clear" w:color="auto" w:fill="auto"/>
            <w:noWrap/>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相关群众满意度</w:t>
            </w:r>
          </w:p>
        </w:tc>
        <w:tc>
          <w:tcPr>
            <w:tcW w:w="44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kern w:val="0"/>
                <w:sz w:val="18"/>
                <w:szCs w:val="18"/>
              </w:rPr>
            </w:pPr>
            <w:r>
              <w:rPr>
                <w:rFonts w:hint="eastAsia" w:ascii="宋体" w:hAnsi="宋体" w:cs="宋体"/>
                <w:kern w:val="0"/>
                <w:sz w:val="18"/>
                <w:szCs w:val="18"/>
              </w:rPr>
              <w:t>≥</w:t>
            </w:r>
          </w:p>
        </w:tc>
        <w:tc>
          <w:tcPr>
            <w:tcW w:w="107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95</w:t>
            </w:r>
          </w:p>
        </w:tc>
        <w:tc>
          <w:tcPr>
            <w:tcW w:w="397"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2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0" w:hRule="atLeast"/>
        </w:trPr>
        <w:tc>
          <w:tcPr>
            <w:tcW w:w="1086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664" w:type="dxa"/>
            <w:tcBorders>
              <w:top w:val="nil"/>
              <w:left w:val="nil"/>
              <w:bottom w:val="single" w:color="auto" w:sz="4" w:space="0"/>
              <w:right w:val="single" w:color="auto" w:sz="4" w:space="0"/>
            </w:tcBorders>
            <w:shd w:val="clear" w:color="auto" w:fill="auto"/>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90</w:t>
            </w:r>
          </w:p>
        </w:tc>
        <w:tc>
          <w:tcPr>
            <w:tcW w:w="811" w:type="dxa"/>
            <w:tcBorders>
              <w:top w:val="nil"/>
              <w:left w:val="nil"/>
              <w:bottom w:val="single" w:color="auto" w:sz="4" w:space="0"/>
              <w:right w:val="single" w:color="auto" w:sz="4" w:space="0"/>
            </w:tcBorders>
            <w:shd w:val="clear" w:color="auto" w:fill="auto"/>
            <w:vAlign w:val="center"/>
          </w:tcPr>
          <w:p>
            <w:pPr>
              <w:widowControl/>
              <w:suppressAutoHyphens w:val="0"/>
              <w:jc w:val="right"/>
              <w:rPr>
                <w:rFonts w:ascii="宋体" w:hAnsi="宋体" w:cs="宋体"/>
                <w:color w:val="000000"/>
                <w:kern w:val="0"/>
                <w:sz w:val="18"/>
                <w:szCs w:val="18"/>
              </w:rPr>
            </w:pPr>
            <w:r>
              <w:rPr>
                <w:rFonts w:hint="eastAsia" w:ascii="宋体" w:hAnsi="宋体" w:cs="宋体"/>
                <w:color w:val="000000"/>
                <w:kern w:val="0"/>
                <w:sz w:val="18"/>
                <w:szCs w:val="18"/>
              </w:rPr>
              <w:t>87</w:t>
            </w:r>
          </w:p>
        </w:tc>
        <w:tc>
          <w:tcPr>
            <w:tcW w:w="3218"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16" w:hRule="atLeast"/>
        </w:trPr>
        <w:tc>
          <w:tcPr>
            <w:tcW w:w="143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自评结论</w:t>
            </w:r>
          </w:p>
        </w:tc>
        <w:tc>
          <w:tcPr>
            <w:tcW w:w="1412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 xml:space="preserve"> 项目支出绩效目标设置了数量、质量、经济效益、社会效益、可持续影响、服务满意度等指标。通过绩效自评，年初设置的绩效目标已基本完成，自评分91分.</w:t>
            </w:r>
          </w:p>
        </w:tc>
      </w:tr>
      <w:tr>
        <w:tblPrEx>
          <w:tblCellMar>
            <w:top w:w="0" w:type="dxa"/>
            <w:left w:w="108" w:type="dxa"/>
            <w:bottom w:w="0" w:type="dxa"/>
            <w:right w:w="108" w:type="dxa"/>
          </w:tblCellMar>
        </w:tblPrEx>
        <w:trPr>
          <w:trHeight w:val="1442" w:hRule="atLeast"/>
        </w:trPr>
        <w:tc>
          <w:tcPr>
            <w:tcW w:w="143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自评存在问题</w:t>
            </w:r>
          </w:p>
        </w:tc>
        <w:tc>
          <w:tcPr>
            <w:tcW w:w="1412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spacing w:after="240"/>
              <w:jc w:val="left"/>
              <w:rPr>
                <w:rFonts w:ascii="宋体" w:hAnsi="宋体" w:cs="宋体"/>
                <w:color w:val="000000"/>
                <w:kern w:val="0"/>
                <w:sz w:val="16"/>
                <w:szCs w:val="16"/>
              </w:rPr>
            </w:pPr>
            <w:r>
              <w:rPr>
                <w:rFonts w:hint="eastAsia" w:ascii="宋体" w:hAnsi="宋体" w:cs="宋体"/>
                <w:color w:val="000000"/>
                <w:kern w:val="0"/>
                <w:sz w:val="16"/>
                <w:szCs w:val="16"/>
              </w:rPr>
              <w:t>1.森林防火期长，极端火险天气多，森林防火手段落后，防火基础设施不够健全，部分地区基础设施建设进度较为滞后，道路偏窄，不能满足大型机具运输，在对大型森林大火和应对紧急突发事件时，指挥高度方面能力不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2.加之外来游客增多，许多外来游客和部分返乡人员不了解森林防火政策要求、法律法规，输入风险逐步加大，与新时期森林防灭火发展目标还存在一定差距。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3.森林防火期持续时间长、任务重，宣传、培训、检查、演练考核指标繁多，建议防火经费调整8万元。</w:t>
            </w:r>
          </w:p>
        </w:tc>
      </w:tr>
      <w:tr>
        <w:tblPrEx>
          <w:tblCellMar>
            <w:top w:w="0" w:type="dxa"/>
            <w:left w:w="108" w:type="dxa"/>
            <w:bottom w:w="0" w:type="dxa"/>
            <w:right w:w="108" w:type="dxa"/>
          </w:tblCellMar>
        </w:tblPrEx>
        <w:trPr>
          <w:trHeight w:val="1211" w:hRule="atLeast"/>
        </w:trPr>
        <w:tc>
          <w:tcPr>
            <w:tcW w:w="1435" w:type="dxa"/>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自评改进措施</w:t>
            </w:r>
          </w:p>
        </w:tc>
        <w:tc>
          <w:tcPr>
            <w:tcW w:w="14125" w:type="dxa"/>
            <w:gridSpan w:val="10"/>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6"/>
                <w:szCs w:val="16"/>
              </w:rPr>
            </w:pPr>
            <w:r>
              <w:rPr>
                <w:rFonts w:hint="eastAsia" w:ascii="宋体" w:hAnsi="宋体" w:cs="宋体"/>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2.按照预算规定的项目和用途严格财务审核，经费支出严格按预算规定项目的财务支出内容进行财务核算，在预算金额内严格控制费用的支出；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3.预算财务分析常态化，定期做好预算支出财务分析，做好单位支出预算评价工作。</w:t>
            </w:r>
          </w:p>
        </w:tc>
      </w:tr>
      <w:tr>
        <w:tblPrEx>
          <w:tblCellMar>
            <w:top w:w="0" w:type="dxa"/>
            <w:left w:w="108" w:type="dxa"/>
            <w:bottom w:w="0" w:type="dxa"/>
            <w:right w:w="108" w:type="dxa"/>
          </w:tblCellMar>
        </w:tblPrEx>
        <w:trPr>
          <w:trHeight w:val="310" w:hRule="atLeast"/>
        </w:trPr>
        <w:tc>
          <w:tcPr>
            <w:tcW w:w="8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项目负责人：任添</w:t>
            </w:r>
          </w:p>
        </w:tc>
        <w:tc>
          <w:tcPr>
            <w:tcW w:w="7185" w:type="dxa"/>
            <w:gridSpan w:val="6"/>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财务负责人：赵晏</w:t>
            </w:r>
          </w:p>
        </w:tc>
      </w:tr>
      <w:tr>
        <w:tblPrEx>
          <w:tblCellMar>
            <w:top w:w="0" w:type="dxa"/>
            <w:left w:w="108" w:type="dxa"/>
            <w:bottom w:w="0" w:type="dxa"/>
            <w:right w:w="108" w:type="dxa"/>
          </w:tblCellMar>
        </w:tblPrEx>
        <w:trPr>
          <w:trHeight w:val="611" w:hRule="atLeast"/>
        </w:trPr>
        <w:tc>
          <w:tcPr>
            <w:tcW w:w="15560" w:type="dxa"/>
            <w:gridSpan w:val="11"/>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r>
              <w:rPr>
                <w:rFonts w:hint="eastAsia" w:ascii="宋体" w:hAnsi="宋体" w:cs="宋体"/>
                <w:kern w:val="0"/>
                <w:sz w:val="18"/>
                <w:szCs w:val="18"/>
              </w:rPr>
              <w:br w:type="textWrapping"/>
            </w:r>
            <w:r>
              <w:rPr>
                <w:rFonts w:hint="eastAsia" w:ascii="宋体" w:hAnsi="宋体" w:cs="宋体"/>
                <w:kern w:val="0"/>
                <w:sz w:val="18"/>
                <w:szCs w:val="18"/>
              </w:rPr>
              <w:t>2、取数口径：部门项目绩效目标，包括年初预算、追加预算、结转预算和调整预算的绩效目标（以项目的最终绩效目标为准）。</w:t>
            </w:r>
          </w:p>
        </w:tc>
      </w:tr>
    </w:tbl>
    <w:p>
      <w:pPr>
        <w:pStyle w:val="3"/>
        <w:spacing w:line="560" w:lineRule="exact"/>
        <w:ind w:left="0" w:leftChars="0" w:firstLine="0" w:firstLineChars="0"/>
        <w:rPr>
          <w:rFonts w:hAnsi="仿宋_GB2312" w:eastAsia="仿宋_GB2312" w:cs="仿宋_GB2312"/>
          <w:kern w:val="0"/>
          <w:sz w:val="32"/>
        </w:rPr>
      </w:pPr>
    </w:p>
    <w:p>
      <w:pPr>
        <w:pStyle w:val="3"/>
        <w:spacing w:line="560" w:lineRule="exact"/>
        <w:ind w:left="0" w:leftChars="0" w:firstLine="0" w:firstLineChars="0"/>
        <w:rPr>
          <w:rFonts w:hAnsi="仿宋_GB2312" w:eastAsia="仿宋_GB2312" w:cs="仿宋_GB2312"/>
          <w:kern w:val="0"/>
          <w:sz w:val="32"/>
        </w:rPr>
      </w:pPr>
    </w:p>
    <w:p>
      <w:pPr>
        <w:pStyle w:val="8"/>
        <w:tabs>
          <w:tab w:val="left" w:pos="2160"/>
        </w:tabs>
        <w:spacing w:line="600" w:lineRule="exact"/>
        <w:ind w:firstLine="640" w:firstLineChars="200"/>
        <w:rPr>
          <w:rFonts w:ascii="仿宋" w:hAnsi="仿宋" w:eastAsia="仿宋"/>
          <w:b/>
          <w:color w:val="FF0000"/>
          <w:sz w:val="32"/>
          <w:szCs w:val="32"/>
        </w:rPr>
      </w:pPr>
      <w:r>
        <w:rPr>
          <w:rFonts w:hint="eastAsia" w:ascii="仿宋_GB2312" w:hAnsi="仿宋_GB2312" w:eastAsia="仿宋_GB2312" w:cs="仿宋_GB2312"/>
          <w:color w:val="FF0000"/>
          <w:sz w:val="32"/>
          <w:szCs w:val="32"/>
        </w:rPr>
        <w:t>（以上绩效自评报告，除涉密敏感内容外，原则上都应予以公开。）</w:t>
      </w:r>
    </w:p>
    <w:p>
      <w:pPr>
        <w:spacing w:line="580" w:lineRule="exact"/>
        <w:rPr>
          <w:rStyle w:val="21"/>
          <w:rFonts w:ascii="黑体" w:hAnsi="黑体" w:eastAsia="黑体"/>
          <w:b w:val="0"/>
        </w:rPr>
        <w:sectPr>
          <w:pgSz w:w="16838" w:h="11906" w:orient="landscape"/>
          <w:pgMar w:top="1800" w:right="1440" w:bottom="1800" w:left="1440" w:header="720" w:footer="720" w:gutter="0"/>
          <w:cols w:space="0" w:num="1"/>
          <w:docGrid w:type="lines" w:linePitch="312" w:charSpace="0"/>
        </w:sectPr>
      </w:pPr>
      <w:bookmarkStart w:id="65" w:name="_GoBack"/>
      <w:bookmarkEnd w:id="65"/>
    </w:p>
    <w:p>
      <w:pPr>
        <w:pStyle w:val="2"/>
      </w:pPr>
    </w:p>
    <w:p>
      <w:pPr>
        <w:widowControl/>
        <w:jc w:val="center"/>
        <w:rPr>
          <w:rFonts w:ascii="仿宋" w:hAnsi="仿宋" w:eastAsia="仿宋"/>
        </w:rPr>
      </w:pPr>
      <w:bookmarkStart w:id="51" w:name="_Toc15396618"/>
      <w:r>
        <w:rPr>
          <w:rFonts w:hint="eastAsia" w:ascii="黑体" w:hAnsi="黑体" w:eastAsia="黑体"/>
          <w:sz w:val="44"/>
          <w:szCs w:val="44"/>
        </w:rPr>
        <w:t>第</w:t>
      </w:r>
      <w:r>
        <w:rPr>
          <w:rStyle w:val="21"/>
          <w:rFonts w:hint="eastAsia" w:ascii="黑体" w:hAnsi="黑体" w:eastAsia="黑体"/>
          <w:b w:val="0"/>
        </w:rPr>
        <w:t>五部分 附表</w:t>
      </w:r>
      <w:bookmarkEnd w:id="49"/>
      <w:bookmarkEnd w:id="51"/>
      <w:bookmarkStart w:id="52" w:name="_Toc15396619"/>
    </w:p>
    <w:p>
      <w:pPr>
        <w:pStyle w:val="6"/>
        <w:rPr>
          <w:rFonts w:ascii="仿宋" w:hAnsi="仿宋" w:eastAsia="仿宋"/>
        </w:rPr>
      </w:pPr>
      <w:r>
        <w:rPr>
          <w:rFonts w:hint="eastAsia" w:ascii="仿宋" w:hAnsi="仿宋" w:eastAsia="仿宋"/>
          <w:b w:val="0"/>
        </w:rPr>
        <w:t>一、收</w:t>
      </w:r>
      <w:r>
        <w:rPr>
          <w:rStyle w:val="22"/>
          <w:rFonts w:hint="eastAsia" w:ascii="仿宋" w:hAnsi="仿宋" w:eastAsia="仿宋"/>
          <w:b w:val="0"/>
          <w:bCs w:val="0"/>
        </w:rPr>
        <w:t>入支出决算总表</w:t>
      </w:r>
      <w:bookmarkEnd w:id="52"/>
    </w:p>
    <w:p>
      <w:pPr>
        <w:pStyle w:val="6"/>
        <w:rPr>
          <w:rFonts w:ascii="仿宋" w:hAnsi="仿宋" w:eastAsia="仿宋"/>
        </w:rPr>
      </w:pPr>
      <w:bookmarkStart w:id="53" w:name="_Toc15396620"/>
      <w:r>
        <w:rPr>
          <w:rFonts w:hint="eastAsia" w:ascii="仿宋" w:hAnsi="仿宋" w:eastAsia="仿宋"/>
          <w:b w:val="0"/>
        </w:rPr>
        <w:t>二、收</w:t>
      </w:r>
      <w:r>
        <w:rPr>
          <w:rStyle w:val="22"/>
          <w:rFonts w:hint="eastAsia" w:ascii="仿宋" w:hAnsi="仿宋" w:eastAsia="仿宋"/>
          <w:b w:val="0"/>
          <w:bCs w:val="0"/>
        </w:rPr>
        <w:t>入决算表</w:t>
      </w:r>
      <w:bookmarkEnd w:id="53"/>
    </w:p>
    <w:p>
      <w:pPr>
        <w:pStyle w:val="6"/>
        <w:rPr>
          <w:rFonts w:ascii="仿宋" w:hAnsi="仿宋" w:eastAsia="仿宋"/>
        </w:rPr>
      </w:pPr>
      <w:bookmarkStart w:id="54" w:name="_Toc15396621"/>
      <w:r>
        <w:rPr>
          <w:rStyle w:val="22"/>
          <w:rFonts w:hint="eastAsia" w:ascii="仿宋" w:hAnsi="仿宋" w:eastAsia="仿宋"/>
          <w:b w:val="0"/>
          <w:bCs w:val="0"/>
        </w:rPr>
        <w:t>三、</w:t>
      </w:r>
      <w:r>
        <w:rPr>
          <w:rFonts w:hint="eastAsia" w:ascii="仿宋" w:hAnsi="仿宋" w:eastAsia="仿宋"/>
          <w:b w:val="0"/>
        </w:rPr>
        <w:t>支</w:t>
      </w:r>
      <w:r>
        <w:rPr>
          <w:rStyle w:val="22"/>
          <w:rFonts w:hint="eastAsia" w:ascii="仿宋" w:hAnsi="仿宋" w:eastAsia="仿宋"/>
          <w:b w:val="0"/>
          <w:bCs w:val="0"/>
        </w:rPr>
        <w:t>出决算表</w:t>
      </w:r>
      <w:bookmarkEnd w:id="54"/>
    </w:p>
    <w:p>
      <w:pPr>
        <w:pStyle w:val="6"/>
        <w:rPr>
          <w:rFonts w:ascii="仿宋" w:hAnsi="仿宋" w:eastAsia="仿宋"/>
          <w:b w:val="0"/>
        </w:rPr>
      </w:pPr>
      <w:bookmarkStart w:id="55" w:name="_Toc15396622"/>
      <w:r>
        <w:rPr>
          <w:rStyle w:val="22"/>
          <w:rFonts w:hint="eastAsia" w:ascii="仿宋" w:hAnsi="仿宋" w:eastAsia="仿宋"/>
          <w:b w:val="0"/>
          <w:bCs w:val="0"/>
        </w:rPr>
        <w:t>四、</w:t>
      </w:r>
      <w:r>
        <w:rPr>
          <w:rFonts w:hint="eastAsia" w:ascii="仿宋" w:hAnsi="仿宋" w:eastAsia="仿宋"/>
          <w:b w:val="0"/>
        </w:rPr>
        <w:t>财</w:t>
      </w:r>
      <w:r>
        <w:rPr>
          <w:rStyle w:val="22"/>
          <w:rFonts w:hint="eastAsia" w:ascii="仿宋" w:hAnsi="仿宋" w:eastAsia="仿宋"/>
          <w:b w:val="0"/>
          <w:bCs w:val="0"/>
        </w:rPr>
        <w:t>政拨款收入支出决算总表</w:t>
      </w:r>
      <w:bookmarkEnd w:id="55"/>
    </w:p>
    <w:p>
      <w:pPr>
        <w:pStyle w:val="6"/>
        <w:rPr>
          <w:rStyle w:val="22"/>
          <w:rFonts w:ascii="仿宋" w:hAnsi="仿宋" w:eastAsia="仿宋"/>
          <w:b w:val="0"/>
          <w:bCs w:val="0"/>
        </w:rPr>
      </w:pPr>
      <w:bookmarkStart w:id="56" w:name="_Toc15396623"/>
      <w:r>
        <w:rPr>
          <w:rStyle w:val="22"/>
          <w:rFonts w:hint="eastAsia" w:ascii="仿宋" w:hAnsi="仿宋" w:eastAsia="仿宋"/>
          <w:b w:val="0"/>
          <w:bCs w:val="0"/>
        </w:rPr>
        <w:t>五、</w:t>
      </w:r>
      <w:r>
        <w:rPr>
          <w:rFonts w:hint="eastAsia" w:ascii="仿宋" w:hAnsi="仿宋" w:eastAsia="仿宋"/>
          <w:b w:val="0"/>
        </w:rPr>
        <w:t>财</w:t>
      </w:r>
      <w:r>
        <w:rPr>
          <w:rStyle w:val="22"/>
          <w:rFonts w:hint="eastAsia" w:ascii="仿宋" w:hAnsi="仿宋" w:eastAsia="仿宋"/>
          <w:b w:val="0"/>
          <w:bCs w:val="0"/>
        </w:rPr>
        <w:t>政拨款支出决算明细表</w:t>
      </w:r>
      <w:bookmarkEnd w:id="56"/>
      <w:bookmarkStart w:id="57" w:name="_Toc15396624"/>
    </w:p>
    <w:p>
      <w:pPr>
        <w:pStyle w:val="6"/>
        <w:rPr>
          <w:rFonts w:ascii="仿宋" w:hAnsi="仿宋" w:eastAsia="仿宋"/>
        </w:rPr>
      </w:pPr>
      <w:r>
        <w:rPr>
          <w:rStyle w:val="22"/>
          <w:rFonts w:hint="eastAsia" w:ascii="仿宋" w:hAnsi="仿宋" w:eastAsia="仿宋"/>
          <w:b w:val="0"/>
          <w:bCs w:val="0"/>
        </w:rPr>
        <w:t>六、</w:t>
      </w:r>
      <w:r>
        <w:rPr>
          <w:rFonts w:hint="eastAsia" w:ascii="仿宋" w:hAnsi="仿宋" w:eastAsia="仿宋"/>
          <w:b w:val="0"/>
        </w:rPr>
        <w:t>一</w:t>
      </w:r>
      <w:r>
        <w:rPr>
          <w:rStyle w:val="22"/>
          <w:rFonts w:hint="eastAsia" w:ascii="仿宋" w:hAnsi="仿宋" w:eastAsia="仿宋"/>
          <w:b w:val="0"/>
          <w:bCs w:val="0"/>
        </w:rPr>
        <w:t>般公共预算财政拨款支出决算表</w:t>
      </w:r>
      <w:bookmarkEnd w:id="57"/>
    </w:p>
    <w:p>
      <w:pPr>
        <w:pStyle w:val="6"/>
        <w:rPr>
          <w:rFonts w:ascii="仿宋" w:hAnsi="仿宋" w:eastAsia="仿宋"/>
        </w:rPr>
      </w:pPr>
      <w:bookmarkStart w:id="58" w:name="_Toc15396625"/>
      <w:r>
        <w:rPr>
          <w:rStyle w:val="22"/>
          <w:rFonts w:hint="eastAsia" w:ascii="仿宋" w:hAnsi="仿宋" w:eastAsia="仿宋"/>
          <w:b w:val="0"/>
          <w:bCs w:val="0"/>
        </w:rPr>
        <w:t>七、</w:t>
      </w:r>
      <w:r>
        <w:rPr>
          <w:rFonts w:hint="eastAsia" w:ascii="仿宋" w:hAnsi="仿宋" w:eastAsia="仿宋"/>
          <w:b w:val="0"/>
        </w:rPr>
        <w:t>一</w:t>
      </w:r>
      <w:r>
        <w:rPr>
          <w:rStyle w:val="22"/>
          <w:rFonts w:hint="eastAsia" w:ascii="仿宋" w:hAnsi="仿宋" w:eastAsia="仿宋"/>
          <w:b w:val="0"/>
          <w:bCs w:val="0"/>
        </w:rPr>
        <w:t>般公共预算财政拨款支出决算明细表</w:t>
      </w:r>
      <w:bookmarkEnd w:id="58"/>
    </w:p>
    <w:p>
      <w:pPr>
        <w:pStyle w:val="6"/>
        <w:rPr>
          <w:rFonts w:ascii="仿宋" w:hAnsi="仿宋" w:eastAsia="仿宋"/>
        </w:rPr>
      </w:pPr>
      <w:bookmarkStart w:id="59" w:name="_Toc15396626"/>
      <w:r>
        <w:rPr>
          <w:rStyle w:val="22"/>
          <w:rFonts w:hint="eastAsia" w:ascii="仿宋" w:hAnsi="仿宋" w:eastAsia="仿宋"/>
          <w:b w:val="0"/>
          <w:bCs w:val="0"/>
        </w:rPr>
        <w:t>八、</w:t>
      </w:r>
      <w:r>
        <w:rPr>
          <w:rFonts w:hint="eastAsia" w:ascii="仿宋" w:hAnsi="仿宋" w:eastAsia="仿宋"/>
          <w:b w:val="0"/>
        </w:rPr>
        <w:t>一</w:t>
      </w:r>
      <w:r>
        <w:rPr>
          <w:rStyle w:val="22"/>
          <w:rFonts w:hint="eastAsia" w:ascii="仿宋" w:hAnsi="仿宋" w:eastAsia="仿宋"/>
          <w:b w:val="0"/>
          <w:bCs w:val="0"/>
        </w:rPr>
        <w:t>般公共预算财政拨款基本支出决算表</w:t>
      </w:r>
      <w:bookmarkEnd w:id="59"/>
    </w:p>
    <w:p>
      <w:pPr>
        <w:pStyle w:val="6"/>
        <w:rPr>
          <w:rFonts w:ascii="仿宋" w:hAnsi="仿宋" w:eastAsia="仿宋"/>
        </w:rPr>
      </w:pPr>
      <w:bookmarkStart w:id="60" w:name="_Toc15396627"/>
      <w:r>
        <w:rPr>
          <w:rStyle w:val="22"/>
          <w:rFonts w:hint="eastAsia" w:ascii="仿宋" w:hAnsi="仿宋" w:eastAsia="仿宋"/>
          <w:b w:val="0"/>
          <w:bCs w:val="0"/>
        </w:rPr>
        <w:t>九、</w:t>
      </w:r>
      <w:r>
        <w:rPr>
          <w:rFonts w:hint="eastAsia" w:ascii="仿宋" w:hAnsi="仿宋" w:eastAsia="仿宋"/>
          <w:b w:val="0"/>
        </w:rPr>
        <w:t>一</w:t>
      </w:r>
      <w:r>
        <w:rPr>
          <w:rStyle w:val="22"/>
          <w:rFonts w:hint="eastAsia" w:ascii="仿宋" w:hAnsi="仿宋" w:eastAsia="仿宋"/>
          <w:b w:val="0"/>
          <w:bCs w:val="0"/>
        </w:rPr>
        <w:t>般公共预算财政拨款项目支出决算表</w:t>
      </w:r>
      <w:bookmarkEnd w:id="60"/>
    </w:p>
    <w:p>
      <w:pPr>
        <w:pStyle w:val="6"/>
        <w:rPr>
          <w:rFonts w:ascii="仿宋" w:hAnsi="仿宋" w:eastAsia="仿宋"/>
        </w:rPr>
      </w:pPr>
      <w:bookmarkStart w:id="61" w:name="_Toc15396628"/>
      <w:r>
        <w:rPr>
          <w:rStyle w:val="22"/>
          <w:rFonts w:hint="eastAsia" w:ascii="仿宋" w:hAnsi="仿宋" w:eastAsia="仿宋"/>
          <w:b w:val="0"/>
          <w:bCs w:val="0"/>
        </w:rPr>
        <w:t>十、</w:t>
      </w:r>
      <w:bookmarkEnd w:id="61"/>
      <w:r>
        <w:rPr>
          <w:rFonts w:hint="eastAsia" w:ascii="仿宋" w:hAnsi="仿宋" w:eastAsia="仿宋"/>
          <w:b w:val="0"/>
        </w:rPr>
        <w:t>政</w:t>
      </w:r>
      <w:r>
        <w:rPr>
          <w:rStyle w:val="22"/>
          <w:rFonts w:hint="eastAsia" w:ascii="仿宋" w:hAnsi="仿宋" w:eastAsia="仿宋"/>
          <w:b w:val="0"/>
          <w:bCs w:val="0"/>
        </w:rPr>
        <w:t>府性基金预算财政拨款收入支出决算表</w:t>
      </w:r>
    </w:p>
    <w:p>
      <w:pPr>
        <w:pStyle w:val="6"/>
        <w:rPr>
          <w:rFonts w:ascii="仿宋" w:hAnsi="仿宋" w:eastAsia="仿宋"/>
        </w:rPr>
      </w:pPr>
      <w:bookmarkStart w:id="62" w:name="_Toc15396629"/>
      <w:r>
        <w:rPr>
          <w:rStyle w:val="22"/>
          <w:rFonts w:hint="eastAsia" w:ascii="仿宋" w:hAnsi="仿宋" w:eastAsia="仿宋"/>
          <w:b w:val="0"/>
          <w:bCs w:val="0"/>
        </w:rPr>
        <w:t>十一、</w:t>
      </w:r>
      <w:bookmarkEnd w:id="62"/>
      <w:r>
        <w:rPr>
          <w:rFonts w:hint="eastAsia" w:ascii="仿宋" w:hAnsi="仿宋" w:eastAsia="仿宋"/>
          <w:b w:val="0"/>
        </w:rPr>
        <w:t>国</w:t>
      </w:r>
      <w:r>
        <w:rPr>
          <w:rStyle w:val="22"/>
          <w:rFonts w:hint="eastAsia" w:ascii="仿宋" w:hAnsi="仿宋" w:eastAsia="仿宋"/>
          <w:b w:val="0"/>
          <w:bCs w:val="0"/>
        </w:rPr>
        <w:t>有资本经营预算财政拨款收入支出决算表</w:t>
      </w:r>
    </w:p>
    <w:p>
      <w:pPr>
        <w:pStyle w:val="6"/>
        <w:rPr>
          <w:rFonts w:ascii="仿宋" w:hAnsi="仿宋" w:eastAsia="仿宋"/>
        </w:rPr>
      </w:pPr>
      <w:bookmarkStart w:id="63" w:name="_Toc15396630"/>
      <w:r>
        <w:rPr>
          <w:rStyle w:val="22"/>
          <w:rFonts w:hint="eastAsia" w:ascii="仿宋" w:hAnsi="仿宋" w:eastAsia="仿宋"/>
          <w:b w:val="0"/>
          <w:bCs w:val="0"/>
        </w:rPr>
        <w:t>十二、</w:t>
      </w:r>
      <w:bookmarkEnd w:id="63"/>
      <w:r>
        <w:rPr>
          <w:rStyle w:val="22"/>
          <w:rFonts w:hint="eastAsia" w:ascii="仿宋" w:hAnsi="仿宋" w:eastAsia="仿宋"/>
          <w:b w:val="0"/>
          <w:bCs w:val="0"/>
        </w:rPr>
        <w:t>国有资本经营预算财政拨款支出决算表</w:t>
      </w:r>
    </w:p>
    <w:p>
      <w:pPr>
        <w:pStyle w:val="6"/>
        <w:rPr>
          <w:rStyle w:val="22"/>
          <w:rFonts w:ascii="仿宋" w:hAnsi="仿宋" w:eastAsia="仿宋"/>
          <w:b w:val="0"/>
          <w:bCs w:val="0"/>
        </w:rPr>
      </w:pPr>
      <w:bookmarkStart w:id="64" w:name="_Toc15396631"/>
      <w:r>
        <w:rPr>
          <w:rStyle w:val="22"/>
          <w:rFonts w:hint="eastAsia" w:ascii="仿宋" w:hAnsi="仿宋" w:eastAsia="仿宋"/>
          <w:b w:val="0"/>
          <w:bCs w:val="0"/>
        </w:rPr>
        <w:t>十三、</w:t>
      </w:r>
      <w:bookmarkEnd w:id="64"/>
      <w:r>
        <w:rPr>
          <w:rStyle w:val="22"/>
          <w:rFonts w:hint="eastAsia" w:ascii="仿宋" w:hAnsi="仿宋" w:eastAsia="仿宋"/>
          <w:b w:val="0"/>
          <w:bCs w:val="0"/>
        </w:rPr>
        <w:t>财政拨款“三公”经费支出决算表</w:t>
      </w:r>
    </w:p>
    <w:p/>
    <w:sectPr>
      <w:pgSz w:w="11906" w:h="16838"/>
      <w:pgMar w:top="1440" w:right="1800" w:bottom="1440" w:left="1800"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ans">
    <w:panose1 w:val="020B0604020202020204"/>
    <w:charset w:val="00"/>
    <w:family w:val="swiss"/>
    <w:pitch w:val="default"/>
    <w:sig w:usb0="A00002AF" w:usb1="500078FB" w:usb2="00000000" w:usb3="00000000" w:csb0="6000009F" w:csb1="DFD70000"/>
  </w:font>
  <w:font w:name="Noto Sans CJK SC Regular">
    <w:altName w:val="华文仿宋"/>
    <w:panose1 w:val="00000000000000000000"/>
    <w:charset w:val="86"/>
    <w:family w:val="auto"/>
    <w:pitch w:val="default"/>
    <w:sig w:usb0="00000000" w:usb1="00000000" w:usb2="00000016" w:usb3="00000000" w:csb0="602E0107" w:csb1="00000000"/>
  </w:font>
  <w:font w:name="??">
    <w:altName w:val="C059"/>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简体">
    <w:altName w:val="方正仿宋_GBK"/>
    <w:panose1 w:val="00000000000000000000"/>
    <w:charset w:val="00"/>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E3D99"/>
    <w:rsid w:val="00014BC5"/>
    <w:rsid w:val="00022C36"/>
    <w:rsid w:val="00027906"/>
    <w:rsid w:val="000353CC"/>
    <w:rsid w:val="00035599"/>
    <w:rsid w:val="000504CC"/>
    <w:rsid w:val="000538A2"/>
    <w:rsid w:val="000652BA"/>
    <w:rsid w:val="00067D05"/>
    <w:rsid w:val="00090F94"/>
    <w:rsid w:val="000B2B4B"/>
    <w:rsid w:val="000D3265"/>
    <w:rsid w:val="0010746E"/>
    <w:rsid w:val="00143019"/>
    <w:rsid w:val="0014754F"/>
    <w:rsid w:val="00166A65"/>
    <w:rsid w:val="00174931"/>
    <w:rsid w:val="001A10CD"/>
    <w:rsid w:val="001B0015"/>
    <w:rsid w:val="001D1799"/>
    <w:rsid w:val="001D4FB5"/>
    <w:rsid w:val="001E4681"/>
    <w:rsid w:val="00205CF4"/>
    <w:rsid w:val="00226430"/>
    <w:rsid w:val="0024008A"/>
    <w:rsid w:val="00252C2A"/>
    <w:rsid w:val="0026641D"/>
    <w:rsid w:val="002A51AF"/>
    <w:rsid w:val="002B29D6"/>
    <w:rsid w:val="002D0441"/>
    <w:rsid w:val="002D6A2D"/>
    <w:rsid w:val="00327A11"/>
    <w:rsid w:val="00332656"/>
    <w:rsid w:val="00352AEC"/>
    <w:rsid w:val="00382EFC"/>
    <w:rsid w:val="003970BD"/>
    <w:rsid w:val="003A1B5E"/>
    <w:rsid w:val="003A240C"/>
    <w:rsid w:val="003E3362"/>
    <w:rsid w:val="003F0CBF"/>
    <w:rsid w:val="0042286F"/>
    <w:rsid w:val="004437E6"/>
    <w:rsid w:val="00457AC7"/>
    <w:rsid w:val="004A49E8"/>
    <w:rsid w:val="004A7637"/>
    <w:rsid w:val="004C6C95"/>
    <w:rsid w:val="004D090E"/>
    <w:rsid w:val="004F1786"/>
    <w:rsid w:val="00501C8D"/>
    <w:rsid w:val="00507B7E"/>
    <w:rsid w:val="0052389B"/>
    <w:rsid w:val="00537B4E"/>
    <w:rsid w:val="00566151"/>
    <w:rsid w:val="00595FEB"/>
    <w:rsid w:val="005B3A6B"/>
    <w:rsid w:val="005C0BB2"/>
    <w:rsid w:val="005E3D99"/>
    <w:rsid w:val="005F0997"/>
    <w:rsid w:val="005F70B6"/>
    <w:rsid w:val="006040E7"/>
    <w:rsid w:val="0060489F"/>
    <w:rsid w:val="006717DC"/>
    <w:rsid w:val="006A0BC8"/>
    <w:rsid w:val="006A0BD2"/>
    <w:rsid w:val="006D6088"/>
    <w:rsid w:val="006E6089"/>
    <w:rsid w:val="006F4353"/>
    <w:rsid w:val="007061A6"/>
    <w:rsid w:val="00720345"/>
    <w:rsid w:val="007227FE"/>
    <w:rsid w:val="00756BE5"/>
    <w:rsid w:val="00777431"/>
    <w:rsid w:val="007809ED"/>
    <w:rsid w:val="00783865"/>
    <w:rsid w:val="007C3F87"/>
    <w:rsid w:val="007D6515"/>
    <w:rsid w:val="00811F8C"/>
    <w:rsid w:val="00817378"/>
    <w:rsid w:val="00830F36"/>
    <w:rsid w:val="00845A95"/>
    <w:rsid w:val="008816CC"/>
    <w:rsid w:val="008918C8"/>
    <w:rsid w:val="009069F0"/>
    <w:rsid w:val="00912B3C"/>
    <w:rsid w:val="00926D6D"/>
    <w:rsid w:val="00965170"/>
    <w:rsid w:val="00976BDB"/>
    <w:rsid w:val="00982705"/>
    <w:rsid w:val="009933A5"/>
    <w:rsid w:val="009A36C3"/>
    <w:rsid w:val="009C4087"/>
    <w:rsid w:val="00A20A35"/>
    <w:rsid w:val="00A4218F"/>
    <w:rsid w:val="00AA41CA"/>
    <w:rsid w:val="00AB55A3"/>
    <w:rsid w:val="00AB79DC"/>
    <w:rsid w:val="00AD3794"/>
    <w:rsid w:val="00AF0576"/>
    <w:rsid w:val="00B02E46"/>
    <w:rsid w:val="00B352BB"/>
    <w:rsid w:val="00B652E2"/>
    <w:rsid w:val="00B72112"/>
    <w:rsid w:val="00B97B48"/>
    <w:rsid w:val="00BB26E6"/>
    <w:rsid w:val="00C10646"/>
    <w:rsid w:val="00C17465"/>
    <w:rsid w:val="00C454CC"/>
    <w:rsid w:val="00C642E8"/>
    <w:rsid w:val="00C90F23"/>
    <w:rsid w:val="00C91F67"/>
    <w:rsid w:val="00CB4E94"/>
    <w:rsid w:val="00CC452D"/>
    <w:rsid w:val="00CC469C"/>
    <w:rsid w:val="00D22DB4"/>
    <w:rsid w:val="00D33EDB"/>
    <w:rsid w:val="00D51AA4"/>
    <w:rsid w:val="00D81E2F"/>
    <w:rsid w:val="00D90442"/>
    <w:rsid w:val="00D92430"/>
    <w:rsid w:val="00DC653B"/>
    <w:rsid w:val="00DC6C5D"/>
    <w:rsid w:val="00DD4B40"/>
    <w:rsid w:val="00DE0FB4"/>
    <w:rsid w:val="00DE572C"/>
    <w:rsid w:val="00DF5806"/>
    <w:rsid w:val="00E00417"/>
    <w:rsid w:val="00E12FA6"/>
    <w:rsid w:val="00E475EF"/>
    <w:rsid w:val="00E67CC6"/>
    <w:rsid w:val="00E735CE"/>
    <w:rsid w:val="00E969E7"/>
    <w:rsid w:val="00E97055"/>
    <w:rsid w:val="00EB5E2C"/>
    <w:rsid w:val="00EC4650"/>
    <w:rsid w:val="00EE1B1E"/>
    <w:rsid w:val="00EF22D6"/>
    <w:rsid w:val="00EF367E"/>
    <w:rsid w:val="00F26EC1"/>
    <w:rsid w:val="00F306F2"/>
    <w:rsid w:val="00FC789A"/>
    <w:rsid w:val="00FE15D0"/>
    <w:rsid w:val="00FE4C5C"/>
    <w:rsid w:val="00FE52A6"/>
    <w:rsid w:val="377A5CAD"/>
    <w:rsid w:val="3E69C7BB"/>
    <w:rsid w:val="5DDD4BEF"/>
    <w:rsid w:val="6CBF3E82"/>
    <w:rsid w:val="7EEF30F5"/>
    <w:rsid w:val="AFEF86A5"/>
    <w:rsid w:val="FFFED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7">
    <w:name w:val="caption"/>
    <w:basedOn w:val="1"/>
    <w:next w:val="1"/>
    <w:qFormat/>
    <w:uiPriority w:val="0"/>
    <w:pPr>
      <w:suppressLineNumbers/>
      <w:spacing w:before="120" w:after="120"/>
    </w:pPr>
    <w:rPr>
      <w:i/>
      <w:iCs/>
      <w:sz w:val="24"/>
    </w:rPr>
  </w:style>
  <w:style w:type="paragraph" w:styleId="8">
    <w:name w:val="Body Text"/>
    <w:basedOn w:val="1"/>
    <w:qFormat/>
    <w:uiPriority w:val="0"/>
    <w:pPr>
      <w:spacing w:after="140" w:line="276" w:lineRule="auto"/>
    </w:pPr>
  </w:style>
  <w:style w:type="paragraph" w:styleId="9">
    <w:name w:val="Date"/>
    <w:basedOn w:val="1"/>
    <w:next w:val="1"/>
    <w:link w:val="32"/>
    <w:qFormat/>
    <w:uiPriority w:val="0"/>
    <w:pPr>
      <w:ind w:left="100" w:leftChars="2500"/>
    </w:pPr>
  </w:style>
  <w:style w:type="paragraph" w:styleId="10">
    <w:name w:val="Balloon Text"/>
    <w:basedOn w:val="1"/>
    <w:link w:val="31"/>
    <w:qFormat/>
    <w:uiPriority w:val="0"/>
    <w:rPr>
      <w:sz w:val="18"/>
      <w:szCs w:val="18"/>
    </w:rPr>
  </w:style>
  <w:style w:type="paragraph" w:styleId="11">
    <w:name w:val="footer"/>
    <w:basedOn w:val="1"/>
    <w:link w:val="30"/>
    <w:qFormat/>
    <w:uiPriority w:val="0"/>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List"/>
    <w:basedOn w:val="8"/>
    <w:qFormat/>
    <w:uiPriority w:val="0"/>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hint="eastAsia" w:ascii="宋体" w:hAnsi="宋体" w:eastAsiaTheme="minorEastAsia" w:cstheme="minorBidi"/>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u w:val="single"/>
    </w:rPr>
  </w:style>
  <w:style w:type="character" w:customStyle="1" w:styleId="21">
    <w:name w:val="标题 1 Char"/>
    <w:basedOn w:val="18"/>
    <w:link w:val="5"/>
    <w:qFormat/>
    <w:uiPriority w:val="9"/>
    <w:rPr>
      <w:b/>
      <w:bCs/>
      <w:kern w:val="44"/>
      <w:sz w:val="44"/>
      <w:szCs w:val="44"/>
    </w:rPr>
  </w:style>
  <w:style w:type="character" w:customStyle="1" w:styleId="22">
    <w:name w:val="标题 2 Char"/>
    <w:basedOn w:val="18"/>
    <w:link w:val="6"/>
    <w:qFormat/>
    <w:uiPriority w:val="9"/>
    <w:rPr>
      <w:rFonts w:ascii="Cambria" w:hAnsi="Cambria" w:eastAsia="宋体" w:cs="Times New Roman"/>
      <w:b/>
      <w:bCs/>
      <w:sz w:val="32"/>
      <w:szCs w:val="32"/>
    </w:rPr>
  </w:style>
  <w:style w:type="character" w:customStyle="1" w:styleId="23">
    <w:name w:val="默认段落字体1"/>
    <w:qFormat/>
    <w:uiPriority w:val="0"/>
  </w:style>
  <w:style w:type="paragraph" w:customStyle="1" w:styleId="24">
    <w:name w:val="Heading"/>
    <w:basedOn w:val="1"/>
    <w:next w:val="8"/>
    <w:qFormat/>
    <w:uiPriority w:val="0"/>
    <w:pPr>
      <w:keepNext/>
      <w:spacing w:before="240" w:after="120"/>
    </w:pPr>
    <w:rPr>
      <w:rFonts w:ascii="Liberation Sans" w:hAnsi="Liberation Sans" w:eastAsia="Noto Sans CJK SC Regular" w:cs="Noto Sans CJK SC Regular"/>
      <w:sz w:val="28"/>
      <w:szCs w:val="28"/>
    </w:rPr>
  </w:style>
  <w:style w:type="paragraph" w:customStyle="1" w:styleId="25">
    <w:name w:val="Index"/>
    <w:basedOn w:val="1"/>
    <w:qFormat/>
    <w:uiPriority w:val="0"/>
    <w:pPr>
      <w:suppressLineNumbers/>
    </w:pPr>
  </w:style>
  <w:style w:type="paragraph" w:styleId="26">
    <w:name w:val="List Paragraph"/>
    <w:basedOn w:val="1"/>
    <w:qFormat/>
    <w:uiPriority w:val="99"/>
    <w:pPr>
      <w:ind w:firstLine="420" w:firstLineChars="200"/>
    </w:p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四号正文"/>
    <w:basedOn w:val="1"/>
    <w:qFormat/>
    <w:uiPriority w:val="0"/>
    <w:pPr>
      <w:spacing w:line="360" w:lineRule="auto"/>
    </w:pPr>
    <w:rPr>
      <w:rFonts w:ascii="??" w:hAnsi="??"/>
      <w:color w:val="000000"/>
      <w:kern w:val="0"/>
      <w:sz w:val="28"/>
      <w:szCs w:val="21"/>
      <w:lang w:val="zh-CN"/>
    </w:rPr>
  </w:style>
  <w:style w:type="character" w:customStyle="1" w:styleId="29">
    <w:name w:val="页眉 Char"/>
    <w:basedOn w:val="18"/>
    <w:link w:val="12"/>
    <w:qFormat/>
    <w:uiPriority w:val="0"/>
    <w:rPr>
      <w:rFonts w:ascii="Calibri" w:hAnsi="Calibri"/>
      <w:kern w:val="2"/>
      <w:sz w:val="18"/>
      <w:szCs w:val="18"/>
    </w:rPr>
  </w:style>
  <w:style w:type="character" w:customStyle="1" w:styleId="30">
    <w:name w:val="页脚 Char"/>
    <w:basedOn w:val="18"/>
    <w:link w:val="11"/>
    <w:qFormat/>
    <w:uiPriority w:val="0"/>
    <w:rPr>
      <w:rFonts w:ascii="Calibri" w:hAnsi="Calibri"/>
      <w:kern w:val="2"/>
      <w:sz w:val="18"/>
      <w:szCs w:val="18"/>
    </w:rPr>
  </w:style>
  <w:style w:type="character" w:customStyle="1" w:styleId="31">
    <w:name w:val="批注框文本 Char"/>
    <w:basedOn w:val="18"/>
    <w:link w:val="10"/>
    <w:qFormat/>
    <w:uiPriority w:val="0"/>
    <w:rPr>
      <w:rFonts w:ascii="Calibri" w:hAnsi="Calibri"/>
      <w:kern w:val="2"/>
      <w:sz w:val="18"/>
      <w:szCs w:val="18"/>
    </w:rPr>
  </w:style>
  <w:style w:type="character" w:customStyle="1" w:styleId="32">
    <w:name w:val="日期 Char"/>
    <w:basedOn w:val="18"/>
    <w:link w:val="9"/>
    <w:qFormat/>
    <w:uiPriority w:val="0"/>
    <w:rPr>
      <w:rFonts w:ascii="Calibri" w:hAnsi="Calibri"/>
      <w:kern w:val="2"/>
      <w:sz w:val="21"/>
      <w:szCs w:val="24"/>
    </w:rPr>
  </w:style>
  <w:style w:type="character" w:customStyle="1" w:styleId="33">
    <w:name w:val="HTML 预设格式 Char"/>
    <w:basedOn w:val="18"/>
    <w:link w:val="16"/>
    <w:qFormat/>
    <w:uiPriority w:val="0"/>
    <w:rPr>
      <w:rFonts w:ascii="宋体" w:hAnsi="宋体" w:eastAsiaTheme="minorEastAsia" w:cstheme="min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35" b="0" i="0" u="none" strike="noStrike" kern="1200" cap="none" spc="0" normalizeH="0" baseline="0">
                <a:solidFill>
                  <a:schemeClr val="tx1"/>
                </a:solidFill>
                <a:uFill>
                  <a:solidFill>
                    <a:schemeClr val="tx1"/>
                  </a:solidFill>
                </a:uFill>
                <a:latin typeface="宋体" charset="-122"/>
                <a:ea typeface="宋体" charset="-122"/>
                <a:cs typeface="+mn-cs"/>
              </a:defRPr>
            </a:pPr>
            <a:r>
              <a:rPr sz="1435" u="none" strike="noStrike" cap="none" normalizeH="0">
                <a:solidFill>
                  <a:schemeClr val="tx1"/>
                </a:solidFill>
                <a:uFill>
                  <a:solidFill>
                    <a:schemeClr val="tx1"/>
                  </a:solidFill>
                </a:uFill>
                <a:latin typeface="宋体" charset="-122"/>
                <a:ea typeface="宋体" charset="-122"/>
              </a:rPr>
              <a:t>收支决算总</a:t>
            </a:r>
            <a:r>
              <a:rPr altLang="en-US" sz="1435" u="none" strike="noStrike" cap="none" normalizeH="0">
                <a:solidFill>
                  <a:schemeClr val="tx1"/>
                </a:solidFill>
                <a:uFill>
                  <a:solidFill>
                    <a:schemeClr val="tx1"/>
                  </a:solidFill>
                </a:uFill>
                <a:latin typeface="宋体" charset="-122"/>
                <a:ea typeface="宋体" charset="-122"/>
              </a:rPr>
              <a:t>计变动情况图</a:t>
            </a:r>
            <a:endParaRPr lang="en-US" altLang="zh-CN" sz="1440" u="none" strike="noStrike" cap="none" normalizeH="0">
              <a:solidFill>
                <a:schemeClr val="tx1"/>
              </a:solidFill>
              <a:uFill>
                <a:solidFill>
                  <a:schemeClr val="tx1"/>
                </a:solidFill>
              </a:uFill>
              <a:latin typeface="宋体" charset="-122"/>
              <a:ea typeface="宋体" charset="-122"/>
            </a:endParaRPr>
          </a:p>
        </c:rich>
      </c:tx>
      <c:layout/>
      <c:overlay val="0"/>
      <c:spPr>
        <a:noFill/>
        <a:ln w="25288">
          <a:noFill/>
        </a:ln>
      </c:spPr>
    </c:title>
    <c:autoTitleDeleted val="0"/>
    <c:plotArea>
      <c:layout/>
      <c:barChart>
        <c:barDir val="col"/>
        <c:grouping val="clustered"/>
        <c:varyColors val="0"/>
        <c:ser>
          <c:idx val="0"/>
          <c:order val="0"/>
          <c:tx>
            <c:strRef>
              <c:f>Sheet1!$B$1</c:f>
              <c:strCache>
                <c:ptCount val="1"/>
                <c:pt idx="0">
                  <c:v>2023</c:v>
                </c:pt>
              </c:strCache>
            </c:strRef>
          </c:tx>
          <c:spPr>
            <a:solidFill>
              <a:srgbClr val="4F81BD"/>
            </a:solidFill>
            <a:ln w="25288">
              <a:noFill/>
            </a:ln>
          </c:spPr>
          <c:invertIfNegative val="0"/>
          <c:dLbls>
            <c:dLbl>
              <c:idx val="0"/>
              <c:layout>
                <c:manualLayout>
                  <c:x val="-0.00725298117262901"/>
                  <c:y val="-0.004266355594439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288">
                <a:noFill/>
              </a:ln>
              <a:effectLst/>
            </c:spPr>
            <c:txPr>
              <a:bodyPr rot="0" spcFirstLastPara="0" vertOverflow="ellipsis" vert="horz" wrap="square" lIns="38100" tIns="19050" rIns="38100" bIns="19050"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收支总计</c:v>
                </c:pt>
              </c:strCache>
            </c:strRef>
          </c:cat>
          <c:val>
            <c:numRef>
              <c:f>Sheet1!$B$2:$B$2</c:f>
              <c:numCache>
                <c:formatCode>General</c:formatCode>
                <c:ptCount val="1"/>
                <c:pt idx="0">
                  <c:v>2359.92</c:v>
                </c:pt>
              </c:numCache>
            </c:numRef>
          </c:val>
        </c:ser>
        <c:ser>
          <c:idx val="1"/>
          <c:order val="1"/>
          <c:tx>
            <c:strRef>
              <c:f>Sheet1!$C$1</c:f>
              <c:strCache>
                <c:ptCount val="1"/>
                <c:pt idx="0">
                  <c:v>2022</c:v>
                </c:pt>
              </c:strCache>
            </c:strRef>
          </c:tx>
          <c:spPr>
            <a:solidFill>
              <a:srgbClr val="C0504D"/>
            </a:solidFill>
            <a:ln w="25288">
              <a:noFill/>
            </a:ln>
          </c:spPr>
          <c:invertIfNegative val="0"/>
          <c:dLbls>
            <c:spPr>
              <a:noFill/>
              <a:ln w="25288">
                <a:noFill/>
              </a:ln>
              <a:effectLst/>
            </c:spPr>
            <c:txPr>
              <a:bodyPr rot="0" spcFirstLastPara="0" vertOverflow="ellipsis" vert="horz" wrap="square" lIns="38100" tIns="19050" rIns="38100" bIns="19050"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收支总计</c:v>
                </c:pt>
              </c:strCache>
            </c:strRef>
          </c:cat>
          <c:val>
            <c:numRef>
              <c:f>Sheet1!$C$2:$C$2</c:f>
              <c:numCache>
                <c:formatCode>General</c:formatCode>
                <c:ptCount val="1"/>
                <c:pt idx="0">
                  <c:v>2639.76</c:v>
                </c:pt>
              </c:numCache>
            </c:numRef>
          </c:val>
        </c:ser>
        <c:ser>
          <c:idx val="2"/>
          <c:order val="2"/>
          <c:spPr>
            <a:solidFill>
              <a:srgbClr val="9BBB59"/>
            </a:solidFill>
            <a:ln w="25288">
              <a:noFill/>
            </a:ln>
          </c:spPr>
          <c:invertIfNegative val="0"/>
          <c:dLbls>
            <c:spPr>
              <a:noFill/>
              <a:ln w="25288">
                <a:noFill/>
              </a:ln>
              <a:effectLst/>
            </c:spPr>
            <c:txPr>
              <a:bodyPr rot="0" spcFirstLastPara="0" vertOverflow="ellipsis" vert="horz" wrap="square" lIns="38100" tIns="19050" rIns="38100" bIns="19050"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收支总计</c:v>
                </c:pt>
              </c:strCache>
            </c:strRef>
          </c:cat>
          <c:val>
            <c:numRef>
              <c:f>{0}</c:f>
              <c:numCache>
                <c:formatCode>General</c:formatCode>
                <c:ptCount val="1"/>
                <c:pt idx="0">
                  <c:v>0</c:v>
                </c:pt>
              </c:numCache>
            </c:numRef>
          </c:val>
        </c:ser>
        <c:dLbls>
          <c:showLegendKey val="0"/>
          <c:showVal val="1"/>
          <c:showCatName val="0"/>
          <c:showSerName val="0"/>
          <c:showPercent val="0"/>
          <c:showBubbleSize val="0"/>
        </c:dLbls>
        <c:gapWidth val="219"/>
        <c:overlap val="-27"/>
        <c:axId val="125984128"/>
        <c:axId val="126010496"/>
      </c:barChart>
      <c:catAx>
        <c:axId val="125984128"/>
        <c:scaling>
          <c:orientation val="minMax"/>
        </c:scaling>
        <c:delete val="0"/>
        <c:axPos val="b"/>
        <c:numFmt formatCode="General" sourceLinked="1"/>
        <c:majorTickMark val="none"/>
        <c:minorTickMark val="none"/>
        <c:tickLblPos val="nextTo"/>
        <c:spPr>
          <a:noFill/>
          <a:ln w="9483"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crossAx val="126010496"/>
        <c:crosses val="autoZero"/>
        <c:auto val="1"/>
        <c:lblAlgn val="ctr"/>
        <c:lblOffset val="100"/>
        <c:noMultiLvlLbl val="0"/>
      </c:catAx>
      <c:valAx>
        <c:axId val="126010496"/>
        <c:scaling>
          <c:orientation val="minMax"/>
        </c:scaling>
        <c:delete val="0"/>
        <c:axPos val="l"/>
        <c:majorGridlines>
          <c:spPr>
            <a:ln w="9483"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483" cap="flat" cmpd="sng" algn="ctr">
            <a:noFill/>
            <a:prstDash val="solid"/>
            <a:round/>
          </a:ln>
        </c:spPr>
        <c:txPr>
          <a:bodyPr rot="-60000000" spcFirstLastPara="0" vertOverflow="ellipsis" vert="horz" wrap="square"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crossAx val="125984128"/>
        <c:crosses val="autoZero"/>
        <c:crossBetween val="between"/>
      </c:valAx>
      <c:spPr>
        <a:noFill/>
        <a:ln w="25288">
          <a:noFill/>
        </a:ln>
      </c:spPr>
    </c:plotArea>
    <c:legend>
      <c:legendPos val="b"/>
      <c:legendEntry>
        <c:idx val="0"/>
        <c:txPr>
          <a:bodyPr rot="0" spcFirstLastPara="0" vertOverflow="ellipsis" vert="horz" wrap="square"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legendEntry>
      <c:legendEntry>
        <c:idx val="1"/>
        <c:txPr>
          <a:bodyPr rot="0" spcFirstLastPara="0" vertOverflow="ellipsis" vert="horz" wrap="square"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legendEntry>
      <c:legendEntry>
        <c:idx val="2"/>
        <c:delete val="1"/>
      </c:legendEntry>
      <c:layout>
        <c:manualLayout>
          <c:xMode val="edge"/>
          <c:yMode val="edge"/>
          <c:x val="0.24605578611291"/>
          <c:y val="0.879905873834742"/>
          <c:w val="0.518959178198918"/>
          <c:h val="0.0944966361963372"/>
        </c:manualLayout>
      </c:layout>
      <c:overlay val="0"/>
      <c:spPr>
        <a:noFill/>
        <a:ln w="25288">
          <a:noFill/>
        </a:ln>
      </c:spPr>
      <c:txPr>
        <a:bodyPr rot="0" spcFirstLastPara="0" vertOverflow="ellipsis" vert="horz" wrap="square" anchor="ctr" anchorCtr="1"/>
        <a:lstStyle/>
        <a:p>
          <a:pPr>
            <a:defRPr lang="zh-CN" sz="1195" b="0" i="0" u="none" strike="noStrike" kern="1200" cap="none" spc="0" normalizeH="0" baseline="0">
              <a:solidFill>
                <a:schemeClr val="tx1"/>
              </a:solidFill>
              <a:uFill>
                <a:solidFill>
                  <a:schemeClr val="tx1"/>
                </a:solidFill>
              </a:uFill>
              <a:latin typeface="宋体" charset="-122"/>
              <a:ea typeface="宋体" charset="-122"/>
              <a:cs typeface="+mn-cs"/>
            </a:defRPr>
          </a:pPr>
        </a:p>
      </c:txPr>
    </c:legend>
    <c:plotVisOnly val="1"/>
    <c:dispBlanksAs val="gap"/>
    <c:showDLblsOverMax val="0"/>
  </c:chart>
  <c:spPr>
    <a:solidFill>
      <a:schemeClr val="bg1"/>
    </a:solidFill>
    <a:ln w="9483" cap="flat" cmpd="sng" algn="ctr">
      <a:solidFill>
        <a:schemeClr val="tx1">
          <a:lumMod val="15000"/>
          <a:lumOff val="85000"/>
        </a:schemeClr>
      </a:solidFill>
      <a:prstDash val="solid"/>
      <a:round/>
    </a:ln>
    <a:effectLst/>
  </c:spPr>
  <c:txPr>
    <a:bodyPr/>
    <a:lstStyle/>
    <a:p>
      <a:pPr>
        <a:defRPr lang="zh-CN" sz="1195" u="none" strike="noStrike" kern="1200" cap="none" spc="0" normalizeH="0">
          <a:solidFill>
            <a:schemeClr val="tx1"/>
          </a:solidFill>
          <a:uFill>
            <a:solidFill>
              <a:schemeClr val="tx1"/>
            </a:solidFill>
          </a:uFill>
          <a:latin typeface="宋体" charset="-122"/>
          <a:ea typeface="宋体"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98008080677852"/>
          <c:y val="0.113106295149639"/>
          <c:w val="0.490849987960514"/>
          <c:h val="0.841486068111451"/>
        </c:manualLayout>
      </c:layout>
      <c:pieChart>
        <c:varyColors val="1"/>
        <c:ser>
          <c:idx val="0"/>
          <c:order val="0"/>
          <c:tx>
            <c:strRef>
              <c:f>Sheet1!$B$1</c:f>
              <c:strCache>
                <c:ptCount val="1"/>
                <c:pt idx="0">
                  <c:v>收入结构图</c:v>
                </c:pt>
              </c:strCache>
            </c:strRef>
          </c:tx>
          <c:explosion val="10"/>
          <c:dPt>
            <c:idx val="0"/>
            <c:bubble3D val="0"/>
            <c:explosion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numRef>
              <c:f>Sheet1!$A$2:$A$5</c:f>
              <c:numCache>
                <c:formatCode>General</c:formatCode>
                <c:ptCount val="4"/>
              </c:numCache>
            </c:numRef>
          </c:cat>
          <c:val>
            <c:numRef>
              <c:f>Sheet1!$B$2:$B$5</c:f>
              <c:numCache>
                <c:formatCode>General</c:formatCode>
                <c:ptCount val="4"/>
                <c:pt idx="0">
                  <c:v>2359.92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支出决算结构图</a:t>
            </a:r>
            <a:endParaRPr>
              <a:solidFill>
                <a:schemeClr val="tx1"/>
              </a:solidFill>
            </a:endParaRPr>
          </a:p>
        </c:rich>
      </c:tx>
      <c:layout>
        <c:manualLayout>
          <c:xMode val="edge"/>
          <c:yMode val="edge"/>
          <c:x val="0.369411960749758"/>
          <c:y val="0.0238199039282467"/>
        </c:manualLayout>
      </c:layout>
      <c:overlay val="0"/>
      <c:spPr>
        <a:noFill/>
        <a:ln>
          <a:noFill/>
        </a:ln>
        <a:effectLst/>
      </c:spPr>
    </c:title>
    <c:autoTitleDeleted val="0"/>
    <c:plotArea>
      <c:layout>
        <c:manualLayout>
          <c:layoutTarget val="inner"/>
          <c:xMode val="edge"/>
          <c:yMode val="edge"/>
          <c:x val="0.280767783214159"/>
          <c:y val="0.159299793521128"/>
          <c:w val="0.470316615137826"/>
          <c:h val="0.691358919181831"/>
        </c:manualLayout>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Pt>
            <c:idx val="3"/>
            <c:bubble3D val="0"/>
          </c:dPt>
          <c:dLbls>
            <c:dLbl>
              <c:idx val="0"/>
              <c:layout>
                <c:manualLayout>
                  <c:x val="-0.176928156639314"/>
                  <c:y val="-0.10650069156293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16785848701543"/>
                      <c:h val="0.175380359612725"/>
                    </c:manualLayout>
                  </c15:layout>
                </c:ext>
              </c:extLst>
            </c:dLbl>
            <c:dLbl>
              <c:idx val="1"/>
              <c:layout>
                <c:manualLayout>
                  <c:x val="0.217313654710047"/>
                  <c:y val="0.02212042996700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86112156567557"/>
                      <c:h val="0.17372060857538"/>
                    </c:manualLayout>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2"/>
                <c:pt idx="0">
                  <c:v>基本支出</c:v>
                </c:pt>
                <c:pt idx="1">
                  <c:v>项目支出</c:v>
                </c:pt>
              </c:strCache>
            </c:strRef>
          </c:cat>
          <c:val>
            <c:numRef>
              <c:f>Sheet1!$B$2:$B$5</c:f>
              <c:numCache>
                <c:formatCode>General</c:formatCode>
                <c:ptCount val="4"/>
                <c:pt idx="0">
                  <c:v>1251.66</c:v>
                </c:pt>
                <c:pt idx="1">
                  <c:v>1108.26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97165472781491"/>
          <c:y val="0.873443329957199"/>
          <c:w val="0.353017681740516"/>
          <c:h val="0.09336164929591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r>
              <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财政拨款</a:t>
            </a:r>
            <a:r>
              <a:rPr lang="zh-CN" altLang="en-US"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收、</a:t>
            </a:r>
            <a:r>
              <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支出决算</a:t>
            </a:r>
            <a:r>
              <a:rPr lang="zh-CN" altLang="en-US"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总计</a:t>
            </a:r>
            <a:r>
              <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变动情况</a:t>
            </a:r>
            <a:endPar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Sheet1!$B$2</c:f>
              <c:numCache>
                <c:formatCode>General</c:formatCode>
                <c:ptCount val="1"/>
                <c:pt idx="0">
                  <c:v>2359.86</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Sheet1!$C$2</c:f>
              <c:numCache>
                <c:formatCode>General</c:formatCode>
                <c:ptCount val="1"/>
                <c:pt idx="0">
                  <c:v>2639.76</c:v>
                </c:pt>
              </c:numCache>
            </c:numRef>
          </c:val>
        </c:ser>
        <c:dLbls>
          <c:showLegendKey val="0"/>
          <c:showVal val="1"/>
          <c:showCatName val="0"/>
          <c:showSerName val="0"/>
          <c:showPercent val="0"/>
          <c:showBubbleSize val="0"/>
        </c:dLbls>
        <c:gapWidth val="219"/>
        <c:overlap val="-27"/>
        <c:axId val="126630144"/>
        <c:axId val="126640128"/>
      </c:barChart>
      <c:catAx>
        <c:axId val="1266301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40128"/>
        <c:crosses val="autoZero"/>
        <c:auto val="1"/>
        <c:lblAlgn val="ctr"/>
        <c:lblOffset val="100"/>
        <c:noMultiLvlLbl val="0"/>
      </c:catAx>
      <c:valAx>
        <c:axId val="126640128"/>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30144"/>
        <c:crosses val="autoZero"/>
        <c:crossBetween val="between"/>
      </c:valAx>
      <c:spPr>
        <a:noFill/>
        <a:ln>
          <a:noFill/>
        </a:ln>
        <a:effectLst/>
      </c:spPr>
    </c:plotArea>
    <c:legend>
      <c:legendPos val="b"/>
      <c:layout>
        <c:manualLayout>
          <c:xMode val="edge"/>
          <c:yMode val="edge"/>
          <c:x val="0.264367816091954"/>
          <c:y val="0.873333333333338"/>
          <c:w val="0.440961337513062"/>
          <c:h val="0.113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r>
              <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rPr>
              <a:t>一般公共预算财政拨款支出决算变动情况</a:t>
            </a:r>
            <a:endParaRPr sz="1600" u="none" strike="noStrike" cap="none" normalizeH="0">
              <a:solidFill>
                <a:schemeClr val="tx1">
                  <a:lumMod val="65000"/>
                  <a:lumOff val="35000"/>
                </a:schemeClr>
              </a:solidFill>
              <a:uFill>
                <a:solidFill>
                  <a:schemeClr val="tx1">
                    <a:lumMod val="65000"/>
                    <a:lumOff val="35000"/>
                  </a:schemeClr>
                </a:solidFill>
              </a:uFill>
              <a:latin typeface="宋体" charset="-122"/>
              <a:ea typeface="宋体"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Sheet1!$B$2</c:f>
              <c:numCache>
                <c:formatCode>General</c:formatCode>
                <c:ptCount val="1"/>
                <c:pt idx="0">
                  <c:v>2359.86</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Sheet1!$C$2</c:f>
              <c:numCache>
                <c:formatCode>General</c:formatCode>
                <c:ptCount val="1"/>
                <c:pt idx="0">
                  <c:v>2639.76</c:v>
                </c:pt>
              </c:numCache>
            </c:numRef>
          </c:val>
        </c:ser>
        <c:dLbls>
          <c:showLegendKey val="0"/>
          <c:showVal val="1"/>
          <c:showCatName val="0"/>
          <c:showSerName val="0"/>
          <c:showPercent val="0"/>
          <c:showBubbleSize val="0"/>
        </c:dLbls>
        <c:gapWidth val="219"/>
        <c:overlap val="-27"/>
        <c:axId val="126678528"/>
        <c:axId val="126680064"/>
      </c:barChart>
      <c:catAx>
        <c:axId val="126678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80064"/>
        <c:crosses val="autoZero"/>
        <c:auto val="1"/>
        <c:lblAlgn val="ctr"/>
        <c:lblOffset val="100"/>
        <c:noMultiLvlLbl val="0"/>
      </c:catAx>
      <c:valAx>
        <c:axId val="12668006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78528"/>
        <c:crosses val="autoZero"/>
        <c:crossBetween val="between"/>
      </c:valAx>
      <c:spPr>
        <a:noFill/>
        <a:ln>
          <a:noFill/>
        </a:ln>
        <a:effectLst/>
      </c:spPr>
    </c:plotArea>
    <c:legend>
      <c:legendPos val="b"/>
      <c:layout>
        <c:manualLayout>
          <c:xMode val="edge"/>
          <c:yMode val="edge"/>
          <c:x val="0.264367816091954"/>
          <c:y val="0.873333333333338"/>
          <c:w val="0.440961337513062"/>
          <c:h val="0.113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179512240685223"/>
          <c:y val="0.0754147812971349"/>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Pt>
            <c:idx val="4"/>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4"/>
                <c:pt idx="0">
                  <c:v>社会保障和就业类</c:v>
                </c:pt>
                <c:pt idx="1">
                  <c:v>卫生健康支出</c:v>
                </c:pt>
                <c:pt idx="2">
                  <c:v>住房保障支出</c:v>
                </c:pt>
                <c:pt idx="3">
                  <c:v>灾害防治及应急管理支出</c:v>
                </c:pt>
              </c:strCache>
            </c:strRef>
          </c:cat>
          <c:val>
            <c:numRef>
              <c:f>Sheet1!$B$2:$B$6</c:f>
              <c:numCache>
                <c:formatCode>0.00%</c:formatCode>
                <c:ptCount val="5"/>
                <c:pt idx="0">
                  <c:v>0.06</c:v>
                </c:pt>
                <c:pt idx="1">
                  <c:v>0.02</c:v>
                </c:pt>
                <c:pt idx="2">
                  <c:v>0.04</c:v>
                </c:pt>
                <c:pt idx="3">
                  <c:v>0.88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p>
        </c:txPr>
      </c:legendEntry>
      <c:legendEntry>
        <c:idx val="2"/>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p>
        </c:txPr>
      </c:legendEntry>
      <c:layout>
        <c:manualLayout>
          <c:xMode val="edge"/>
          <c:yMode val="edge"/>
          <c:x val="0.214994775339603"/>
          <c:y val="0.873431941583978"/>
          <c:w val="0.670585161964472"/>
          <c:h val="0.1041003557386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lumMod val="65000"/>
                    <a:lumOff val="35000"/>
                  </a:schemeClr>
                </a:solidFill>
                <a:uFillTx/>
                <a:latin typeface="宋体" charset="-122"/>
                <a:ea typeface="宋体" charset="-122"/>
              </a:rPr>
              <a:t>“三公”经费财政拨款支出结构</a:t>
            </a:r>
            <a:endParaRPr b="1">
              <a:solidFill>
                <a:schemeClr val="tx1">
                  <a:lumMod val="65000"/>
                  <a:lumOff val="35000"/>
                </a:schemeClr>
              </a:solidFill>
              <a:uFillTx/>
              <a:latin typeface="宋体" charset="-122"/>
              <a:ea typeface="宋体" charset="-122"/>
            </a:endParaRP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explosion val="11"/>
          <c:dPt>
            <c:idx val="0"/>
            <c:bubble3D val="0"/>
            <c:spPr>
              <a:solidFill>
                <a:schemeClr val="accent1"/>
              </a:solidFill>
              <a:ln w="19050">
                <a:solidFill>
                  <a:schemeClr val="lt1"/>
                </a:solidFill>
              </a:ln>
              <a:effectLst/>
            </c:spPr>
          </c:dPt>
          <c:dLbls>
            <c:dLbl>
              <c:idx val="0"/>
              <c:layout>
                <c:manualLayout>
                  <c:x val="-0.00801495018348681"/>
                  <c:y val="-0.2341591261453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600" b="1">
                        <a:latin typeface="宋体" charset="-122"/>
                        <a:ea typeface="宋体" charset="-122"/>
                      </a:rPr>
                      <a:t>100%</a:t>
                    </a:r>
                    <a:endParaRPr sz="1600" b="1">
                      <a:latin typeface="宋体" charset="-122"/>
                      <a:ea typeface="宋体"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7506678539626"/>
                      <c:h val="0.16468039003250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公务接待</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p>
        </c:txPr>
      </c:legendEntry>
      <c:layout>
        <c:manualLayout>
          <c:xMode val="edge"/>
          <c:yMode val="edge"/>
          <c:x val="0.284060552092611"/>
          <c:y val="0.809588299024919"/>
          <c:w val="0.443633125556535"/>
          <c:h val="0.157908992416043"/>
        </c:manualLayout>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宋体" charset="-122"/>
              <a:ea typeface="宋体" charset="-122"/>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www.173sofu.net</Company>
  <Pages>51</Pages>
  <Words>3916</Words>
  <Characters>22324</Characters>
  <Lines>186</Lines>
  <Paragraphs>52</Paragraphs>
  <TotalTime>82</TotalTime>
  <ScaleCrop>false</ScaleCrop>
  <LinksUpToDate>false</LinksUpToDate>
  <CharactersWithSpaces>26188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2024-09-04T17:49:00Z</dcterms:created>
  <dc:creator>user</dc:creator>
  <cp:lastModifiedBy>suma</cp:lastModifiedBy>
  <dcterms:modified xsi:type="dcterms:W3CDTF">2024-09-29T08:48:30Z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