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78441"/>
      <w:bookmarkStart w:id="2" w:name="_Toc15377425"/>
      <w:bookmarkStart w:id="3" w:name="_Toc15396597"/>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77194"/>
      <w:bookmarkStart w:id="8" w:name="_Toc15377426"/>
      <w:bookmarkStart w:id="9" w:name="_Toc15378442"/>
      <w:bookmarkStart w:id="10" w:name="_Toc15396598"/>
      <w:bookmarkStart w:id="11" w:name="_Toc15306268"/>
      <w:r>
        <w:rPr>
          <w:rFonts w:hint="eastAsia" w:ascii="方正小标宋简体" w:hAnsi="方正小标宋简体" w:eastAsia="方正小标宋简体" w:cs="方正小标宋简体"/>
          <w:sz w:val="72"/>
          <w:szCs w:val="72"/>
        </w:rPr>
        <w:t>四川省广元市利州区经济合作中心部门决算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公开时间：2022年9月19日</w:t>
      </w:r>
    </w:p>
    <w:p>
      <w:pPr>
        <w:tabs>
          <w:tab w:val="right" w:leader="dot" w:pos="8820"/>
        </w:tabs>
      </w:pPr>
    </w:p>
    <w:p>
      <w:pPr>
        <w:pStyle w:val="10"/>
        <w:tabs>
          <w:tab w:val="right" w:leader="dot" w:pos="8295"/>
          <w:tab w:val="right" w:leader="dot" w:pos="8400"/>
          <w:tab w:val="clear" w:pos="8296"/>
        </w:tabs>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Pr>
          <w:rFonts w:ascii="Times New Roman" w:hAnsi="Times New Roman"/>
          <w:sz w:val="24"/>
        </w:rPr>
        <w:tab/>
      </w:r>
      <w:r>
        <w:rPr>
          <w:rFonts w:hint="eastAsia" w:ascii="Times New Roman" w:hAnsi="Times New Roman"/>
          <w:sz w:val="24"/>
        </w:rPr>
        <w:t>4</w:t>
      </w:r>
    </w:p>
    <w:p>
      <w:pPr>
        <w:pStyle w:val="11"/>
        <w:tabs>
          <w:tab w:val="right" w:leader="dot" w:pos="8820"/>
        </w:tabs>
        <w:adjustRightInd w:val="0"/>
        <w:snapToGrid w:val="0"/>
        <w:spacing w:line="440" w:lineRule="exact"/>
        <w:jc w:val="left"/>
        <w:rPr>
          <w:rFonts w:ascii="仿宋" w:hAnsi="仿宋" w:eastAsia="仿宋"/>
          <w:sz w:val="24"/>
        </w:rPr>
      </w:pPr>
      <w:r>
        <w:rPr>
          <w:rFonts w:hint="eastAsia"/>
          <w:sz w:val="24"/>
        </w:rPr>
        <w:t>一、基本职能及主要工作</w:t>
      </w:r>
      <w:r>
        <w:rPr>
          <w:sz w:val="24"/>
        </w:rPr>
        <w:tab/>
      </w:r>
      <w:r>
        <w:rPr>
          <w:rFonts w:hint="eastAsia"/>
          <w:sz w:val="24"/>
        </w:rPr>
        <w:t>4</w:t>
      </w:r>
    </w:p>
    <w:p>
      <w:pPr>
        <w:pStyle w:val="11"/>
        <w:tabs>
          <w:tab w:val="right" w:leader="dot" w:pos="8820"/>
        </w:tabs>
        <w:adjustRightInd w:val="0"/>
        <w:snapToGrid w:val="0"/>
        <w:spacing w:line="440" w:lineRule="exact"/>
        <w:jc w:val="left"/>
        <w:rPr>
          <w:rFonts w:ascii="仿宋" w:hAnsi="仿宋" w:eastAsia="仿宋" w:cstheme="minorBidi"/>
          <w:sz w:val="24"/>
        </w:rPr>
      </w:pPr>
      <w:r>
        <w:rPr>
          <w:rFonts w:hint="eastAsia"/>
          <w:sz w:val="24"/>
        </w:rPr>
        <w:t>二、机构设置</w:t>
      </w:r>
      <w:r>
        <w:rPr>
          <w:sz w:val="24"/>
        </w:rPr>
        <w:tab/>
      </w:r>
      <w:r>
        <w:rPr>
          <w:rFonts w:hint="eastAsia"/>
          <w:sz w:val="24"/>
        </w:rPr>
        <w:t>5</w:t>
      </w:r>
    </w:p>
    <w:p>
      <w:pPr>
        <w:pStyle w:val="10"/>
        <w:tabs>
          <w:tab w:val="right" w:leader="dot" w:pos="8820"/>
        </w:tabs>
        <w:adjustRightInd w:val="0"/>
        <w:snapToGrid w:val="0"/>
        <w:spacing w:before="0" w:line="440" w:lineRule="exact"/>
        <w:jc w:val="left"/>
        <w:rPr>
          <w:sz w:val="24"/>
          <w:szCs w:val="24"/>
        </w:rPr>
      </w:pPr>
      <w:r>
        <w:rPr>
          <w:rFonts w:hint="eastAsia"/>
          <w:sz w:val="24"/>
        </w:rPr>
        <w:t>第二部分 2021年度部门决算情况说明</w:t>
      </w:r>
      <w:r>
        <w:rPr>
          <w:rFonts w:ascii="Times New Roman" w:hAnsi="Times New Roman"/>
          <w:sz w:val="24"/>
        </w:rPr>
        <w:tab/>
      </w:r>
      <w:r>
        <w:rPr>
          <w:rFonts w:hint="eastAsia" w:ascii="Times New Roman" w:hAnsi="Times New Roman"/>
          <w:sz w:val="24"/>
        </w:rPr>
        <w:t>6</w:t>
      </w:r>
    </w:p>
    <w:p>
      <w:pPr>
        <w:pStyle w:val="11"/>
        <w:tabs>
          <w:tab w:val="right" w:leader="dot" w:pos="8820"/>
        </w:tabs>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sz w:val="24"/>
        </w:rPr>
        <w:tab/>
      </w:r>
      <w:r>
        <w:rPr>
          <w:rFonts w:hint="eastAsia"/>
          <w:sz w:val="24"/>
        </w:rPr>
        <w:t>6</w:t>
      </w:r>
    </w:p>
    <w:p>
      <w:pPr>
        <w:pStyle w:val="11"/>
        <w:tabs>
          <w:tab w:val="right" w:leader="dot" w:pos="8820"/>
        </w:tabs>
        <w:adjustRightInd w:val="0"/>
        <w:snapToGrid w:val="0"/>
        <w:spacing w:line="440" w:lineRule="exact"/>
        <w:jc w:val="left"/>
        <w:rPr>
          <w:rFonts w:ascii="仿宋" w:hAnsi="仿宋" w:eastAsia="仿宋" w:cstheme="minorBidi"/>
          <w:sz w:val="24"/>
        </w:rPr>
      </w:pPr>
      <w:r>
        <w:rPr>
          <w:rFonts w:hint="eastAsia"/>
          <w:sz w:val="24"/>
        </w:rPr>
        <w:t>二、收入决算情况说明</w:t>
      </w:r>
      <w:r>
        <w:rPr>
          <w:sz w:val="24"/>
        </w:rPr>
        <w:tab/>
      </w:r>
      <w:r>
        <w:rPr>
          <w:rFonts w:hint="eastAsia"/>
          <w:sz w:val="24"/>
        </w:rPr>
        <w:t>6</w:t>
      </w:r>
    </w:p>
    <w:p>
      <w:pPr>
        <w:pStyle w:val="11"/>
        <w:tabs>
          <w:tab w:val="right" w:leader="dot" w:pos="8820"/>
        </w:tabs>
        <w:adjustRightInd w:val="0"/>
        <w:snapToGrid w:val="0"/>
        <w:spacing w:line="440" w:lineRule="exact"/>
        <w:jc w:val="left"/>
        <w:rPr>
          <w:rFonts w:ascii="仿宋" w:hAnsi="仿宋" w:eastAsia="仿宋" w:cstheme="minorBidi"/>
          <w:sz w:val="24"/>
        </w:rPr>
      </w:pPr>
      <w:r>
        <w:rPr>
          <w:rFonts w:hint="eastAsia"/>
          <w:sz w:val="24"/>
        </w:rPr>
        <w:t>三、支出决算情况说明</w:t>
      </w:r>
      <w:r>
        <w:rPr>
          <w:sz w:val="24"/>
        </w:rPr>
        <w:tab/>
      </w:r>
      <w:r>
        <w:rPr>
          <w:rFonts w:hint="eastAsia"/>
          <w:sz w:val="24"/>
        </w:rPr>
        <w:t>7</w:t>
      </w:r>
    </w:p>
    <w:p>
      <w:pPr>
        <w:pStyle w:val="11"/>
        <w:tabs>
          <w:tab w:val="right" w:leader="dot" w:pos="8820"/>
        </w:tabs>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sz w:val="24"/>
        </w:rPr>
        <w:tab/>
      </w:r>
      <w:r>
        <w:rPr>
          <w:rFonts w:hint="eastAsia"/>
          <w:sz w:val="24"/>
        </w:rPr>
        <w:t>8</w:t>
      </w:r>
    </w:p>
    <w:p>
      <w:pPr>
        <w:pStyle w:val="11"/>
        <w:tabs>
          <w:tab w:val="right" w:leader="dot" w:pos="8820"/>
        </w:tabs>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sz w:val="24"/>
        </w:rPr>
        <w:tab/>
      </w:r>
      <w:r>
        <w:rPr>
          <w:rFonts w:hint="eastAsia"/>
          <w:sz w:val="24"/>
        </w:rPr>
        <w:t>8</w:t>
      </w:r>
    </w:p>
    <w:p>
      <w:pPr>
        <w:pStyle w:val="11"/>
        <w:tabs>
          <w:tab w:val="right" w:leader="dot" w:pos="8820"/>
        </w:tabs>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sz w:val="24"/>
        </w:rPr>
        <w:tab/>
      </w:r>
      <w:r>
        <w:rPr>
          <w:rFonts w:hint="eastAsia"/>
          <w:sz w:val="24"/>
        </w:rPr>
        <w:t>11</w:t>
      </w:r>
    </w:p>
    <w:p>
      <w:pPr>
        <w:pStyle w:val="11"/>
        <w:tabs>
          <w:tab w:val="right" w:leader="dot" w:pos="8820"/>
        </w:tabs>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w:t>
      </w:r>
      <w:r>
        <w:rPr>
          <w:sz w:val="24"/>
        </w:rPr>
        <w:tab/>
      </w:r>
      <w:r>
        <w:rPr>
          <w:rFonts w:hint="eastAsia"/>
          <w:sz w:val="24"/>
        </w:rPr>
        <w:t>12</w:t>
      </w:r>
    </w:p>
    <w:p>
      <w:pPr>
        <w:pStyle w:val="11"/>
        <w:tabs>
          <w:tab w:val="right" w:leader="dot" w:pos="8820"/>
        </w:tabs>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sz w:val="24"/>
        </w:rPr>
        <w:tab/>
      </w:r>
      <w:r>
        <w:rPr>
          <w:rFonts w:hint="eastAsia"/>
          <w:sz w:val="24"/>
        </w:rPr>
        <w:t>13</w:t>
      </w:r>
    </w:p>
    <w:p>
      <w:pPr>
        <w:pStyle w:val="11"/>
        <w:tabs>
          <w:tab w:val="right" w:leader="dot" w:pos="8820"/>
        </w:tabs>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r>
        <w:rPr>
          <w:rFonts w:eastAsiaTheme="minorEastAsia"/>
          <w:sz w:val="24"/>
        </w:rPr>
        <w:tab/>
      </w:r>
      <w:r>
        <w:rPr>
          <w:rFonts w:hint="eastAsia" w:eastAsiaTheme="minorEastAsia"/>
          <w:sz w:val="24"/>
        </w:rPr>
        <w:t>13</w:t>
      </w:r>
    </w:p>
    <w:p>
      <w:pPr>
        <w:pStyle w:val="11"/>
        <w:tabs>
          <w:tab w:val="right" w:leader="dot" w:pos="8820"/>
        </w:tabs>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十、预算绩效管理情况</w:t>
      </w:r>
      <w:r>
        <w:rPr>
          <w:rFonts w:eastAsiaTheme="minorEastAsia"/>
          <w:sz w:val="24"/>
        </w:rPr>
        <w:tab/>
      </w:r>
      <w:r>
        <w:rPr>
          <w:rFonts w:hint="eastAsia" w:eastAsiaTheme="minorEastAsia"/>
          <w:sz w:val="24"/>
        </w:rPr>
        <w:t>13</w:t>
      </w:r>
    </w:p>
    <w:p>
      <w:pPr>
        <w:pStyle w:val="11"/>
        <w:tabs>
          <w:tab w:val="right" w:leader="dot" w:pos="8820"/>
        </w:tabs>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十一、其他重要事项的情况说明</w:t>
      </w:r>
      <w:r>
        <w:rPr>
          <w:rFonts w:eastAsiaTheme="minorEastAsia"/>
          <w:sz w:val="24"/>
        </w:rPr>
        <w:tab/>
      </w:r>
      <w:r>
        <w:rPr>
          <w:rFonts w:hint="eastAsia" w:eastAsiaTheme="minorEastAsia"/>
          <w:sz w:val="24"/>
        </w:rPr>
        <w:t>14</w:t>
      </w:r>
    </w:p>
    <w:p>
      <w:pPr>
        <w:pStyle w:val="10"/>
        <w:tabs>
          <w:tab w:val="right" w:leader="dot" w:pos="8820"/>
        </w:tabs>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ascii="Times New Roman" w:hAnsi="Times New Roman"/>
          <w:sz w:val="24"/>
        </w:rPr>
        <w:tab/>
      </w:r>
      <w:r>
        <w:rPr>
          <w:rFonts w:hint="eastAsia" w:ascii="Times New Roman" w:hAnsi="Times New Roman"/>
          <w:sz w:val="24"/>
        </w:rPr>
        <w:t>15</w:t>
      </w:r>
    </w:p>
    <w:p>
      <w:pPr>
        <w:pStyle w:val="10"/>
        <w:tabs>
          <w:tab w:val="right" w:leader="dot" w:pos="8820"/>
        </w:tabs>
        <w:adjustRightInd w:val="0"/>
        <w:snapToGrid w:val="0"/>
        <w:spacing w:before="0" w:line="440" w:lineRule="exact"/>
        <w:jc w:val="left"/>
        <w:rPr>
          <w:sz w:val="24"/>
        </w:rPr>
      </w:pPr>
      <w:r>
        <w:rPr>
          <w:rFonts w:hint="eastAsia"/>
          <w:sz w:val="24"/>
        </w:rPr>
        <w:t>第四部分</w:t>
      </w:r>
      <w:r>
        <w:rPr>
          <w:sz w:val="24"/>
        </w:rPr>
        <w:t xml:space="preserve"> </w:t>
      </w:r>
      <w:r>
        <w:rPr>
          <w:rFonts w:hint="eastAsia"/>
          <w:sz w:val="24"/>
        </w:rPr>
        <w:t>附件</w:t>
      </w:r>
      <w:r>
        <w:rPr>
          <w:rFonts w:ascii="Times New Roman" w:hAnsi="Times New Roman"/>
          <w:sz w:val="24"/>
        </w:rPr>
        <w:tab/>
      </w:r>
      <w:r>
        <w:rPr>
          <w:rFonts w:hint="eastAsia" w:ascii="Times New Roman" w:hAnsi="Times New Roman"/>
          <w:sz w:val="24"/>
        </w:rPr>
        <w:t>18</w:t>
      </w:r>
    </w:p>
    <w:p>
      <w:pPr>
        <w:pStyle w:val="11"/>
        <w:tabs>
          <w:tab w:val="right" w:leader="dot" w:pos="8820"/>
        </w:tabs>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一、2021年利州区经济合作中心部门整体绩效评价报告</w:t>
      </w:r>
      <w:r>
        <w:rPr>
          <w:rFonts w:eastAsiaTheme="minorEastAsia"/>
          <w:sz w:val="24"/>
        </w:rPr>
        <w:tab/>
      </w:r>
      <w:r>
        <w:rPr>
          <w:rFonts w:hint="eastAsia" w:eastAsiaTheme="minorEastAsia"/>
          <w:sz w:val="24"/>
        </w:rPr>
        <w:t>18</w:t>
      </w:r>
    </w:p>
    <w:p>
      <w:pPr>
        <w:pStyle w:val="11"/>
        <w:tabs>
          <w:tab w:val="right" w:leader="dot" w:pos="8820"/>
        </w:tabs>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二、2021年招商引资工作经费专项预算项目支出绩效自评报告</w:t>
      </w:r>
      <w:r>
        <w:rPr>
          <w:rFonts w:eastAsiaTheme="minorEastAsia"/>
          <w:sz w:val="24"/>
        </w:rPr>
        <w:tab/>
      </w:r>
      <w:r>
        <w:rPr>
          <w:rFonts w:hint="eastAsia" w:eastAsiaTheme="minorEastAsia"/>
          <w:sz w:val="24"/>
        </w:rPr>
        <w:t>21</w:t>
      </w:r>
    </w:p>
    <w:p>
      <w:pPr>
        <w:pStyle w:val="11"/>
        <w:tabs>
          <w:tab w:val="right" w:leader="dot" w:pos="8820"/>
        </w:tabs>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三、2021年100万元以上（含）特定目标类部门预算项目绩效目标自评</w:t>
      </w:r>
      <w:r>
        <w:rPr>
          <w:rFonts w:eastAsiaTheme="minorEastAsia"/>
          <w:sz w:val="24"/>
        </w:rPr>
        <w:tab/>
      </w:r>
      <w:r>
        <w:rPr>
          <w:rFonts w:hint="eastAsia" w:eastAsiaTheme="minorEastAsia"/>
          <w:sz w:val="24"/>
        </w:rPr>
        <w:t>25</w:t>
      </w:r>
    </w:p>
    <w:p>
      <w:pPr>
        <w:pStyle w:val="11"/>
        <w:tabs>
          <w:tab w:val="right" w:leader="dot" w:pos="8820"/>
        </w:tabs>
        <w:adjustRightInd w:val="0"/>
        <w:snapToGrid w:val="0"/>
        <w:spacing w:line="440" w:lineRule="exact"/>
        <w:ind w:firstLine="480" w:firstLineChars="200"/>
        <w:jc w:val="left"/>
        <w:rPr>
          <w:sz w:val="24"/>
        </w:rPr>
      </w:pPr>
      <w:r>
        <w:rPr>
          <w:rFonts w:hint="eastAsia"/>
          <w:sz w:val="24"/>
        </w:rPr>
        <w:t>1、2021年区经济合作中心招商引资工作经费100万元以上（含）特定目标类部门预算项目绩效目标自评</w:t>
      </w:r>
      <w:r>
        <w:rPr>
          <w:sz w:val="24"/>
        </w:rPr>
        <w:tab/>
      </w:r>
      <w:r>
        <w:rPr>
          <w:rFonts w:hint="eastAsia"/>
          <w:sz w:val="24"/>
        </w:rPr>
        <w:t>25</w:t>
      </w:r>
    </w:p>
    <w:p>
      <w:pPr>
        <w:pStyle w:val="11"/>
        <w:tabs>
          <w:tab w:val="right" w:leader="dot" w:pos="8820"/>
        </w:tabs>
        <w:adjustRightInd w:val="0"/>
        <w:snapToGrid w:val="0"/>
        <w:spacing w:line="440" w:lineRule="exact"/>
        <w:jc w:val="left"/>
        <w:rPr>
          <w:rFonts w:cstheme="minorBidi"/>
          <w:sz w:val="24"/>
        </w:rPr>
      </w:pPr>
      <w:r>
        <w:rPr>
          <w:rFonts w:hint="eastAsia"/>
          <w:sz w:val="24"/>
        </w:rPr>
        <w:t>第五部分 附表</w:t>
      </w:r>
      <w:r>
        <w:rPr>
          <w:sz w:val="24"/>
        </w:rPr>
        <w:tab/>
      </w:r>
      <w:r>
        <w:rPr>
          <w:rFonts w:hint="eastAsia"/>
          <w:sz w:val="24"/>
        </w:rPr>
        <w:t>26</w:t>
      </w:r>
    </w:p>
    <w:p>
      <w:pPr>
        <w:pStyle w:val="11"/>
        <w:tabs>
          <w:tab w:val="right" w:leader="dot" w:pos="8820"/>
        </w:tabs>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一、收入支出决算总表</w:t>
      </w:r>
      <w:r>
        <w:rPr>
          <w:rFonts w:eastAsiaTheme="minorEastAsia"/>
          <w:sz w:val="24"/>
        </w:rPr>
        <w:tab/>
      </w:r>
      <w:r>
        <w:rPr>
          <w:rFonts w:hint="eastAsia" w:eastAsiaTheme="minorEastAsia"/>
          <w:sz w:val="24"/>
        </w:rPr>
        <w:t>26</w:t>
      </w:r>
    </w:p>
    <w:p>
      <w:pPr>
        <w:pStyle w:val="11"/>
        <w:tabs>
          <w:tab w:val="right" w:leader="dot" w:pos="8820"/>
        </w:tabs>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r>
        <w:rPr>
          <w:rFonts w:eastAsiaTheme="minorEastAsia"/>
          <w:sz w:val="24"/>
        </w:rPr>
        <w:tab/>
      </w:r>
      <w:r>
        <w:rPr>
          <w:rFonts w:hint="eastAsia" w:eastAsiaTheme="minorEastAsia"/>
          <w:sz w:val="24"/>
        </w:rPr>
        <w:t>26</w:t>
      </w:r>
    </w:p>
    <w:p>
      <w:pPr>
        <w:pStyle w:val="11"/>
        <w:tabs>
          <w:tab w:val="right" w:leader="dot" w:pos="8820"/>
        </w:tabs>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r>
        <w:rPr>
          <w:rFonts w:eastAsiaTheme="minorEastAsia"/>
          <w:sz w:val="24"/>
        </w:rPr>
        <w:tab/>
      </w:r>
      <w:r>
        <w:rPr>
          <w:rFonts w:hint="eastAsia" w:eastAsiaTheme="minorEastAsia"/>
          <w:sz w:val="24"/>
        </w:rPr>
        <w:t>26</w:t>
      </w:r>
    </w:p>
    <w:p>
      <w:pPr>
        <w:pStyle w:val="11"/>
        <w:tabs>
          <w:tab w:val="right" w:leader="dot" w:pos="8820"/>
        </w:tabs>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r>
        <w:rPr>
          <w:rFonts w:eastAsiaTheme="minorEastAsia"/>
          <w:sz w:val="24"/>
        </w:rPr>
        <w:tab/>
      </w:r>
      <w:r>
        <w:rPr>
          <w:rFonts w:hint="eastAsia" w:eastAsiaTheme="minorEastAsia"/>
          <w:sz w:val="24"/>
        </w:rPr>
        <w:t>26</w:t>
      </w:r>
    </w:p>
    <w:p>
      <w:pPr>
        <w:pStyle w:val="11"/>
        <w:tabs>
          <w:tab w:val="right" w:leader="dot" w:pos="8820"/>
        </w:tabs>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r>
        <w:rPr>
          <w:rFonts w:eastAsiaTheme="minorEastAsia"/>
          <w:sz w:val="24"/>
        </w:rPr>
        <w:tab/>
      </w:r>
      <w:r>
        <w:rPr>
          <w:rFonts w:hint="eastAsia" w:eastAsiaTheme="minorEastAsia"/>
          <w:sz w:val="24"/>
        </w:rPr>
        <w:t>26</w:t>
      </w:r>
    </w:p>
    <w:p>
      <w:pPr>
        <w:pStyle w:val="11"/>
        <w:tabs>
          <w:tab w:val="right" w:leader="dot" w:pos="8820"/>
        </w:tabs>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r>
        <w:rPr>
          <w:rFonts w:eastAsiaTheme="minorEastAsia"/>
          <w:sz w:val="24"/>
        </w:rPr>
        <w:tab/>
      </w:r>
      <w:r>
        <w:rPr>
          <w:rFonts w:hint="eastAsia" w:eastAsiaTheme="minorEastAsia"/>
          <w:sz w:val="24"/>
        </w:rPr>
        <w:t>26</w:t>
      </w:r>
    </w:p>
    <w:p>
      <w:pPr>
        <w:pStyle w:val="11"/>
        <w:tabs>
          <w:tab w:val="right" w:leader="dot" w:pos="8820"/>
        </w:tabs>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r>
        <w:rPr>
          <w:rFonts w:eastAsiaTheme="minorEastAsia"/>
          <w:sz w:val="24"/>
        </w:rPr>
        <w:tab/>
      </w:r>
      <w:r>
        <w:rPr>
          <w:rFonts w:hint="eastAsia" w:eastAsiaTheme="minorEastAsia"/>
          <w:sz w:val="24"/>
        </w:rPr>
        <w:t>26</w:t>
      </w:r>
    </w:p>
    <w:p>
      <w:pPr>
        <w:pStyle w:val="11"/>
        <w:tabs>
          <w:tab w:val="right" w:leader="dot" w:pos="8820"/>
        </w:tabs>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r>
        <w:rPr>
          <w:rFonts w:eastAsiaTheme="minorEastAsia"/>
          <w:sz w:val="24"/>
        </w:rPr>
        <w:tab/>
      </w:r>
      <w:r>
        <w:rPr>
          <w:rFonts w:hint="eastAsia" w:eastAsiaTheme="minorEastAsia"/>
          <w:sz w:val="24"/>
        </w:rPr>
        <w:t>26</w:t>
      </w:r>
    </w:p>
    <w:p>
      <w:pPr>
        <w:pStyle w:val="11"/>
        <w:tabs>
          <w:tab w:val="right" w:leader="dot" w:pos="8820"/>
        </w:tabs>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r>
        <w:rPr>
          <w:rFonts w:eastAsiaTheme="minorEastAsia"/>
          <w:sz w:val="24"/>
        </w:rPr>
        <w:tab/>
      </w:r>
      <w:r>
        <w:rPr>
          <w:rFonts w:hint="eastAsia" w:eastAsiaTheme="minorEastAsia"/>
          <w:sz w:val="24"/>
        </w:rPr>
        <w:t>26</w:t>
      </w:r>
    </w:p>
    <w:p>
      <w:pPr>
        <w:pStyle w:val="11"/>
        <w:tabs>
          <w:tab w:val="right" w:leader="dot" w:pos="8820"/>
        </w:tabs>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r>
        <w:rPr>
          <w:rFonts w:eastAsiaTheme="minorEastAsia"/>
          <w:sz w:val="24"/>
        </w:rPr>
        <w:tab/>
      </w:r>
      <w:r>
        <w:rPr>
          <w:rFonts w:hint="eastAsia" w:eastAsiaTheme="minorEastAsia"/>
          <w:sz w:val="24"/>
        </w:rPr>
        <w:t>26</w:t>
      </w:r>
    </w:p>
    <w:p>
      <w:pPr>
        <w:pStyle w:val="11"/>
        <w:tabs>
          <w:tab w:val="right" w:leader="dot" w:pos="8820"/>
        </w:tabs>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r>
        <w:rPr>
          <w:rFonts w:eastAsiaTheme="minorEastAsia"/>
          <w:sz w:val="24"/>
        </w:rPr>
        <w:tab/>
      </w:r>
      <w:r>
        <w:rPr>
          <w:rFonts w:hint="eastAsia" w:eastAsiaTheme="minorEastAsia"/>
          <w:sz w:val="24"/>
        </w:rPr>
        <w:t>26</w:t>
      </w:r>
    </w:p>
    <w:p>
      <w:pPr>
        <w:pStyle w:val="11"/>
        <w:tabs>
          <w:tab w:val="right" w:leader="dot" w:pos="8820"/>
        </w:tabs>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r>
        <w:rPr>
          <w:rFonts w:eastAsiaTheme="minorEastAsia"/>
          <w:sz w:val="24"/>
        </w:rPr>
        <w:tab/>
      </w:r>
      <w:r>
        <w:rPr>
          <w:rFonts w:hint="eastAsia" w:eastAsiaTheme="minorEastAsia"/>
          <w:sz w:val="24"/>
        </w:rPr>
        <w:t>26</w:t>
      </w:r>
    </w:p>
    <w:p>
      <w:pPr>
        <w:pStyle w:val="11"/>
        <w:tabs>
          <w:tab w:val="right" w:leader="dot" w:pos="8820"/>
        </w:tabs>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w:t>
      </w:r>
      <w:r>
        <w:rPr>
          <w:rFonts w:eastAsiaTheme="minorEastAsia"/>
          <w:sz w:val="24"/>
        </w:rPr>
        <w:tab/>
      </w:r>
      <w:r>
        <w:rPr>
          <w:rFonts w:hint="eastAsia" w:eastAsiaTheme="minorEastAsia"/>
          <w:sz w:val="24"/>
        </w:rPr>
        <w:t>26</w:t>
      </w:r>
    </w:p>
    <w:p>
      <w:pPr>
        <w:pStyle w:val="11"/>
        <w:tabs>
          <w:tab w:val="right" w:leader="dot" w:pos="8820"/>
        </w:tabs>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w:t>
      </w:r>
      <w:r>
        <w:rPr>
          <w:rFonts w:eastAsiaTheme="minorEastAsia"/>
          <w:sz w:val="24"/>
        </w:rPr>
        <w:tab/>
      </w:r>
      <w:r>
        <w:rPr>
          <w:rFonts w:hint="eastAsia" w:eastAsiaTheme="minorEastAsia"/>
          <w:sz w:val="24"/>
        </w:rPr>
        <w:t>26</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spacing w:before="0" w:after="0" w:line="576" w:lineRule="exact"/>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spacing w:line="576" w:lineRule="exact"/>
        <w:jc w:val="left"/>
        <w:rPr>
          <w:rFonts w:ascii="黑体" w:eastAsia="黑体"/>
          <w:sz w:val="32"/>
          <w:szCs w:val="32"/>
        </w:rPr>
      </w:pPr>
    </w:p>
    <w:p>
      <w:pPr>
        <w:pStyle w:val="4"/>
        <w:spacing w:before="0" w:after="0" w:line="576" w:lineRule="exact"/>
        <w:rPr>
          <w:rStyle w:val="25"/>
          <w:rFonts w:ascii="仿宋" w:hAnsi="仿宋" w:eastAsia="仿宋"/>
          <w:b w:val="0"/>
          <w:bCs w:val="0"/>
        </w:rPr>
      </w:pPr>
      <w:bookmarkStart w:id="14" w:name="_Toc15396600"/>
      <w:bookmarkStart w:id="15" w:name="_Toc15377197"/>
      <w:r>
        <w:rPr>
          <w:rFonts w:hint="eastAsia" w:ascii="黑体" w:hAnsi="黑体" w:eastAsia="黑体"/>
          <w:b w:val="0"/>
        </w:rPr>
        <w:t>一、基</w:t>
      </w:r>
      <w:r>
        <w:rPr>
          <w:rStyle w:val="25"/>
          <w:rFonts w:hint="eastAsia" w:ascii="黑体" w:hAnsi="黑体" w:eastAsia="黑体"/>
          <w:b w:val="0"/>
          <w:bCs w:val="0"/>
        </w:rPr>
        <w:t>本职能及主要工作</w:t>
      </w:r>
      <w:bookmarkEnd w:id="14"/>
      <w:bookmarkEnd w:id="15"/>
    </w:p>
    <w:p>
      <w:pPr>
        <w:pStyle w:val="2"/>
        <w:adjustRightInd w:val="0"/>
        <w:snapToGrid w:val="0"/>
        <w:spacing w:beforeLines="0" w:line="576" w:lineRule="exact"/>
        <w:ind w:firstLine="672" w:firstLineChars="210"/>
        <w:outlineLvl w:val="2"/>
        <w:rPr>
          <w:rFonts w:hint="eastAsia" w:ascii="方正楷体简体" w:hAnsi="宋体" w:eastAsia="方正楷体简体" w:cs="宋体"/>
          <w:sz w:val="32"/>
          <w:szCs w:val="32"/>
          <w:shd w:val="clear" w:color="auto" w:fill="FFFFFF"/>
          <w:lang w:val="zh-CN"/>
        </w:rPr>
      </w:pPr>
      <w:bookmarkStart w:id="16" w:name="_Toc15378445"/>
      <w:bookmarkStart w:id="17" w:name="_Toc15377198"/>
      <w:r>
        <w:rPr>
          <w:rFonts w:hint="eastAsia" w:ascii="方正楷体简体" w:hAnsi="宋体" w:eastAsia="方正楷体简体" w:cs="宋体"/>
          <w:sz w:val="32"/>
          <w:szCs w:val="32"/>
          <w:shd w:val="clear" w:color="auto" w:fill="FFFFFF"/>
          <w:lang w:val="zh-CN"/>
        </w:rPr>
        <w:t>（一）主要职能。</w:t>
      </w:r>
      <w:bookmarkEnd w:id="16"/>
      <w:bookmarkEnd w:id="17"/>
    </w:p>
    <w:p>
      <w:pPr>
        <w:pStyle w:val="2"/>
        <w:adjustRightInd w:val="0"/>
        <w:snapToGrid w:val="0"/>
        <w:spacing w:beforeLines="0" w:line="576" w:lineRule="exact"/>
        <w:ind w:firstLine="672" w:firstLineChars="210"/>
        <w:outlineLvl w:val="2"/>
        <w:rPr>
          <w:rFonts w:hAnsi="宋体" w:cs="宋体"/>
          <w:sz w:val="32"/>
          <w:szCs w:val="32"/>
          <w:shd w:val="clear" w:color="auto" w:fill="FFFFFF"/>
          <w:lang w:val="zh-CN"/>
        </w:rPr>
      </w:pPr>
      <w:r>
        <w:rPr>
          <w:rFonts w:hint="eastAsia" w:hAnsi="宋体" w:cs="宋体"/>
          <w:sz w:val="32"/>
          <w:szCs w:val="32"/>
          <w:shd w:val="clear" w:color="auto" w:fill="FFFFFF"/>
          <w:lang w:val="zh-CN"/>
        </w:rPr>
        <w:t>1.负责推进全区经济合作工作，协助起草有关经济合作的政策制度，参与拟订全区经济合作的中长期规划和年度计划并组织实施。</w:t>
      </w:r>
    </w:p>
    <w:p>
      <w:pPr>
        <w:pStyle w:val="2"/>
        <w:adjustRightInd w:val="0"/>
        <w:snapToGrid w:val="0"/>
        <w:spacing w:beforeLines="0" w:line="576" w:lineRule="exact"/>
        <w:ind w:firstLine="672" w:firstLineChars="210"/>
        <w:outlineLvl w:val="2"/>
        <w:rPr>
          <w:rFonts w:hAnsi="宋体" w:cs="宋体"/>
          <w:sz w:val="32"/>
          <w:szCs w:val="32"/>
          <w:shd w:val="clear" w:color="auto" w:fill="FFFFFF"/>
          <w:lang w:val="zh-CN"/>
        </w:rPr>
      </w:pPr>
      <w:r>
        <w:rPr>
          <w:rFonts w:hint="eastAsia" w:hAnsi="宋体" w:cs="宋体"/>
          <w:sz w:val="32"/>
          <w:szCs w:val="32"/>
          <w:shd w:val="clear" w:color="auto" w:fill="FFFFFF"/>
          <w:lang w:val="zh-CN"/>
        </w:rPr>
        <w:t>2.指导全区投资促进工作，负责全区投资环境推介工作，组织区级重大投资促进活动，牵头全区重大招商项目的促进和落实，推进投资促进和管理服务网络体系建设。</w:t>
      </w:r>
    </w:p>
    <w:p>
      <w:pPr>
        <w:pStyle w:val="2"/>
        <w:adjustRightInd w:val="0"/>
        <w:snapToGrid w:val="0"/>
        <w:spacing w:beforeLines="0" w:line="576" w:lineRule="exact"/>
        <w:ind w:firstLine="672" w:firstLineChars="210"/>
        <w:outlineLvl w:val="2"/>
        <w:rPr>
          <w:rFonts w:hAnsi="宋体" w:cs="宋体"/>
          <w:sz w:val="32"/>
          <w:szCs w:val="32"/>
          <w:shd w:val="clear" w:color="auto" w:fill="FFFFFF"/>
          <w:lang w:val="zh-CN"/>
        </w:rPr>
      </w:pPr>
      <w:r>
        <w:rPr>
          <w:rFonts w:hint="eastAsia" w:hAnsi="宋体" w:cs="宋体"/>
          <w:sz w:val="32"/>
          <w:szCs w:val="32"/>
          <w:shd w:val="clear" w:color="auto" w:fill="FFFFFF"/>
          <w:lang w:val="zh-CN"/>
        </w:rPr>
        <w:t>3.承担我区与国（境）内外相关区域经济合作活动的有关具体工作。</w:t>
      </w:r>
    </w:p>
    <w:p>
      <w:pPr>
        <w:pStyle w:val="2"/>
        <w:adjustRightInd w:val="0"/>
        <w:snapToGrid w:val="0"/>
        <w:spacing w:beforeLines="0" w:line="576" w:lineRule="exact"/>
        <w:ind w:firstLine="672" w:firstLineChars="210"/>
        <w:outlineLvl w:val="2"/>
        <w:rPr>
          <w:rFonts w:hAnsi="宋体" w:cs="宋体"/>
          <w:sz w:val="32"/>
          <w:szCs w:val="32"/>
          <w:shd w:val="clear" w:color="auto" w:fill="FFFFFF"/>
          <w:lang w:val="zh-CN"/>
        </w:rPr>
      </w:pPr>
      <w:r>
        <w:rPr>
          <w:rFonts w:hint="eastAsia" w:hAnsi="宋体" w:cs="宋体"/>
          <w:sz w:val="32"/>
          <w:szCs w:val="32"/>
          <w:shd w:val="clear" w:color="auto" w:fill="FFFFFF"/>
          <w:lang w:val="zh-CN"/>
        </w:rPr>
        <w:t>4.负责联系和协调外地企业来区设立非经营性机构的工作，负责友好地区及单位的联络工作。</w:t>
      </w:r>
    </w:p>
    <w:p>
      <w:pPr>
        <w:pStyle w:val="2"/>
        <w:adjustRightInd w:val="0"/>
        <w:snapToGrid w:val="0"/>
        <w:spacing w:beforeLines="0" w:line="576" w:lineRule="exact"/>
        <w:ind w:firstLine="672" w:firstLineChars="210"/>
        <w:outlineLvl w:val="2"/>
        <w:rPr>
          <w:rFonts w:hAnsi="宋体" w:cs="宋体"/>
          <w:sz w:val="32"/>
          <w:szCs w:val="32"/>
          <w:shd w:val="clear" w:color="auto" w:fill="FFFFFF"/>
          <w:lang w:val="zh-CN"/>
        </w:rPr>
      </w:pPr>
      <w:r>
        <w:rPr>
          <w:rFonts w:hint="eastAsia" w:hAnsi="宋体" w:cs="宋体"/>
          <w:sz w:val="32"/>
          <w:szCs w:val="32"/>
          <w:shd w:val="clear" w:color="auto" w:fill="FFFFFF"/>
          <w:lang w:val="zh-CN"/>
        </w:rPr>
        <w:t>5.调查研究，搜集信息，及时向区委、区政府提供投资促进区域经济协作的决策依据，建立和完善区域经济协作、投资促进信息网络，提供相关的咨询服务，会同有关部门编报全区招商引资的统计资料。</w:t>
      </w:r>
    </w:p>
    <w:p>
      <w:pPr>
        <w:pStyle w:val="2"/>
        <w:adjustRightInd w:val="0"/>
        <w:snapToGrid w:val="0"/>
        <w:spacing w:beforeLines="0" w:line="576" w:lineRule="exact"/>
        <w:ind w:firstLine="672" w:firstLineChars="210"/>
        <w:outlineLvl w:val="2"/>
        <w:rPr>
          <w:rFonts w:hAnsi="宋体" w:cs="宋体"/>
          <w:sz w:val="32"/>
          <w:szCs w:val="32"/>
          <w:shd w:val="clear" w:color="auto" w:fill="FFFFFF"/>
          <w:lang w:val="zh-CN"/>
        </w:rPr>
      </w:pPr>
      <w:r>
        <w:rPr>
          <w:rFonts w:hint="eastAsia" w:hAnsi="宋体" w:cs="宋体"/>
          <w:sz w:val="32"/>
          <w:szCs w:val="32"/>
          <w:shd w:val="clear" w:color="auto" w:fill="FFFFFF"/>
          <w:lang w:val="zh-CN"/>
        </w:rPr>
        <w:t>6.负责职责范围内的安全生产和职业健康、生态环境保护等工作。</w:t>
      </w:r>
    </w:p>
    <w:p>
      <w:pPr>
        <w:pStyle w:val="2"/>
        <w:adjustRightInd w:val="0"/>
        <w:snapToGrid w:val="0"/>
        <w:spacing w:beforeLines="0" w:line="576" w:lineRule="exact"/>
        <w:ind w:firstLine="672" w:firstLineChars="210"/>
        <w:outlineLvl w:val="2"/>
        <w:rPr>
          <w:rFonts w:hAnsi="宋体" w:cs="宋体"/>
          <w:sz w:val="32"/>
          <w:szCs w:val="32"/>
          <w:shd w:val="clear" w:color="auto" w:fill="FFFFFF"/>
          <w:lang w:val="zh-CN"/>
        </w:rPr>
      </w:pPr>
      <w:r>
        <w:rPr>
          <w:rFonts w:hint="eastAsia" w:hAnsi="宋体" w:cs="宋体"/>
          <w:sz w:val="32"/>
          <w:szCs w:val="32"/>
          <w:shd w:val="clear" w:color="auto" w:fill="FFFFFF"/>
          <w:lang w:val="zh-CN"/>
        </w:rPr>
        <w:t>7.完成区委、区政府交办的其他工作。</w:t>
      </w:r>
    </w:p>
    <w:p>
      <w:pPr>
        <w:pStyle w:val="2"/>
        <w:adjustRightInd w:val="0"/>
        <w:snapToGrid w:val="0"/>
        <w:spacing w:beforeLines="0" w:line="576" w:lineRule="exact"/>
        <w:ind w:firstLine="672" w:firstLineChars="210"/>
        <w:outlineLvl w:val="2"/>
        <w:rPr>
          <w:rFonts w:ascii="方正楷体简体" w:hAnsi="宋体" w:eastAsia="方正楷体简体" w:cs="宋体"/>
          <w:sz w:val="32"/>
          <w:szCs w:val="32"/>
          <w:shd w:val="clear" w:color="auto" w:fill="FFFFFF"/>
          <w:lang w:val="zh-CN"/>
        </w:rPr>
      </w:pPr>
      <w:bookmarkStart w:id="18" w:name="_Toc15378446"/>
      <w:bookmarkStart w:id="19" w:name="_Toc15377199"/>
      <w:r>
        <w:rPr>
          <w:rFonts w:hint="eastAsia" w:ascii="方正楷体简体" w:hAnsi="宋体" w:eastAsia="方正楷体简体" w:cs="宋体"/>
          <w:sz w:val="32"/>
          <w:szCs w:val="32"/>
          <w:shd w:val="clear" w:color="auto" w:fill="FFFFFF"/>
          <w:lang w:val="zh-CN"/>
        </w:rPr>
        <w:t>（二）</w:t>
      </w:r>
      <w:r>
        <w:rPr>
          <w:rFonts w:ascii="方正楷体简体" w:hAnsi="宋体" w:eastAsia="方正楷体简体" w:cs="宋体"/>
          <w:sz w:val="32"/>
          <w:szCs w:val="32"/>
          <w:shd w:val="clear" w:color="auto" w:fill="FFFFFF"/>
          <w:lang w:val="zh-CN"/>
        </w:rPr>
        <w:t>20</w:t>
      </w:r>
      <w:r>
        <w:rPr>
          <w:rFonts w:hint="eastAsia" w:ascii="方正楷体简体" w:hAnsi="宋体" w:eastAsia="方正楷体简体" w:cs="宋体"/>
          <w:sz w:val="32"/>
          <w:szCs w:val="32"/>
          <w:shd w:val="clear" w:color="auto" w:fill="FFFFFF"/>
          <w:lang w:val="zh-CN"/>
        </w:rPr>
        <w:t>21年重点工作完成情况。</w:t>
      </w:r>
      <w:bookmarkEnd w:id="18"/>
      <w:bookmarkEnd w:id="19"/>
    </w:p>
    <w:p>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2021年，全区上报到位市外资金99.46亿元；其中上报到位工业资金56.67亿元，到位省外5+1产业资金33.17亿元，占全年目标33亿元的100.52%；完成到位省外资金56.63亿元，占全年目标56亿元的101.3%。1-12月引进新签约项目40个，亿元以上项目30个，其中：1-5亿元项目24个，完成全年目标任务8个的300%；5-10亿元项目4个，完成全年目标任务4个的100%；10亿元以上项目1个，完成全年目标任务1个的100%；20亿元以上项目1个，完成全年目标任务1个的100%；50亿元以上项目1个，完成全年目标任务1个的100%。1-12月引进新开工项目33个，亿元以上项目24个，其中:1-5亿元项目19个，完成全年目标任务8个的238%；5-10亿元项目4个，完成全年目标任务4个的100%，10亿元以上项目1个，完成全年目标任务1个的100%。全区招商引资项目履约率达94.44%，完成市目标90%的105%；全区招商引资项目开工率达83.33%，完成市目标80%的104%；全区招商引资项目资金到位率达72.64%，完成市目标30%的242%。区委区政府“一把手”带头外出招商次数24次，完成目标任务12次的200%。</w:t>
      </w:r>
    </w:p>
    <w:p>
      <w:pPr>
        <w:pStyle w:val="4"/>
        <w:spacing w:before="0" w:after="0" w:line="576" w:lineRule="exact"/>
        <w:rPr>
          <w:rStyle w:val="25"/>
          <w:b w:val="0"/>
          <w:bCs w:val="0"/>
        </w:rPr>
      </w:pPr>
      <w:bookmarkStart w:id="20" w:name="_Toc15377200"/>
      <w:bookmarkStart w:id="21" w:name="_Toc15396601"/>
      <w:r>
        <w:rPr>
          <w:rFonts w:hint="eastAsia" w:ascii="黑体" w:eastAsia="黑体"/>
          <w:b w:val="0"/>
        </w:rPr>
        <w:t>二、</w:t>
      </w:r>
      <w:r>
        <w:rPr>
          <w:rFonts w:hint="eastAsia" w:ascii="黑体" w:hAnsi="黑体" w:eastAsia="黑体"/>
          <w:b w:val="0"/>
        </w:rPr>
        <w:t>机</w:t>
      </w:r>
      <w:r>
        <w:rPr>
          <w:rStyle w:val="25"/>
          <w:rFonts w:hint="eastAsia" w:ascii="黑体" w:hAnsi="黑体" w:eastAsia="黑体"/>
          <w:b w:val="0"/>
          <w:bCs w:val="0"/>
        </w:rPr>
        <w:t>构设置</w:t>
      </w:r>
      <w:bookmarkEnd w:id="20"/>
      <w:bookmarkEnd w:id="21"/>
    </w:p>
    <w:p>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广元市利州区经济合作中心下属二级单位1个，其中行政单位0个，参照公务员法管理的事业单位0个，其他事业单位1个。</w:t>
      </w:r>
    </w:p>
    <w:p>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纳入广元市利州区经济合作中心2021年度部门决算编制范围的二级预算单位包括：</w:t>
      </w:r>
    </w:p>
    <w:p>
      <w:pPr>
        <w:spacing w:line="576" w:lineRule="exact"/>
        <w:ind w:firstLine="640" w:firstLineChars="200"/>
        <w:jc w:val="left"/>
        <w:rPr>
          <w:rFonts w:ascii="仿宋_GB2312" w:eastAsia="仿宋_GB2312"/>
          <w:sz w:val="32"/>
          <w:szCs w:val="32"/>
        </w:rPr>
      </w:pPr>
      <w:bookmarkStart w:id="22" w:name="_Toc50478089"/>
      <w:bookmarkStart w:id="23" w:name="_Toc15377433"/>
      <w:bookmarkStart w:id="24" w:name="_Toc15306276"/>
      <w:bookmarkStart w:id="25" w:name="_Toc15377202"/>
      <w:bookmarkStart w:id="26" w:name="_Toc15378449"/>
      <w:r>
        <w:rPr>
          <w:rFonts w:hint="eastAsia" w:ascii="仿宋_GB2312" w:eastAsia="仿宋_GB2312"/>
          <w:sz w:val="32"/>
          <w:szCs w:val="32"/>
        </w:rPr>
        <w:t>广元市利州区招商服务中心</w:t>
      </w:r>
      <w:bookmarkEnd w:id="22"/>
    </w:p>
    <w:p>
      <w:pPr>
        <w:pStyle w:val="2"/>
        <w:spacing w:before="93"/>
      </w:pPr>
      <w:r>
        <w:br w:type="page"/>
      </w:r>
    </w:p>
    <w:bookmarkEnd w:id="23"/>
    <w:bookmarkEnd w:id="24"/>
    <w:bookmarkEnd w:id="25"/>
    <w:bookmarkEnd w:id="26"/>
    <w:p>
      <w:pPr>
        <w:widowControl/>
        <w:spacing w:line="530" w:lineRule="exact"/>
        <w:jc w:val="left"/>
        <w:rPr>
          <w:rStyle w:val="24"/>
          <w:rFonts w:ascii="黑体" w:hAnsi="黑体" w:eastAsia="黑体"/>
          <w:b w:val="0"/>
        </w:rPr>
      </w:pPr>
      <w:bookmarkStart w:id="27" w:name="_Toc15377204"/>
      <w:bookmarkStart w:id="28" w:name="_Toc15396602"/>
      <w:r>
        <w:rPr>
          <w:rStyle w:val="24"/>
          <w:rFonts w:hint="eastAsia" w:ascii="黑体" w:hAnsi="黑体" w:eastAsia="黑体"/>
          <w:b w:val="0"/>
        </w:rPr>
        <w:t>第二部分 2021年度部门决算情况说明</w:t>
      </w:r>
      <w:bookmarkEnd w:id="27"/>
      <w:bookmarkEnd w:id="28"/>
    </w:p>
    <w:p>
      <w:pPr>
        <w:spacing w:line="530" w:lineRule="exact"/>
      </w:pPr>
    </w:p>
    <w:p>
      <w:pPr>
        <w:pStyle w:val="23"/>
        <w:numPr>
          <w:ilvl w:val="0"/>
          <w:numId w:val="1"/>
        </w:numPr>
        <w:spacing w:line="530" w:lineRule="exact"/>
        <w:ind w:firstLineChars="0"/>
        <w:outlineLvl w:val="1"/>
        <w:rPr>
          <w:rStyle w:val="25"/>
          <w:rFonts w:ascii="黑体" w:hAnsi="黑体" w:eastAsia="黑体"/>
          <w:b w:val="0"/>
        </w:rPr>
      </w:pPr>
      <w:bookmarkStart w:id="29" w:name="_Toc15377205"/>
      <w:bookmarkStart w:id="30"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29"/>
      <w:bookmarkEnd w:id="30"/>
    </w:p>
    <w:p>
      <w:pPr>
        <w:spacing w:line="530" w:lineRule="exact"/>
        <w:ind w:firstLine="640" w:firstLineChars="200"/>
      </w:pPr>
      <w:r>
        <w:rPr>
          <w:rFonts w:hint="eastAsia" w:ascii="仿宋" w:hAnsi="仿宋" w:eastAsia="仿宋"/>
          <w:sz w:val="32"/>
          <w:szCs w:val="32"/>
        </w:rPr>
        <w:t>2021年度收</w:t>
      </w:r>
      <w:r>
        <w:rPr>
          <w:rFonts w:hint="eastAsia" w:ascii="仿宋" w:hAnsi="仿宋" w:eastAsia="仿宋"/>
          <w:sz w:val="32"/>
          <w:szCs w:val="32"/>
          <w:lang w:eastAsia="zh-CN"/>
        </w:rPr>
        <w:t>、支</w:t>
      </w:r>
      <w:r>
        <w:rPr>
          <w:rFonts w:hint="eastAsia" w:ascii="仿宋" w:hAnsi="仿宋" w:eastAsia="仿宋"/>
          <w:sz w:val="32"/>
          <w:szCs w:val="32"/>
        </w:rPr>
        <w:t>总计</w:t>
      </w:r>
      <w:r>
        <w:rPr>
          <w:rFonts w:hint="eastAsia" w:ascii="仿宋" w:hAnsi="仿宋" w:eastAsia="仿宋"/>
          <w:sz w:val="32"/>
          <w:szCs w:val="32"/>
          <w:lang w:val="en-US" w:eastAsia="zh-CN"/>
        </w:rPr>
        <w:t>583.32</w:t>
      </w:r>
      <w:r>
        <w:rPr>
          <w:rFonts w:hint="eastAsia" w:ascii="仿宋" w:hAnsi="仿宋" w:eastAsia="仿宋"/>
          <w:sz w:val="32"/>
          <w:szCs w:val="32"/>
        </w:rPr>
        <w:t>万元。与2020年相比，收</w:t>
      </w:r>
      <w:r>
        <w:rPr>
          <w:rFonts w:hint="eastAsia" w:ascii="仿宋" w:hAnsi="仿宋" w:eastAsia="仿宋"/>
          <w:sz w:val="32"/>
          <w:szCs w:val="32"/>
          <w:lang w:eastAsia="zh-CN"/>
        </w:rPr>
        <w:t>、支</w:t>
      </w:r>
      <w:r>
        <w:rPr>
          <w:rFonts w:hint="eastAsia" w:ascii="仿宋" w:hAnsi="仿宋" w:eastAsia="仿宋"/>
          <w:sz w:val="32"/>
          <w:szCs w:val="32"/>
        </w:rPr>
        <w:t>总计减少</w:t>
      </w:r>
      <w:r>
        <w:rPr>
          <w:rFonts w:hint="eastAsia" w:ascii="仿宋" w:hAnsi="仿宋" w:eastAsia="仿宋"/>
          <w:sz w:val="32"/>
          <w:szCs w:val="32"/>
          <w:lang w:val="en-US" w:eastAsia="zh-CN"/>
        </w:rPr>
        <w:t>942.32</w:t>
      </w:r>
      <w:r>
        <w:rPr>
          <w:rFonts w:hint="eastAsia" w:ascii="仿宋" w:hAnsi="仿宋" w:eastAsia="仿宋"/>
          <w:sz w:val="32"/>
          <w:szCs w:val="32"/>
        </w:rPr>
        <w:t>万元，下降</w:t>
      </w:r>
      <w:r>
        <w:rPr>
          <w:rFonts w:hint="eastAsia" w:ascii="仿宋" w:hAnsi="仿宋" w:eastAsia="仿宋"/>
          <w:sz w:val="32"/>
          <w:szCs w:val="32"/>
          <w:lang w:val="en-US" w:eastAsia="zh-CN"/>
        </w:rPr>
        <w:t>61.77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000000"/>
          <w:sz w:val="32"/>
          <w:szCs w:val="32"/>
        </w:rPr>
        <w:t>企业招商引资奖补资金减少。</w:t>
      </w:r>
    </w:p>
    <w:p>
      <w:pPr>
        <w:pStyle w:val="2"/>
        <w:spacing w:before="93"/>
        <w:jc w:val="center"/>
      </w:pPr>
      <w:r>
        <w:rPr>
          <w:rStyle w:val="25"/>
          <w:rFonts w:hint="eastAsia" w:ascii="黑体" w:hAnsi="黑体" w:eastAsia="黑体"/>
          <w:b w:val="0"/>
          <w:lang w:eastAsia="zh-CN"/>
        </w:rPr>
        <w:drawing>
          <wp:inline distT="0" distB="0" distL="114300" distR="114300">
            <wp:extent cx="5256530" cy="2988310"/>
            <wp:effectExtent l="5080" t="4445" r="15240"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530" w:lineRule="exact"/>
        <w:ind w:firstLine="640" w:firstLineChars="200"/>
        <w:rPr>
          <w:rFonts w:hint="eastAsia" w:ascii="仿宋" w:hAnsi="仿宋" w:eastAsia="仿宋"/>
          <w:sz w:val="32"/>
          <w:szCs w:val="32"/>
        </w:rPr>
      </w:pPr>
      <w:bookmarkStart w:id="31" w:name="_Toc15377206"/>
      <w:bookmarkStart w:id="32" w:name="_Toc15396604"/>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pPr>
    </w:p>
    <w:p>
      <w:pPr>
        <w:pStyle w:val="23"/>
        <w:numPr>
          <w:ilvl w:val="0"/>
          <w:numId w:val="1"/>
        </w:numPr>
        <w:spacing w:line="530" w:lineRule="exact"/>
        <w:ind w:firstLineChars="0"/>
        <w:outlineLvl w:val="1"/>
        <w:rPr>
          <w:rStyle w:val="25"/>
          <w:rFonts w:ascii="黑体" w:hAnsi="黑体" w:eastAsia="黑体"/>
          <w:b w:val="0"/>
        </w:rPr>
      </w:pPr>
      <w:r>
        <w:rPr>
          <w:rFonts w:hint="eastAsia" w:ascii="黑体" w:hAnsi="黑体" w:eastAsia="黑体"/>
          <w:sz w:val="32"/>
          <w:szCs w:val="32"/>
        </w:rPr>
        <w:t>收</w:t>
      </w:r>
      <w:r>
        <w:rPr>
          <w:rStyle w:val="25"/>
          <w:rFonts w:hint="eastAsia" w:ascii="黑体" w:hAnsi="黑体" w:eastAsia="黑体"/>
          <w:b w:val="0"/>
        </w:rPr>
        <w:t>入决算情况说明</w:t>
      </w:r>
      <w:bookmarkEnd w:id="31"/>
      <w:bookmarkEnd w:id="32"/>
    </w:p>
    <w:p>
      <w:pPr>
        <w:spacing w:line="53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484.1</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484.1</w:t>
      </w:r>
      <w:r>
        <w:rPr>
          <w:rFonts w:hint="eastAsia" w:ascii="仿宋" w:hAnsi="仿宋" w:eastAsia="仿宋"/>
          <w:sz w:val="32"/>
          <w:szCs w:val="32"/>
        </w:rPr>
        <w:t>万元，占100</w:t>
      </w:r>
      <w:r>
        <w:rPr>
          <w:rFonts w:ascii="仿宋" w:hAnsi="仿宋" w:eastAsia="仿宋"/>
          <w:sz w:val="32"/>
          <w:szCs w:val="32"/>
        </w:rPr>
        <w:t>%</w:t>
      </w:r>
      <w:r>
        <w:rPr>
          <w:rFonts w:hint="eastAsia" w:ascii="仿宋" w:hAnsi="仿宋" w:eastAsia="仿宋"/>
          <w:sz w:val="32"/>
          <w:szCs w:val="32"/>
        </w:rPr>
        <w:t>。</w:t>
      </w:r>
    </w:p>
    <w:p>
      <w:pPr>
        <w:spacing w:line="530" w:lineRule="exact"/>
        <w:ind w:firstLine="643" w:firstLineChars="200"/>
        <w:outlineLvl w:val="1"/>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w:t>
      </w:r>
      <w:r>
        <w:rPr>
          <w:rFonts w:ascii="仿宋" w:hAnsi="仿宋" w:eastAsia="仿宋"/>
          <w:b/>
          <w:sz w:val="32"/>
          <w:szCs w:val="32"/>
        </w:rPr>
        <w:t>）</w:t>
      </w:r>
    </w:p>
    <w:p>
      <w:pPr>
        <w:jc w:val="center"/>
        <w:outlineLvl w:val="1"/>
        <w:rPr>
          <w:rFonts w:ascii="仿宋" w:hAnsi="仿宋" w:eastAsia="仿宋"/>
          <w:sz w:val="32"/>
          <w:szCs w:val="32"/>
        </w:rPr>
      </w:pPr>
      <w:r>
        <w:drawing>
          <wp:inline distT="0" distB="0" distL="114300" distR="114300">
            <wp:extent cx="5165090" cy="2493645"/>
            <wp:effectExtent l="19050" t="0" r="16403" b="1732"/>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ind w:firstLine="640" w:firstLineChars="200"/>
        <w:jc w:val="center"/>
        <w:rPr>
          <w:rFonts w:ascii="仿宋_GB2312" w:eastAsia="仿宋_GB2312"/>
          <w:sz w:val="32"/>
          <w:szCs w:val="32"/>
        </w:rPr>
      </w:pPr>
    </w:p>
    <w:p>
      <w:pPr>
        <w:pStyle w:val="23"/>
        <w:numPr>
          <w:ilvl w:val="0"/>
          <w:numId w:val="1"/>
        </w:numPr>
        <w:ind w:firstLineChars="0"/>
        <w:outlineLvl w:val="1"/>
        <w:rPr>
          <w:rStyle w:val="25"/>
          <w:rFonts w:ascii="黑体" w:hAnsi="黑体" w:eastAsia="黑体"/>
          <w:b w:val="0"/>
        </w:rPr>
      </w:pPr>
      <w:bookmarkStart w:id="33" w:name="_Toc15396605"/>
      <w:bookmarkStart w:id="34" w:name="_Toc15377207"/>
      <w:r>
        <w:rPr>
          <w:rFonts w:hint="eastAsia" w:ascii="黑体" w:hAnsi="黑体" w:eastAsia="黑体"/>
          <w:sz w:val="32"/>
          <w:szCs w:val="32"/>
        </w:rPr>
        <w:t>支</w:t>
      </w:r>
      <w:r>
        <w:rPr>
          <w:rStyle w:val="25"/>
          <w:rFonts w:hint="eastAsia" w:ascii="黑体" w:hAnsi="黑体" w:eastAsia="黑体"/>
          <w:b w:val="0"/>
        </w:rPr>
        <w:t>出决算情况说明</w:t>
      </w:r>
      <w:bookmarkEnd w:id="33"/>
      <w:bookmarkEnd w:id="34"/>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21年本年支出合计518.84万元，其中：基本支出240.13万元，占46.3</w:t>
      </w:r>
      <w:r>
        <w:rPr>
          <w:rFonts w:ascii="仿宋" w:hAnsi="仿宋" w:eastAsia="仿宋"/>
          <w:sz w:val="32"/>
          <w:szCs w:val="32"/>
        </w:rPr>
        <w:t>%</w:t>
      </w:r>
      <w:r>
        <w:rPr>
          <w:rFonts w:hint="eastAsia" w:ascii="仿宋" w:hAnsi="仿宋" w:eastAsia="仿宋"/>
          <w:sz w:val="32"/>
          <w:szCs w:val="32"/>
        </w:rPr>
        <w:t>；项目支出278.7万元，占53.7</w:t>
      </w:r>
      <w:r>
        <w:rPr>
          <w:rFonts w:ascii="仿宋" w:hAnsi="仿宋" w:eastAsia="仿宋"/>
          <w:sz w:val="32"/>
          <w:szCs w:val="32"/>
        </w:rPr>
        <w:t>%</w:t>
      </w:r>
      <w:r>
        <w:rPr>
          <w:rFonts w:hint="eastAsia" w:ascii="仿宋" w:hAnsi="仿宋" w:eastAsia="仿宋"/>
          <w:sz w:val="32"/>
          <w:szCs w:val="32"/>
        </w:rPr>
        <w:t>。</w:t>
      </w:r>
    </w:p>
    <w:p>
      <w:pPr>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w:t>
      </w:r>
    </w:p>
    <w:p>
      <w:pPr>
        <w:jc w:val="center"/>
        <w:rPr>
          <w:rFonts w:ascii="仿宋" w:hAnsi="仿宋" w:eastAsia="仿宋"/>
          <w:sz w:val="32"/>
          <w:szCs w:val="32"/>
          <w:shd w:val="pct10" w:color="auto" w:fill="FFFFFF"/>
        </w:rPr>
      </w:pPr>
      <w:r>
        <w:drawing>
          <wp:inline distT="0" distB="0" distL="114300" distR="114300">
            <wp:extent cx="5227320" cy="2303780"/>
            <wp:effectExtent l="19050" t="0" r="11191" b="1237"/>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25"/>
          <w:rFonts w:ascii="黑体" w:hAnsi="黑体" w:eastAsia="黑体"/>
          <w:b w:val="0"/>
        </w:rPr>
      </w:pPr>
      <w:bookmarkStart w:id="35" w:name="_Toc15396606"/>
      <w:bookmarkStart w:id="36"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5"/>
      <w:bookmarkEnd w:id="36"/>
    </w:p>
    <w:p>
      <w:pPr>
        <w:ind w:firstLine="640" w:firstLineChars="200"/>
      </w:pPr>
      <w:r>
        <w:rPr>
          <w:rFonts w:ascii="仿宋" w:hAnsi="仿宋" w:eastAsia="仿宋"/>
          <w:sz w:val="32"/>
          <w:szCs w:val="32"/>
        </w:rPr>
        <w:t>20</w:t>
      </w:r>
      <w:r>
        <w:rPr>
          <w:rFonts w:hint="eastAsia" w:ascii="仿宋" w:hAnsi="仿宋" w:eastAsia="仿宋"/>
          <w:sz w:val="32"/>
          <w:szCs w:val="32"/>
        </w:rPr>
        <w:t>21年财政拨款收、支总计</w:t>
      </w:r>
      <w:r>
        <w:rPr>
          <w:rFonts w:hint="eastAsia" w:ascii="仿宋" w:hAnsi="仿宋" w:eastAsia="仿宋"/>
          <w:sz w:val="32"/>
          <w:szCs w:val="32"/>
          <w:lang w:val="en-US" w:eastAsia="zh-CN"/>
        </w:rPr>
        <w:t>583.32</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w:t>
      </w:r>
      <w:r>
        <w:rPr>
          <w:rFonts w:hint="eastAsia" w:ascii="仿宋" w:hAnsi="仿宋" w:eastAsia="仿宋"/>
          <w:sz w:val="32"/>
          <w:szCs w:val="32"/>
          <w:lang w:eastAsia="zh-CN"/>
        </w:rPr>
        <w:t>、支</w:t>
      </w:r>
      <w:r>
        <w:rPr>
          <w:rFonts w:hint="eastAsia" w:ascii="仿宋" w:hAnsi="仿宋" w:eastAsia="仿宋"/>
          <w:sz w:val="32"/>
          <w:szCs w:val="32"/>
        </w:rPr>
        <w:t>总计减少</w:t>
      </w:r>
      <w:r>
        <w:rPr>
          <w:rFonts w:hint="eastAsia" w:ascii="仿宋" w:hAnsi="仿宋" w:eastAsia="仿宋"/>
          <w:sz w:val="32"/>
          <w:szCs w:val="32"/>
          <w:lang w:val="en-US" w:eastAsia="zh-CN"/>
        </w:rPr>
        <w:t>942.32</w:t>
      </w:r>
      <w:r>
        <w:rPr>
          <w:rFonts w:hint="eastAsia" w:ascii="仿宋" w:hAnsi="仿宋" w:eastAsia="仿宋"/>
          <w:sz w:val="32"/>
          <w:szCs w:val="32"/>
        </w:rPr>
        <w:t>万元，下降</w:t>
      </w:r>
      <w:r>
        <w:rPr>
          <w:rFonts w:hint="eastAsia" w:ascii="仿宋" w:hAnsi="仿宋" w:eastAsia="仿宋"/>
          <w:sz w:val="32"/>
          <w:szCs w:val="32"/>
          <w:lang w:val="en-US" w:eastAsia="zh-CN"/>
        </w:rPr>
        <w:t>61.77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000000"/>
          <w:sz w:val="32"/>
          <w:szCs w:val="32"/>
        </w:rPr>
        <w:t>企业招商引资奖补资金减少。</w:t>
      </w:r>
    </w:p>
    <w:p>
      <w:pPr>
        <w:rPr>
          <w:rFonts w:ascii="仿宋" w:hAnsi="仿宋" w:eastAsia="仿宋"/>
          <w:sz w:val="32"/>
          <w:szCs w:val="32"/>
        </w:rPr>
      </w:pPr>
      <w:r>
        <w:drawing>
          <wp:inline distT="0" distB="0" distL="114300" distR="114300">
            <wp:extent cx="5258435" cy="3063240"/>
            <wp:effectExtent l="19050" t="0" r="17920" b="3216"/>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640"/>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ind w:firstLine="640"/>
        <w:rPr>
          <w:rFonts w:ascii="仿宋" w:hAnsi="仿宋" w:eastAsia="仿宋"/>
          <w:b/>
          <w:sz w:val="32"/>
          <w:szCs w:val="32"/>
        </w:rPr>
      </w:pPr>
    </w:p>
    <w:p>
      <w:pPr>
        <w:spacing w:line="600" w:lineRule="exact"/>
        <w:ind w:firstLine="640" w:firstLineChars="200"/>
        <w:outlineLvl w:val="1"/>
        <w:rPr>
          <w:rStyle w:val="25"/>
          <w:rFonts w:ascii="黑体" w:hAnsi="黑体" w:eastAsia="黑体"/>
          <w:b w:val="0"/>
        </w:rPr>
      </w:pPr>
      <w:bookmarkStart w:id="37" w:name="_Toc15396607"/>
      <w:bookmarkStart w:id="38"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37"/>
      <w:bookmarkEnd w:id="38"/>
    </w:p>
    <w:p>
      <w:pPr>
        <w:overflowPunct w:val="0"/>
        <w:spacing w:line="600" w:lineRule="exact"/>
        <w:ind w:firstLine="643" w:firstLineChars="200"/>
        <w:outlineLvl w:val="2"/>
        <w:rPr>
          <w:rFonts w:ascii="方正楷体简体" w:hAnsi="仿宋" w:eastAsia="方正楷体简体"/>
          <w:b/>
          <w:sz w:val="32"/>
          <w:szCs w:val="32"/>
        </w:rPr>
      </w:pPr>
      <w:bookmarkStart w:id="39" w:name="_Toc15377210"/>
      <w:r>
        <w:rPr>
          <w:rFonts w:hint="eastAsia" w:ascii="方正楷体简体" w:hAnsi="仿宋" w:eastAsia="方正楷体简体"/>
          <w:b/>
          <w:sz w:val="32"/>
          <w:szCs w:val="32"/>
        </w:rPr>
        <w:t>（一）一般公共预算财政拨款支出决算总体情况</w:t>
      </w:r>
      <w:bookmarkEnd w:id="39"/>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21年一般公共预算财政拨款支出518.84万元，占本年支出合计的100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20年相比，一般公共预算财政拨款支出减少871.58万元，下降62.7</w:t>
      </w:r>
      <w:r>
        <w:rPr>
          <w:rFonts w:ascii="仿宋" w:hAnsi="仿宋" w:eastAsia="仿宋"/>
          <w:sz w:val="32"/>
          <w:szCs w:val="32"/>
        </w:rPr>
        <w:t>%</w:t>
      </w:r>
      <w:r>
        <w:rPr>
          <w:rFonts w:hint="eastAsia" w:ascii="仿宋" w:hAnsi="仿宋" w:eastAsia="仿宋"/>
          <w:sz w:val="32"/>
          <w:szCs w:val="32"/>
        </w:rPr>
        <w:t>。主要变动原因是企业招商引资奖补资金减少。</w:t>
      </w:r>
    </w:p>
    <w:p>
      <w:pPr>
        <w:pStyle w:val="2"/>
        <w:spacing w:before="93"/>
        <w:jc w:val="center"/>
      </w:pPr>
      <w:r>
        <w:drawing>
          <wp:inline distT="0" distB="0" distL="114300" distR="114300">
            <wp:extent cx="5225415" cy="3574415"/>
            <wp:effectExtent l="19050" t="0" r="13096" b="6927"/>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overflowPunct w:val="0"/>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overflowPunct w:val="0"/>
        <w:spacing w:line="600" w:lineRule="exact"/>
        <w:ind w:firstLine="640" w:firstLineChars="200"/>
        <w:rPr>
          <w:rFonts w:ascii="仿宋" w:hAnsi="仿宋" w:eastAsia="仿宋"/>
          <w:sz w:val="32"/>
          <w:szCs w:val="32"/>
        </w:rPr>
      </w:pPr>
    </w:p>
    <w:p>
      <w:pPr>
        <w:overflowPunct w:val="0"/>
        <w:spacing w:line="600" w:lineRule="exact"/>
        <w:ind w:firstLine="643" w:firstLineChars="200"/>
        <w:outlineLvl w:val="2"/>
        <w:rPr>
          <w:rFonts w:ascii="方正楷体简体" w:hAnsi="仿宋" w:eastAsia="方正楷体简体"/>
          <w:b/>
          <w:sz w:val="32"/>
          <w:szCs w:val="32"/>
        </w:rPr>
      </w:pPr>
      <w:bookmarkStart w:id="40" w:name="_Toc15377211"/>
      <w:r>
        <w:rPr>
          <w:rFonts w:hint="eastAsia" w:ascii="方正楷体简体" w:hAnsi="仿宋" w:eastAsia="方正楷体简体"/>
          <w:b/>
          <w:sz w:val="32"/>
          <w:szCs w:val="32"/>
        </w:rPr>
        <w:t>（二）一般公共预算财政拨款支出决算结构情况</w:t>
      </w:r>
      <w:bookmarkEnd w:id="40"/>
    </w:p>
    <w:p>
      <w:pPr>
        <w:overflowPunct w:val="0"/>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21年一般公共预算财政拨款支出518.84万元，主要用于以下方面</w:t>
      </w:r>
      <w:r>
        <w:rPr>
          <w:rFonts w:ascii="仿宋" w:hAnsi="仿宋" w:eastAsia="仿宋"/>
          <w:sz w:val="32"/>
          <w:szCs w:val="32"/>
        </w:rPr>
        <w:t>:</w:t>
      </w:r>
      <w:r>
        <w:rPr>
          <w:rFonts w:hint="eastAsia" w:ascii="仿宋" w:hAnsi="仿宋" w:eastAsia="仿宋"/>
          <w:b/>
          <w:sz w:val="32"/>
          <w:szCs w:val="32"/>
        </w:rPr>
        <w:t>一般公共服务（类）政府办公厅（室）及相关机构事务</w:t>
      </w:r>
      <w:r>
        <w:rPr>
          <w:rFonts w:hint="eastAsia" w:ascii="仿宋" w:hAnsi="仿宋" w:eastAsia="仿宋"/>
          <w:b/>
          <w:sz w:val="32"/>
          <w:szCs w:val="32"/>
          <w:lang w:eastAsia="zh-CN"/>
        </w:rPr>
        <w:t>（款）</w:t>
      </w:r>
      <w:r>
        <w:rPr>
          <w:rFonts w:hint="eastAsia" w:ascii="仿宋" w:hAnsi="仿宋" w:eastAsia="仿宋"/>
          <w:b/>
          <w:sz w:val="32"/>
          <w:szCs w:val="32"/>
        </w:rPr>
        <w:t>行政运行</w:t>
      </w:r>
      <w:r>
        <w:rPr>
          <w:rFonts w:hint="eastAsia" w:ascii="仿宋" w:hAnsi="仿宋" w:eastAsia="仿宋"/>
          <w:b/>
          <w:sz w:val="32"/>
          <w:szCs w:val="32"/>
          <w:lang w:eastAsia="zh-CN"/>
        </w:rPr>
        <w:t>（项）</w:t>
      </w:r>
      <w:r>
        <w:rPr>
          <w:rFonts w:hint="eastAsia" w:ascii="仿宋" w:hAnsi="仿宋" w:eastAsia="仿宋"/>
          <w:sz w:val="32"/>
          <w:szCs w:val="32"/>
        </w:rPr>
        <w:t>支出</w:t>
      </w:r>
      <w:r>
        <w:rPr>
          <w:rFonts w:hint="eastAsia" w:ascii="仿宋" w:hAnsi="仿宋" w:eastAsia="仿宋"/>
          <w:sz w:val="32"/>
          <w:szCs w:val="32"/>
          <w:lang w:val="en-US" w:eastAsia="zh-CN"/>
        </w:rPr>
        <w:t>107.61</w:t>
      </w:r>
      <w:r>
        <w:rPr>
          <w:rFonts w:hint="eastAsia" w:ascii="仿宋" w:hAnsi="仿宋" w:eastAsia="仿宋"/>
          <w:sz w:val="32"/>
          <w:szCs w:val="32"/>
        </w:rPr>
        <w:t>万元，占</w:t>
      </w:r>
      <w:r>
        <w:rPr>
          <w:rFonts w:hint="eastAsia" w:ascii="仿宋" w:hAnsi="仿宋" w:eastAsia="仿宋"/>
          <w:sz w:val="32"/>
          <w:szCs w:val="32"/>
          <w:lang w:val="en-US" w:eastAsia="zh-CN"/>
        </w:rPr>
        <w:t>20.74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一般公共服务（类）政府办公厅（室）及相关机构事务</w:t>
      </w:r>
      <w:r>
        <w:rPr>
          <w:rFonts w:hint="eastAsia" w:ascii="仿宋" w:hAnsi="仿宋" w:eastAsia="仿宋"/>
          <w:b/>
          <w:sz w:val="32"/>
          <w:szCs w:val="32"/>
          <w:lang w:eastAsia="zh-CN"/>
        </w:rPr>
        <w:t>（款）事业</w:t>
      </w:r>
      <w:r>
        <w:rPr>
          <w:rFonts w:hint="eastAsia" w:ascii="仿宋" w:hAnsi="仿宋" w:eastAsia="仿宋"/>
          <w:b/>
          <w:sz w:val="32"/>
          <w:szCs w:val="32"/>
        </w:rPr>
        <w:t>运行</w:t>
      </w:r>
      <w:r>
        <w:rPr>
          <w:rFonts w:hint="eastAsia" w:ascii="仿宋" w:hAnsi="仿宋" w:eastAsia="仿宋"/>
          <w:b/>
          <w:sz w:val="32"/>
          <w:szCs w:val="32"/>
          <w:lang w:eastAsia="zh-CN"/>
        </w:rPr>
        <w:t>（项）</w:t>
      </w:r>
      <w:r>
        <w:rPr>
          <w:rFonts w:hint="eastAsia" w:ascii="仿宋" w:hAnsi="仿宋" w:eastAsia="仿宋"/>
          <w:sz w:val="32"/>
          <w:szCs w:val="32"/>
        </w:rPr>
        <w:t>支出</w:t>
      </w:r>
      <w:r>
        <w:rPr>
          <w:rFonts w:hint="eastAsia" w:ascii="仿宋" w:hAnsi="仿宋" w:eastAsia="仿宋"/>
          <w:sz w:val="32"/>
          <w:szCs w:val="32"/>
          <w:lang w:val="en-US" w:eastAsia="zh-CN"/>
        </w:rPr>
        <w:t>102.61万元，占19.78%；</w:t>
      </w:r>
      <w:r>
        <w:rPr>
          <w:rFonts w:hint="eastAsia" w:ascii="仿宋" w:hAnsi="仿宋" w:eastAsia="仿宋"/>
          <w:b/>
          <w:sz w:val="32"/>
          <w:szCs w:val="32"/>
        </w:rPr>
        <w:t>一般公共服务（类）商贸事务</w:t>
      </w:r>
      <w:r>
        <w:rPr>
          <w:rFonts w:hint="eastAsia" w:ascii="仿宋" w:hAnsi="仿宋" w:eastAsia="仿宋"/>
          <w:b/>
          <w:sz w:val="32"/>
          <w:szCs w:val="32"/>
          <w:lang w:eastAsia="zh-CN"/>
        </w:rPr>
        <w:t>（款）</w:t>
      </w:r>
      <w:r>
        <w:rPr>
          <w:rFonts w:hint="eastAsia" w:ascii="仿宋" w:hAnsi="仿宋" w:eastAsia="仿宋"/>
          <w:b/>
          <w:sz w:val="32"/>
          <w:szCs w:val="32"/>
        </w:rPr>
        <w:t>招商引资</w:t>
      </w:r>
      <w:r>
        <w:rPr>
          <w:rFonts w:hint="eastAsia" w:ascii="仿宋" w:hAnsi="仿宋" w:eastAsia="仿宋"/>
          <w:b/>
          <w:sz w:val="32"/>
          <w:szCs w:val="32"/>
          <w:lang w:eastAsia="zh-CN"/>
        </w:rPr>
        <w:t>（项）</w:t>
      </w:r>
      <w:r>
        <w:rPr>
          <w:rFonts w:hint="eastAsia" w:ascii="仿宋" w:hAnsi="仿宋" w:eastAsia="仿宋"/>
          <w:sz w:val="32"/>
          <w:szCs w:val="32"/>
        </w:rPr>
        <w:t>支出</w:t>
      </w:r>
      <w:r>
        <w:rPr>
          <w:rFonts w:hint="eastAsia" w:ascii="仿宋" w:hAnsi="仿宋" w:eastAsia="仿宋"/>
          <w:sz w:val="32"/>
          <w:szCs w:val="32"/>
          <w:lang w:val="en-US" w:eastAsia="zh-CN"/>
        </w:rPr>
        <w:t>278.7</w:t>
      </w:r>
      <w:r>
        <w:rPr>
          <w:rFonts w:hint="eastAsia" w:ascii="仿宋" w:hAnsi="仿宋" w:eastAsia="仿宋"/>
          <w:sz w:val="32"/>
          <w:szCs w:val="32"/>
        </w:rPr>
        <w:t>万元，占</w:t>
      </w:r>
      <w:r>
        <w:rPr>
          <w:rFonts w:hint="eastAsia" w:ascii="仿宋" w:hAnsi="仿宋" w:eastAsia="仿宋"/>
          <w:sz w:val="32"/>
          <w:szCs w:val="32"/>
          <w:lang w:val="en-US" w:eastAsia="zh-CN"/>
        </w:rPr>
        <w:t>53.72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社会保障和就业（类）行政事业单位养老支出</w:t>
      </w:r>
      <w:r>
        <w:rPr>
          <w:rFonts w:hint="eastAsia" w:ascii="仿宋" w:hAnsi="仿宋" w:eastAsia="仿宋"/>
          <w:b/>
          <w:sz w:val="32"/>
          <w:szCs w:val="32"/>
          <w:lang w:eastAsia="zh-CN"/>
        </w:rPr>
        <w:t>（款）机关事业单位基本养老保险缴费支出（项）</w:t>
      </w:r>
      <w:r>
        <w:rPr>
          <w:rFonts w:hint="eastAsia" w:ascii="仿宋" w:hAnsi="仿宋" w:eastAsia="仿宋"/>
          <w:sz w:val="32"/>
          <w:szCs w:val="32"/>
        </w:rPr>
        <w:t>支出13.81万元，占2.7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w:t>
      </w:r>
      <w:r>
        <w:rPr>
          <w:rFonts w:hint="eastAsia" w:ascii="仿宋" w:hAnsi="仿宋" w:eastAsia="仿宋"/>
          <w:b/>
          <w:bCs/>
          <w:sz w:val="32"/>
          <w:szCs w:val="32"/>
          <w:lang w:eastAsia="zh-CN"/>
        </w:rPr>
        <w:t>（类）行政事业单位医疗（款）行政单位医疗（项）</w:t>
      </w:r>
      <w:r>
        <w:rPr>
          <w:rFonts w:hint="eastAsia" w:ascii="仿宋" w:hAnsi="仿宋" w:eastAsia="仿宋"/>
          <w:b/>
          <w:bCs/>
          <w:sz w:val="32"/>
          <w:szCs w:val="32"/>
        </w:rPr>
        <w:t>支出</w:t>
      </w:r>
      <w:r>
        <w:rPr>
          <w:rFonts w:hint="eastAsia" w:ascii="仿宋" w:hAnsi="仿宋" w:eastAsia="仿宋"/>
          <w:sz w:val="32"/>
          <w:szCs w:val="32"/>
        </w:rPr>
        <w:t>6.47万元，占1.2</w:t>
      </w:r>
      <w:r>
        <w:rPr>
          <w:rFonts w:ascii="仿宋" w:hAnsi="仿宋" w:eastAsia="仿宋"/>
          <w:sz w:val="32"/>
          <w:szCs w:val="32"/>
        </w:rPr>
        <w:t>%</w:t>
      </w:r>
      <w:r>
        <w:rPr>
          <w:rFonts w:hint="eastAsia" w:ascii="仿宋" w:hAnsi="仿宋" w:eastAsia="仿宋"/>
          <w:sz w:val="32"/>
          <w:szCs w:val="32"/>
        </w:rPr>
        <w:t>；住房保障</w:t>
      </w:r>
      <w:r>
        <w:rPr>
          <w:rFonts w:hint="eastAsia" w:ascii="仿宋" w:hAnsi="仿宋" w:eastAsia="仿宋"/>
          <w:sz w:val="32"/>
          <w:szCs w:val="32"/>
          <w:lang w:eastAsia="zh-CN"/>
        </w:rPr>
        <w:t>（类）住房改革支出（款）住房公积金（项）</w:t>
      </w:r>
      <w:r>
        <w:rPr>
          <w:rFonts w:hint="eastAsia" w:ascii="仿宋" w:hAnsi="仿宋" w:eastAsia="仿宋"/>
          <w:sz w:val="32"/>
          <w:szCs w:val="32"/>
        </w:rPr>
        <w:t>支出9.63万元，占1.9</w:t>
      </w:r>
      <w:r>
        <w:rPr>
          <w:rFonts w:ascii="仿宋" w:hAnsi="仿宋" w:eastAsia="仿宋"/>
          <w:sz w:val="32"/>
          <w:szCs w:val="32"/>
        </w:rPr>
        <w:t>%</w:t>
      </w:r>
      <w:r>
        <w:rPr>
          <w:rFonts w:hint="eastAsia" w:ascii="仿宋" w:hAnsi="仿宋" w:eastAsia="仿宋"/>
          <w:sz w:val="32"/>
          <w:szCs w:val="32"/>
        </w:rPr>
        <w:t>。</w:t>
      </w:r>
    </w:p>
    <w:p>
      <w:pPr>
        <w:overflowPunct w:val="0"/>
        <w:ind w:firstLine="640"/>
        <w:rPr>
          <w:rFonts w:ascii="仿宋" w:hAnsi="仿宋" w:eastAsia="仿宋"/>
          <w:b/>
          <w:sz w:val="32"/>
          <w:szCs w:val="32"/>
        </w:rPr>
      </w:pPr>
      <w:r>
        <w:rPr>
          <w:rFonts w:hint="eastAsia" w:ascii="仿宋" w:hAnsi="仿宋" w:eastAsia="仿宋"/>
          <w:b/>
          <w:sz w:val="32"/>
          <w:szCs w:val="32"/>
        </w:rPr>
        <w:t>（注：数据来源于财决01-1表。）</w:t>
      </w:r>
    </w:p>
    <w:p>
      <w:pPr>
        <w:rPr>
          <w:rFonts w:ascii="仿宋" w:hAnsi="仿宋" w:eastAsia="仿宋"/>
          <w:sz w:val="32"/>
          <w:szCs w:val="32"/>
        </w:rPr>
      </w:pPr>
      <w:r>
        <w:drawing>
          <wp:inline distT="0" distB="0" distL="114300" distR="114300">
            <wp:extent cx="5240655" cy="2743200"/>
            <wp:effectExtent l="19050" t="0" r="16906"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overflowPunct w:val="0"/>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overflowPunct w:val="0"/>
        <w:spacing w:line="600" w:lineRule="exact"/>
        <w:ind w:firstLine="640" w:firstLineChars="200"/>
        <w:rPr>
          <w:rFonts w:ascii="仿宋" w:hAnsi="仿宋" w:eastAsia="仿宋"/>
          <w:sz w:val="32"/>
          <w:szCs w:val="32"/>
        </w:rPr>
      </w:pPr>
    </w:p>
    <w:p>
      <w:pPr>
        <w:overflowPunct w:val="0"/>
        <w:spacing w:line="600" w:lineRule="exact"/>
        <w:ind w:firstLine="643" w:firstLineChars="200"/>
        <w:outlineLvl w:val="2"/>
        <w:rPr>
          <w:rFonts w:ascii="方正楷体简体" w:hAnsi="仿宋" w:eastAsia="方正楷体简体"/>
          <w:b/>
          <w:sz w:val="32"/>
          <w:szCs w:val="32"/>
        </w:rPr>
      </w:pPr>
      <w:bookmarkStart w:id="41" w:name="_Toc15377212"/>
      <w:r>
        <w:rPr>
          <w:rFonts w:hint="eastAsia" w:ascii="方正楷体简体" w:hAnsi="仿宋" w:eastAsia="方正楷体简体"/>
          <w:b/>
          <w:sz w:val="32"/>
          <w:szCs w:val="32"/>
        </w:rPr>
        <w:t>（三）一般公共预算财政拨款支出决算具体情况</w:t>
      </w:r>
      <w:bookmarkEnd w:id="41"/>
    </w:p>
    <w:p>
      <w:pPr>
        <w:overflowPunct w:val="0"/>
        <w:spacing w:line="600" w:lineRule="exact"/>
        <w:ind w:firstLine="643" w:firstLineChars="200"/>
        <w:outlineLvl w:val="2"/>
        <w:rPr>
          <w:rFonts w:ascii="仿宋" w:hAnsi="仿宋" w:eastAsia="仿宋"/>
          <w:sz w:val="32"/>
          <w:szCs w:val="32"/>
        </w:rPr>
      </w:pPr>
      <w:bookmarkStart w:id="42" w:name="_Toc15377213"/>
      <w:bookmarkStart w:id="43" w:name="_Toc15378460"/>
      <w:bookmarkStart w:id="44" w:name="_Toc15377444"/>
      <w:r>
        <w:rPr>
          <w:rFonts w:hint="eastAsia" w:ascii="仿宋" w:hAnsi="仿宋" w:eastAsia="仿宋"/>
          <w:b/>
          <w:sz w:val="32"/>
          <w:szCs w:val="32"/>
        </w:rPr>
        <w:t>2021年一般公共预算支出决算数为518.84万元</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42"/>
      <w:bookmarkEnd w:id="43"/>
      <w:bookmarkEnd w:id="44"/>
    </w:p>
    <w:p>
      <w:pPr>
        <w:numPr>
          <w:ilvl w:val="0"/>
          <w:numId w:val="2"/>
        </w:numPr>
        <w:overflowPunct w:val="0"/>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一般公共服务（类）政府办公厅（室）及相关机构事务（款）行政运行（项）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支出决算为107.61万元，完成预算100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numPr>
          <w:ilvl w:val="0"/>
          <w:numId w:val="2"/>
        </w:numPr>
        <w:overflowPunct w:val="0"/>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一般公共服务（类）政府办公厅（室）及相关机构事务（款）事业运行（项）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支出决算为102.61万元，完成预算100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numPr>
          <w:ilvl w:val="0"/>
          <w:numId w:val="2"/>
        </w:numPr>
        <w:overflowPunct w:val="0"/>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一般公共服务（类）商贸事务（款）招商引资（项）</w:t>
      </w:r>
      <w:r>
        <w:rPr>
          <w:rStyle w:val="14"/>
          <w:rFonts w:ascii="仿宋" w:hAnsi="仿宋" w:eastAsia="仿宋"/>
          <w:bCs/>
          <w:sz w:val="32"/>
          <w:szCs w:val="32"/>
        </w:rPr>
        <w:t>:</w:t>
      </w:r>
      <w:r>
        <w:rPr>
          <w:rStyle w:val="14"/>
          <w:rFonts w:ascii="仿宋" w:hAnsi="仿宋" w:eastAsia="仿宋"/>
          <w:b w:val="0"/>
          <w:bCs/>
          <w:sz w:val="32"/>
          <w:szCs w:val="32"/>
        </w:rPr>
        <w:t xml:space="preserve"> </w:t>
      </w:r>
    </w:p>
    <w:p>
      <w:pPr>
        <w:overflowPunct w:val="0"/>
        <w:spacing w:line="600" w:lineRule="exact"/>
        <w:rPr>
          <w:rStyle w:val="14"/>
          <w:rFonts w:ascii="仿宋" w:hAnsi="仿宋" w:eastAsia="仿宋"/>
          <w:b w:val="0"/>
          <w:bCs/>
          <w:sz w:val="32"/>
          <w:szCs w:val="32"/>
        </w:rPr>
      </w:pPr>
      <w:r>
        <w:rPr>
          <w:rStyle w:val="14"/>
          <w:rFonts w:hint="eastAsia" w:ascii="仿宋" w:hAnsi="仿宋" w:eastAsia="仿宋"/>
          <w:b w:val="0"/>
          <w:bCs/>
          <w:sz w:val="32"/>
          <w:szCs w:val="32"/>
        </w:rPr>
        <w:t>支出决算为278.7万元，完成预算100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numPr>
          <w:ilvl w:val="0"/>
          <w:numId w:val="2"/>
        </w:numPr>
        <w:overflowPunct w:val="0"/>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社会保障和就业（类）行政事业单位养老支出（款） 机关事业单位基本养老保险缴费支出（项）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支出决算为13.19万元，完成预算100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numPr>
          <w:ilvl w:val="0"/>
          <w:numId w:val="2"/>
        </w:numPr>
        <w:overflowPunct w:val="0"/>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社会保障和就业（类）其他社会保障和就业支出（款） 其他社会保障和就业支出（项）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支出决算为0.62万元，完成预算100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numPr>
          <w:ilvl w:val="0"/>
          <w:numId w:val="2"/>
        </w:numPr>
        <w:overflowPunct w:val="0"/>
        <w:spacing w:line="600" w:lineRule="exact"/>
        <w:ind w:firstLine="643" w:firstLineChars="200"/>
        <w:rPr>
          <w:rStyle w:val="14"/>
          <w:rFonts w:ascii="仿宋" w:hAnsi="仿宋" w:eastAsia="仿宋"/>
          <w:b w:val="0"/>
          <w:bCs/>
          <w:sz w:val="32"/>
          <w:szCs w:val="32"/>
        </w:rPr>
      </w:pP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（类）行政事业单位医疗（款）行政单位医疗（项）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支出决算为6.47万元，完成预算100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numPr>
          <w:ilvl w:val="0"/>
          <w:numId w:val="2"/>
        </w:numPr>
        <w:overflowPunct w:val="0"/>
        <w:spacing w:line="600" w:lineRule="exact"/>
        <w:ind w:firstLine="643" w:firstLineChars="200"/>
      </w:pPr>
      <w:r>
        <w:rPr>
          <w:rFonts w:hint="eastAsia" w:ascii="仿宋" w:hAnsi="仿宋" w:eastAsia="仿宋"/>
          <w:b/>
          <w:bCs/>
          <w:sz w:val="32"/>
          <w:szCs w:val="32"/>
        </w:rPr>
        <w:t>住房保障支出（类）住房改革支出（款）住房公积金（项）：</w:t>
      </w:r>
      <w:r>
        <w:rPr>
          <w:rStyle w:val="14"/>
          <w:rFonts w:hint="eastAsia" w:ascii="仿宋" w:hAnsi="仿宋" w:eastAsia="仿宋"/>
          <w:b w:val="0"/>
          <w:bCs/>
          <w:sz w:val="32"/>
          <w:szCs w:val="32"/>
        </w:rPr>
        <w:t>支出决算为9.63万元，完成预算100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overflowPunct w:val="0"/>
        <w:spacing w:line="600" w:lineRule="exact"/>
        <w:rPr>
          <w:rFonts w:ascii="仿宋" w:hAnsi="仿宋" w:eastAsia="仿宋"/>
          <w:b/>
          <w:sz w:val="32"/>
          <w:szCs w:val="32"/>
        </w:rPr>
      </w:pPr>
    </w:p>
    <w:p>
      <w:pPr>
        <w:tabs>
          <w:tab w:val="right" w:pos="8306"/>
        </w:tabs>
        <w:overflowPunct w:val="0"/>
        <w:spacing w:line="600" w:lineRule="exact"/>
        <w:ind w:firstLine="640"/>
        <w:outlineLvl w:val="1"/>
        <w:rPr>
          <w:rStyle w:val="25"/>
        </w:rPr>
      </w:pPr>
      <w:bookmarkStart w:id="45" w:name="_Toc15377214"/>
      <w:bookmarkStart w:id="46"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45"/>
      <w:bookmarkEnd w:id="46"/>
      <w:r>
        <w:rPr>
          <w:rStyle w:val="25"/>
          <w:rFonts w:ascii="Times New Roman" w:hAnsi="Times New Roman" w:eastAsia="黑体" w:cs="Times New Roman"/>
          <w:b w:val="0"/>
        </w:rPr>
        <w:tab/>
      </w:r>
    </w:p>
    <w:p>
      <w:pPr>
        <w:overflowPunct w:val="0"/>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21年一般公共预算财政拨款基本支出488.92万元，其中：</w:t>
      </w:r>
    </w:p>
    <w:p>
      <w:pPr>
        <w:overflowPunct w:val="0"/>
        <w:spacing w:line="600" w:lineRule="exact"/>
        <w:ind w:firstLine="645"/>
        <w:rPr>
          <w:rFonts w:ascii="仿宋" w:hAnsi="仿宋" w:eastAsia="仿宋"/>
          <w:sz w:val="32"/>
          <w:szCs w:val="32"/>
        </w:rPr>
      </w:pPr>
      <w:r>
        <w:rPr>
          <w:rFonts w:hint="eastAsia" w:ascii="仿宋" w:hAnsi="仿宋" w:eastAsia="仿宋"/>
          <w:sz w:val="32"/>
          <w:szCs w:val="32"/>
        </w:rPr>
        <w:t>人员经费210.22万元，主要包括：基本工资、津贴补贴、奖金、绩效工资、机关事业单位基本养老保险缴费、其他社会保障缴费、其他工资福利支出、生活补助、奖励金、住房公积金、其他对个人和家庭的补助支出等。</w:t>
      </w:r>
    </w:p>
    <w:p>
      <w:pPr>
        <w:overflowPunct w:val="0"/>
        <w:spacing w:line="600" w:lineRule="exact"/>
        <w:ind w:firstLine="645"/>
        <w:rPr>
          <w:rFonts w:ascii="仿宋" w:hAnsi="仿宋" w:eastAsia="仿宋"/>
          <w:sz w:val="32"/>
          <w:szCs w:val="32"/>
        </w:rPr>
      </w:pPr>
      <w:r>
        <w:rPr>
          <w:rFonts w:hint="eastAsia" w:ascii="仿宋" w:hAnsi="仿宋" w:eastAsia="仿宋"/>
          <w:sz w:val="32"/>
          <w:szCs w:val="32"/>
        </w:rPr>
        <w:t>公用经费278.7万元，主要包括：办公费、印刷费、咨询费、水费、电费、邮电费、物业管理费、差旅费、维修（护）费、租赁费、工会经费、福利费、其他交通费、其他商品和服务支出等。</w:t>
      </w:r>
    </w:p>
    <w:p>
      <w:pPr>
        <w:overflowPunct w:val="0"/>
        <w:spacing w:line="600" w:lineRule="exact"/>
        <w:ind w:firstLine="640"/>
        <w:rPr>
          <w:rFonts w:ascii="仿宋" w:hAnsi="仿宋" w:eastAsia="仿宋"/>
          <w:b/>
          <w:sz w:val="32"/>
          <w:szCs w:val="32"/>
        </w:rPr>
      </w:pPr>
    </w:p>
    <w:p>
      <w:pPr>
        <w:overflowPunct w:val="0"/>
        <w:spacing w:line="600" w:lineRule="exact"/>
        <w:ind w:firstLine="640"/>
        <w:outlineLvl w:val="1"/>
        <w:rPr>
          <w:rStyle w:val="25"/>
          <w:rFonts w:ascii="黑体" w:hAnsi="黑体" w:eastAsia="黑体"/>
          <w:b w:val="0"/>
        </w:rPr>
      </w:pPr>
      <w:bookmarkStart w:id="47" w:name="_Toc15377215"/>
      <w:bookmarkStart w:id="48" w:name="_Toc15396609"/>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7"/>
      <w:bookmarkEnd w:id="48"/>
    </w:p>
    <w:p>
      <w:pPr>
        <w:overflowPunct w:val="0"/>
        <w:spacing w:line="600" w:lineRule="exact"/>
        <w:ind w:firstLine="643" w:firstLineChars="200"/>
        <w:outlineLvl w:val="2"/>
        <w:rPr>
          <w:rFonts w:ascii="方正楷体简体" w:hAnsi="仿宋" w:eastAsia="方正楷体简体"/>
          <w:b/>
          <w:sz w:val="32"/>
          <w:szCs w:val="32"/>
        </w:rPr>
      </w:pPr>
      <w:bookmarkStart w:id="49" w:name="_Toc15377216"/>
      <w:r>
        <w:rPr>
          <w:rFonts w:hint="eastAsia" w:ascii="方正楷体简体" w:hAnsi="仿宋" w:eastAsia="方正楷体简体"/>
          <w:b/>
          <w:sz w:val="32"/>
          <w:szCs w:val="32"/>
        </w:rPr>
        <w:t>（一）“三公”经费财政拨款支出决算总体情况说明</w:t>
      </w:r>
      <w:bookmarkEnd w:id="49"/>
    </w:p>
    <w:p>
      <w:pPr>
        <w:overflowPunct w:val="0"/>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21年“三公”经费财政拨款支出决算为0万元，完成预算0</w:t>
      </w:r>
      <w:r>
        <w:rPr>
          <w:rFonts w:ascii="仿宋" w:hAnsi="仿宋" w:eastAsia="仿宋"/>
          <w:sz w:val="32"/>
          <w:szCs w:val="32"/>
        </w:rPr>
        <w:t>%</w:t>
      </w:r>
      <w:r>
        <w:rPr>
          <w:rFonts w:hint="eastAsia" w:ascii="仿宋" w:hAnsi="仿宋" w:eastAsia="仿宋"/>
          <w:sz w:val="32"/>
          <w:szCs w:val="32"/>
        </w:rPr>
        <w:t>，决算数与预算数持平。</w:t>
      </w:r>
    </w:p>
    <w:p>
      <w:pPr>
        <w:overflowPunct w:val="0"/>
        <w:spacing w:line="600" w:lineRule="exact"/>
        <w:ind w:firstLine="643" w:firstLineChars="200"/>
        <w:outlineLvl w:val="2"/>
        <w:rPr>
          <w:rFonts w:ascii="方正楷体简体" w:hAnsi="仿宋" w:eastAsia="方正楷体简体"/>
          <w:b/>
          <w:sz w:val="32"/>
          <w:szCs w:val="32"/>
        </w:rPr>
      </w:pPr>
      <w:bookmarkStart w:id="50" w:name="_Toc15377217"/>
      <w:r>
        <w:rPr>
          <w:rFonts w:hint="eastAsia" w:ascii="方正楷体简体" w:hAnsi="仿宋" w:eastAsia="方正楷体简体"/>
          <w:b/>
          <w:sz w:val="32"/>
          <w:szCs w:val="32"/>
        </w:rPr>
        <w:t>（二）“三公”经费财政拨款支出决算具体情况说明</w:t>
      </w:r>
      <w:bookmarkEnd w:id="50"/>
    </w:p>
    <w:p>
      <w:pPr>
        <w:overflowPunct w:val="0"/>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overflowPunct w:val="0"/>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overflowPunct w:val="0"/>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20年不变。</w:t>
      </w:r>
    </w:p>
    <w:p>
      <w:pPr>
        <w:overflowPunct w:val="0"/>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20不变。</w:t>
      </w:r>
    </w:p>
    <w:p>
      <w:pPr>
        <w:overflowPunct w:val="0"/>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w:t>
      </w:r>
    </w:p>
    <w:p>
      <w:pPr>
        <w:overflowPunct w:val="0"/>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overflowPunct w:val="0"/>
        <w:spacing w:line="600" w:lineRule="exact"/>
        <w:ind w:firstLine="640"/>
        <w:rPr>
          <w:rFonts w:hint="eastAsia" w:ascii="仿宋_GB2312" w:eastAsia="仿宋_GB2312"/>
          <w:sz w:val="32"/>
          <w:szCs w:val="32"/>
          <w:lang w:eastAsia="zh-CN"/>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20年减少11.64万元，下降100</w:t>
      </w:r>
      <w:r>
        <w:rPr>
          <w:rFonts w:ascii="仿宋_GB2312" w:eastAsia="仿宋_GB2312"/>
          <w:sz w:val="32"/>
          <w:szCs w:val="32"/>
        </w:rPr>
        <w:t>%</w:t>
      </w:r>
      <w:r>
        <w:rPr>
          <w:rFonts w:hint="eastAsia" w:ascii="仿宋_GB2312" w:eastAsia="仿宋_GB2312"/>
          <w:sz w:val="32"/>
          <w:szCs w:val="32"/>
        </w:rPr>
        <w:t>。主要原因是本年度未安排三公经费预算。</w:t>
      </w:r>
    </w:p>
    <w:p>
      <w:pPr>
        <w:overflowPunct w:val="0"/>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万元。国内公务接待0批次，0人次（不包括陪同人员），共计支出0万元。</w:t>
      </w:r>
    </w:p>
    <w:p>
      <w:pPr>
        <w:overflowPunct w:val="0"/>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pPr>
        <w:overflowPunct w:val="0"/>
        <w:spacing w:line="600" w:lineRule="exact"/>
        <w:ind w:firstLine="640"/>
        <w:outlineLvl w:val="1"/>
        <w:rPr>
          <w:rFonts w:ascii="黑体" w:eastAsia="黑体"/>
          <w:sz w:val="32"/>
          <w:szCs w:val="32"/>
        </w:rPr>
      </w:pPr>
      <w:bookmarkStart w:id="51" w:name="_Toc15377218"/>
      <w:bookmarkStart w:id="52" w:name="_Toc15396610"/>
    </w:p>
    <w:p>
      <w:pPr>
        <w:overflowPunct w:val="0"/>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51"/>
      <w:bookmarkEnd w:id="52"/>
    </w:p>
    <w:p>
      <w:pPr>
        <w:overflowPunct w:val="0"/>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overflowPunct w:val="0"/>
        <w:spacing w:line="600" w:lineRule="exact"/>
        <w:ind w:firstLine="640"/>
        <w:rPr>
          <w:rFonts w:ascii="仿宋_GB2312" w:eastAsia="仿宋_GB2312"/>
          <w:sz w:val="32"/>
          <w:szCs w:val="32"/>
        </w:rPr>
      </w:pPr>
    </w:p>
    <w:p>
      <w:pPr>
        <w:numPr>
          <w:ilvl w:val="0"/>
          <w:numId w:val="3"/>
        </w:numPr>
        <w:overflowPunct w:val="0"/>
        <w:spacing w:line="600" w:lineRule="exact"/>
        <w:ind w:firstLine="640"/>
        <w:outlineLvl w:val="1"/>
        <w:rPr>
          <w:rStyle w:val="25"/>
          <w:rFonts w:ascii="黑体" w:hAnsi="黑体" w:eastAsia="黑体"/>
          <w:b w:val="0"/>
        </w:rPr>
      </w:pPr>
      <w:bookmarkStart w:id="53" w:name="_Toc15396611"/>
      <w:bookmarkStart w:id="54" w:name="_Toc15377219"/>
      <w:r>
        <w:rPr>
          <w:rStyle w:val="25"/>
          <w:rFonts w:hint="eastAsia" w:ascii="黑体" w:hAnsi="黑体" w:eastAsia="黑体"/>
          <w:b w:val="0"/>
        </w:rPr>
        <w:t>国有资本经营预算支出决算情况说明</w:t>
      </w:r>
      <w:bookmarkEnd w:id="53"/>
      <w:bookmarkEnd w:id="54"/>
    </w:p>
    <w:p>
      <w:pPr>
        <w:overflowPunct w:val="0"/>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overflowPunct w:val="0"/>
        <w:spacing w:line="580" w:lineRule="exact"/>
        <w:rPr>
          <w:rFonts w:ascii="方正小标宋简体" w:hAnsi="方正小标宋简体" w:eastAsia="方正小标宋简体" w:cs="方正小标宋简体"/>
          <w:sz w:val="44"/>
          <w:szCs w:val="44"/>
        </w:rPr>
      </w:pPr>
    </w:p>
    <w:p>
      <w:pPr>
        <w:overflowPunct w:val="0"/>
        <w:adjustRightInd w:val="0"/>
        <w:spacing w:line="600" w:lineRule="exact"/>
        <w:ind w:firstLine="640" w:firstLineChars="200"/>
        <w:outlineLvl w:val="2"/>
        <w:rPr>
          <w:rFonts w:ascii="黑体" w:hAnsi="黑体" w:eastAsia="黑体"/>
          <w:sz w:val="32"/>
          <w:szCs w:val="32"/>
        </w:rPr>
      </w:pPr>
      <w:bookmarkStart w:id="55" w:name="_Toc15377221"/>
      <w:bookmarkStart w:id="56" w:name="_Toc15396612"/>
      <w:r>
        <w:rPr>
          <w:rFonts w:hint="eastAsia" w:ascii="黑体" w:hAnsi="黑体" w:eastAsia="黑体"/>
          <w:sz w:val="32"/>
          <w:szCs w:val="32"/>
        </w:rPr>
        <w:t>十、预算绩效管理情况</w:t>
      </w:r>
    </w:p>
    <w:p>
      <w:pPr>
        <w:overflowPunct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招商引资项目等1个项目开展了预算事前绩效评估，对1个项目编制了绩效目标，预算执行过程中，选取1个项目开展绩效监控，年终执行完毕后，对1个项目开展了绩效自评。同时，本部门对2021年部门整体开展绩效自评，《2021年广元市利州区经济合作中心部门整体绩效评价报告》见附件（第四部分）。</w:t>
      </w:r>
    </w:p>
    <w:p>
      <w:pPr>
        <w:overflowPunct w:val="0"/>
        <w:spacing w:line="600" w:lineRule="exact"/>
        <w:ind w:firstLine="640" w:firstLineChars="200"/>
        <w:outlineLvl w:val="1"/>
        <w:rPr>
          <w:rStyle w:val="25"/>
          <w:rFonts w:ascii="黑体" w:hAnsi="黑体" w:eastAsia="黑体"/>
          <w:b w:val="0"/>
        </w:rPr>
      </w:pPr>
      <w:r>
        <w:rPr>
          <w:rStyle w:val="25"/>
          <w:rFonts w:hint="eastAsia" w:ascii="黑体" w:hAnsi="黑体" w:eastAsia="黑体"/>
          <w:b w:val="0"/>
        </w:rPr>
        <w:t>十一、其他重要事项的情况说明</w:t>
      </w:r>
      <w:bookmarkEnd w:id="55"/>
      <w:bookmarkEnd w:id="56"/>
    </w:p>
    <w:p>
      <w:pPr>
        <w:overflowPunct w:val="0"/>
        <w:spacing w:line="600" w:lineRule="exact"/>
        <w:ind w:firstLine="643" w:firstLineChars="200"/>
        <w:outlineLvl w:val="2"/>
        <w:rPr>
          <w:rFonts w:hint="eastAsia" w:ascii="方正楷体简体" w:hAnsi="仿宋" w:eastAsia="方正楷体简体"/>
          <w:sz w:val="32"/>
          <w:szCs w:val="32"/>
        </w:rPr>
      </w:pPr>
      <w:bookmarkStart w:id="57" w:name="_Toc15377222"/>
      <w:r>
        <w:rPr>
          <w:rFonts w:hint="eastAsia" w:ascii="方正楷体简体" w:hAnsi="仿宋" w:eastAsia="方正楷体简体"/>
          <w:b/>
          <w:sz w:val="32"/>
          <w:szCs w:val="32"/>
        </w:rPr>
        <w:t>（一）机关运行经费支出情况</w:t>
      </w:r>
      <w:bookmarkEnd w:id="57"/>
    </w:p>
    <w:p>
      <w:pPr>
        <w:overflowPunct w:val="0"/>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21年，利州区经济合作中心机关运行经费支出</w:t>
      </w:r>
      <w:r>
        <w:rPr>
          <w:rFonts w:hint="eastAsia" w:ascii="仿宋_GB2312" w:eastAsia="仿宋_GB2312"/>
          <w:sz w:val="32"/>
          <w:szCs w:val="32"/>
          <w:lang w:val="en-US" w:eastAsia="zh-CN"/>
        </w:rPr>
        <w:t>18.06</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w:t>
      </w:r>
      <w:r>
        <w:rPr>
          <w:rFonts w:hint="eastAsia" w:ascii="仿宋_GB2312" w:eastAsia="仿宋_GB2312"/>
          <w:sz w:val="32"/>
          <w:szCs w:val="32"/>
          <w:lang w:eastAsia="zh-CN"/>
        </w:rPr>
        <w:t>减少</w:t>
      </w:r>
      <w:r>
        <w:rPr>
          <w:rFonts w:hint="eastAsia" w:ascii="仿宋_GB2312" w:eastAsia="仿宋_GB2312"/>
          <w:sz w:val="32"/>
          <w:szCs w:val="32"/>
          <w:lang w:val="en-US" w:eastAsia="zh-CN"/>
        </w:rPr>
        <w:t>1.96</w:t>
      </w:r>
      <w:r>
        <w:rPr>
          <w:rFonts w:hint="eastAsia" w:ascii="仿宋_GB2312" w:eastAsia="仿宋_GB2312"/>
          <w:sz w:val="32"/>
          <w:szCs w:val="32"/>
        </w:rPr>
        <w:t>万元，</w:t>
      </w:r>
      <w:r>
        <w:rPr>
          <w:rFonts w:hint="eastAsia" w:ascii="仿宋_GB2312" w:eastAsia="仿宋_GB2312"/>
          <w:sz w:val="32"/>
          <w:szCs w:val="32"/>
          <w:lang w:eastAsia="zh-CN"/>
        </w:rPr>
        <w:t>下降</w:t>
      </w:r>
      <w:r>
        <w:rPr>
          <w:rFonts w:hint="eastAsia" w:ascii="仿宋_GB2312" w:eastAsia="仿宋_GB2312"/>
          <w:sz w:val="32"/>
          <w:szCs w:val="32"/>
          <w:lang w:val="en-US" w:eastAsia="zh-CN"/>
        </w:rPr>
        <w:t>9.79</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厉行节约</w:t>
      </w:r>
      <w:r>
        <w:rPr>
          <w:rFonts w:hint="eastAsia" w:ascii="仿宋_GB2312" w:eastAsia="仿宋_GB2312"/>
          <w:sz w:val="32"/>
          <w:szCs w:val="32"/>
        </w:rPr>
        <w:t>。</w:t>
      </w:r>
    </w:p>
    <w:p>
      <w:pPr>
        <w:overflowPunct w:val="0"/>
        <w:adjustRightInd w:val="0"/>
        <w:spacing w:line="600" w:lineRule="exact"/>
        <w:ind w:firstLine="643" w:firstLineChars="200"/>
        <w:outlineLvl w:val="2"/>
        <w:rPr>
          <w:rFonts w:ascii="仿宋" w:hAnsi="仿宋" w:eastAsia="仿宋"/>
          <w:b/>
          <w:sz w:val="32"/>
          <w:szCs w:val="32"/>
        </w:rPr>
      </w:pPr>
      <w:bookmarkStart w:id="58" w:name="_Toc15377223"/>
    </w:p>
    <w:p>
      <w:pPr>
        <w:overflowPunct w:val="0"/>
        <w:spacing w:line="600" w:lineRule="exact"/>
        <w:ind w:firstLine="643" w:firstLineChars="200"/>
        <w:outlineLvl w:val="2"/>
        <w:rPr>
          <w:rFonts w:ascii="方正楷体简体" w:hAnsi="仿宋" w:eastAsia="方正楷体简体"/>
          <w:b/>
          <w:sz w:val="32"/>
          <w:szCs w:val="32"/>
        </w:rPr>
      </w:pPr>
      <w:r>
        <w:rPr>
          <w:rFonts w:hint="eastAsia" w:ascii="方正楷体简体" w:hAnsi="仿宋" w:eastAsia="方正楷体简体"/>
          <w:b/>
          <w:sz w:val="32"/>
          <w:szCs w:val="32"/>
        </w:rPr>
        <w:t>（二）政府采购支出情况</w:t>
      </w:r>
      <w:bookmarkEnd w:id="58"/>
    </w:p>
    <w:p>
      <w:pPr>
        <w:overflowPunct w:val="0"/>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21年，利州区经济合作中心政府采购支出总额0万元，其中：政府采购货物支出0万元、政府采购工程支出0万元、政府采购服务支出0万元。授予中小企业合同金额0万元，占政府采购支出总额的0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overflowPunct w:val="0"/>
        <w:adjustRightInd w:val="0"/>
        <w:spacing w:line="600" w:lineRule="exact"/>
        <w:ind w:firstLine="643" w:firstLineChars="200"/>
        <w:outlineLvl w:val="2"/>
        <w:rPr>
          <w:rFonts w:ascii="仿宋" w:hAnsi="仿宋" w:eastAsia="仿宋"/>
          <w:b/>
          <w:sz w:val="32"/>
          <w:szCs w:val="32"/>
        </w:rPr>
      </w:pPr>
      <w:bookmarkStart w:id="59" w:name="_Toc15377224"/>
    </w:p>
    <w:p>
      <w:pPr>
        <w:overflowPunct w:val="0"/>
        <w:spacing w:line="600" w:lineRule="exact"/>
        <w:ind w:firstLine="643" w:firstLineChars="200"/>
        <w:outlineLvl w:val="2"/>
        <w:rPr>
          <w:rFonts w:ascii="方正楷体简体" w:hAnsi="仿宋" w:eastAsia="方正楷体简体"/>
          <w:b/>
          <w:sz w:val="32"/>
          <w:szCs w:val="32"/>
        </w:rPr>
      </w:pPr>
      <w:r>
        <w:rPr>
          <w:rFonts w:hint="eastAsia" w:ascii="方正楷体简体" w:hAnsi="仿宋" w:eastAsia="方正楷体简体"/>
          <w:b/>
          <w:sz w:val="32"/>
          <w:szCs w:val="32"/>
        </w:rPr>
        <w:t>（三）国有资产占有使用情况</w:t>
      </w:r>
      <w:bookmarkEnd w:id="59"/>
    </w:p>
    <w:p>
      <w:pPr>
        <w:overflowPunct w:val="0"/>
        <w:adjustRightInd w:val="0"/>
        <w:spacing w:line="600" w:lineRule="exact"/>
        <w:ind w:firstLine="640" w:firstLineChars="200"/>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日，利州区经济合作中心共有车辆0辆，其中：主要领导干部用车0辆、机要通信用车0辆、应急保障用车0辆、其他用车0辆</w:t>
      </w:r>
      <w:r>
        <w:rPr>
          <w:rFonts w:hint="eastAsia" w:ascii="仿宋_GB2312" w:eastAsia="仿宋_GB2312"/>
          <w:sz w:val="32"/>
          <w:szCs w:val="32"/>
          <w:lang w:eastAsia="zh-CN"/>
        </w:rPr>
        <w:t>，</w:t>
      </w:r>
      <w:r>
        <w:rPr>
          <w:rFonts w:hint="eastAsia" w:ascii="仿宋_GB2312" w:eastAsia="仿宋_GB2312"/>
          <w:sz w:val="32"/>
          <w:szCs w:val="32"/>
        </w:rPr>
        <w:t>其他用车主要是用于单价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spacing w:line="580" w:lineRule="exact"/>
        <w:rPr>
          <w:rFonts w:ascii="仿宋_GB2312" w:hAnsi="仿宋_GB2312" w:eastAsia="仿宋_GB2312" w:cs="仿宋_GB2312"/>
          <w:sz w:val="32"/>
          <w:szCs w:val="32"/>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60" w:name="_Toc15377225"/>
      <w:bookmarkStart w:id="61" w:name="_Toc15396613"/>
      <w:r>
        <w:rPr>
          <w:rFonts w:hint="eastAsia" w:ascii="黑体" w:hAnsi="黑体" w:eastAsia="黑体"/>
          <w:sz w:val="44"/>
          <w:szCs w:val="44"/>
        </w:rPr>
        <w:t>名</w:t>
      </w:r>
      <w:r>
        <w:rPr>
          <w:rStyle w:val="24"/>
          <w:rFonts w:hint="eastAsia" w:ascii="黑体" w:hAnsi="黑体" w:eastAsia="黑体"/>
          <w:b w:val="0"/>
        </w:rPr>
        <w:t>词解释</w:t>
      </w:r>
      <w:bookmarkEnd w:id="60"/>
      <w:bookmarkEnd w:id="61"/>
    </w:p>
    <w:p>
      <w:pPr>
        <w:spacing w:line="600" w:lineRule="exact"/>
        <w:jc w:val="left"/>
        <w:rPr>
          <w:rFonts w:ascii="宋体"/>
          <w:b/>
          <w:sz w:val="44"/>
          <w:szCs w:val="44"/>
        </w:rPr>
      </w:pP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r>
        <w:rPr>
          <w:rFonts w:ascii="仿宋_GB2312" w:eastAsia="仿宋_GB2312"/>
          <w:color w:val="auto"/>
          <w:sz w:val="32"/>
          <w:szCs w:val="32"/>
        </w:rPr>
        <w:t xml:space="preserve">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一般公共服务（类）政府办公厅（室）及相关机构事务（款）行政运行（项）：指</w:t>
      </w:r>
      <w:r>
        <w:rPr>
          <w:rFonts w:hint="eastAsia" w:ascii="仿宋_GB2312" w:eastAsia="仿宋_GB2312"/>
          <w:sz w:val="32"/>
          <w:szCs w:val="32"/>
          <w:lang w:eastAsia="zh-CN"/>
        </w:rPr>
        <w:t>反映行政单位（包括实行公务员管理的事业单位）的基本支出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一般公共服务（类）政府办公厅（室）及相关机构事务（款）</w:t>
      </w:r>
      <w:r>
        <w:rPr>
          <w:rFonts w:hint="eastAsia" w:ascii="仿宋_GB2312" w:eastAsia="仿宋_GB2312"/>
          <w:sz w:val="32"/>
          <w:szCs w:val="32"/>
          <w:lang w:eastAsia="zh-CN"/>
        </w:rPr>
        <w:t>事业</w:t>
      </w:r>
      <w:r>
        <w:rPr>
          <w:rFonts w:hint="eastAsia" w:ascii="仿宋_GB2312" w:eastAsia="仿宋_GB2312"/>
          <w:sz w:val="32"/>
          <w:szCs w:val="32"/>
        </w:rPr>
        <w:t>运行（项）：指</w:t>
      </w:r>
      <w:r>
        <w:rPr>
          <w:rFonts w:hint="eastAsia" w:ascii="仿宋_GB2312" w:eastAsia="仿宋_GB2312"/>
          <w:sz w:val="32"/>
          <w:szCs w:val="32"/>
          <w:lang w:eastAsia="zh-CN"/>
        </w:rPr>
        <w:t>反映事业单位基本支出，不包括行政单位（包括实行公务员管理的事业单位）后勤服务中心、医务室等附属事业单位</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一般公共服务（类）商贸事务（款）</w:t>
      </w:r>
      <w:r>
        <w:rPr>
          <w:rFonts w:hint="eastAsia" w:ascii="仿宋_GB2312" w:eastAsia="仿宋_GB2312"/>
          <w:sz w:val="32"/>
          <w:szCs w:val="32"/>
          <w:lang w:eastAsia="zh-CN"/>
        </w:rPr>
        <w:t>招商引资</w:t>
      </w:r>
      <w:r>
        <w:rPr>
          <w:rFonts w:hint="eastAsia" w:ascii="仿宋_GB2312" w:eastAsia="仿宋_GB2312"/>
          <w:sz w:val="32"/>
          <w:szCs w:val="32"/>
        </w:rPr>
        <w:t>（项）：指</w:t>
      </w:r>
      <w:r>
        <w:rPr>
          <w:rFonts w:hint="eastAsia" w:ascii="仿宋_GB2312" w:eastAsia="仿宋_GB2312"/>
          <w:sz w:val="32"/>
          <w:szCs w:val="32"/>
          <w:lang w:eastAsia="zh-CN"/>
        </w:rPr>
        <w:t>反映用于招商引资、优化经济环境等方面的支出</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社会保障和就业（类）机关事业单位基本养老保险缴费支出（款）机关事业单位基本养老保险缴费支出（项）：指</w:t>
      </w:r>
      <w:r>
        <w:rPr>
          <w:rFonts w:hint="eastAsia" w:ascii="仿宋_GB2312" w:eastAsia="仿宋_GB2312"/>
          <w:sz w:val="32"/>
          <w:szCs w:val="32"/>
          <w:lang w:eastAsia="zh-CN"/>
        </w:rPr>
        <w:t>反映机关事业单位实施养老保险制度由单位缴纳的基本养老保险费支出</w:t>
      </w:r>
      <w:r>
        <w:rPr>
          <w:rFonts w:hint="eastAsia" w:ascii="仿宋_GB2312" w:eastAsia="仿宋_GB2312"/>
          <w:sz w:val="32"/>
          <w:szCs w:val="32"/>
        </w:rPr>
        <w:t>。</w:t>
      </w:r>
    </w:p>
    <w:p>
      <w:pPr>
        <w:ind w:firstLine="640" w:firstLineChars="200"/>
      </w:pPr>
      <w:r>
        <w:rPr>
          <w:rFonts w:hint="eastAsia" w:ascii="仿宋_GB2312" w:eastAsia="仿宋_GB2312"/>
          <w:sz w:val="32"/>
          <w:szCs w:val="32"/>
          <w:lang w:val="en-US" w:eastAsia="zh-CN"/>
        </w:rPr>
        <w:t>10.</w:t>
      </w:r>
      <w:r>
        <w:rPr>
          <w:rFonts w:hint="eastAsia" w:ascii="仿宋_GB2312" w:eastAsia="仿宋_GB2312"/>
          <w:sz w:val="32"/>
          <w:szCs w:val="32"/>
        </w:rPr>
        <w:t>社会保障和就业（类）其他社会保障和就业支出（款）其他社会保障和就业支出（项）：指</w:t>
      </w:r>
      <w:r>
        <w:rPr>
          <w:rFonts w:hint="eastAsia" w:ascii="仿宋_GB2312" w:eastAsia="仿宋_GB2312"/>
          <w:sz w:val="32"/>
          <w:szCs w:val="32"/>
          <w:lang w:eastAsia="zh-CN"/>
        </w:rPr>
        <w:t>反映其他用于社会保障和就业方面的支出</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医疗卫生与计划生育（类）行政事业单位医疗（款）行政单位医疗（项）：指</w:t>
      </w:r>
      <w:r>
        <w:rPr>
          <w:rFonts w:hint="eastAsia" w:ascii="仿宋_GB2312" w:eastAsia="仿宋_GB2312"/>
          <w:sz w:val="32"/>
          <w:szCs w:val="32"/>
          <w:lang w:eastAsia="zh-CN"/>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住房保障（类）住房改革支出（款）住房公积金（项）：指</w:t>
      </w:r>
      <w:r>
        <w:rPr>
          <w:rFonts w:hint="eastAsia" w:ascii="仿宋_GB2312" w:eastAsia="仿宋_GB2312"/>
          <w:sz w:val="32"/>
          <w:szCs w:val="32"/>
          <w:lang w:eastAsia="zh-CN"/>
        </w:rPr>
        <w:t>反映行政事业单位按人力资源和社会保障部、财政部规定的基本工资和津贴补贴以及规定比例为职工缴纳的住房公积金</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15</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sz w:val="32"/>
          <w:szCs w:val="32"/>
        </w:rPr>
      </w:pPr>
    </w:p>
    <w:p>
      <w:pPr>
        <w:spacing w:line="600" w:lineRule="exact"/>
        <w:jc w:val="center"/>
        <w:outlineLvl w:val="0"/>
        <w:rPr>
          <w:rStyle w:val="24"/>
          <w:rFonts w:ascii="黑体" w:hAnsi="黑体" w:eastAsia="黑体"/>
          <w:b w:val="0"/>
        </w:rPr>
      </w:pPr>
      <w:bookmarkStart w:id="62" w:name="_Toc15377226"/>
      <w:r>
        <w:rPr>
          <w:rFonts w:ascii="宋体"/>
          <w:b/>
          <w:sz w:val="44"/>
          <w:szCs w:val="44"/>
        </w:rPr>
        <w:br w:type="page"/>
      </w:r>
      <w:bookmarkStart w:id="63" w:name="_Toc15396614"/>
      <w:r>
        <w:rPr>
          <w:rFonts w:hint="eastAsia" w:ascii="黑体" w:hAnsi="黑体" w:eastAsia="黑体"/>
          <w:sz w:val="44"/>
          <w:szCs w:val="44"/>
        </w:rPr>
        <w:t>第</w:t>
      </w:r>
      <w:r>
        <w:rPr>
          <w:rStyle w:val="24"/>
          <w:rFonts w:hint="eastAsia" w:ascii="黑体" w:hAnsi="黑体" w:eastAsia="黑体"/>
          <w:b w:val="0"/>
        </w:rPr>
        <w:t>四部分 附件</w:t>
      </w:r>
      <w:bookmarkEnd w:id="63"/>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2021年广元市利州区经济合作中心部门整体绩效评价报告</w:t>
      </w:r>
    </w:p>
    <w:p>
      <w:pPr>
        <w:widowControl/>
        <w:spacing w:line="572" w:lineRule="exact"/>
        <w:ind w:firstLine="640" w:firstLineChars="200"/>
        <w:contextualSpacing/>
        <w:jc w:val="center"/>
        <w:rPr>
          <w:rFonts w:ascii="仿宋_GB2312" w:hAnsi="宋体" w:eastAsia="仿宋_GB2312"/>
          <w:sz w:val="32"/>
          <w:szCs w:val="32"/>
          <w:shd w:val="clear" w:color="auto" w:fill="FFFFFF"/>
        </w:rPr>
      </w:pPr>
      <w:bookmarkStart w:id="78" w:name="_GoBack"/>
      <w:r>
        <w:rPr>
          <w:rFonts w:hint="eastAsia" w:ascii="仿宋_GB2312" w:hAnsi="宋体" w:eastAsia="仿宋_GB2312"/>
          <w:sz w:val="32"/>
          <w:szCs w:val="32"/>
          <w:shd w:val="clear" w:color="auto" w:fill="FFFFFF"/>
        </w:rPr>
        <w:t>（报告范围包括机关和下属单位）</w:t>
      </w:r>
    </w:p>
    <w:bookmarkEnd w:id="78"/>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overflowPunct w:val="0"/>
        <w:adjustRightInd w:val="0"/>
        <w:snapToGrid w:val="0"/>
        <w:spacing w:line="572" w:lineRule="exact"/>
        <w:ind w:firstLine="640" w:firstLineChars="200"/>
        <w:contextualSpacing/>
        <w:rPr>
          <w:rFonts w:hint="eastAsia" w:ascii="方正楷体简体" w:hAnsi="宋体" w:eastAsia="方正楷体简体" w:cs="宋体"/>
          <w:kern w:val="0"/>
          <w:sz w:val="32"/>
          <w:szCs w:val="32"/>
          <w:shd w:val="clear" w:color="auto" w:fill="FFFFFF"/>
          <w:lang w:val="zh-CN"/>
        </w:rPr>
      </w:pPr>
      <w:r>
        <w:rPr>
          <w:rFonts w:hint="eastAsia" w:ascii="方正楷体简体" w:hAnsi="宋体" w:eastAsia="方正楷体简体" w:cs="宋体"/>
          <w:kern w:val="0"/>
          <w:sz w:val="32"/>
          <w:szCs w:val="32"/>
          <w:shd w:val="clear" w:color="auto" w:fill="FFFFFF"/>
          <w:lang w:val="zh-CN"/>
        </w:rPr>
        <w:t>（一）机构组成。</w:t>
      </w:r>
    </w:p>
    <w:p>
      <w:pPr>
        <w:overflowPunct w:val="0"/>
        <w:adjustRightInd w:val="0"/>
        <w:snapToGrid w:val="0"/>
        <w:spacing w:line="572" w:lineRule="exact"/>
        <w:ind w:firstLine="640" w:firstLineChars="200"/>
        <w:contextualSpacing/>
        <w:rPr>
          <w:rFonts w:ascii="仿宋_GB2312" w:hAnsi="宋体" w:eastAsia="仿宋_GB2312" w:cs="宋体"/>
          <w:kern w:val="0"/>
          <w:sz w:val="32"/>
          <w:szCs w:val="32"/>
          <w:shd w:val="clear" w:color="auto" w:fill="FFFFFF"/>
          <w:lang w:val="zh-CN"/>
        </w:rPr>
      </w:pPr>
      <w:r>
        <w:rPr>
          <w:rFonts w:hint="eastAsia" w:ascii="仿宋_GB2312" w:eastAsia="仿宋_GB2312"/>
          <w:kern w:val="0"/>
          <w:sz w:val="32"/>
          <w:szCs w:val="32"/>
          <w:lang w:val="zh-CN"/>
        </w:rPr>
        <w:t>广元市利州区经济合作中心是广元市利州区政府组成部门，下属事业单位利州区招商服务中心。</w:t>
      </w:r>
    </w:p>
    <w:p>
      <w:pPr>
        <w:overflowPunct w:val="0"/>
        <w:adjustRightInd w:val="0"/>
        <w:snapToGrid w:val="0"/>
        <w:spacing w:line="572" w:lineRule="exact"/>
        <w:ind w:firstLine="640" w:firstLineChars="200"/>
        <w:contextualSpacing/>
        <w:rPr>
          <w:rFonts w:ascii="方正楷体简体" w:hAnsi="宋体" w:eastAsia="方正楷体简体" w:cs="宋体"/>
          <w:kern w:val="0"/>
          <w:sz w:val="32"/>
          <w:szCs w:val="32"/>
          <w:shd w:val="clear" w:color="auto" w:fill="FFFFFF"/>
          <w:lang w:val="zh-CN"/>
        </w:rPr>
      </w:pPr>
      <w:r>
        <w:rPr>
          <w:rFonts w:hint="eastAsia" w:ascii="方正楷体简体" w:hAnsi="宋体" w:eastAsia="方正楷体简体" w:cs="宋体"/>
          <w:kern w:val="0"/>
          <w:sz w:val="32"/>
          <w:szCs w:val="32"/>
          <w:shd w:val="clear" w:color="auto" w:fill="FFFFFF"/>
          <w:lang w:val="zh-CN"/>
        </w:rPr>
        <w:t>（二）机构职能。</w:t>
      </w:r>
    </w:p>
    <w:p>
      <w:pPr>
        <w:pStyle w:val="2"/>
        <w:overflowPunct w:val="0"/>
        <w:spacing w:beforeLines="0"/>
        <w:ind w:firstLine="640" w:firstLineChars="200"/>
        <w:rPr>
          <w:sz w:val="32"/>
          <w:szCs w:val="32"/>
        </w:rPr>
      </w:pPr>
      <w:r>
        <w:rPr>
          <w:rFonts w:hint="eastAsia"/>
          <w:sz w:val="32"/>
          <w:szCs w:val="32"/>
        </w:rPr>
        <w:t>1.负责推进全区经济合作工作，协助起草有关经济合作的政策制度，参与拟订全区经济合作的中长期规划和年度计划并组织实施。</w:t>
      </w:r>
    </w:p>
    <w:p>
      <w:pPr>
        <w:pStyle w:val="2"/>
        <w:overflowPunct w:val="0"/>
        <w:spacing w:beforeLines="0"/>
        <w:ind w:firstLine="640" w:firstLineChars="200"/>
        <w:rPr>
          <w:sz w:val="32"/>
          <w:szCs w:val="32"/>
        </w:rPr>
      </w:pPr>
      <w:r>
        <w:rPr>
          <w:rFonts w:hint="eastAsia"/>
          <w:sz w:val="32"/>
          <w:szCs w:val="32"/>
        </w:rPr>
        <w:t>2.指导全区投资促进工作，负责全区投资环境推介工作，组织区级重大投资促进活动，牵头全区重大招商项目的促进和落实，推进投资促进和管理服务网络体系建设。</w:t>
      </w:r>
    </w:p>
    <w:p>
      <w:pPr>
        <w:pStyle w:val="2"/>
        <w:overflowPunct w:val="0"/>
        <w:spacing w:beforeLines="0"/>
        <w:ind w:firstLine="640" w:firstLineChars="200"/>
        <w:rPr>
          <w:sz w:val="32"/>
          <w:szCs w:val="32"/>
        </w:rPr>
      </w:pPr>
      <w:r>
        <w:rPr>
          <w:rFonts w:hint="eastAsia"/>
          <w:sz w:val="32"/>
          <w:szCs w:val="32"/>
        </w:rPr>
        <w:t>3.承担我区与国（境）内外相关区域经济合作活动的有关具体工作。</w:t>
      </w:r>
    </w:p>
    <w:p>
      <w:pPr>
        <w:pStyle w:val="2"/>
        <w:overflowPunct w:val="0"/>
        <w:spacing w:beforeLines="0"/>
        <w:ind w:firstLine="640" w:firstLineChars="200"/>
        <w:rPr>
          <w:sz w:val="32"/>
          <w:szCs w:val="32"/>
        </w:rPr>
      </w:pPr>
      <w:r>
        <w:rPr>
          <w:rFonts w:hint="eastAsia"/>
          <w:sz w:val="32"/>
          <w:szCs w:val="32"/>
        </w:rPr>
        <w:t>4.负责联系和协调外地企业来区设立非经营性机构的工作，负责友好地区及单位的联络工作。</w:t>
      </w:r>
    </w:p>
    <w:p>
      <w:pPr>
        <w:pStyle w:val="2"/>
        <w:overflowPunct w:val="0"/>
        <w:spacing w:beforeLines="0"/>
        <w:ind w:firstLine="640" w:firstLineChars="200"/>
        <w:rPr>
          <w:sz w:val="32"/>
          <w:szCs w:val="32"/>
        </w:rPr>
      </w:pPr>
      <w:r>
        <w:rPr>
          <w:rFonts w:hint="eastAsia"/>
          <w:sz w:val="32"/>
          <w:szCs w:val="32"/>
        </w:rPr>
        <w:t>5.调查研究，搜集信息，及时向区委、区政府提供投资促进区域经济协作的决策依据，建立和完善区域经济协作、投资促进信息网络，提供相关的咨询服务，会同有关部门编报全区招商引资的统计资料。</w:t>
      </w:r>
    </w:p>
    <w:p>
      <w:pPr>
        <w:pStyle w:val="2"/>
        <w:overflowPunct w:val="0"/>
        <w:spacing w:beforeLines="0"/>
        <w:ind w:firstLine="640" w:firstLineChars="200"/>
        <w:rPr>
          <w:sz w:val="32"/>
          <w:szCs w:val="32"/>
        </w:rPr>
      </w:pPr>
      <w:r>
        <w:rPr>
          <w:rFonts w:hint="eastAsia"/>
          <w:sz w:val="32"/>
          <w:szCs w:val="32"/>
        </w:rPr>
        <w:t>6.负责职责范围内的安全生产和职业健康、生态环境保护等工作。</w:t>
      </w:r>
    </w:p>
    <w:p>
      <w:pPr>
        <w:pStyle w:val="2"/>
        <w:overflowPunct w:val="0"/>
        <w:spacing w:beforeLines="0"/>
        <w:ind w:firstLine="640" w:firstLineChars="200"/>
        <w:rPr>
          <w:sz w:val="32"/>
          <w:szCs w:val="32"/>
        </w:rPr>
      </w:pPr>
      <w:r>
        <w:rPr>
          <w:rFonts w:hint="eastAsia"/>
          <w:sz w:val="32"/>
          <w:szCs w:val="32"/>
        </w:rPr>
        <w:t>7.完成区委、区政府交办的其他工作。</w:t>
      </w:r>
    </w:p>
    <w:p>
      <w:pPr>
        <w:overflowPunct w:val="0"/>
        <w:adjustRightInd w:val="0"/>
        <w:snapToGrid w:val="0"/>
        <w:spacing w:line="572" w:lineRule="exact"/>
        <w:ind w:firstLine="640" w:firstLineChars="200"/>
        <w:contextualSpacing/>
        <w:rPr>
          <w:rFonts w:ascii="方正楷体简体" w:hAnsi="宋体" w:eastAsia="方正楷体简体" w:cs="宋体"/>
          <w:kern w:val="0"/>
          <w:sz w:val="32"/>
          <w:szCs w:val="32"/>
          <w:shd w:val="clear" w:color="auto" w:fill="FFFFFF"/>
          <w:lang w:val="zh-CN"/>
        </w:rPr>
      </w:pPr>
      <w:r>
        <w:rPr>
          <w:rFonts w:hint="eastAsia" w:ascii="方正楷体简体" w:hAnsi="宋体" w:eastAsia="方正楷体简体" w:cs="宋体"/>
          <w:kern w:val="0"/>
          <w:sz w:val="32"/>
          <w:szCs w:val="32"/>
          <w:shd w:val="clear" w:color="auto" w:fill="FFFFFF"/>
          <w:lang w:val="zh-CN"/>
        </w:rPr>
        <w:t>（三）人员概况。</w:t>
      </w:r>
    </w:p>
    <w:p>
      <w:pPr>
        <w:pStyle w:val="2"/>
        <w:overflowPunct w:val="0"/>
        <w:spacing w:before="93"/>
        <w:ind w:firstLine="640" w:firstLineChars="200"/>
        <w:rPr>
          <w:sz w:val="32"/>
          <w:szCs w:val="32"/>
        </w:rPr>
      </w:pPr>
      <w:r>
        <w:rPr>
          <w:rFonts w:hint="eastAsia"/>
          <w:sz w:val="32"/>
          <w:szCs w:val="32"/>
        </w:rPr>
        <w:t>广元市利州区经济合作中心总编制8名，其中主任1名，副主任2名；股级职数3名。下属事业单位区招商服务中心事业编制16名。在编人员总数19人，其中：行政人员8人，其他事业人员11人。离休人员0人，退休人员2人。</w:t>
      </w:r>
    </w:p>
    <w:p>
      <w:pPr>
        <w:overflowPunct w:val="0"/>
        <w:adjustRightInd w:val="0"/>
        <w:snapToGrid w:val="0"/>
        <w:spacing w:line="572" w:lineRule="exact"/>
        <w:ind w:firstLine="640" w:firstLineChars="200"/>
        <w:contextualSpacing/>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overflowPunct w:val="0"/>
        <w:adjustRightInd w:val="0"/>
        <w:snapToGrid w:val="0"/>
        <w:spacing w:line="572" w:lineRule="exact"/>
        <w:ind w:firstLine="640" w:firstLineChars="200"/>
        <w:contextualSpacing/>
        <w:rPr>
          <w:rFonts w:ascii="仿宋_GB2312" w:eastAsia="仿宋_GB2312"/>
          <w:kern w:val="0"/>
          <w:sz w:val="32"/>
          <w:szCs w:val="32"/>
          <w:lang w:val="zh-CN"/>
        </w:rPr>
      </w:pPr>
      <w:r>
        <w:rPr>
          <w:rFonts w:hint="eastAsia" w:ascii="方正楷体简体" w:hAnsi="宋体" w:eastAsia="方正楷体简体" w:cs="宋体"/>
          <w:kern w:val="0"/>
          <w:sz w:val="32"/>
          <w:szCs w:val="32"/>
          <w:shd w:val="clear" w:color="auto" w:fill="FFFFFF"/>
          <w:lang w:val="zh-CN"/>
        </w:rPr>
        <w:t>（一）部门财政资金收入情况。</w:t>
      </w:r>
      <w:r>
        <w:rPr>
          <w:rFonts w:hint="eastAsia" w:ascii="仿宋_GB2312" w:eastAsia="仿宋_GB2312"/>
          <w:kern w:val="0"/>
          <w:sz w:val="32"/>
          <w:szCs w:val="32"/>
          <w:lang w:val="zh-CN"/>
        </w:rPr>
        <w:t>202</w:t>
      </w:r>
      <w:r>
        <w:rPr>
          <w:rFonts w:hint="eastAsia" w:ascii="仿宋_GB2312" w:eastAsia="仿宋_GB2312"/>
          <w:kern w:val="0"/>
          <w:sz w:val="32"/>
          <w:szCs w:val="32"/>
        </w:rPr>
        <w:t>1</w:t>
      </w:r>
      <w:r>
        <w:rPr>
          <w:rFonts w:hint="eastAsia" w:ascii="仿宋_GB2312" w:eastAsia="仿宋_GB2312"/>
          <w:kern w:val="0"/>
          <w:sz w:val="32"/>
          <w:szCs w:val="32"/>
          <w:lang w:val="zh-CN"/>
        </w:rPr>
        <w:t>年本年收入合计</w:t>
      </w:r>
      <w:r>
        <w:rPr>
          <w:rFonts w:hint="eastAsia" w:ascii="仿宋_GB2312" w:eastAsia="仿宋_GB2312"/>
          <w:kern w:val="0"/>
          <w:sz w:val="32"/>
          <w:szCs w:val="32"/>
        </w:rPr>
        <w:t>484.10</w:t>
      </w:r>
      <w:r>
        <w:rPr>
          <w:rFonts w:hint="eastAsia" w:ascii="仿宋_GB2312" w:eastAsia="仿宋_GB2312"/>
          <w:kern w:val="0"/>
          <w:sz w:val="32"/>
          <w:szCs w:val="32"/>
          <w:lang w:val="zh-CN"/>
        </w:rPr>
        <w:t>万元，其中：一般公共预算财政拨款收入</w:t>
      </w:r>
      <w:r>
        <w:rPr>
          <w:rFonts w:hint="eastAsia" w:ascii="仿宋_GB2312" w:eastAsia="仿宋_GB2312"/>
          <w:kern w:val="0"/>
          <w:sz w:val="32"/>
          <w:szCs w:val="32"/>
        </w:rPr>
        <w:t>484.10</w:t>
      </w:r>
      <w:r>
        <w:rPr>
          <w:rFonts w:hint="eastAsia" w:ascii="仿宋_GB2312" w:eastAsia="仿宋_GB2312"/>
          <w:kern w:val="0"/>
          <w:sz w:val="32"/>
          <w:szCs w:val="32"/>
          <w:lang w:val="zh-CN"/>
        </w:rPr>
        <w:t>万元，占100%；政府性基金预算财政拨款收入0万元，占0%；上级补助收入0万元，占0%；事业收入0万元，占0%；经营收入0万元，占0%；附属单位上缴收入0万元，占0%；其他收入0万元，占0%。年末结转和结余</w:t>
      </w:r>
      <w:r>
        <w:rPr>
          <w:rFonts w:hint="eastAsia" w:ascii="仿宋_GB2312" w:eastAsia="仿宋_GB2312"/>
          <w:kern w:val="0"/>
          <w:sz w:val="32"/>
          <w:szCs w:val="32"/>
        </w:rPr>
        <w:t>99.22</w:t>
      </w:r>
      <w:r>
        <w:rPr>
          <w:rFonts w:hint="eastAsia" w:ascii="仿宋_GB2312" w:eastAsia="仿宋_GB2312"/>
          <w:kern w:val="0"/>
          <w:sz w:val="32"/>
          <w:szCs w:val="32"/>
          <w:lang w:val="zh-CN"/>
        </w:rPr>
        <w:t>万元。</w:t>
      </w:r>
    </w:p>
    <w:p>
      <w:pPr>
        <w:overflowPunct w:val="0"/>
        <w:adjustRightInd w:val="0"/>
        <w:snapToGrid w:val="0"/>
        <w:spacing w:line="572" w:lineRule="exact"/>
        <w:ind w:firstLine="640" w:firstLineChars="200"/>
        <w:contextualSpacing/>
        <w:rPr>
          <w:rFonts w:ascii="仿宋_GB2312" w:eastAsia="仿宋_GB2312"/>
          <w:kern w:val="0"/>
          <w:sz w:val="32"/>
          <w:szCs w:val="32"/>
          <w:lang w:val="zh-CN"/>
        </w:rPr>
      </w:pPr>
      <w:r>
        <w:rPr>
          <w:rFonts w:hint="eastAsia" w:ascii="方正楷体简体" w:hAnsi="宋体" w:eastAsia="方正楷体简体" w:cs="宋体"/>
          <w:kern w:val="0"/>
          <w:sz w:val="32"/>
          <w:szCs w:val="32"/>
          <w:shd w:val="clear" w:color="auto" w:fill="FFFFFF"/>
          <w:lang w:val="zh-CN"/>
        </w:rPr>
        <w:t>（二）部门财政资金支出情况。</w:t>
      </w:r>
      <w:r>
        <w:rPr>
          <w:rFonts w:hint="eastAsia" w:ascii="仿宋_GB2312" w:eastAsia="仿宋_GB2312"/>
          <w:kern w:val="0"/>
          <w:sz w:val="32"/>
          <w:szCs w:val="32"/>
          <w:lang w:val="zh-CN"/>
        </w:rPr>
        <w:t>2020年本年支出合计</w:t>
      </w:r>
      <w:r>
        <w:rPr>
          <w:rFonts w:hint="eastAsia" w:ascii="仿宋_GB2312" w:eastAsia="仿宋_GB2312"/>
          <w:kern w:val="0"/>
          <w:sz w:val="32"/>
          <w:szCs w:val="32"/>
        </w:rPr>
        <w:t>518.84</w:t>
      </w:r>
      <w:r>
        <w:rPr>
          <w:rFonts w:hint="eastAsia" w:ascii="仿宋_GB2312" w:eastAsia="仿宋_GB2312"/>
          <w:kern w:val="0"/>
          <w:sz w:val="32"/>
          <w:szCs w:val="32"/>
          <w:lang w:val="zh-CN"/>
        </w:rPr>
        <w:t>，其中：基本支出</w:t>
      </w:r>
      <w:r>
        <w:rPr>
          <w:rFonts w:hint="eastAsia" w:ascii="仿宋_GB2312" w:eastAsia="仿宋_GB2312"/>
          <w:kern w:val="0"/>
          <w:sz w:val="32"/>
          <w:szCs w:val="32"/>
        </w:rPr>
        <w:t>240.13</w:t>
      </w:r>
      <w:r>
        <w:rPr>
          <w:rFonts w:hint="eastAsia" w:ascii="仿宋_GB2312" w:eastAsia="仿宋_GB2312"/>
          <w:kern w:val="0"/>
          <w:sz w:val="32"/>
          <w:szCs w:val="32"/>
          <w:lang w:val="zh-CN"/>
        </w:rPr>
        <w:t>万元，占</w:t>
      </w:r>
      <w:r>
        <w:rPr>
          <w:rFonts w:hint="eastAsia" w:ascii="仿宋_GB2312" w:eastAsia="仿宋_GB2312"/>
          <w:kern w:val="0"/>
          <w:sz w:val="32"/>
          <w:szCs w:val="32"/>
        </w:rPr>
        <w:t>46.28</w:t>
      </w:r>
      <w:r>
        <w:rPr>
          <w:rFonts w:hint="eastAsia" w:ascii="仿宋_GB2312" w:eastAsia="仿宋_GB2312"/>
          <w:kern w:val="0"/>
          <w:sz w:val="32"/>
          <w:szCs w:val="32"/>
          <w:lang w:val="zh-CN"/>
        </w:rPr>
        <w:t>%；项目支出</w:t>
      </w:r>
      <w:r>
        <w:rPr>
          <w:rFonts w:hint="eastAsia" w:ascii="仿宋_GB2312" w:eastAsia="仿宋_GB2312"/>
          <w:kern w:val="0"/>
          <w:sz w:val="32"/>
          <w:szCs w:val="32"/>
        </w:rPr>
        <w:t>278.7</w:t>
      </w:r>
      <w:r>
        <w:rPr>
          <w:rFonts w:hint="eastAsia" w:ascii="仿宋_GB2312" w:eastAsia="仿宋_GB2312"/>
          <w:kern w:val="0"/>
          <w:sz w:val="32"/>
          <w:szCs w:val="32"/>
          <w:lang w:val="zh-CN"/>
        </w:rPr>
        <w:t>万元，占</w:t>
      </w:r>
      <w:r>
        <w:rPr>
          <w:rFonts w:hint="eastAsia" w:ascii="仿宋_GB2312" w:eastAsia="仿宋_GB2312"/>
          <w:kern w:val="0"/>
          <w:sz w:val="32"/>
          <w:szCs w:val="32"/>
        </w:rPr>
        <w:t>53.72</w:t>
      </w:r>
      <w:r>
        <w:rPr>
          <w:rFonts w:hint="eastAsia" w:ascii="仿宋_GB2312" w:eastAsia="仿宋_GB2312"/>
          <w:kern w:val="0"/>
          <w:sz w:val="32"/>
          <w:szCs w:val="32"/>
          <w:lang w:val="zh-CN"/>
        </w:rPr>
        <w:t>%；上缴上级支出0万元，占0%；经营支出0万元，占0%；对附属单位补助支出0万元，占0%。年末结转和结余</w:t>
      </w:r>
      <w:r>
        <w:rPr>
          <w:rFonts w:hint="eastAsia" w:ascii="仿宋_GB2312" w:eastAsia="仿宋_GB2312"/>
          <w:kern w:val="0"/>
          <w:sz w:val="32"/>
          <w:szCs w:val="32"/>
        </w:rPr>
        <w:t>64.49</w:t>
      </w:r>
      <w:r>
        <w:rPr>
          <w:rFonts w:hint="eastAsia" w:ascii="仿宋_GB2312" w:eastAsia="仿宋_GB2312"/>
          <w:kern w:val="0"/>
          <w:sz w:val="32"/>
          <w:szCs w:val="32"/>
          <w:lang w:val="zh-CN"/>
        </w:rPr>
        <w:t>万元。</w:t>
      </w:r>
    </w:p>
    <w:p>
      <w:pPr>
        <w:pStyle w:val="2"/>
        <w:overflowPunct w:val="0"/>
        <w:spacing w:before="93"/>
        <w:rPr>
          <w:sz w:val="32"/>
          <w:szCs w:val="32"/>
          <w:lang w:val="zh-CN"/>
        </w:rPr>
      </w:pPr>
    </w:p>
    <w:p>
      <w:pPr>
        <w:overflowPunct w:val="0"/>
        <w:adjustRightInd w:val="0"/>
        <w:snapToGrid w:val="0"/>
        <w:spacing w:line="572" w:lineRule="exact"/>
        <w:ind w:firstLine="640" w:firstLineChars="200"/>
        <w:contextualSpacing/>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pPr>
        <w:overflowPunct w:val="0"/>
        <w:adjustRightInd w:val="0"/>
        <w:snapToGrid w:val="0"/>
        <w:spacing w:line="572" w:lineRule="exact"/>
        <w:ind w:firstLine="640" w:firstLineChars="200"/>
        <w:contextualSpacing/>
        <w:rPr>
          <w:rFonts w:ascii="方正楷体简体" w:hAnsi="宋体" w:eastAsia="方正楷体简体" w:cs="宋体"/>
          <w:kern w:val="0"/>
          <w:sz w:val="32"/>
          <w:szCs w:val="32"/>
          <w:shd w:val="clear" w:color="auto" w:fill="FFFFFF"/>
          <w:lang w:val="zh-CN"/>
        </w:rPr>
      </w:pPr>
      <w:r>
        <w:rPr>
          <w:rFonts w:hint="eastAsia" w:ascii="方正楷体简体" w:hAnsi="宋体" w:eastAsia="方正楷体简体" w:cs="宋体"/>
          <w:kern w:val="0"/>
          <w:sz w:val="32"/>
          <w:szCs w:val="32"/>
          <w:shd w:val="clear" w:color="auto" w:fill="FFFFFF"/>
          <w:lang w:val="zh-CN"/>
        </w:rPr>
        <w:t>（一）部门预算项目绩效管理。</w:t>
      </w:r>
    </w:p>
    <w:p>
      <w:pPr>
        <w:overflowPunct w:val="0"/>
        <w:adjustRightInd w:val="0"/>
        <w:snapToGrid w:val="0"/>
        <w:spacing w:line="572" w:lineRule="exact"/>
        <w:ind w:firstLine="640" w:firstLineChars="200"/>
        <w:contextualSpacing/>
        <w:rPr>
          <w:rFonts w:ascii="仿宋_GB2312" w:hAnsi="宋体" w:eastAsia="仿宋_GB2312" w:cs="宋体"/>
          <w:color w:val="0000FF"/>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广元市利州区经济合作中心根据上级分配任务及部门实际业务情况制定部门绩效目标，预算编制准确，严格按照预算控制支出，执行进度和预算完成情况较好，严格按照预算控制支出，总体目标完成情况较好。</w:t>
      </w:r>
    </w:p>
    <w:p>
      <w:pPr>
        <w:overflowPunct w:val="0"/>
        <w:adjustRightInd w:val="0"/>
        <w:snapToGrid w:val="0"/>
        <w:spacing w:line="572" w:lineRule="exact"/>
        <w:ind w:firstLine="640" w:firstLineChars="200"/>
        <w:contextualSpacing/>
        <w:rPr>
          <w:rFonts w:ascii="方正楷体简体" w:hAnsi="宋体" w:eastAsia="方正楷体简体" w:cs="宋体"/>
          <w:kern w:val="0"/>
          <w:sz w:val="32"/>
          <w:szCs w:val="32"/>
          <w:shd w:val="clear" w:color="auto" w:fill="FFFFFF"/>
          <w:lang w:val="zh-CN"/>
        </w:rPr>
      </w:pPr>
      <w:r>
        <w:rPr>
          <w:rFonts w:hint="eastAsia" w:ascii="方正楷体简体" w:hAnsi="宋体" w:eastAsia="方正楷体简体" w:cs="宋体"/>
          <w:kern w:val="0"/>
          <w:sz w:val="32"/>
          <w:szCs w:val="32"/>
          <w:shd w:val="clear" w:color="auto" w:fill="FFFFFF"/>
          <w:lang w:val="zh-CN"/>
        </w:rPr>
        <w:t>（二）结果应用情况。</w:t>
      </w:r>
    </w:p>
    <w:p>
      <w:pPr>
        <w:overflowPunct w:val="0"/>
        <w:adjustRightInd w:val="0"/>
        <w:snapToGrid w:val="0"/>
        <w:spacing w:line="572" w:lineRule="exact"/>
        <w:ind w:firstLine="640" w:firstLineChars="200"/>
        <w:contextualSpacing/>
        <w:rPr>
          <w:rFonts w:ascii="仿宋_GB2312" w:hAnsi="宋体" w:eastAsia="仿宋_GB2312" w:cs="宋体"/>
          <w:color w:val="0000FF"/>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根据全年综合绩效自评结果，严格按照预算完成全部绩效目标。</w:t>
      </w:r>
    </w:p>
    <w:p>
      <w:pPr>
        <w:overflowPunct w:val="0"/>
        <w:adjustRightInd w:val="0"/>
        <w:snapToGrid w:val="0"/>
        <w:spacing w:line="572" w:lineRule="exact"/>
        <w:ind w:firstLine="640" w:firstLineChars="200"/>
        <w:contextualSpacing/>
        <w:rPr>
          <w:rFonts w:ascii="方正楷体简体" w:hAnsi="宋体" w:eastAsia="方正楷体简体" w:cs="宋体"/>
          <w:kern w:val="0"/>
          <w:sz w:val="32"/>
          <w:szCs w:val="32"/>
          <w:shd w:val="clear" w:color="auto" w:fill="FFFFFF"/>
          <w:lang w:val="zh-CN"/>
        </w:rPr>
      </w:pPr>
      <w:r>
        <w:rPr>
          <w:rFonts w:hint="eastAsia" w:ascii="方正楷体简体" w:hAnsi="宋体" w:eastAsia="方正楷体简体" w:cs="宋体"/>
          <w:kern w:val="0"/>
          <w:sz w:val="32"/>
          <w:szCs w:val="32"/>
          <w:shd w:val="clear" w:color="auto" w:fill="FFFFFF"/>
          <w:lang w:val="zh-CN"/>
        </w:rPr>
        <w:t>（三）自评质量</w:t>
      </w:r>
    </w:p>
    <w:p>
      <w:pPr>
        <w:overflowPunct w:val="0"/>
        <w:adjustRightInd w:val="0"/>
        <w:snapToGrid w:val="0"/>
        <w:spacing w:line="576" w:lineRule="exact"/>
        <w:ind w:firstLine="640" w:firstLineChars="200"/>
        <w:contextualSpacing/>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包括评价部门整体支出自评准确情况。</w:t>
      </w:r>
    </w:p>
    <w:p>
      <w:pPr>
        <w:overflowPunct w:val="0"/>
        <w:adjustRightInd w:val="0"/>
        <w:snapToGrid w:val="0"/>
        <w:spacing w:line="576" w:lineRule="exact"/>
        <w:ind w:firstLine="640" w:firstLineChars="200"/>
        <w:contextualSpacing/>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overflowPunct w:val="0"/>
        <w:adjustRightInd w:val="0"/>
        <w:snapToGrid w:val="0"/>
        <w:spacing w:line="576" w:lineRule="exact"/>
        <w:ind w:firstLine="640" w:firstLineChars="200"/>
        <w:contextualSpacing/>
        <w:rPr>
          <w:rFonts w:ascii="仿宋_GB2312" w:hAnsi="宋体" w:eastAsia="仿宋_GB2312" w:cs="宋体"/>
          <w:kern w:val="0"/>
          <w:sz w:val="32"/>
          <w:szCs w:val="32"/>
          <w:shd w:val="clear" w:color="auto" w:fill="FFFFFF"/>
          <w:lang w:val="zh-CN"/>
        </w:rPr>
      </w:pPr>
      <w:r>
        <w:rPr>
          <w:rFonts w:hint="eastAsia" w:ascii="方正楷体简体" w:hAnsi="宋体" w:eastAsia="方正楷体简体" w:cs="宋体"/>
          <w:kern w:val="0"/>
          <w:sz w:val="32"/>
          <w:szCs w:val="32"/>
          <w:shd w:val="clear" w:color="auto" w:fill="FFFFFF"/>
          <w:lang w:val="zh-CN"/>
        </w:rPr>
        <w:t>（一）评价结论</w:t>
      </w:r>
      <w:r>
        <w:rPr>
          <w:rFonts w:hint="eastAsia" w:ascii="仿宋_GB2312" w:hAnsi="宋体" w:eastAsia="仿宋_GB2312" w:cs="宋体"/>
          <w:kern w:val="0"/>
          <w:sz w:val="32"/>
          <w:szCs w:val="32"/>
          <w:shd w:val="clear" w:color="auto" w:fill="FFFFFF"/>
          <w:lang w:val="zh-CN"/>
        </w:rPr>
        <w:t>。部门整体绩效完成较好，预算情况执行良好。</w:t>
      </w:r>
    </w:p>
    <w:p>
      <w:pPr>
        <w:overflowPunct w:val="0"/>
        <w:adjustRightInd w:val="0"/>
        <w:snapToGrid w:val="0"/>
        <w:spacing w:line="576" w:lineRule="exact"/>
        <w:ind w:firstLine="640" w:firstLineChars="200"/>
        <w:contextualSpacing/>
        <w:rPr>
          <w:rFonts w:ascii="仿宋_GB2312" w:hAnsi="宋体" w:eastAsia="仿宋_GB2312" w:cs="宋体"/>
          <w:kern w:val="0"/>
          <w:sz w:val="32"/>
          <w:szCs w:val="32"/>
          <w:shd w:val="clear" w:color="auto" w:fill="FFFFFF"/>
          <w:lang w:val="zh-CN"/>
        </w:rPr>
      </w:pPr>
      <w:r>
        <w:rPr>
          <w:rFonts w:hint="eastAsia" w:ascii="方正楷体简体" w:hAnsi="宋体" w:eastAsia="方正楷体简体" w:cs="宋体"/>
          <w:kern w:val="0"/>
          <w:sz w:val="32"/>
          <w:szCs w:val="32"/>
          <w:shd w:val="clear" w:color="auto" w:fill="FFFFFF"/>
          <w:lang w:val="zh-CN"/>
        </w:rPr>
        <w:t>（二）存在问题。</w:t>
      </w:r>
      <w:r>
        <w:rPr>
          <w:rFonts w:hint="eastAsia" w:ascii="仿宋_GB2312" w:hAnsi="宋体" w:eastAsia="仿宋_GB2312" w:cs="宋体"/>
          <w:kern w:val="0"/>
          <w:sz w:val="32"/>
          <w:szCs w:val="32"/>
          <w:shd w:val="clear" w:color="auto" w:fill="FFFFFF"/>
          <w:lang w:val="zh-CN"/>
        </w:rPr>
        <w:t>项目进度未按照项目预算执行。</w:t>
      </w:r>
    </w:p>
    <w:p>
      <w:pPr>
        <w:overflowPunct w:val="0"/>
        <w:adjustRightInd w:val="0"/>
        <w:snapToGrid w:val="0"/>
        <w:spacing w:line="576" w:lineRule="exact"/>
        <w:ind w:firstLine="640" w:firstLineChars="200"/>
        <w:contextualSpacing/>
        <w:rPr>
          <w:rFonts w:ascii="仿宋_GB2312" w:hAnsi="宋体" w:eastAsia="仿宋_GB2312" w:cs="宋体"/>
          <w:kern w:val="0"/>
          <w:sz w:val="32"/>
          <w:szCs w:val="32"/>
          <w:shd w:val="clear" w:color="auto" w:fill="FFFFFF"/>
          <w:lang w:val="zh-CN"/>
        </w:rPr>
      </w:pPr>
      <w:r>
        <w:rPr>
          <w:rFonts w:hint="eastAsia" w:ascii="方正楷体简体" w:hAnsi="宋体" w:eastAsia="方正楷体简体" w:cs="宋体"/>
          <w:kern w:val="0"/>
          <w:sz w:val="32"/>
          <w:szCs w:val="32"/>
          <w:shd w:val="clear" w:color="auto" w:fill="FFFFFF"/>
          <w:lang w:val="zh-CN"/>
        </w:rPr>
        <w:t>（三）改进建议。</w:t>
      </w:r>
      <w:r>
        <w:rPr>
          <w:rFonts w:hint="eastAsia" w:ascii="仿宋_GB2312" w:hAnsi="宋体" w:eastAsia="仿宋_GB2312" w:cs="宋体"/>
          <w:kern w:val="0"/>
          <w:sz w:val="32"/>
          <w:szCs w:val="32"/>
          <w:shd w:val="clear" w:color="auto" w:fill="FFFFFF"/>
          <w:lang w:val="zh-CN"/>
        </w:rPr>
        <w:t>项目进度与实施严格按照项目预算执行。</w:t>
      </w:r>
    </w:p>
    <w:p>
      <w:pPr>
        <w:widowControl/>
        <w:jc w:val="left"/>
        <w:rPr>
          <w:rFonts w:ascii="仿宋_GB2312" w:hAnsi="宋体" w:eastAsia="仿宋_GB2312" w:cs="宋体"/>
          <w:kern w:val="0"/>
          <w:sz w:val="32"/>
          <w:szCs w:val="32"/>
          <w:shd w:val="clear" w:color="auto" w:fill="FFFFFF"/>
          <w:lang w:val="zh-CN"/>
        </w:rPr>
      </w:pPr>
      <w:r>
        <w:rPr>
          <w:rFonts w:hAnsi="宋体" w:cs="宋体"/>
          <w:sz w:val="32"/>
          <w:szCs w:val="32"/>
          <w:shd w:val="clear" w:color="auto" w:fill="FFFFFF"/>
          <w:lang w:val="zh-CN"/>
        </w:rPr>
        <w:br w:type="page"/>
      </w:r>
    </w:p>
    <w:p>
      <w:pPr>
        <w:pStyle w:val="2"/>
        <w:spacing w:before="93"/>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2021年招商引资工作经费支出绩效自评报告</w:t>
      </w:r>
    </w:p>
    <w:p>
      <w:pPr>
        <w:spacing w:line="6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（单位所有项目均要自评）</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color w:val="0000FF"/>
          <w:sz w:val="32"/>
          <w:szCs w:val="32"/>
          <w:lang w:val="zh-CN"/>
        </w:rPr>
      </w:pPr>
      <w:r>
        <w:rPr>
          <w:rFonts w:hint="eastAsia" w:ascii="仿宋_GB2312" w:hAnsi="宋体" w:eastAsia="仿宋_GB2312"/>
          <w:sz w:val="32"/>
          <w:szCs w:val="32"/>
          <w:lang w:val="zh-CN"/>
        </w:rPr>
        <w:t>按照全国、省市区经济工作会议精神，要求更大力度招商引资，落实社会化招商、全员招商激励机制，全力以赴抓好招商引资工作。区经济合作中心作为招商引资牵头部门，2021年招商引资工作经费主要用于完成区委各项招商引资任务，包括广元市投资促进委员会关于印发《2021年县区、广元经济技术开发区经济合作目标任务》《2021年县区、广元经济技术开发区实际到位外资目标任务》的通知（广投促委（2021）1号）文件中下达的到位市外资金、到位省外资金、到位工业资金、项目招引及开工、开展招商活动等。</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color w:val="0000FF"/>
          <w:sz w:val="32"/>
          <w:szCs w:val="32"/>
          <w:lang w:val="zh-CN"/>
        </w:rPr>
      </w:pPr>
      <w:r>
        <w:rPr>
          <w:rFonts w:hint="eastAsia" w:ascii="仿宋_GB2312" w:hAnsi="宋体" w:eastAsia="仿宋_GB2312"/>
          <w:sz w:val="32"/>
          <w:szCs w:val="32"/>
          <w:lang w:val="zh-CN"/>
        </w:rPr>
        <w:t>项目主要内容为1.全年完成到位市外资金数89亿元以上，其中：到位省外资金数56亿元以上，到位工业资金数53亿元以上。2.全年新开工亿元以上项目13个，其中1-5亿元项目8个，5—10亿元以上项目4个，10亿元以上项目1个。3.全年新签约亿元以上项目6个，其中1-5亿元项目3个，10亿元以上项目3个。4.全年实际到位外资1000万元</w:t>
      </w:r>
      <w:r>
        <w:rPr>
          <w:rFonts w:hint="eastAsia" w:ascii="仿宋_GB2312" w:hAnsi="宋体" w:eastAsia="仿宋_GB2312"/>
          <w:color w:val="0000FF"/>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color w:val="0000FF"/>
          <w:sz w:val="32"/>
          <w:szCs w:val="32"/>
          <w:lang w:val="zh-CN"/>
        </w:rPr>
      </w:pPr>
      <w:r>
        <w:rPr>
          <w:rFonts w:hint="eastAsia" w:ascii="仿宋_GB2312" w:hAnsi="宋体" w:eastAsia="仿宋_GB2312"/>
          <w:sz w:val="32"/>
          <w:szCs w:val="32"/>
          <w:lang w:val="zh-CN"/>
        </w:rPr>
        <w:t>根据绩效管理的相关规定，成立了绩效评价工作领导小组，根据年初确定的绩效目标，对照检查设置指标产出数量、质量、时效、成本，以及经济效益、社会效益可持续影响、满意度等指标开展项目绩效评价</w:t>
      </w:r>
      <w:r>
        <w:rPr>
          <w:rFonts w:hint="eastAsia" w:ascii="仿宋_GB2312" w:hAnsi="宋体" w:eastAsia="仿宋_GB2312"/>
          <w:color w:val="0000FF"/>
          <w:sz w:val="32"/>
          <w:szCs w:val="32"/>
          <w:lang w:val="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该项目2021年共申请专项资金200万元，利州区经济合作中心财务制度完善健全，资金管理规范，资金使用做到专款专用，与申报计划相符，合理合法合规。</w:t>
      </w:r>
    </w:p>
    <w:p>
      <w:pPr>
        <w:adjustRightInd w:val="0"/>
        <w:snapToGrid w:val="0"/>
        <w:spacing w:line="600" w:lineRule="exact"/>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该项目资金来源为地方财政资金，年末全部到位，资金到位率100%，全部用于招商引资差旅费、接待费等报账。资金使用安全、规范及有效，资金支付范围、支付标准、支付进度、支付依据等合规合法、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（一）项目组织架构及实施流程。</w:t>
      </w:r>
      <w:r>
        <w:rPr>
          <w:rFonts w:hint="eastAsia" w:ascii="仿宋_GB2312" w:hAnsi="宋体" w:eastAsia="仿宋_GB2312"/>
          <w:sz w:val="32"/>
          <w:szCs w:val="32"/>
          <w:lang w:val="zh-CN"/>
        </w:rPr>
        <w:t>项目资金由广元市利州区经济合作中心使用实施。</w:t>
      </w:r>
    </w:p>
    <w:p>
      <w:pPr>
        <w:adjustRightInd w:val="0"/>
        <w:snapToGrid w:val="0"/>
        <w:spacing w:line="600" w:lineRule="exact"/>
        <w:ind w:firstLine="720"/>
        <w:rPr>
          <w:rFonts w:ascii="仿宋_GB2312" w:hAnsi="宋体" w:eastAsia="仿宋_GB2312"/>
          <w:color w:val="0000FF"/>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广元市利州区经济合作中心建立健全了项目报备、动态监管等管理制度，并在项目实施过程中执行了相关项目管理制度。</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广元市利州区经济合作中心建立了完善了监管制度，对项目的实施进行了全面的监管。</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全年完成到位市外资金数89亿元以上，其中：到位省外资金数56亿元以上，到位工业资金数53亿元以上。全年新开工亿元以上项目13个，其中1-5亿元项目8个，5—10亿元以上项目4个，10亿元以上项目1个。全年新签约亿元以上项目6个，其中1-5亿元项目3个，10亿元以上项目3个。全年实际到位外资1000万元。对照项目计划任务量完成100%、质量标准、进度计划、成本控制合理合规。</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color w:val="0000FF"/>
          <w:sz w:val="32"/>
          <w:szCs w:val="32"/>
          <w:lang w:val="zh-CN"/>
        </w:rPr>
      </w:pPr>
      <w:r>
        <w:rPr>
          <w:rFonts w:hint="eastAsia" w:ascii="仿宋_GB2312" w:hAnsi="宋体" w:eastAsia="仿宋_GB2312"/>
          <w:sz w:val="32"/>
          <w:szCs w:val="32"/>
          <w:lang w:val="zh-CN"/>
        </w:rPr>
        <w:t>一是有利于促进地方经济总量增长，加速产业结构调整和升级；二是有利于增加税源和财政收入，进而促进地方经济社会发展；三是有利于扩大就业，促进居民收入和生活水平的提高；四是有利于发展开放型经济，促进区域经济与外部经济接轨，提升区域经济综合竞争力。</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76" w:lineRule="exact"/>
        <w:ind w:firstLine="640" w:firstLineChars="200"/>
        <w:rPr>
          <w:rFonts w:ascii="仿宋_GB2312" w:hAnsi="宋体" w:eastAsia="仿宋_GB2312"/>
          <w:color w:val="0000FF"/>
          <w:sz w:val="32"/>
          <w:szCs w:val="32"/>
          <w:bdr w:val="single" w:color="auto" w:sz="4" w:space="0"/>
          <w:lang w:val="zh-CN"/>
        </w:rPr>
      </w:pPr>
      <w:r>
        <w:rPr>
          <w:rFonts w:hint="eastAsia" w:ascii="仿宋_GB2312" w:hAnsi="宋体" w:eastAsia="仿宋_GB2312"/>
          <w:sz w:val="32"/>
          <w:szCs w:val="32"/>
          <w:lang w:val="zh-CN"/>
        </w:rPr>
        <w:t>项目支出绩效目标设置了数量、质量、时效、成本、经济效益、社会效益、可持续影响和满意度指标，通过绩效自评，年初设置的绩效目标已全部完成。</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76" w:lineRule="exact"/>
        <w:ind w:firstLine="640" w:firstLineChars="200"/>
        <w:rPr>
          <w:rFonts w:ascii="仿宋_GB2312" w:hAnsi="宋体" w:eastAsia="仿宋_GB2312"/>
          <w:color w:val="0000FF"/>
          <w:sz w:val="32"/>
          <w:szCs w:val="32"/>
          <w:lang w:val="zh-CN"/>
        </w:rPr>
      </w:pPr>
      <w:r>
        <w:rPr>
          <w:rFonts w:hint="eastAsia" w:ascii="仿宋_GB2312" w:hAnsi="宋体" w:eastAsia="仿宋_GB2312"/>
          <w:sz w:val="32"/>
          <w:szCs w:val="32"/>
          <w:lang w:val="zh-CN"/>
        </w:rPr>
        <w:t>个别项目指标未细化量化，未明确预期工作目标；在绩效目标三级指标量化细化上还需进一步完善。</w:t>
      </w:r>
    </w:p>
    <w:p>
      <w:pPr>
        <w:adjustRightInd w:val="0"/>
        <w:snapToGrid w:val="0"/>
        <w:spacing w:line="576"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进一步优化预算编制，避免预算支出与实际执行出现较大偏差的现象。</w:t>
      </w:r>
    </w:p>
    <w:p>
      <w:pPr>
        <w:widowControl/>
        <w:jc w:val="left"/>
        <w:rPr>
          <w:rFonts w:ascii="仿宋_GB2312" w:hAnsi="宋体" w:eastAsia="仿宋_GB2312"/>
          <w:kern w:val="0"/>
          <w:sz w:val="32"/>
          <w:szCs w:val="32"/>
          <w:lang w:val="zh-CN"/>
        </w:rPr>
      </w:pPr>
      <w:r>
        <w:rPr>
          <w:rFonts w:hAnsi="宋体"/>
          <w:sz w:val="32"/>
          <w:szCs w:val="32"/>
          <w:lang w:val="zh-CN"/>
        </w:rPr>
        <w:br w:type="page"/>
      </w:r>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013"/>
        <w:gridCol w:w="1377"/>
        <w:gridCol w:w="1576"/>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textAlignment w:val="center"/>
              <w:rPr>
                <w:rFonts w:ascii="宋体" w:hAnsi="宋体" w:cs="宋体"/>
                <w:b/>
                <w:sz w:val="32"/>
                <w:szCs w:val="32"/>
              </w:rPr>
            </w:pPr>
            <w:r>
              <w:rPr>
                <w:rFonts w:hint="eastAsia" w:ascii="宋体" w:hAnsi="宋体" w:cs="宋体"/>
                <w:b/>
                <w:sz w:val="32"/>
                <w:szCs w:val="32"/>
              </w:rPr>
              <w:t>2021年100万元以上（含）特定目标类部门预算项目绩效目标自评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主管部门及代码</w:t>
            </w:r>
          </w:p>
        </w:tc>
        <w:tc>
          <w:tcPr>
            <w:tcW w:w="2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rPr>
            </w:pPr>
            <w:r>
              <w:rPr>
                <w:rFonts w:hint="eastAsia" w:ascii="宋体" w:hAnsi="宋体" w:cs="宋体"/>
                <w:color w:val="000000"/>
                <w:szCs w:val="21"/>
              </w:rPr>
              <w:t>区经济合作中心617601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color w:val="000000"/>
                <w:szCs w:val="21"/>
              </w:rPr>
              <w:t>区经济合作中心</w:t>
            </w:r>
          </w:p>
        </w:tc>
      </w:tr>
      <w:tr>
        <w:tblPrEx>
          <w:tblCellMar>
            <w:top w:w="0" w:type="dxa"/>
            <w:left w:w="108" w:type="dxa"/>
            <w:bottom w:w="0" w:type="dxa"/>
            <w:right w:w="108" w:type="dxa"/>
          </w:tblCellMar>
        </w:tblPrEx>
        <w:trPr>
          <w:gridAfter w:val="1"/>
          <w:wAfter w:w="236" w:type="dxa"/>
          <w:trHeight w:val="341" w:hRule="atLeast"/>
        </w:trPr>
        <w:tc>
          <w:tcPr>
            <w:tcW w:w="29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rPr>
            </w:pPr>
            <w:r>
              <w:rPr>
                <w:rFonts w:hint="eastAsia" w:ascii="宋体" w:hAnsi="宋体" w:cs="宋体"/>
                <w:kern w:val="0"/>
                <w:sz w:val="24"/>
              </w:rPr>
              <w:t>项目预算</w:t>
            </w:r>
          </w:p>
          <w:p>
            <w:pPr>
              <w:widowControl/>
              <w:jc w:val="center"/>
              <w:textAlignment w:val="center"/>
              <w:rPr>
                <w:rFonts w:ascii="宋体" w:hAnsi="宋体" w:cs="宋体"/>
                <w:kern w:val="0"/>
                <w:sz w:val="24"/>
              </w:rPr>
            </w:pPr>
            <w:r>
              <w:rPr>
                <w:rFonts w:hint="eastAsia" w:ascii="宋体" w:hAnsi="宋体" w:cs="宋体"/>
                <w:kern w:val="0"/>
                <w:sz w:val="24"/>
              </w:rPr>
              <w:t>执行情况</w:t>
            </w:r>
          </w:p>
          <w:p>
            <w:pPr>
              <w:widowControl/>
              <w:jc w:val="center"/>
              <w:textAlignment w:val="center"/>
              <w:rPr>
                <w:rFonts w:ascii="宋体" w:hAnsi="宋体" w:cs="宋体"/>
                <w:sz w:val="24"/>
              </w:rPr>
            </w:pPr>
            <w:r>
              <w:rPr>
                <w:rFonts w:hint="eastAsia" w:ascii="宋体" w:hAnsi="宋体" w:cs="宋体"/>
                <w:kern w:val="0"/>
                <w:sz w:val="24"/>
              </w:rPr>
              <w:t>（万元）</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 xml:space="preserve"> 预算数：</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color w:val="000000"/>
                <w:szCs w:val="21"/>
              </w:rPr>
              <w:t>200万元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color w:val="000000"/>
                <w:szCs w:val="21"/>
              </w:rPr>
              <w:t>200万元</w:t>
            </w:r>
          </w:p>
        </w:tc>
      </w:tr>
      <w:tr>
        <w:tblPrEx>
          <w:tblCellMar>
            <w:top w:w="0" w:type="dxa"/>
            <w:left w:w="108" w:type="dxa"/>
            <w:bottom w:w="0" w:type="dxa"/>
            <w:right w:w="108" w:type="dxa"/>
          </w:tblCellMar>
        </w:tblPrEx>
        <w:trPr>
          <w:gridAfter w:val="1"/>
          <w:wAfter w:w="236" w:type="dxa"/>
          <w:trHeight w:val="555" w:hRule="atLeast"/>
        </w:trPr>
        <w:tc>
          <w:tcPr>
            <w:tcW w:w="2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4"/>
              </w:rPr>
            </w:pPr>
            <w:r>
              <w:rPr>
                <w:rFonts w:hint="eastAsia" w:ascii="宋体" w:hAnsi="宋体" w:cs="宋体"/>
                <w:kern w:val="0"/>
                <w:sz w:val="24"/>
              </w:rPr>
              <w:t>其中：</w:t>
            </w:r>
          </w:p>
          <w:p>
            <w:pPr>
              <w:widowControl/>
              <w:jc w:val="left"/>
              <w:textAlignment w:val="center"/>
              <w:rPr>
                <w:rFonts w:ascii="宋体" w:hAnsi="宋体" w:cs="宋体"/>
                <w:sz w:val="24"/>
              </w:rPr>
            </w:pPr>
            <w:r>
              <w:rPr>
                <w:rFonts w:hint="eastAsia" w:ascii="宋体" w:hAnsi="宋体" w:cs="宋体"/>
                <w:kern w:val="0"/>
                <w:sz w:val="24"/>
              </w:rPr>
              <w:t>财政拨款</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color w:val="000000"/>
                <w:szCs w:val="21"/>
              </w:rPr>
              <w:t>200万元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4"/>
              </w:rPr>
            </w:pPr>
            <w:r>
              <w:rPr>
                <w:rFonts w:hint="eastAsia" w:ascii="宋体" w:hAnsi="宋体" w:cs="宋体"/>
                <w:kern w:val="0"/>
                <w:sz w:val="24"/>
              </w:rPr>
              <w:t>其中：</w:t>
            </w:r>
          </w:p>
          <w:p>
            <w:pPr>
              <w:widowControl/>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color w:val="000000"/>
                <w:szCs w:val="21"/>
              </w:rPr>
              <w:t>200万元</w:t>
            </w:r>
          </w:p>
        </w:tc>
      </w:tr>
      <w:tr>
        <w:tblPrEx>
          <w:tblCellMar>
            <w:top w:w="0" w:type="dxa"/>
            <w:left w:w="108" w:type="dxa"/>
            <w:bottom w:w="0" w:type="dxa"/>
            <w:right w:w="108" w:type="dxa"/>
          </w:tblCellMar>
        </w:tblPrEx>
        <w:trPr>
          <w:gridAfter w:val="1"/>
          <w:wAfter w:w="236" w:type="dxa"/>
          <w:trHeight w:val="341" w:hRule="atLeast"/>
        </w:trPr>
        <w:tc>
          <w:tcPr>
            <w:tcW w:w="2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其他资金</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rPr>
            </w:pPr>
            <w:r>
              <w:rPr>
                <w:rFonts w:hint="eastAsia" w:ascii="宋体" w:hAnsi="宋体" w:cs="宋体"/>
                <w:kern w:val="0"/>
                <w:sz w:val="24"/>
              </w:rPr>
              <w:t>年度总体目标</w:t>
            </w:r>
          </w:p>
          <w:p>
            <w:pPr>
              <w:widowControl/>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sz w:val="24"/>
              </w:rPr>
            </w:pPr>
            <w:r>
              <w:rPr>
                <w:rFonts w:hint="eastAsia" w:ascii="宋体" w:hAnsi="宋体" w:cs="宋体"/>
                <w:color w:val="000000"/>
                <w:szCs w:val="21"/>
              </w:rPr>
              <w:t>完成到位市外资金数82亿元以上；新开工亿元以上项目13个，其中1-5亿元项目8个，5—10亿元以上项目4个，10亿元以上项目1个 ；新签约亿元以上项目13个，其中1-5亿元项目8个，5—10亿元以上项目4个，10亿元以上项目1个。</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sz w:val="24"/>
              </w:rPr>
            </w:pPr>
            <w:r>
              <w:rPr>
                <w:rFonts w:hint="eastAsia" w:ascii="宋体" w:hAnsi="宋体" w:cs="宋体"/>
                <w:color w:val="000000"/>
                <w:szCs w:val="21"/>
              </w:rPr>
              <w:t>完成到位市外资金数89亿元以上；新开工亿元以上项目13个，其中1-5亿元项目8个，5—10亿元以上项目4个，10亿元以上项目1个 ；新签约亿元以上项目15个，其中1-5亿元项目8个，5—10亿元以上项目4个，10亿元以上项目3个。</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013"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ascii="仿宋_GB2312" w:hAnsi="仿宋_GB2312" w:eastAsia="仿宋_GB2312" w:cs="仿宋_GB2312"/>
                <w:sz w:val="28"/>
                <w:szCs w:val="28"/>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0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市下达到位市外资金数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=82亿元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=89亿元</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ascii="仿宋_GB2312" w:hAnsi="仿宋_GB2312" w:eastAsia="仿宋_GB2312" w:cs="仿宋_GB2312"/>
                <w:sz w:val="28"/>
                <w:szCs w:val="28"/>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仿宋_GB2312" w:hAnsi="仿宋_GB2312" w:eastAsia="仿宋_GB2312" w:cs="仿宋_GB2312"/>
                <w:sz w:val="28"/>
                <w:szCs w:val="28"/>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新开工亿元以上项目个数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=8个</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=13个</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ascii="仿宋_GB2312" w:hAnsi="仿宋_GB2312" w:eastAsia="仿宋_GB2312" w:cs="仿宋_GB2312"/>
                <w:sz w:val="28"/>
                <w:szCs w:val="28"/>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仿宋_GB2312" w:hAnsi="仿宋_GB2312" w:eastAsia="仿宋_GB2312" w:cs="仿宋_GB2312"/>
                <w:sz w:val="28"/>
                <w:szCs w:val="28"/>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《12个月</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《12个月</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ascii="仿宋_GB2312" w:hAnsi="仿宋_GB2312" w:eastAsia="仿宋_GB2312" w:cs="仿宋_GB2312"/>
                <w:sz w:val="28"/>
                <w:szCs w:val="28"/>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仿宋_GB2312" w:hAnsi="仿宋_GB2312" w:eastAsia="仿宋_GB2312" w:cs="仿宋_GB2312"/>
                <w:sz w:val="28"/>
                <w:szCs w:val="28"/>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人员成本</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《20人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《20人</w:t>
            </w:r>
          </w:p>
        </w:tc>
      </w:tr>
      <w:tr>
        <w:tblPrEx>
          <w:tblCellMar>
            <w:top w:w="0" w:type="dxa"/>
            <w:left w:w="108" w:type="dxa"/>
            <w:bottom w:w="0" w:type="dxa"/>
            <w:right w:w="108" w:type="dxa"/>
          </w:tblCellMar>
        </w:tblPrEx>
        <w:trPr>
          <w:gridAfter w:val="1"/>
          <w:wAfter w:w="236" w:type="dxa"/>
          <w:trHeight w:val="728"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ascii="仿宋_GB2312" w:hAnsi="仿宋_GB2312" w:eastAsia="仿宋_GB2312" w:cs="仿宋_GB2312"/>
                <w:sz w:val="28"/>
                <w:szCs w:val="28"/>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w:t>
            </w:r>
          </w:p>
          <w:p>
            <w:pPr>
              <w:widowControl/>
              <w:spacing w:line="30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税收收入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》1年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》1年</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ascii="仿宋_GB2312" w:hAnsi="仿宋_GB2312" w:eastAsia="仿宋_GB2312" w:cs="仿宋_GB2312"/>
                <w:sz w:val="28"/>
                <w:szCs w:val="28"/>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仿宋_GB2312" w:hAnsi="仿宋_GB2312" w:eastAsia="仿宋_GB2312" w:cs="仿宋_GB2312"/>
                <w:sz w:val="28"/>
                <w:szCs w:val="28"/>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增加地方就业岗位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》10个</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》10个</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ascii="仿宋_GB2312" w:hAnsi="仿宋_GB2312" w:eastAsia="仿宋_GB2312" w:cs="仿宋_GB2312"/>
                <w:sz w:val="28"/>
                <w:szCs w:val="28"/>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仿宋_GB2312" w:hAnsi="仿宋_GB2312" w:eastAsia="仿宋_GB2312" w:cs="仿宋_GB2312"/>
                <w:sz w:val="28"/>
                <w:szCs w:val="28"/>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bottom"/>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生态效益</w:t>
            </w:r>
          </w:p>
          <w:p>
            <w:pPr>
              <w:widowControl/>
              <w:spacing w:line="40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“三高”企业</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《0个</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《0个</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00" w:lineRule="exact"/>
              <w:jc w:val="center"/>
              <w:rPr>
                <w:rFonts w:ascii="仿宋_GB2312" w:hAnsi="仿宋_GB2312" w:eastAsia="仿宋_GB2312" w:cs="仿宋_GB2312"/>
                <w:sz w:val="28"/>
                <w:szCs w:val="28"/>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仿宋_GB2312" w:hAnsi="仿宋_GB2312" w:eastAsia="仿宋_GB2312" w:cs="仿宋_GB2312"/>
                <w:sz w:val="28"/>
                <w:szCs w:val="28"/>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bottom"/>
              <w:rPr>
                <w:rFonts w:hint="eastAsia" w:ascii="仿宋_GB2312" w:hAnsi="仿宋_GB2312" w:eastAsia="仿宋_GB2312" w:cs="仿宋_GB2312"/>
                <w:spacing w:val="-24"/>
                <w:kern w:val="0"/>
                <w:sz w:val="28"/>
                <w:szCs w:val="28"/>
              </w:rPr>
            </w:pPr>
            <w:r>
              <w:rPr>
                <w:rFonts w:hint="eastAsia" w:ascii="仿宋_GB2312" w:hAnsi="仿宋_GB2312" w:eastAsia="仿宋_GB2312" w:cs="仿宋_GB2312"/>
                <w:spacing w:val="-24"/>
                <w:kern w:val="0"/>
                <w:sz w:val="28"/>
                <w:szCs w:val="28"/>
              </w:rPr>
              <w:t>可持续影响</w:t>
            </w:r>
          </w:p>
          <w:p>
            <w:pPr>
              <w:widowControl/>
              <w:spacing w:line="40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有利于促进地方经济总量持续增长</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》1年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》1年</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仿宋_GB2312" w:hAnsi="仿宋_GB2312" w:eastAsia="仿宋_GB2312" w:cs="仿宋_GB2312"/>
                <w:sz w:val="28"/>
                <w:szCs w:val="28"/>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w:t>
            </w:r>
          </w:p>
          <w:p>
            <w:pPr>
              <w:widowControl/>
              <w:spacing w:line="30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40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招引企业对服务工作满意度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》90%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bottom"/>
              <w:rPr>
                <w:rFonts w:ascii="仿宋_GB2312" w:hAnsi="仿宋_GB2312" w:eastAsia="仿宋_GB2312" w:cs="仿宋_GB2312"/>
                <w:sz w:val="28"/>
                <w:szCs w:val="28"/>
              </w:rPr>
            </w:pPr>
            <w:r>
              <w:rPr>
                <w:rFonts w:hint="eastAsia" w:ascii="仿宋_GB2312" w:cs="仿宋_GB2312"/>
                <w:color w:val="000000"/>
                <w:szCs w:val="21"/>
              </w:rPr>
              <w:t>》90%</w:t>
            </w:r>
          </w:p>
        </w:tc>
      </w:tr>
    </w:tbl>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附表：</w:t>
      </w:r>
    </w:p>
    <w:p>
      <w:pPr>
        <w:widowControl/>
        <w:adjustRightInd w:val="0"/>
        <w:snapToGrid w:val="0"/>
        <w:spacing w:line="580" w:lineRule="exact"/>
        <w:contextualSpacing/>
        <w:jc w:val="left"/>
        <w:rPr>
          <w:rStyle w:val="24"/>
          <w:rFonts w:ascii="黑体" w:hAnsi="黑体" w:eastAsia="黑体"/>
          <w:b w:val="0"/>
        </w:rPr>
      </w:pPr>
      <w:r>
        <w:rPr>
          <w:rFonts w:hint="eastAsia" w:ascii="仿宋_GB2312" w:hAnsi="宋体" w:eastAsia="仿宋_GB2312" w:cs="宋体"/>
          <w:kern w:val="0"/>
          <w:sz w:val="32"/>
          <w:szCs w:val="32"/>
          <w:shd w:val="clear" w:color="auto" w:fill="FFFFFF"/>
        </w:rPr>
        <w:t>（注：有两个及以上100万元以上（含）特定目标类部门预算项目的，需分别开展绩效目标自评并填写附表）</w:t>
      </w:r>
    </w:p>
    <w:p>
      <w:pPr>
        <w:widowControl/>
        <w:jc w:val="center"/>
        <w:rPr>
          <w:rFonts w:ascii="仿宋" w:hAnsi="仿宋" w:eastAsia="仿宋"/>
        </w:rPr>
      </w:pPr>
      <w:bookmarkStart w:id="64" w:name="_Toc15396618"/>
      <w:r>
        <w:rPr>
          <w:rFonts w:hint="eastAsia" w:ascii="黑体" w:hAnsi="黑体" w:eastAsia="黑体"/>
          <w:sz w:val="44"/>
          <w:szCs w:val="44"/>
        </w:rPr>
        <w:t>第</w:t>
      </w:r>
      <w:r>
        <w:rPr>
          <w:rStyle w:val="24"/>
          <w:rFonts w:hint="eastAsia" w:ascii="黑体" w:hAnsi="黑体" w:eastAsia="黑体"/>
          <w:b w:val="0"/>
        </w:rPr>
        <w:t>五部分 附表</w:t>
      </w:r>
      <w:bookmarkEnd w:id="62"/>
      <w:bookmarkEnd w:id="64"/>
      <w:bookmarkStart w:id="65"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65"/>
    </w:p>
    <w:p>
      <w:pPr>
        <w:pStyle w:val="4"/>
        <w:rPr>
          <w:rFonts w:ascii="仿宋" w:hAnsi="仿宋" w:eastAsia="仿宋"/>
        </w:rPr>
      </w:pPr>
      <w:bookmarkStart w:id="66" w:name="_Toc15396620"/>
      <w:r>
        <w:rPr>
          <w:rFonts w:hint="eastAsia" w:ascii="仿宋" w:hAnsi="仿宋" w:eastAsia="仿宋"/>
          <w:b w:val="0"/>
        </w:rPr>
        <w:t>二、收</w:t>
      </w:r>
      <w:r>
        <w:rPr>
          <w:rStyle w:val="25"/>
          <w:rFonts w:hint="eastAsia" w:ascii="仿宋" w:hAnsi="仿宋" w:eastAsia="仿宋"/>
          <w:b w:val="0"/>
          <w:bCs w:val="0"/>
        </w:rPr>
        <w:t>入决算表</w:t>
      </w:r>
      <w:bookmarkEnd w:id="66"/>
    </w:p>
    <w:p>
      <w:pPr>
        <w:pStyle w:val="4"/>
        <w:rPr>
          <w:rFonts w:ascii="仿宋" w:hAnsi="仿宋" w:eastAsia="仿宋"/>
        </w:rPr>
      </w:pPr>
      <w:bookmarkStart w:id="67"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67"/>
    </w:p>
    <w:p>
      <w:pPr>
        <w:pStyle w:val="4"/>
        <w:rPr>
          <w:rFonts w:ascii="仿宋" w:hAnsi="仿宋" w:eastAsia="仿宋"/>
          <w:b w:val="0"/>
        </w:rPr>
      </w:pPr>
      <w:bookmarkStart w:id="68"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68"/>
    </w:p>
    <w:p>
      <w:pPr>
        <w:pStyle w:val="4"/>
        <w:rPr>
          <w:rStyle w:val="25"/>
          <w:rFonts w:ascii="仿宋" w:hAnsi="仿宋" w:eastAsia="仿宋"/>
          <w:b w:val="0"/>
          <w:bCs w:val="0"/>
        </w:rPr>
      </w:pPr>
      <w:bookmarkStart w:id="69"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69"/>
      <w:bookmarkStart w:id="70"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70"/>
    </w:p>
    <w:p>
      <w:pPr>
        <w:pStyle w:val="4"/>
        <w:rPr>
          <w:rFonts w:ascii="仿宋" w:hAnsi="仿宋" w:eastAsia="仿宋"/>
        </w:rPr>
      </w:pPr>
      <w:bookmarkStart w:id="71"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71"/>
    </w:p>
    <w:p>
      <w:pPr>
        <w:pStyle w:val="4"/>
        <w:rPr>
          <w:rFonts w:ascii="仿宋" w:hAnsi="仿宋" w:eastAsia="仿宋"/>
        </w:rPr>
      </w:pPr>
      <w:bookmarkStart w:id="72"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72"/>
    </w:p>
    <w:p>
      <w:pPr>
        <w:pStyle w:val="4"/>
        <w:rPr>
          <w:rFonts w:ascii="仿宋" w:hAnsi="仿宋" w:eastAsia="仿宋"/>
        </w:rPr>
      </w:pPr>
      <w:bookmarkStart w:id="73"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73"/>
    </w:p>
    <w:p>
      <w:pPr>
        <w:pStyle w:val="4"/>
        <w:rPr>
          <w:rFonts w:ascii="仿宋" w:hAnsi="仿宋" w:eastAsia="仿宋"/>
        </w:rPr>
      </w:pPr>
      <w:bookmarkStart w:id="74" w:name="_Toc15396628"/>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74"/>
    </w:p>
    <w:p>
      <w:pPr>
        <w:pStyle w:val="4"/>
        <w:rPr>
          <w:rFonts w:ascii="仿宋" w:hAnsi="仿宋" w:eastAsia="仿宋"/>
        </w:rPr>
      </w:pPr>
      <w:bookmarkStart w:id="75"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75"/>
    </w:p>
    <w:p>
      <w:pPr>
        <w:pStyle w:val="4"/>
        <w:rPr>
          <w:rFonts w:ascii="仿宋" w:hAnsi="仿宋" w:eastAsia="仿宋"/>
        </w:rPr>
      </w:pPr>
      <w:bookmarkStart w:id="76" w:name="_Toc15396630"/>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76"/>
    </w:p>
    <w:p>
      <w:pPr>
        <w:pStyle w:val="4"/>
        <w:rPr>
          <w:rStyle w:val="25"/>
          <w:rFonts w:ascii="仿宋" w:hAnsi="仿宋" w:eastAsia="仿宋"/>
          <w:b w:val="0"/>
          <w:bCs w:val="0"/>
        </w:rPr>
      </w:pPr>
      <w:bookmarkStart w:id="77" w:name="_Toc15396631"/>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77"/>
    </w:p>
    <w:p>
      <w:pPr>
        <w:rPr>
          <w:rFonts w:eastAsia="仿宋"/>
        </w:rPr>
      </w:pPr>
      <w:r>
        <w:rPr>
          <w:rStyle w:val="25"/>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26</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D2DB0D4"/>
    <w:multiLevelType w:val="singleLevel"/>
    <w:tmpl w:val="ED2DB0D4"/>
    <w:lvl w:ilvl="0" w:tentative="0">
      <w:start w:val="1"/>
      <w:numFmt w:val="decimal"/>
      <w:lvlText w:val="%1."/>
      <w:lvlJc w:val="left"/>
      <w:pPr>
        <w:tabs>
          <w:tab w:val="left" w:pos="312"/>
        </w:tabs>
      </w:pPr>
      <w:rPr>
        <w:b/>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ZjE4ZmNjNGM1OWNjNDU0MGU5MjkwYjc3NzY0MjEifQ=="/>
  </w:docVars>
  <w:rsids>
    <w:rsidRoot w:val="00F1361C"/>
    <w:rsid w:val="000222C6"/>
    <w:rsid w:val="0002549F"/>
    <w:rsid w:val="000468DB"/>
    <w:rsid w:val="0006487A"/>
    <w:rsid w:val="00065F8F"/>
    <w:rsid w:val="00070A43"/>
    <w:rsid w:val="000768F2"/>
    <w:rsid w:val="0009184B"/>
    <w:rsid w:val="00094236"/>
    <w:rsid w:val="0009593C"/>
    <w:rsid w:val="00096480"/>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6F0C"/>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156AD"/>
    <w:rsid w:val="0062270A"/>
    <w:rsid w:val="00622830"/>
    <w:rsid w:val="006229C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0673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379D2"/>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51D1"/>
    <w:rsid w:val="00FF1E02"/>
    <w:rsid w:val="00FF30B4"/>
    <w:rsid w:val="03ED7FC7"/>
    <w:rsid w:val="065F11B1"/>
    <w:rsid w:val="066E0107"/>
    <w:rsid w:val="07996F6E"/>
    <w:rsid w:val="09766A56"/>
    <w:rsid w:val="0A2032A3"/>
    <w:rsid w:val="0C7F4074"/>
    <w:rsid w:val="0D37132C"/>
    <w:rsid w:val="101860EC"/>
    <w:rsid w:val="10C055FF"/>
    <w:rsid w:val="118107EC"/>
    <w:rsid w:val="139C63C2"/>
    <w:rsid w:val="13D50BC4"/>
    <w:rsid w:val="167E4A61"/>
    <w:rsid w:val="16BB723D"/>
    <w:rsid w:val="19B876F1"/>
    <w:rsid w:val="1BE8440E"/>
    <w:rsid w:val="1D155CEE"/>
    <w:rsid w:val="232B3A9B"/>
    <w:rsid w:val="23860B96"/>
    <w:rsid w:val="240371BF"/>
    <w:rsid w:val="25C47915"/>
    <w:rsid w:val="267A2D8B"/>
    <w:rsid w:val="29FD04D3"/>
    <w:rsid w:val="2BE12664"/>
    <w:rsid w:val="2C8A61B5"/>
    <w:rsid w:val="2CA86A82"/>
    <w:rsid w:val="2DF04E50"/>
    <w:rsid w:val="301356B3"/>
    <w:rsid w:val="319F7F4E"/>
    <w:rsid w:val="36AA5135"/>
    <w:rsid w:val="37E16F03"/>
    <w:rsid w:val="3BC55C37"/>
    <w:rsid w:val="3D98207C"/>
    <w:rsid w:val="44E268DA"/>
    <w:rsid w:val="45725A27"/>
    <w:rsid w:val="4A401718"/>
    <w:rsid w:val="4A627F82"/>
    <w:rsid w:val="4B4F25DA"/>
    <w:rsid w:val="4BE068DB"/>
    <w:rsid w:val="4D577224"/>
    <w:rsid w:val="4EAB630A"/>
    <w:rsid w:val="4ECE2238"/>
    <w:rsid w:val="572C3FD9"/>
    <w:rsid w:val="5AF92295"/>
    <w:rsid w:val="5CD71FC4"/>
    <w:rsid w:val="5F5A4A9C"/>
    <w:rsid w:val="634734D7"/>
    <w:rsid w:val="662312C7"/>
    <w:rsid w:val="662C1F3E"/>
    <w:rsid w:val="675F3BA2"/>
    <w:rsid w:val="69D2795B"/>
    <w:rsid w:val="6C4A05C8"/>
    <w:rsid w:val="6E7E3605"/>
    <w:rsid w:val="6FF5CC65"/>
    <w:rsid w:val="715C0E4B"/>
    <w:rsid w:val="72734D90"/>
    <w:rsid w:val="73AD73D5"/>
    <w:rsid w:val="73B6EB34"/>
    <w:rsid w:val="799F2B5F"/>
    <w:rsid w:val="79EE5BA4"/>
    <w:rsid w:val="7A894339"/>
    <w:rsid w:val="7C7E2A4D"/>
    <w:rsid w:val="7E2616A9"/>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2021年</c:v>
                </c:pt>
                <c:pt idx="1">
                  <c:v>2020年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583.32</c:v>
                </c:pt>
                <c:pt idx="1">
                  <c:v>1525.64</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2021年</c:v>
                </c:pt>
                <c:pt idx="1">
                  <c:v>2020年</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583.32</c:v>
                </c:pt>
                <c:pt idx="1">
                  <c:v>1525.64</c:v>
                </c:pt>
              </c:numCache>
            </c:numRef>
          </c:val>
        </c:ser>
        <c:dLbls>
          <c:showLegendKey val="0"/>
          <c:showVal val="1"/>
          <c:showCatName val="0"/>
          <c:showSerName val="0"/>
          <c:showPercent val="0"/>
          <c:showBubbleSize val="0"/>
        </c:dLbls>
        <c:gapWidth val="246"/>
        <c:overlap val="-28"/>
        <c:axId val="313274098"/>
        <c:axId val="816607700"/>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Sheet1!$A$2:$A$3</c15:sqref>
                        </c15:formulaRef>
                      </c:ext>
                    </c:extLst>
                    <c:strCache>
                      <c:ptCount val="2"/>
                      <c:pt idx="0">
                        <c:v>2021年</c:v>
                      </c:pt>
                      <c:pt idx="1">
                        <c:v>2020年</c:v>
                      </c:pt>
                    </c:strCache>
                  </c:str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31327409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6607700"/>
        <c:crosses val="autoZero"/>
        <c:auto val="1"/>
        <c:lblAlgn val="ctr"/>
        <c:lblOffset val="100"/>
        <c:noMultiLvlLbl val="0"/>
      </c:catAx>
      <c:valAx>
        <c:axId val="816607700"/>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327409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[工作簿1]Sheet1!$A$1</c:f>
              <c:strCache>
                <c:ptCount val="1"/>
                <c:pt idx="0">
                  <c:v>一般公共预算财政拨款收入</c:v>
                </c:pt>
              </c:strCache>
            </c:strRef>
          </c:cat>
          <c:val>
            <c:numRef>
              <c:f>[工作簿1]Sheet1!$A$2</c:f>
              <c:numCache>
                <c:formatCode>General</c:formatCode>
                <c:ptCount val="1"/>
                <c:pt idx="0">
                  <c:v>484.1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zero"/>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[工作簿1]Sheet3!$A$1:$B$1</c:f>
              <c:strCache>
                <c:ptCount val="2"/>
                <c:pt idx="0">
                  <c:v>基本支出</c:v>
                </c:pt>
                <c:pt idx="1">
                  <c:v>项目支出</c:v>
                </c:pt>
              </c:strCache>
            </c:strRef>
          </c:cat>
          <c:val>
            <c:numRef>
              <c:f>[工作簿1]Sheet3!$A$2:$B$2</c:f>
              <c:numCache>
                <c:formatCode>General</c:formatCode>
                <c:ptCount val="2"/>
                <c:pt idx="0">
                  <c:v>240.13</c:v>
                </c:pt>
                <c:pt idx="1">
                  <c:v>278.7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财政拨款收、支决算总计变动情况图（万元）</a:t>
            </a:r>
          </a:p>
        </c:rich>
      </c:tx>
      <c:layout/>
      <c:overlay val="0"/>
      <c:spPr>
        <a:noFill/>
        <a:ln>
          <a:noFill/>
        </a:ln>
        <a:effectLst/>
      </c:spPr>
    </c:title>
    <c:autoTitleDeleted val="0"/>
    <c:plotArea>
      <c:layout/>
      <c:barChart>
        <c:barDir val="col"/>
        <c:grouping val="clustered"/>
        <c:varyColors val="0"/>
        <c:ser>
          <c:idx val="0"/>
          <c:order val="0"/>
          <c:tx>
            <c:strRef>
              <c:f>"收入"</c:f>
              <c:strCache>
                <c:ptCount val="1"/>
                <c:pt idx="0">
                  <c:v>收入</c:v>
                </c:pt>
              </c:strCache>
            </c:strRef>
          </c:tx>
          <c:spPr>
            <a:solidFill>
              <a:schemeClr val="accent1"/>
            </a:solidFill>
            <a:ln>
              <a:noFill/>
            </a:ln>
            <a:effectLst/>
          </c:spPr>
          <c:invertIfNegative val="0"/>
          <c:dLbls>
            <c:dLbl>
              <c:idx val="0"/>
              <c:layout>
                <c:manualLayout>
                  <c:x val="0.00208333333333333"/>
                  <c:y val="0.0138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extLst>
                <c:ext xmlns:c15="http://schemas.microsoft.com/office/drawing/2012/chart" uri="{02D57815-91ED-43cb-92C2-25804820EDAC}">
                  <c15:fullRef>
                    <c15:sqref>[工作簿1]Sheet2!$A$1:$C$1</c15:sqref>
                  </c15:fullRef>
                </c:ext>
              </c:extLst>
              <c:f>[工作簿1]Sheet2!$B$1:$C$1</c:f>
              <c:numCache>
                <c:formatCode>General</c:formatCode>
                <c:ptCount val="2"/>
                <c:pt idx="0">
                  <c:v>2020</c:v>
                </c:pt>
                <c:pt idx="1">
                  <c:v>2021</c:v>
                </c:pt>
              </c:numCache>
            </c:numRef>
          </c:cat>
          <c:val>
            <c:numRef>
              <c:extLst>
                <c:ext xmlns:c15="http://schemas.microsoft.com/office/drawing/2012/chart" uri="{02D57815-91ED-43cb-92C2-25804820EDAC}">
                  <c15:fullRef>
                    <c15:sqref>Sheet2!$A$2:$C$2</c15:sqref>
                  </c15:fullRef>
                </c:ext>
              </c:extLst>
              <c:f>[工作簿1]Sheet2!$B$2:$C$2</c:f>
              <c:numCache>
                <c:formatCode>General</c:formatCode>
                <c:ptCount val="2"/>
                <c:pt idx="0">
                  <c:v>1085.4</c:v>
                </c:pt>
                <c:pt idx="1">
                  <c:v>484.1</c:v>
                </c:pt>
              </c:numCache>
            </c:numRef>
          </c:val>
        </c:ser>
        <c:ser>
          <c:idx val="1"/>
          <c:order val="1"/>
          <c:tx>
            <c:strRef>
              <c:f>"支出"</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extLst>
                <c:ext xmlns:c15="http://schemas.microsoft.com/office/drawing/2012/chart" uri="{02D57815-91ED-43cb-92C2-25804820EDAC}">
                  <c15:fullRef>
                    <c15:sqref>[工作簿1]Sheet2!$A$1:$C$1</c15:sqref>
                  </c15:fullRef>
                </c:ext>
              </c:extLst>
              <c:f>[工作簿1]Sheet2!$B$1:$C$1</c:f>
              <c:numCache>
                <c:formatCode>General</c:formatCode>
                <c:ptCount val="2"/>
                <c:pt idx="0">
                  <c:v>2020</c:v>
                </c:pt>
                <c:pt idx="1">
                  <c:v>2021</c:v>
                </c:pt>
              </c:numCache>
            </c:numRef>
          </c:cat>
          <c:val>
            <c:numRef>
              <c:extLst>
                <c:ext xmlns:c15="http://schemas.microsoft.com/office/drawing/2012/chart" uri="{02D57815-91ED-43cb-92C2-25804820EDAC}">
                  <c15:fullRef>
                    <c15:sqref>Sheet2!$A$3:$C$3</c15:sqref>
                  </c15:fullRef>
                </c:ext>
              </c:extLst>
              <c:f>[工作簿1]Sheet2!$B$3:$C$3</c:f>
              <c:numCache>
                <c:formatCode>General</c:formatCode>
                <c:ptCount val="2"/>
                <c:pt idx="0">
                  <c:v>1390.4</c:v>
                </c:pt>
                <c:pt idx="1">
                  <c:v>518.84</c:v>
                </c:pt>
              </c:numCache>
            </c:numRef>
          </c:val>
        </c:ser>
        <c:dLbls>
          <c:showLegendKey val="0"/>
          <c:showVal val="1"/>
          <c:showCatName val="0"/>
          <c:showSerName val="0"/>
          <c:showPercent val="0"/>
          <c:showBubbleSize val="0"/>
        </c:dLbls>
        <c:gapWidth val="219"/>
        <c:overlap val="-27"/>
        <c:axId val="83922304"/>
        <c:axId val="100418304"/>
      </c:barChart>
      <c:catAx>
        <c:axId val="83922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0418304"/>
        <c:crosses val="autoZero"/>
        <c:auto val="1"/>
        <c:lblAlgn val="ctr"/>
        <c:lblOffset val="100"/>
        <c:noMultiLvlLbl val="0"/>
      </c:catAx>
      <c:valAx>
        <c:axId val="1004183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9223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spPr>
            <a:solidFill>
              <a:srgbClr val="5B9BD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strRef>
              <c:f>[工作簿1]Sheet4!$A$1:$A$2</c:f>
              <c:strCache>
                <c:ptCount val="2"/>
                <c:pt idx="0">
                  <c:v>2020支出</c:v>
                </c:pt>
                <c:pt idx="1">
                  <c:v>2021支出</c:v>
                </c:pt>
              </c:strCache>
            </c:strRef>
          </c:cat>
          <c:val>
            <c:numRef>
              <c:f>[工作簿1]Sheet4!$B$1:$B$2</c:f>
              <c:numCache>
                <c:formatCode>General</c:formatCode>
                <c:ptCount val="2"/>
                <c:pt idx="0">
                  <c:v>1390.42</c:v>
                </c:pt>
                <c:pt idx="1">
                  <c:v>518.84</c:v>
                </c:pt>
              </c:numCache>
            </c:numRef>
          </c:val>
        </c:ser>
        <c:dLbls>
          <c:showLegendKey val="0"/>
          <c:showVal val="1"/>
          <c:showCatName val="0"/>
          <c:showSerName val="0"/>
          <c:showPercent val="0"/>
          <c:showBubbleSize val="0"/>
        </c:dLbls>
        <c:gapWidth val="219"/>
        <c:overlap val="-27"/>
        <c:axId val="128221952"/>
        <c:axId val="128237568"/>
      </c:barChart>
      <c:catAx>
        <c:axId val="128221952"/>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28237568"/>
        <c:crosses val="autoZero"/>
        <c:auto val="1"/>
        <c:lblAlgn val="ctr"/>
        <c:lblOffset val="100"/>
        <c:noMultiLvlLbl val="0"/>
      </c:catAx>
      <c:valAx>
        <c:axId val="128237568"/>
        <c:scaling>
          <c:orientation val="minMax"/>
        </c:scaling>
        <c:delete val="0"/>
        <c:axPos val="l"/>
        <c:majorGridlines>
          <c:spPr>
            <a:ln w="9525" cap="flat" cmpd="sng" algn="ctr">
              <a:solidFill>
                <a:sysClr val="windowText" lastClr="000000">
                  <a:lumMod val="15000"/>
                  <a:lumOff val="85000"/>
                </a:sys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28221952"/>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[工作簿1]Sheet5!$A$1:$A$4</c:f>
              <c:strCache>
                <c:ptCount val="4"/>
                <c:pt idx="0">
                  <c:v>一般公共服务（类）</c:v>
                </c:pt>
                <c:pt idx="1">
                  <c:v>社会保障和就业（类）</c:v>
                </c:pt>
                <c:pt idx="2">
                  <c:v>卫生健康支出</c:v>
                </c:pt>
                <c:pt idx="3">
                  <c:v>住房保障支出</c:v>
                </c:pt>
              </c:strCache>
            </c:strRef>
          </c:cat>
          <c:val>
            <c:numRef>
              <c:f>[工作簿1]Sheet5!$B$1:$B$4</c:f>
              <c:numCache>
                <c:formatCode>General</c:formatCode>
                <c:ptCount val="4"/>
                <c:pt idx="0">
                  <c:v>488.93</c:v>
                </c:pt>
                <c:pt idx="1">
                  <c:v>13.81</c:v>
                </c:pt>
                <c:pt idx="2">
                  <c:v>6.47</c:v>
                </c:pt>
                <c:pt idx="3">
                  <c:v>9.63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Company>四川省财政厅</Company>
  <Pages>26</Pages>
  <Words>1563</Words>
  <Characters>8913</Characters>
  <Lines>74</Lines>
  <Paragraphs>20</Paragraphs>
  <TotalTime>3</TotalTime>
  <ScaleCrop>false</ScaleCrop>
  <LinksUpToDate>false</LinksUpToDate>
  <CharactersWithSpaces>10456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2022-08-08T09:11:00Z</cp:lastPrinted>
  <dcterms:modified xsi:type="dcterms:W3CDTF">2023-09-13T06:58:27Z</dcterms:modified>
  <dc:title>四川省***</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E9E0D889564444EE978297C406B217D1</vt:lpwstr>
  </property>
</Properties>
</file>