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keepNext w:val="0"/>
        <w:keepLines w:val="0"/>
        <w:pageBreakBefore w:val="0"/>
        <w:kinsoku/>
        <w:wordWrap/>
        <w:overflowPunct/>
        <w:topLinePunct w:val="0"/>
        <w:autoSpaceDE/>
        <w:autoSpaceDN/>
        <w:bidi w:val="0"/>
        <w:spacing w:line="240" w:lineRule="auto"/>
        <w:jc w:val="center"/>
        <w:textAlignment w:val="auto"/>
        <w:outlineLvl w:val="9"/>
        <w:rPr>
          <w:rFonts w:ascii="方正小标宋简体" w:hAnsi="宋体" w:eastAsia="方正小标宋简体"/>
          <w:color w:val="auto"/>
          <w:sz w:val="72"/>
          <w:szCs w:val="72"/>
          <w:highlight w:val="none"/>
        </w:rPr>
      </w:pPr>
    </w:p>
    <w:bookmarkEnd w:id="0"/>
    <w:p>
      <w:pPr>
        <w:keepNext w:val="0"/>
        <w:keepLines w:val="0"/>
        <w:pageBreakBefore w:val="0"/>
        <w:kinsoku/>
        <w:wordWrap/>
        <w:overflowPunct/>
        <w:topLinePunct w:val="0"/>
        <w:autoSpaceDE/>
        <w:autoSpaceDN/>
        <w:bidi w:val="0"/>
        <w:spacing w:line="240" w:lineRule="auto"/>
        <w:jc w:val="center"/>
        <w:textAlignment w:val="auto"/>
        <w:outlineLvl w:val="9"/>
        <w:rPr>
          <w:rFonts w:ascii="方正小标宋简体" w:hAnsi="宋体" w:eastAsia="方正小标宋简体"/>
          <w:color w:val="000000"/>
          <w:sz w:val="72"/>
          <w:szCs w:val="72"/>
        </w:rPr>
      </w:pPr>
    </w:p>
    <w:p>
      <w:pPr>
        <w:bidi w:val="0"/>
        <w:jc w:val="center"/>
        <w:rPr>
          <w:rFonts w:hint="eastAsia" w:ascii="黑体" w:hAnsi="黑体" w:eastAsia="黑体" w:cs="黑体"/>
          <w:sz w:val="84"/>
          <w:szCs w:val="84"/>
        </w:rPr>
      </w:pPr>
      <w:bookmarkStart w:id="1" w:name="_Toc28302"/>
      <w:bookmarkStart w:id="2" w:name="_Toc15377193"/>
      <w:bookmarkStart w:id="3" w:name="_Toc15377425"/>
      <w:bookmarkStart w:id="4" w:name="_Toc21246"/>
      <w:bookmarkStart w:id="5" w:name="_Toc15378441"/>
      <w:bookmarkStart w:id="6" w:name="_Toc15396597"/>
      <w:bookmarkStart w:id="7" w:name="_Toc15396475"/>
      <w:bookmarkStart w:id="8" w:name="_Toc31681"/>
      <w:bookmarkStart w:id="9" w:name="_Toc25979"/>
      <w:r>
        <w:rPr>
          <w:rFonts w:hint="eastAsia" w:ascii="黑体" w:hAnsi="黑体" w:eastAsia="黑体" w:cs="黑体"/>
          <w:sz w:val="84"/>
          <w:szCs w:val="84"/>
        </w:rPr>
        <w:t>20</w:t>
      </w:r>
      <w:r>
        <w:rPr>
          <w:rFonts w:hint="eastAsia" w:ascii="黑体" w:hAnsi="黑体" w:eastAsia="黑体" w:cs="黑体"/>
          <w:sz w:val="84"/>
          <w:szCs w:val="84"/>
          <w:lang w:val="en-US" w:eastAsia="zh-CN"/>
        </w:rPr>
        <w:t>21</w:t>
      </w:r>
      <w:r>
        <w:rPr>
          <w:rFonts w:hint="eastAsia" w:ascii="黑体" w:hAnsi="黑体" w:eastAsia="黑体" w:cs="黑体"/>
          <w:sz w:val="84"/>
          <w:szCs w:val="84"/>
        </w:rPr>
        <w:t>年度</w:t>
      </w:r>
      <w:bookmarkEnd w:id="1"/>
      <w:bookmarkEnd w:id="2"/>
      <w:bookmarkEnd w:id="3"/>
      <w:bookmarkEnd w:id="4"/>
      <w:bookmarkEnd w:id="5"/>
      <w:bookmarkEnd w:id="6"/>
      <w:bookmarkEnd w:id="7"/>
      <w:bookmarkEnd w:id="8"/>
      <w:bookmarkEnd w:id="9"/>
    </w:p>
    <w:p>
      <w:pPr>
        <w:bidi w:val="0"/>
        <w:jc w:val="center"/>
        <w:rPr>
          <w:rFonts w:hint="eastAsia" w:ascii="黑体" w:hAnsi="黑体" w:eastAsia="黑体" w:cs="黑体"/>
          <w:sz w:val="84"/>
          <w:szCs w:val="84"/>
          <w:lang w:val="en-US" w:eastAsia="zh-CN"/>
        </w:rPr>
      </w:pPr>
      <w:bookmarkStart w:id="10" w:name="_Toc31490"/>
      <w:bookmarkStart w:id="11" w:name="_Toc28957"/>
      <w:bookmarkStart w:id="12" w:name="_Toc11005"/>
      <w:bookmarkStart w:id="13" w:name="_Toc14931"/>
      <w:bookmarkStart w:id="14" w:name="_Toc16410"/>
      <w:bookmarkStart w:id="15" w:name="_Toc15377194"/>
      <w:bookmarkStart w:id="16" w:name="_Toc15378442"/>
      <w:bookmarkStart w:id="17" w:name="_Toc15377426"/>
      <w:bookmarkStart w:id="18" w:name="_Toc15396476"/>
      <w:bookmarkStart w:id="19" w:name="_Toc15396598"/>
      <w:r>
        <w:rPr>
          <w:rFonts w:hint="eastAsia" w:ascii="黑体" w:hAnsi="黑体" w:eastAsia="黑体" w:cs="黑体"/>
          <w:sz w:val="84"/>
          <w:szCs w:val="84"/>
        </w:rPr>
        <w:t>四川省</w:t>
      </w:r>
      <w:bookmarkStart w:id="20" w:name="_Toc15306268"/>
      <w:r>
        <w:rPr>
          <w:rFonts w:hint="eastAsia" w:ascii="黑体" w:hAnsi="黑体" w:eastAsia="黑体" w:cs="黑体"/>
          <w:sz w:val="84"/>
          <w:szCs w:val="84"/>
          <w:lang w:val="en-US" w:eastAsia="zh-CN"/>
        </w:rPr>
        <w:t>广元市自然资源局利州区分局</w:t>
      </w:r>
      <w:bookmarkEnd w:id="10"/>
      <w:bookmarkEnd w:id="11"/>
      <w:bookmarkEnd w:id="12"/>
      <w:bookmarkEnd w:id="13"/>
      <w:bookmarkEnd w:id="14"/>
    </w:p>
    <w:p>
      <w:pPr>
        <w:bidi w:val="0"/>
        <w:jc w:val="center"/>
        <w:rPr>
          <w:rFonts w:hint="eastAsia" w:ascii="黑体" w:hAnsi="黑体" w:eastAsia="黑体" w:cs="黑体"/>
          <w:sz w:val="84"/>
          <w:szCs w:val="84"/>
          <w:lang w:val="en-US" w:eastAsia="zh-CN"/>
        </w:rPr>
      </w:pPr>
    </w:p>
    <w:p>
      <w:pPr>
        <w:bidi w:val="0"/>
        <w:jc w:val="center"/>
        <w:rPr>
          <w:rFonts w:ascii="黑体" w:hAnsi="黑体" w:eastAsia="黑体"/>
          <w:color w:val="auto"/>
          <w:szCs w:val="48"/>
          <w:highlight w:val="none"/>
        </w:rPr>
      </w:pPr>
      <w:bookmarkStart w:id="21" w:name="_Toc17851"/>
      <w:bookmarkStart w:id="22" w:name="_Toc15208"/>
      <w:bookmarkStart w:id="23" w:name="_Toc22216"/>
      <w:bookmarkStart w:id="24" w:name="_Toc22138"/>
      <w:r>
        <w:rPr>
          <w:rFonts w:hint="eastAsia" w:ascii="黑体" w:hAnsi="黑体" w:eastAsia="黑体" w:cs="黑体"/>
          <w:sz w:val="84"/>
          <w:szCs w:val="84"/>
        </w:rPr>
        <w:t>部门决算</w:t>
      </w:r>
      <w:bookmarkEnd w:id="15"/>
      <w:bookmarkEnd w:id="16"/>
      <w:bookmarkEnd w:id="17"/>
      <w:bookmarkEnd w:id="18"/>
      <w:bookmarkEnd w:id="19"/>
      <w:bookmarkEnd w:id="20"/>
      <w:bookmarkEnd w:id="21"/>
      <w:bookmarkEnd w:id="22"/>
      <w:bookmarkEnd w:id="23"/>
      <w:bookmarkEnd w:id="24"/>
      <w:r>
        <w:rPr>
          <w:rFonts w:hint="eastAsia" w:ascii="黑体" w:hAnsi="黑体" w:eastAsia="黑体" w:cs="黑体"/>
          <w:sz w:val="84"/>
          <w:szCs w:val="84"/>
        </w:rPr>
        <w:br w:type="page"/>
      </w: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rPr>
        <w:t>录</w:t>
      </w:r>
    </w:p>
    <w:sdt>
      <w:sdtPr>
        <w:rPr>
          <w:rFonts w:ascii="宋体" w:hAnsi="宋体" w:eastAsia="宋体" w:cs="Times New Roman"/>
          <w:kern w:val="2"/>
          <w:sz w:val="21"/>
          <w:szCs w:val="24"/>
          <w:lang w:val="en-US" w:eastAsia="zh-CN" w:bidi="ar-SA"/>
        </w:rPr>
        <w:id w:val="14747572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rPr>
              <w:b/>
            </w:rPr>
          </w:pPr>
          <w:bookmarkStart w:id="25" w:name="_Toc15396599"/>
          <w:bookmarkStart w:id="26" w:name="_Toc15377196"/>
          <w:r>
            <w:fldChar w:fldCharType="begin"/>
          </w:r>
          <w:r>
            <w:instrText xml:space="preserve">TOC \o "1-2" \h \u </w:instrText>
          </w:r>
          <w:r>
            <w:fldChar w:fldCharType="separate"/>
          </w:r>
        </w:p>
        <w:p>
          <w:pPr>
            <w:pStyle w:val="12"/>
            <w:tabs>
              <w:tab w:val="right" w:leader="dot" w:pos="8306"/>
              <w:tab w:val="clear" w:pos="8296"/>
            </w:tabs>
          </w:pPr>
          <w:r>
            <w:rPr>
              <w:rFonts w:hint="eastAsia" w:ascii="黑体" w:hAnsi="黑体" w:eastAsia="黑体" w:cs="黑体"/>
            </w:rPr>
            <w:fldChar w:fldCharType="begin"/>
          </w:r>
          <w:r>
            <w:rPr>
              <w:rFonts w:hint="eastAsia" w:ascii="黑体" w:hAnsi="黑体" w:eastAsia="黑体" w:cs="黑体"/>
            </w:rPr>
            <w:instrText xml:space="preserve"> HYPERLINK \l _Toc29746 </w:instrText>
          </w:r>
          <w:r>
            <w:rPr>
              <w:rFonts w:hint="eastAsia" w:ascii="黑体" w:hAnsi="黑体" w:eastAsia="黑体" w:cs="黑体"/>
            </w:rPr>
            <w:fldChar w:fldCharType="separate"/>
          </w:r>
          <w:r>
            <w:rPr>
              <w:rFonts w:hint="eastAsia" w:ascii="黑体" w:hAnsi="黑体" w:eastAsia="黑体" w:cs="黑体"/>
            </w:rPr>
            <w:t xml:space="preserve">第一部分 </w:t>
          </w:r>
          <w:r>
            <w:rPr>
              <w:rFonts w:hint="eastAsia" w:ascii="黑体" w:hAnsi="黑体" w:eastAsia="黑体" w:cs="黑体"/>
              <w:lang w:eastAsia="zh-CN"/>
            </w:rPr>
            <w:t>单位</w:t>
          </w:r>
          <w:r>
            <w:rPr>
              <w:rFonts w:hint="eastAsia" w:ascii="黑体" w:hAnsi="黑体" w:eastAsia="黑体" w:cs="黑体"/>
            </w:rPr>
            <w:t>概况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_Toc29746 \h </w:instrText>
          </w:r>
          <w:r>
            <w:rPr>
              <w:rFonts w:hint="eastAsia" w:ascii="黑体" w:hAnsi="黑体" w:eastAsia="黑体" w:cs="黑体"/>
            </w:rPr>
            <w:fldChar w:fldCharType="separate"/>
          </w:r>
          <w:r>
            <w:rPr>
              <w:rFonts w:hint="eastAsia" w:ascii="黑体" w:hAnsi="黑体" w:eastAsia="黑体" w:cs="黑体"/>
            </w:rPr>
            <w:t>3</w:t>
          </w:r>
          <w:r>
            <w:rPr>
              <w:rFonts w:hint="eastAsia" w:ascii="黑体" w:hAnsi="黑体" w:eastAsia="黑体" w:cs="黑体"/>
            </w:rPr>
            <w:fldChar w:fldCharType="end"/>
          </w:r>
          <w:r>
            <w:rPr>
              <w:rFonts w:hint="eastAsia" w:ascii="黑体" w:hAnsi="黑体" w:eastAsia="黑体" w:cs="黑体"/>
            </w:rPr>
            <w:fldChar w:fldCharType="end"/>
          </w:r>
        </w:p>
        <w:p>
          <w:pPr>
            <w:pStyle w:val="13"/>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_Toc21400 </w:instrText>
          </w:r>
          <w:r>
            <w:rPr>
              <w:rFonts w:hint="eastAsia" w:ascii="仿宋" w:hAnsi="仿宋" w:eastAsia="仿宋" w:cs="仿宋"/>
            </w:rPr>
            <w:fldChar w:fldCharType="separate"/>
          </w:r>
          <w:r>
            <w:rPr>
              <w:rFonts w:hint="eastAsia" w:ascii="仿宋" w:hAnsi="仿宋" w:eastAsia="仿宋" w:cs="仿宋"/>
              <w:lang w:val="en-US" w:eastAsia="zh-CN"/>
            </w:rPr>
            <w:t>一、</w:t>
          </w:r>
          <w:r>
            <w:rPr>
              <w:rFonts w:hint="eastAsia" w:ascii="仿宋" w:hAnsi="仿宋" w:eastAsia="仿宋" w:cs="仿宋"/>
            </w:rPr>
            <w:t>职能</w:t>
          </w:r>
          <w:r>
            <w:rPr>
              <w:rFonts w:hint="eastAsia" w:ascii="仿宋" w:hAnsi="仿宋" w:eastAsia="仿宋" w:cs="仿宋"/>
              <w:lang w:eastAsia="zh-CN"/>
            </w:rPr>
            <w:t>简介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_Toc21400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_Toc30647 </w:instrText>
          </w:r>
          <w:r>
            <w:rPr>
              <w:rFonts w:hint="eastAsia" w:ascii="仿宋" w:hAnsi="仿宋" w:eastAsia="仿宋" w:cs="仿宋"/>
            </w:rPr>
            <w:fldChar w:fldCharType="separate"/>
          </w:r>
          <w:r>
            <w:rPr>
              <w:rFonts w:hint="eastAsia" w:ascii="仿宋" w:hAnsi="仿宋" w:eastAsia="仿宋" w:cs="仿宋"/>
              <w:lang w:val="en-US" w:eastAsia="zh-CN"/>
            </w:rPr>
            <w:t>二、2021年重点</w:t>
          </w:r>
          <w:r>
            <w:rPr>
              <w:rFonts w:hint="eastAsia" w:ascii="仿宋" w:hAnsi="仿宋" w:eastAsia="仿宋" w:cs="仿宋"/>
            </w:rPr>
            <w:t>工作</w:t>
          </w:r>
          <w:r>
            <w:rPr>
              <w:rFonts w:hint="eastAsia" w:ascii="仿宋" w:hAnsi="仿宋" w:eastAsia="仿宋" w:cs="仿宋"/>
              <w:lang w:eastAsia="zh-CN"/>
            </w:rPr>
            <w:t>完成情况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_Toc30647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rPr>
            <w:fldChar w:fldCharType="end"/>
          </w:r>
        </w:p>
        <w:p>
          <w:pPr>
            <w:pStyle w:val="12"/>
            <w:tabs>
              <w:tab w:val="right" w:leader="dot" w:pos="8306"/>
              <w:tab w:val="clear" w:pos="8296"/>
            </w:tabs>
          </w:pPr>
          <w:r>
            <w:rPr>
              <w:rFonts w:hint="eastAsia" w:ascii="黑体" w:hAnsi="黑体" w:eastAsia="黑体" w:cs="黑体"/>
            </w:rPr>
            <w:fldChar w:fldCharType="begin"/>
          </w:r>
          <w:r>
            <w:rPr>
              <w:rFonts w:hint="eastAsia" w:ascii="黑体" w:hAnsi="黑体" w:eastAsia="黑体" w:cs="黑体"/>
            </w:rPr>
            <w:instrText xml:space="preserve"> HYPERLINK \l _Toc7831 </w:instrText>
          </w:r>
          <w:r>
            <w:rPr>
              <w:rFonts w:hint="eastAsia" w:ascii="黑体" w:hAnsi="黑体" w:eastAsia="黑体" w:cs="黑体"/>
            </w:rPr>
            <w:fldChar w:fldCharType="separate"/>
          </w:r>
          <w:r>
            <w:rPr>
              <w:rFonts w:hint="eastAsia" w:ascii="黑体" w:hAnsi="黑体" w:eastAsia="黑体" w:cs="黑体"/>
            </w:rPr>
            <w:t xml:space="preserve">第二部分 </w:t>
          </w:r>
          <w:r>
            <w:rPr>
              <w:rFonts w:hint="eastAsia" w:ascii="黑体" w:hAnsi="黑体" w:eastAsia="黑体" w:cs="黑体"/>
              <w:lang w:val="en-US" w:eastAsia="zh-CN"/>
            </w:rPr>
            <w:t>2021年度</w:t>
          </w:r>
          <w:r>
            <w:rPr>
              <w:rFonts w:hint="eastAsia" w:ascii="黑体" w:hAnsi="黑体" w:eastAsia="黑体" w:cs="黑体"/>
              <w:lang w:eastAsia="zh-CN"/>
            </w:rPr>
            <w:t>单位</w:t>
          </w:r>
          <w:r>
            <w:rPr>
              <w:rFonts w:hint="eastAsia" w:ascii="黑体" w:hAnsi="黑体" w:eastAsia="黑体" w:cs="黑体"/>
            </w:rPr>
            <w:t>决算情况说明</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_Toc7831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_Toc8622 </w:instrText>
          </w:r>
          <w:r>
            <w:rPr>
              <w:rFonts w:hint="eastAsia" w:ascii="仿宋" w:hAnsi="仿宋" w:eastAsia="仿宋" w:cs="仿宋"/>
            </w:rPr>
            <w:fldChar w:fldCharType="separate"/>
          </w:r>
          <w:r>
            <w:rPr>
              <w:rFonts w:hint="default" w:ascii="仿宋" w:hAnsi="仿宋" w:eastAsia="仿宋" w:cs="仿宋"/>
            </w:rPr>
            <w:t xml:space="preserve">一、 </w:t>
          </w:r>
          <w:r>
            <w:rPr>
              <w:rFonts w:hint="eastAsia" w:ascii="仿宋" w:hAnsi="仿宋" w:eastAsia="仿宋" w:cs="仿宋"/>
            </w:rPr>
            <w:t>收入支出决算总体情况说明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_Toc8622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_Toc23797 </w:instrText>
          </w:r>
          <w:r>
            <w:rPr>
              <w:rFonts w:hint="eastAsia" w:ascii="仿宋" w:hAnsi="仿宋" w:eastAsia="仿宋" w:cs="仿宋"/>
            </w:rPr>
            <w:fldChar w:fldCharType="separate"/>
          </w:r>
          <w:r>
            <w:rPr>
              <w:rFonts w:hint="default" w:ascii="仿宋" w:hAnsi="仿宋" w:eastAsia="仿宋" w:cs="仿宋"/>
            </w:rPr>
            <w:t xml:space="preserve">二、 </w:t>
          </w:r>
          <w:r>
            <w:rPr>
              <w:rFonts w:hint="eastAsia" w:ascii="仿宋" w:hAnsi="仿宋" w:eastAsia="仿宋" w:cs="仿宋"/>
            </w:rPr>
            <w:t>收入决算情况说明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_Toc23797 \h </w:instrText>
          </w:r>
          <w:r>
            <w:rPr>
              <w:rFonts w:hint="eastAsia" w:ascii="仿宋" w:hAnsi="仿宋" w:eastAsia="仿宋" w:cs="仿宋"/>
            </w:rPr>
            <w:fldChar w:fldCharType="separate"/>
          </w:r>
          <w:r>
            <w:rPr>
              <w:rFonts w:hint="eastAsia" w:ascii="仿宋" w:hAnsi="仿宋" w:eastAsia="仿宋" w:cs="仿宋"/>
            </w:rPr>
            <w:t>18</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_Toc6767 </w:instrText>
          </w:r>
          <w:r>
            <w:rPr>
              <w:rFonts w:hint="eastAsia" w:ascii="仿宋" w:hAnsi="仿宋" w:eastAsia="仿宋" w:cs="仿宋"/>
            </w:rPr>
            <w:fldChar w:fldCharType="separate"/>
          </w:r>
          <w:r>
            <w:rPr>
              <w:rFonts w:hint="default" w:ascii="仿宋" w:hAnsi="仿宋" w:eastAsia="仿宋" w:cs="仿宋"/>
            </w:rPr>
            <w:t xml:space="preserve">三、 </w:t>
          </w:r>
          <w:r>
            <w:rPr>
              <w:rFonts w:hint="eastAsia" w:ascii="仿宋" w:hAnsi="仿宋" w:eastAsia="仿宋" w:cs="仿宋"/>
            </w:rPr>
            <w:t>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_Toc6767 \h </w:instrText>
          </w:r>
          <w:r>
            <w:rPr>
              <w:rFonts w:hint="eastAsia" w:ascii="仿宋" w:hAnsi="仿宋" w:eastAsia="仿宋" w:cs="仿宋"/>
            </w:rPr>
            <w:fldChar w:fldCharType="separate"/>
          </w:r>
          <w:r>
            <w:rPr>
              <w:rFonts w:hint="eastAsia" w:ascii="仿宋" w:hAnsi="仿宋" w:eastAsia="仿宋" w:cs="仿宋"/>
            </w:rPr>
            <w:t>19</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_Toc7488 </w:instrText>
          </w:r>
          <w:r>
            <w:rPr>
              <w:rFonts w:hint="eastAsia" w:ascii="仿宋" w:hAnsi="仿宋" w:eastAsia="仿宋" w:cs="仿宋"/>
            </w:rPr>
            <w:fldChar w:fldCharType="separate"/>
          </w:r>
          <w:r>
            <w:rPr>
              <w:rFonts w:hint="eastAsia" w:ascii="仿宋" w:hAnsi="仿宋" w:eastAsia="仿宋" w:cs="仿宋"/>
            </w:rPr>
            <w:t>四、财政拨款收入支出决算总体情况说明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_Toc7488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_Toc1921 </w:instrText>
          </w:r>
          <w:r>
            <w:rPr>
              <w:rFonts w:hint="eastAsia" w:ascii="仿宋" w:hAnsi="仿宋" w:eastAsia="仿宋" w:cs="仿宋"/>
            </w:rPr>
            <w:fldChar w:fldCharType="separate"/>
          </w:r>
          <w:r>
            <w:rPr>
              <w:rFonts w:hint="eastAsia" w:ascii="仿宋" w:hAnsi="仿宋" w:eastAsia="仿宋" w:cs="仿宋"/>
            </w:rPr>
            <w:t>五、一般公共预算财政拨款支出决算情况说明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_Toc1921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_Toc17232 </w:instrText>
          </w:r>
          <w:r>
            <w:rPr>
              <w:rFonts w:hint="eastAsia" w:ascii="仿宋" w:hAnsi="仿宋" w:eastAsia="仿宋" w:cs="仿宋"/>
            </w:rPr>
            <w:fldChar w:fldCharType="separate"/>
          </w:r>
          <w:r>
            <w:rPr>
              <w:rFonts w:hint="eastAsia" w:ascii="仿宋" w:hAnsi="仿宋" w:eastAsia="仿宋" w:cs="仿宋"/>
            </w:rPr>
            <w:t>六、一般公共预算财政拨款基本支出决算情况说明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_Toc17232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_Toc26654 </w:instrText>
          </w:r>
          <w:r>
            <w:rPr>
              <w:rFonts w:hint="eastAsia" w:ascii="仿宋" w:hAnsi="仿宋" w:eastAsia="仿宋" w:cs="仿宋"/>
            </w:rPr>
            <w:fldChar w:fldCharType="separate"/>
          </w:r>
          <w:r>
            <w:rPr>
              <w:rFonts w:hint="eastAsia" w:ascii="仿宋" w:hAnsi="仿宋" w:eastAsia="仿宋" w:cs="仿宋"/>
            </w:rPr>
            <w:t>七、“三公”经费财政拨款支出决算情况说明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_Toc26654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_Toc22831 </w:instrText>
          </w:r>
          <w:r>
            <w:rPr>
              <w:rFonts w:hint="eastAsia" w:ascii="仿宋" w:hAnsi="仿宋" w:eastAsia="仿宋" w:cs="仿宋"/>
            </w:rPr>
            <w:fldChar w:fldCharType="separate"/>
          </w:r>
          <w:r>
            <w:rPr>
              <w:rFonts w:hint="eastAsia" w:ascii="仿宋" w:hAnsi="仿宋" w:eastAsia="仿宋" w:cs="仿宋"/>
            </w:rPr>
            <w:t>八、政府性基金预算支出决算情况说明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_Toc22831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_Toc28411 </w:instrText>
          </w:r>
          <w:r>
            <w:rPr>
              <w:rFonts w:hint="eastAsia" w:ascii="仿宋" w:hAnsi="仿宋" w:eastAsia="仿宋" w:cs="仿宋"/>
            </w:rPr>
            <w:fldChar w:fldCharType="separate"/>
          </w:r>
          <w:r>
            <w:rPr>
              <w:rFonts w:hint="eastAsia" w:ascii="仿宋" w:hAnsi="仿宋" w:eastAsia="仿宋" w:cs="仿宋"/>
              <w:lang w:val="en-US" w:eastAsia="zh-CN"/>
            </w:rPr>
            <w:t>九、</w:t>
          </w:r>
          <w:r>
            <w:rPr>
              <w:rFonts w:hint="eastAsia" w:ascii="仿宋" w:hAnsi="仿宋" w:eastAsia="仿宋" w:cs="仿宋"/>
            </w:rPr>
            <w:t>国有资本经营预算支出决算情况说明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_Toc28411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_Toc7244 </w:instrText>
          </w:r>
          <w:r>
            <w:rPr>
              <w:rFonts w:hint="eastAsia" w:ascii="仿宋" w:hAnsi="仿宋" w:eastAsia="仿宋" w:cs="仿宋"/>
            </w:rPr>
            <w:fldChar w:fldCharType="separate"/>
          </w:r>
          <w:r>
            <w:rPr>
              <w:rFonts w:hint="eastAsia" w:ascii="仿宋" w:hAnsi="仿宋" w:eastAsia="仿宋" w:cs="仿宋"/>
              <w:lang w:val="en-US" w:eastAsia="zh-CN"/>
            </w:rPr>
            <w:t>十、</w:t>
          </w:r>
          <w:r>
            <w:rPr>
              <w:rFonts w:hint="eastAsia" w:ascii="仿宋" w:hAnsi="仿宋" w:eastAsia="仿宋" w:cs="仿宋"/>
            </w:rPr>
            <w:t>其他重要事项的情况说明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_Toc7244 \h </w:instrText>
          </w:r>
          <w:r>
            <w:rPr>
              <w:rFonts w:hint="eastAsia" w:ascii="仿宋" w:hAnsi="仿宋" w:eastAsia="仿宋" w:cs="仿宋"/>
            </w:rPr>
            <w:fldChar w:fldCharType="separate"/>
          </w:r>
          <w:r>
            <w:rPr>
              <w:rFonts w:hint="eastAsia" w:ascii="仿宋" w:hAnsi="仿宋" w:eastAsia="仿宋" w:cs="仿宋"/>
            </w:rPr>
            <w:t>26</w:t>
          </w:r>
          <w:r>
            <w:rPr>
              <w:rFonts w:hint="eastAsia" w:ascii="仿宋" w:hAnsi="仿宋" w:eastAsia="仿宋" w:cs="仿宋"/>
            </w:rPr>
            <w:fldChar w:fldCharType="end"/>
          </w:r>
          <w:r>
            <w:rPr>
              <w:rFonts w:hint="eastAsia" w:ascii="仿宋" w:hAnsi="仿宋" w:eastAsia="仿宋" w:cs="仿宋"/>
            </w:rPr>
            <w:fldChar w:fldCharType="end"/>
          </w:r>
        </w:p>
        <w:p>
          <w:pPr>
            <w:pStyle w:val="12"/>
            <w:tabs>
              <w:tab w:val="right" w:leader="dot" w:pos="8306"/>
              <w:tab w:val="clear" w:pos="8296"/>
            </w:tabs>
          </w:pPr>
          <w:r>
            <w:rPr>
              <w:rFonts w:hint="eastAsia" w:ascii="黑体" w:hAnsi="黑体" w:eastAsia="黑体" w:cs="黑体"/>
            </w:rPr>
            <w:fldChar w:fldCharType="begin"/>
          </w:r>
          <w:r>
            <w:rPr>
              <w:rFonts w:hint="eastAsia" w:ascii="黑体" w:hAnsi="黑体" w:eastAsia="黑体" w:cs="黑体"/>
            </w:rPr>
            <w:instrText xml:space="preserve"> HYPERLINK \l _Toc2862 </w:instrText>
          </w:r>
          <w:r>
            <w:rPr>
              <w:rFonts w:hint="eastAsia" w:ascii="黑体" w:hAnsi="黑体" w:eastAsia="黑体" w:cs="黑体"/>
            </w:rPr>
            <w:fldChar w:fldCharType="separate"/>
          </w:r>
          <w:r>
            <w:rPr>
              <w:rFonts w:hint="eastAsia" w:ascii="黑体" w:hAnsi="黑体" w:eastAsia="黑体" w:cs="黑体"/>
              <w:lang w:val="en-US" w:eastAsia="zh-CN"/>
            </w:rPr>
            <w:t xml:space="preserve">第三部分 </w:t>
          </w:r>
          <w:r>
            <w:rPr>
              <w:rFonts w:hint="eastAsia" w:ascii="黑体" w:hAnsi="黑体" w:eastAsia="黑体" w:cs="黑体"/>
            </w:rPr>
            <w:t>名词解释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_Toc2862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12"/>
            <w:tabs>
              <w:tab w:val="right" w:leader="dot" w:pos="8306"/>
              <w:tab w:val="clear" w:pos="8296"/>
            </w:tabs>
          </w:pPr>
          <w:r>
            <w:rPr>
              <w:rFonts w:hint="eastAsia" w:ascii="黑体" w:hAnsi="黑体" w:eastAsia="黑体" w:cs="黑体"/>
            </w:rPr>
            <w:fldChar w:fldCharType="begin"/>
          </w:r>
          <w:r>
            <w:rPr>
              <w:rFonts w:hint="eastAsia" w:ascii="黑体" w:hAnsi="黑体" w:eastAsia="黑体" w:cs="黑体"/>
            </w:rPr>
            <w:instrText xml:space="preserve"> HYPERLINK \l _Toc20796 </w:instrText>
          </w:r>
          <w:r>
            <w:rPr>
              <w:rFonts w:hint="eastAsia" w:ascii="黑体" w:hAnsi="黑体" w:eastAsia="黑体" w:cs="黑体"/>
            </w:rPr>
            <w:fldChar w:fldCharType="separate"/>
          </w:r>
          <w:r>
            <w:rPr>
              <w:rFonts w:hint="eastAsia" w:ascii="黑体" w:hAnsi="黑体" w:eastAsia="黑体" w:cs="黑体"/>
            </w:rPr>
            <w:t>第四部分 附件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_Toc20796 \h </w:instrText>
          </w:r>
          <w:r>
            <w:rPr>
              <w:rFonts w:hint="eastAsia" w:ascii="黑体" w:hAnsi="黑体" w:eastAsia="黑体" w:cs="黑体"/>
            </w:rPr>
            <w:fldChar w:fldCharType="separate"/>
          </w:r>
          <w:r>
            <w:rPr>
              <w:rFonts w:hint="eastAsia" w:ascii="黑体" w:hAnsi="黑体" w:eastAsia="黑体" w:cs="黑体"/>
            </w:rPr>
            <w:t>34</w:t>
          </w:r>
          <w:r>
            <w:rPr>
              <w:rFonts w:hint="eastAsia" w:ascii="黑体" w:hAnsi="黑体" w:eastAsia="黑体" w:cs="黑体"/>
            </w:rPr>
            <w:fldChar w:fldCharType="end"/>
          </w:r>
          <w:r>
            <w:rPr>
              <w:rFonts w:hint="eastAsia" w:ascii="黑体" w:hAnsi="黑体" w:eastAsia="黑体" w:cs="黑体"/>
            </w:rPr>
            <w:fldChar w:fldCharType="end"/>
          </w:r>
        </w:p>
        <w:p>
          <w:pPr>
            <w:pStyle w:val="12"/>
            <w:tabs>
              <w:tab w:val="right" w:leader="dot" w:pos="8306"/>
              <w:tab w:val="clear" w:pos="8296"/>
            </w:tabs>
          </w:pPr>
          <w:r>
            <w:rPr>
              <w:rFonts w:hint="eastAsia" w:ascii="黑体" w:hAnsi="黑体" w:eastAsia="黑体" w:cs="黑体"/>
            </w:rPr>
            <w:fldChar w:fldCharType="begin"/>
          </w:r>
          <w:r>
            <w:rPr>
              <w:rFonts w:hint="eastAsia" w:ascii="黑体" w:hAnsi="黑体" w:eastAsia="黑体" w:cs="黑体"/>
            </w:rPr>
            <w:instrText xml:space="preserve"> HYPERLINK \l _Toc8551 </w:instrText>
          </w:r>
          <w:r>
            <w:rPr>
              <w:rFonts w:hint="eastAsia" w:ascii="黑体" w:hAnsi="黑体" w:eastAsia="黑体" w:cs="黑体"/>
            </w:rPr>
            <w:fldChar w:fldCharType="separate"/>
          </w:r>
          <w:r>
            <w:rPr>
              <w:rFonts w:hint="eastAsia" w:ascii="黑体" w:hAnsi="黑体" w:eastAsia="黑体" w:cs="黑体"/>
            </w:rPr>
            <w:t>第五部分 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_Toc8551 \h </w:instrText>
          </w:r>
          <w:r>
            <w:rPr>
              <w:rFonts w:hint="eastAsia" w:ascii="黑体" w:hAnsi="黑体" w:eastAsia="黑体" w:cs="黑体"/>
            </w:rPr>
            <w:fldChar w:fldCharType="separate"/>
          </w:r>
          <w:r>
            <w:rPr>
              <w:rFonts w:hint="eastAsia" w:ascii="黑体" w:hAnsi="黑体" w:eastAsia="黑体" w:cs="黑体"/>
            </w:rPr>
            <w:t>163</w:t>
          </w:r>
          <w:r>
            <w:rPr>
              <w:rFonts w:hint="eastAsia" w:ascii="黑体" w:hAnsi="黑体" w:eastAsia="黑体" w:cs="黑体"/>
            </w:rPr>
            <w:fldChar w:fldCharType="end"/>
          </w:r>
          <w:r>
            <w:rPr>
              <w:rFonts w:hint="eastAsia" w:ascii="黑体" w:hAnsi="黑体" w:eastAsia="黑体" w:cs="黑体"/>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_Toc31384 </w:instrText>
          </w:r>
          <w:r>
            <w:rPr>
              <w:rFonts w:hint="eastAsia" w:ascii="仿宋" w:hAnsi="仿宋" w:eastAsia="仿宋" w:cs="仿宋"/>
            </w:rPr>
            <w:fldChar w:fldCharType="separate"/>
          </w:r>
          <w:r>
            <w:rPr>
              <w:rFonts w:hint="eastAsia" w:ascii="仿宋" w:hAnsi="仿宋" w:eastAsia="仿宋" w:cs="仿宋"/>
            </w:rPr>
            <w:t>一、收入支出决算总表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_Toc31384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_Toc16347 </w:instrText>
          </w:r>
          <w:r>
            <w:rPr>
              <w:rFonts w:hint="eastAsia" w:ascii="仿宋" w:hAnsi="仿宋" w:eastAsia="仿宋" w:cs="仿宋"/>
            </w:rPr>
            <w:fldChar w:fldCharType="separate"/>
          </w:r>
          <w:r>
            <w:rPr>
              <w:rFonts w:hint="eastAsia" w:ascii="仿宋" w:hAnsi="仿宋" w:eastAsia="仿宋" w:cs="仿宋"/>
            </w:rPr>
            <w:t>二、收入决算表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_Toc16347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_Toc13245 </w:instrText>
          </w:r>
          <w:r>
            <w:rPr>
              <w:rFonts w:hint="eastAsia" w:ascii="仿宋" w:hAnsi="仿宋" w:eastAsia="仿宋" w:cs="仿宋"/>
            </w:rPr>
            <w:fldChar w:fldCharType="separate"/>
          </w:r>
          <w:r>
            <w:rPr>
              <w:rFonts w:hint="eastAsia" w:ascii="仿宋" w:hAnsi="仿宋" w:eastAsia="仿宋" w:cs="仿宋"/>
            </w:rPr>
            <w:t>三、支出决算表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_Toc13245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_Toc10893 </w:instrText>
          </w:r>
          <w:r>
            <w:rPr>
              <w:rFonts w:hint="eastAsia" w:ascii="仿宋" w:hAnsi="仿宋" w:eastAsia="仿宋" w:cs="仿宋"/>
            </w:rPr>
            <w:fldChar w:fldCharType="separate"/>
          </w:r>
          <w:r>
            <w:rPr>
              <w:rFonts w:hint="eastAsia" w:ascii="仿宋" w:hAnsi="仿宋" w:eastAsia="仿宋" w:cs="仿宋"/>
            </w:rPr>
            <w:t>四、财政拨款收入支出决算总表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_Toc10893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_Toc13929 </w:instrText>
          </w:r>
          <w:r>
            <w:rPr>
              <w:rFonts w:hint="eastAsia" w:ascii="仿宋" w:hAnsi="仿宋" w:eastAsia="仿宋" w:cs="仿宋"/>
            </w:rPr>
            <w:fldChar w:fldCharType="separate"/>
          </w:r>
          <w:r>
            <w:rPr>
              <w:rFonts w:hint="eastAsia" w:ascii="仿宋" w:hAnsi="仿宋" w:eastAsia="仿宋" w:cs="仿宋"/>
            </w:rPr>
            <w:t>五、财政拨款支出决算明细表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_Toc13929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_Toc19164 </w:instrText>
          </w:r>
          <w:r>
            <w:rPr>
              <w:rFonts w:hint="eastAsia" w:ascii="仿宋" w:hAnsi="仿宋" w:eastAsia="仿宋" w:cs="仿宋"/>
            </w:rPr>
            <w:fldChar w:fldCharType="separate"/>
          </w:r>
          <w:r>
            <w:rPr>
              <w:rFonts w:hint="eastAsia" w:ascii="仿宋" w:hAnsi="仿宋" w:eastAsia="仿宋" w:cs="仿宋"/>
            </w:rPr>
            <w:t>六、一般公共预算财政拨款支出决算表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_Toc19164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_Toc2718 </w:instrText>
          </w:r>
          <w:r>
            <w:rPr>
              <w:rFonts w:hint="eastAsia" w:ascii="仿宋" w:hAnsi="仿宋" w:eastAsia="仿宋" w:cs="仿宋"/>
            </w:rPr>
            <w:fldChar w:fldCharType="separate"/>
          </w:r>
          <w:r>
            <w:rPr>
              <w:rFonts w:hint="eastAsia" w:ascii="仿宋" w:hAnsi="仿宋" w:eastAsia="仿宋" w:cs="仿宋"/>
            </w:rPr>
            <w:t>七、一般公共预算财政拨款支出决算明细表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_Toc2718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_Toc9339 </w:instrText>
          </w:r>
          <w:r>
            <w:rPr>
              <w:rFonts w:hint="eastAsia" w:ascii="仿宋" w:hAnsi="仿宋" w:eastAsia="仿宋" w:cs="仿宋"/>
            </w:rPr>
            <w:fldChar w:fldCharType="separate"/>
          </w:r>
          <w:r>
            <w:rPr>
              <w:rFonts w:hint="eastAsia" w:ascii="仿宋" w:hAnsi="仿宋" w:eastAsia="仿宋" w:cs="仿宋"/>
            </w:rPr>
            <w:t>八、一般公共预算财政拨款基本支出决算表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_Toc9339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_Toc6696 </w:instrText>
          </w:r>
          <w:r>
            <w:rPr>
              <w:rFonts w:hint="eastAsia" w:ascii="仿宋" w:hAnsi="仿宋" w:eastAsia="仿宋" w:cs="仿宋"/>
            </w:rPr>
            <w:fldChar w:fldCharType="separate"/>
          </w:r>
          <w:r>
            <w:rPr>
              <w:rFonts w:hint="eastAsia" w:ascii="仿宋" w:hAnsi="仿宋" w:eastAsia="仿宋" w:cs="仿宋"/>
            </w:rPr>
            <w:t>九、一般公共预算财政拨款项目支出决算表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_Toc6696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_Toc17221 </w:instrText>
          </w:r>
          <w:r>
            <w:rPr>
              <w:rFonts w:hint="eastAsia" w:ascii="仿宋" w:hAnsi="仿宋" w:eastAsia="仿宋" w:cs="仿宋"/>
            </w:rPr>
            <w:fldChar w:fldCharType="separate"/>
          </w:r>
          <w:r>
            <w:rPr>
              <w:rFonts w:hint="eastAsia" w:ascii="仿宋" w:hAnsi="仿宋" w:eastAsia="仿宋" w:cs="仿宋"/>
            </w:rPr>
            <w:t>十、一般公共预算财政拨款“三公”经费支出决算表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_Toc17221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_Toc28084 </w:instrText>
          </w:r>
          <w:r>
            <w:rPr>
              <w:rFonts w:hint="eastAsia" w:ascii="仿宋" w:hAnsi="仿宋" w:eastAsia="仿宋" w:cs="仿宋"/>
            </w:rPr>
            <w:fldChar w:fldCharType="separate"/>
          </w:r>
          <w:r>
            <w:rPr>
              <w:rFonts w:hint="eastAsia" w:ascii="仿宋" w:hAnsi="仿宋" w:eastAsia="仿宋" w:cs="仿宋"/>
            </w:rPr>
            <w:t>十一、政府性基金预算财政拨款收入支出决算表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_Toc28084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_Toc28805 </w:instrText>
          </w:r>
          <w:r>
            <w:rPr>
              <w:rFonts w:hint="eastAsia" w:ascii="仿宋" w:hAnsi="仿宋" w:eastAsia="仿宋" w:cs="仿宋"/>
            </w:rPr>
            <w:fldChar w:fldCharType="separate"/>
          </w:r>
          <w:r>
            <w:rPr>
              <w:rFonts w:hint="eastAsia" w:ascii="仿宋" w:hAnsi="仿宋" w:eastAsia="仿宋" w:cs="仿宋"/>
            </w:rPr>
            <w:t>十二、政府性基金预算财政拨款“三公”经费支出决算表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_Toc28805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_Toc18279 </w:instrText>
          </w:r>
          <w:r>
            <w:rPr>
              <w:rFonts w:hint="eastAsia" w:ascii="仿宋" w:hAnsi="仿宋" w:eastAsia="仿宋" w:cs="仿宋"/>
            </w:rPr>
            <w:fldChar w:fldCharType="separate"/>
          </w:r>
          <w:r>
            <w:rPr>
              <w:rFonts w:hint="eastAsia" w:ascii="仿宋" w:hAnsi="仿宋" w:eastAsia="仿宋" w:cs="仿宋"/>
            </w:rPr>
            <w:t>十三、国有资本经营预算</w:t>
          </w:r>
          <w:r>
            <w:rPr>
              <w:rFonts w:hint="eastAsia" w:ascii="仿宋" w:hAnsi="仿宋" w:eastAsia="仿宋" w:cs="仿宋"/>
              <w:lang w:eastAsia="zh-CN"/>
            </w:rPr>
            <w:t>财政拨款收入</w:t>
          </w:r>
          <w:r>
            <w:rPr>
              <w:rFonts w:hint="eastAsia" w:ascii="仿宋" w:hAnsi="仿宋" w:eastAsia="仿宋" w:cs="仿宋"/>
            </w:rPr>
            <w:t>支出决算表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_Toc18279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pStyle w:val="13"/>
            <w:tabs>
              <w:tab w:val="right" w:leader="dot" w:pos="8306"/>
              <w:tab w:val="clear" w:pos="8296"/>
            </w:tabs>
          </w:pPr>
          <w:r>
            <w:rPr>
              <w:rFonts w:hint="eastAsia" w:ascii="仿宋" w:hAnsi="仿宋" w:eastAsia="仿宋" w:cs="仿宋"/>
            </w:rPr>
            <w:fldChar w:fldCharType="begin"/>
          </w:r>
          <w:r>
            <w:rPr>
              <w:rFonts w:hint="eastAsia" w:ascii="仿宋" w:hAnsi="仿宋" w:eastAsia="仿宋" w:cs="仿宋"/>
            </w:rPr>
            <w:instrText xml:space="preserve"> HYPERLINK \l _Toc13228 </w:instrText>
          </w:r>
          <w:r>
            <w:rPr>
              <w:rFonts w:hint="eastAsia" w:ascii="仿宋" w:hAnsi="仿宋" w:eastAsia="仿宋" w:cs="仿宋"/>
            </w:rPr>
            <w:fldChar w:fldCharType="separate"/>
          </w:r>
          <w:r>
            <w:rPr>
              <w:rFonts w:hint="eastAsia" w:ascii="仿宋" w:hAnsi="仿宋" w:eastAsia="仿宋" w:cs="仿宋"/>
              <w:lang w:eastAsia="zh-CN"/>
            </w:rPr>
            <w:t>十四、国有资本经营预算财政拨款支出决算表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_Toc13228 \h </w:instrText>
          </w:r>
          <w:r>
            <w:rPr>
              <w:rFonts w:hint="eastAsia" w:ascii="仿宋" w:hAnsi="仿宋" w:eastAsia="仿宋" w:cs="仿宋"/>
            </w:rPr>
            <w:fldChar w:fldCharType="separate"/>
          </w:r>
          <w:r>
            <w:rPr>
              <w:rFonts w:hint="eastAsia" w:ascii="仿宋" w:hAnsi="仿宋" w:eastAsia="仿宋" w:cs="仿宋"/>
            </w:rPr>
            <w:t>163</w:t>
          </w:r>
          <w:r>
            <w:rPr>
              <w:rFonts w:hint="eastAsia" w:ascii="仿宋" w:hAnsi="仿宋" w:eastAsia="仿宋" w:cs="仿宋"/>
            </w:rPr>
            <w:fldChar w:fldCharType="end"/>
          </w:r>
          <w:r>
            <w:rPr>
              <w:rFonts w:hint="eastAsia" w:ascii="仿宋" w:hAnsi="仿宋" w:eastAsia="仿宋" w:cs="仿宋"/>
            </w:rPr>
            <w:fldChar w:fldCharType="end"/>
          </w:r>
        </w:p>
        <w:p>
          <w:pPr>
            <w:spacing w:before="0" w:beforeLines="0" w:after="0" w:afterLines="0" w:line="240" w:lineRule="auto"/>
            <w:ind w:left="0" w:leftChars="0" w:right="0" w:rightChars="0" w:firstLine="0" w:firstLineChars="0"/>
            <w:jc w:val="center"/>
          </w:pPr>
          <w:r>
            <w:rPr>
              <w:b/>
            </w:rPr>
            <w:fldChar w:fldCharType="end"/>
          </w:r>
        </w:p>
      </w:sdtContent>
    </w:sdt>
    <w:p>
      <w:pPr>
        <w:pageBreakBefore w:val="0"/>
        <w:widowControl/>
        <w:kinsoku/>
        <w:wordWrap/>
        <w:overflowPunct/>
        <w:topLinePunct w:val="0"/>
        <w:bidi w:val="0"/>
        <w:spacing w:line="56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pPr>
        <w:pStyle w:val="3"/>
        <w:bidi w:val="0"/>
        <w:jc w:val="center"/>
        <w:rPr>
          <w:b/>
          <w:bCs/>
          <w:sz w:val="32"/>
          <w:szCs w:val="32"/>
        </w:rPr>
      </w:pPr>
      <w:bookmarkStart w:id="27" w:name="_Toc29746"/>
      <w:r>
        <w:rPr>
          <w:rFonts w:hint="eastAsia"/>
          <w:b/>
          <w:bCs/>
          <w:sz w:val="32"/>
          <w:szCs w:val="32"/>
        </w:rPr>
        <w:t xml:space="preserve">第一部分 </w:t>
      </w:r>
      <w:r>
        <w:rPr>
          <w:rFonts w:hint="eastAsia"/>
          <w:b/>
          <w:bCs/>
          <w:sz w:val="32"/>
          <w:szCs w:val="32"/>
          <w:lang w:eastAsia="zh-CN"/>
        </w:rPr>
        <w:t>单位</w:t>
      </w:r>
      <w:r>
        <w:rPr>
          <w:rFonts w:hint="eastAsia"/>
          <w:b/>
          <w:bCs/>
          <w:sz w:val="32"/>
          <w:szCs w:val="32"/>
        </w:rPr>
        <w:t>概况</w:t>
      </w:r>
      <w:bookmarkEnd w:id="25"/>
      <w:bookmarkEnd w:id="26"/>
      <w:bookmarkEnd w:id="27"/>
    </w:p>
    <w:p>
      <w:pPr>
        <w:pStyle w:val="4"/>
        <w:bidi w:val="0"/>
        <w:ind w:firstLine="602" w:firstLineChars="200"/>
        <w:rPr>
          <w:rFonts w:hint="eastAsia"/>
          <w:sz w:val="30"/>
          <w:szCs w:val="30"/>
          <w:lang w:eastAsia="zh-CN"/>
        </w:rPr>
      </w:pPr>
      <w:bookmarkStart w:id="28" w:name="_Toc21400"/>
      <w:bookmarkStart w:id="29" w:name="_Toc15396600"/>
      <w:bookmarkStart w:id="30" w:name="_Toc15377197"/>
      <w:r>
        <w:rPr>
          <w:rFonts w:hint="eastAsia"/>
          <w:sz w:val="30"/>
          <w:szCs w:val="30"/>
          <w:lang w:val="en-US" w:eastAsia="zh-CN"/>
        </w:rPr>
        <w:t>一、</w:t>
      </w:r>
      <w:r>
        <w:rPr>
          <w:rFonts w:hint="eastAsia"/>
          <w:sz w:val="30"/>
          <w:szCs w:val="30"/>
        </w:rPr>
        <w:t>职能</w:t>
      </w:r>
      <w:r>
        <w:rPr>
          <w:rFonts w:hint="eastAsia"/>
          <w:sz w:val="30"/>
          <w:szCs w:val="30"/>
          <w:lang w:eastAsia="zh-CN"/>
        </w:rPr>
        <w:t>简介</w:t>
      </w:r>
      <w:bookmarkEnd w:id="28"/>
    </w:p>
    <w:p>
      <w:pPr>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rPr>
      </w:pPr>
      <w:r>
        <w:rPr>
          <w:rFonts w:hint="eastAsia" w:ascii="仿宋" w:hAnsi="仿宋" w:eastAsia="仿宋" w:cs="仿宋"/>
          <w:color w:val="000000"/>
          <w:kern w:val="0"/>
          <w:sz w:val="30"/>
          <w:szCs w:val="30"/>
          <w:lang w:val="en-US" w:eastAsia="zh-CN" w:bidi="ar-SA"/>
        </w:rPr>
        <w:t>贯彻执行国家关于土地、矿产资源方面的方针、政策和法律、法规；负责全区权责范围内的城市规划实施、管理及监督指导；负责单独选址建设项目的选址定点；负责城乡规划设计单位资质认证工作；负责对城市规划区内建设活动的实施管理；负责规划执法监督的业务指导；承担广元市利州区城乡规划委员会的具体工作。拟订全区权责范围内的国土空间规划相关政策和主体功能区规划，承担建立空间规划体系工作并监督实施。组织编制全区权责范围内的国土空间规划和相关专项规划并监督实施。承担国土空间规划的审核、报批工作。指导和审核涉及国土空间开发利用的全区重大专项规划。开展国土空间开发适宜性评价，建立国土空间规划实施监测、评估和预警体系。组织执行国土空间用途管制制度规范和技术标准。提出全区土地利用年度计划并组织实施。组织实施耕地、林地、湿地等国土空间用途转用政策及管理规定。指导全区建设项目用地预审。拟订开展城乡规划管理等用途管制政策并监督实施。拟订并实施全区耕地保护政策，组织实施耕地保护责任目标考核和永久基本农田特殊保护，负责永久基本农田划定、占用和补划的监督管理。承担耕地占补平衡管理工作。承担各类土地用途转用的审核、报批工作。承担土地征收征用管理和征地拆迁审核工作。负责耕地保护政策与林地、湿地等土地资源保护政策的衔接。拟订全区国土空间生态修复规划。承担国土空间综合整治、土地整理复垦、矿山地质环境恢复治理等工作。承担生态保护补偿相关工作。指导全区开展国土空间生态修复工作，负责职责范围内的生态环境保护工作。拟订全区权责范围内的各类自然资源和不动产统一登记、权籍调查、争议调处、成果应用的制度、标准、规范的实施意见并按规定权限组织实施。负责全区自然资源定期调查监测评价和开展水、森林、湿地资源等专项调查监测评价工作。组织实施全区自然资源基础调查、变更调查、动态监测和分析评价。承担自然资源调查监测评价成果的汇交、管理、维护、发布、共享和利用监督。负责权责范围内的自然资源和不动产登记信息管理基础平台工作、管理登记资料和自然资源确权登记工作。承担指导监督全区自然资源和不动产登记工作。组织实施区级全民所有自然资源资产管理政策及相应工作，负责全民所有自然资源资产统计，承担自然资源资产价值评估和资产核算。编制全民所有自然资源资产负债表，负责全民所有自然资源资产考核。组织实施全民所有自然资源资产划拨、出让、租赁、作价出资和土地储备政策及相关业务工作。承担国有土地资产处置相关工作。拟订全区自然资源内部审计制度并组织实施。负责内部审计、各类专项资金、重大项目等审计监督工作。监督实施自然资源资产有偿使用制度，指导全区自然资源市场交易规则和交易平台工作，组织开展自然资源市场调控。负责全区自然资源市场监督管理和动态监测，建立自然资源市场信用体系。建立政府公示自然资源价格体系，组织开展全区自然资源分等定级价格评估。组织开展自然资源开发利用评价考核，指导节约集约利用。负责拟订矿业权管理政策并组织实施，承担矿业权的出让及审批登记。统计分析并指导探矿权、采矿权审批登记，调处矿业权权属纠纷。承担保护性开采的特定矿种、优势矿产的开采总量控制及有关管理工作。承担矿产资源储量评审、备案、登记、统计和信息发布。负责重要矿产资源审批管理、矿产地战略储备工作。负责矿业权出让收益评估管理工作。实施矿山储量动态管理。承担地质资料汇交、保管和利用。开展矿产资源形势分析和战略研究，监督指导矿产资源合理利用和保护。建立矿产资源安全监测预警体系。监督管理古生物化石。负责自然资源领域安全生产监督管理工作。执行党和国家关于测绘管理的法律法规和方针政策。承担全区基础测绘、测量标志保护、卫星导航定位基准站、不动产测绘、行政区域界线测绘、应急测绘保障和地图管理等工作。承担全区测绘资质资格与信用监督管理。承担全区测绘成果及地理信息数据的质量和保密安全监管。承担全区地理信息资源共建共享、公共服务和建设工程验线工作。承担全区测绘法制宣传工作。指导监督全区测绘地理信息工作。承担全区地质灾害的预防和治理工作，拟订地质灾害防治规划并组织实施。负责全区地质灾害调查评价，组织协调和监督实施地质灾害隐患的普查、详查、排查，组织、指导开展地质灾害群测群防、专业监测和预报预警等工作，组织、指导开展地质灾害工程治理工作。监督管理地下水过量开采及引发的地面沉降等地质问题。承担地质灾害应急救援的技术保障工作。</w:t>
      </w:r>
    </w:p>
    <w:p>
      <w:pPr>
        <w:pStyle w:val="4"/>
        <w:pageBreakBefore w:val="0"/>
        <w:widowControl w:val="0"/>
        <w:kinsoku/>
        <w:wordWrap/>
        <w:overflowPunct/>
        <w:topLinePunct w:val="0"/>
        <w:autoSpaceDE/>
        <w:autoSpaceDN/>
        <w:bidi w:val="0"/>
        <w:adjustRightInd/>
        <w:snapToGrid/>
        <w:spacing w:before="0" w:after="0"/>
        <w:ind w:firstLine="602" w:firstLineChars="200"/>
        <w:textAlignment w:val="auto"/>
        <w:rPr>
          <w:rFonts w:hint="eastAsia"/>
        </w:rPr>
      </w:pPr>
      <w:bookmarkStart w:id="31" w:name="_Toc30647"/>
      <w:r>
        <w:rPr>
          <w:rFonts w:hint="eastAsia" w:ascii="宋体" w:hAnsi="宋体" w:eastAsia="宋体" w:cs="宋体"/>
          <w:sz w:val="30"/>
          <w:szCs w:val="30"/>
          <w:lang w:val="en-US" w:eastAsia="zh-CN"/>
        </w:rPr>
        <w:t>二、2021年重点</w:t>
      </w:r>
      <w:r>
        <w:rPr>
          <w:rFonts w:hint="eastAsia" w:ascii="宋体" w:hAnsi="宋体" w:eastAsia="宋体" w:cs="宋体"/>
          <w:sz w:val="30"/>
          <w:szCs w:val="30"/>
        </w:rPr>
        <w:t>工作</w:t>
      </w:r>
      <w:bookmarkEnd w:id="29"/>
      <w:bookmarkEnd w:id="30"/>
      <w:r>
        <w:rPr>
          <w:rFonts w:hint="eastAsia" w:ascii="宋体" w:hAnsi="宋体" w:eastAsia="宋体" w:cs="宋体"/>
          <w:sz w:val="30"/>
          <w:szCs w:val="30"/>
          <w:lang w:eastAsia="zh-CN"/>
        </w:rPr>
        <w:t>完成情况</w:t>
      </w:r>
      <w:bookmarkEnd w:id="31"/>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（一）提高政治站位，抓实抓细党建工作。</w:t>
      </w:r>
      <w:r>
        <w:rPr>
          <w:rFonts w:hint="eastAsia" w:ascii="仿宋" w:hAnsi="仿宋" w:eastAsia="仿宋" w:cs="仿宋"/>
          <w:sz w:val="32"/>
          <w:szCs w:val="32"/>
        </w:rPr>
        <w:t>一是发挥党建核心引领作用。严格落实“一把手”负总责、党组成员“一岗双责”党建责任制。制定了《2021年党建工作计划》，签订党建工作目标责任书。召开党建专题会议3次，对党建重点工作进行安排部署。二是强化政治理论学习。通过召开党组会、中心组学习会、党组书记宣讲会、党支部学习会等多种形式，组织全局干部系统学习领会习近平新时代中国特色社会主义思想，组织全体党员干部深入学习中国共产党的百年历史。及时传达党的十九届六中全会精神、省委十一届九次全会精神和省委十一届十次全会会议精神、市第八次党代会和市委八届一次全会精神、区第九次党代会和区九届一次全会精神。三是扎实开展党史学习教育。通过领导班子讲党课、专题讲座学党史、重温峥嵘岁月悟党史，丰富党学习教育形式，引导全局干部职工更好地从党的百年奋斗成就和历史经验中汲取智慧力量。将党史学习教育与全市自然资源系统“全面提升年”有机结合，制定了“利州自然资源大讲堂”学习方案，已开展2期利州自然资源大讲堂。四是全面抓好意识形态工作，严格按照意识形态工作责任制的要求抓好各项工作的落实，积极利用纸质媒体和网络宣传平台，主动宣传全区自然资源管理工作动态和思想文化的建设成果。充分利用局机关LED电子屏，通过播放宣传标语等方式，做好自然资源管理工作的宣传引导。在《广元日报》刊载新闻稿件10条，转载、发布微博消息182条，推送微信公众号信息48条。</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（二）狠抓作风纪律，着力推进党风廉政建设。</w:t>
      </w:r>
      <w:r>
        <w:rPr>
          <w:rFonts w:hint="eastAsia" w:ascii="仿宋" w:hAnsi="仿宋" w:eastAsia="仿宋" w:cs="仿宋"/>
          <w:sz w:val="32"/>
          <w:szCs w:val="32"/>
        </w:rPr>
        <w:t>一是认真履行</w:t>
      </w:r>
      <w:r>
        <w:rPr>
          <w:rFonts w:hint="eastAsia" w:ascii="仿宋" w:hAnsi="仿宋" w:eastAsia="仿宋" w:cs="仿宋"/>
          <w:sz w:val="32"/>
          <w:szCs w:val="32"/>
          <w:lang w:eastAsia="zh-CN"/>
        </w:rPr>
        <w:t>全面从严治党主体责任</w:t>
      </w:r>
      <w:r>
        <w:rPr>
          <w:rFonts w:hint="eastAsia" w:ascii="仿宋" w:hAnsi="仿宋" w:eastAsia="仿宋" w:cs="仿宋"/>
          <w:sz w:val="32"/>
          <w:szCs w:val="32"/>
        </w:rPr>
        <w:t>和“一岗双责”，印发《2021年党风廉政建设和反腐败工作实施意见》等系列文件，层层签订党风廉政建设责任书和廉政承诺书，梳理建立“三张清单”，建立重点人员、重点岗位廉政风险点。二是成立了以局党组书记、局长为组长的区自然资源分局干部纪律作风整顿工作领导小组，审议制发了利州区自然资源分局“刹四风、强作风、抓落实”专项行动实施方案和干部纪律作风整顿工作方案，全面压实领导干部党风廉政建设责任。三是坚持问题导向，组织全局干部职工对标纪律作风12个方面问题逐一自查并制定整改措施，局党组及93名干部共查找12方面592个问题，细化整改措施608条。四是完善规划管理规章制度，扎实开展规划领域突出问题系统治理工作。制定了工作方案和任务分解表，明确了治理重点和工作措施。持续加强对2020年排查的25个问题线索的整改，今年完成整改9个，共完成整改23个。同时，对2010年至今项目进行再次梳理，发现问题线索7个，已整改3个。</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（三）严守耕地保护红线，筑牢粮食安全根基。</w:t>
      </w:r>
      <w:r>
        <w:rPr>
          <w:rFonts w:hint="eastAsia" w:ascii="仿宋" w:hAnsi="仿宋" w:eastAsia="仿宋" w:cs="仿宋"/>
          <w:sz w:val="32"/>
          <w:szCs w:val="32"/>
        </w:rPr>
        <w:t>一是切实做好耕地保护管理突出问题自查整改工作。完善了耕地保护责任目标考核机制，制定了一系列坚决制止耕地“非农化”、防止耕地“非粮化”相关文件和措施，并将十八大以来习近平总书记对耕地保护作出的相关指示以及耕地保护相关政策文件汇编成册，同时发放到各乡镇、街道办事处，自上而下加强各级政府耕地保护责任意识，切实加强耕地保护、永久基本农田保护及改进耕地占补平衡。二是狠抓工作落实</w:t>
      </w:r>
      <w:r>
        <w:rPr>
          <w:rFonts w:hint="eastAsia" w:ascii="仿宋" w:hAnsi="仿宋" w:eastAsia="仿宋" w:cs="仿宋"/>
          <w:sz w:val="32"/>
          <w:szCs w:val="32"/>
          <w:lang w:eastAsia="zh-CN"/>
        </w:rPr>
        <w:t>，</w:t>
      </w:r>
      <w:r>
        <w:rPr>
          <w:rFonts w:hint="eastAsia" w:ascii="仿宋" w:hAnsi="仿宋" w:eastAsia="仿宋" w:cs="仿宋"/>
          <w:sz w:val="32"/>
          <w:szCs w:val="32"/>
        </w:rPr>
        <w:t>切实加强基本农田保护。下一步将积极向上级争取政策，从地形坡度25°以上、地块坡度25°以下且仍在继续耕种的耕地，生态退耕范围内的现状耕地，对恢复类属性采取措施新增耕地，通过实施土地整治、增减挂钩、工矿废弃地项目复垦新增耕地，退园还耕新增耕地等方面进行补足，补充潜力有4.9252万亩。三是加强设施农业用地管理制度。</w:t>
      </w:r>
      <w:r>
        <w:rPr>
          <w:rFonts w:hint="eastAsia" w:ascii="仿宋" w:hAnsi="仿宋" w:eastAsia="仿宋" w:cs="仿宋"/>
          <w:sz w:val="32"/>
          <w:szCs w:val="32"/>
          <w:lang w:eastAsia="zh-CN"/>
        </w:rPr>
        <w:t>截至目前</w:t>
      </w:r>
      <w:r>
        <w:rPr>
          <w:rFonts w:hint="eastAsia" w:ascii="仿宋" w:hAnsi="仿宋" w:eastAsia="仿宋" w:cs="仿宋"/>
          <w:sz w:val="32"/>
          <w:szCs w:val="32"/>
        </w:rPr>
        <w:t>，已完成符合设施农业用地入库条件的112宗。四是建立健全长效管理机制，印发了利州区人民政府办公室《关于进一步规范设施农业用地管理工作的通知》，进一步完善了耕地和基本农田保护监管长效机制。</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（四）严格用地管控，强化土地要素保障。</w:t>
      </w:r>
      <w:r>
        <w:rPr>
          <w:rFonts w:hint="eastAsia" w:ascii="仿宋" w:hAnsi="仿宋" w:eastAsia="仿宋" w:cs="仿宋"/>
          <w:sz w:val="32"/>
          <w:szCs w:val="32"/>
        </w:rPr>
        <w:t>一是年初制定土地报征计划任务3件（经开区4件，合计为7件），截至目前，我区已上报批次报件5件，报征土地2437.1015亩，使用占补平衡指标1154.5005亩（均为协调借用市局指标，按照旱地6万元/亩，水田8万元/亩，总价值为7789.155万元）。二是积极推动市、区重点工程项目报征进度。围绕全区“十大”支撑性重点项目及其他市区重点项目，主动对接市自然资源局落实规划指标、新增建设用地指标和占补平衡指标。已由省人民政府批准征收的利州区2021年第2、4、5批次（批文号：川府土〔2021〕749号、川府土〔2021〕827号、川府土〔2021〕828号）保障了学工村至109厂道路、109厂至天曌山道路、北二环东延线、城北特勤消防站及战勤保障消防站、省区域应急救援广元基地、清江右岸河堤、万源21号路等项目用地；已上报的利州区2021年第8、23批次建设用地，包含大稻坝金龙湖生态康养城（600.25亩）、数字经济产业园首开区（93.351亩）、水电五局仓库补征（4.27亩）等项目。大稻坝限价商品房（205.44亩）、香颂湾补征地块（1.62亩）、宏源雅居补征地块（0.74亩）、铁路枢纽综合物流基地（552.98亩）、龙潭元山能源站（8.61亩）和东坝能源站（1.08亩）等项目，已完成勘测定界、发布土地征收启动公告、测算社保预存款等前期工作。</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（五）开展国土空间规划编制工作，全面服务经济社会发展。</w:t>
      </w:r>
      <w:r>
        <w:rPr>
          <w:rFonts w:hint="eastAsia" w:ascii="仿宋" w:hAnsi="仿宋" w:eastAsia="仿宋" w:cs="仿宋"/>
          <w:sz w:val="32"/>
          <w:szCs w:val="32"/>
        </w:rPr>
        <w:t>一是完成了自然资源系统和规划领域的职能融合。完成了区自然资源分局与区国土规划编研中心的机构合并，7名区国土规划编研中心人员全部完成档案审查及上编工作。并参照市自然资源局国土空间规划管理流程，重新制定了利州区国土空间规划管理工作流程。二是配合推进市级国土空间规划编制工作。会同区规划编研中心组织各乡镇（街道）、区级相关部门梳理了各行业“十四五”期间项目规划情况，并及时将梳理情况上报市自然资源局和编制团队。三是按照国土空间规划现状基数转换所需资料，收集提交了三调更新数据、2020年变更调查数据、土地报征数据及批文、增减挂钩建新用地范围及批文等相关数据，完成了国土空间规划现状基数转换工作。四是按时保质保量完成了两轮“三区三线试划”工作，划定集中建设区15.75万亩。五是启动了乡镇（片区）国土空间规划编制工作。已招投标确定了《宝轮白朝片区国土空间规划》（55.66万亩）、《龙潭万缘南河片区国土空间规划》（27.45万亩）编制技术单位，同时启动了两个片区内的两个村规划编制试点工作。六是有序开展项目选址与用地预审工作。为金龙湖湿地公园建设项目、学工桥至109厂道路工程项目、广元市利州区利青旅游公路工程项目等26个建设项目办理了用地预审，涉及面积约2707.95亩，为我区建设项目用地的顺利实施和专项资金申报奠定了基础。</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（六）全力推进土地营运工作，有效化解历史遗留问题。</w:t>
      </w:r>
      <w:r>
        <w:rPr>
          <w:rFonts w:hint="eastAsia" w:ascii="仿宋" w:hAnsi="仿宋" w:eastAsia="仿宋" w:cs="仿宋"/>
          <w:sz w:val="32"/>
          <w:szCs w:val="32"/>
        </w:rPr>
        <w:t>一是紧紧围绕利州区“十大”支撑性重点项目，对计划出让的各类用途土地进行了分析，编制上报了2021年国有建设用地供地计划，计划出让3937.46亩土地。二是推进集体建设用地和农用地基准地价体系建设。于2021年2月21日完成了利州区城镇标定地价、集体建设用地和农用地基准地价政府采购工作，预计12月底报省自然资源厅备案。三是强化项目用地保障工作。</w:t>
      </w:r>
      <w:r>
        <w:rPr>
          <w:rFonts w:hint="eastAsia" w:ascii="仿宋" w:hAnsi="仿宋" w:eastAsia="仿宋" w:cs="仿宋"/>
          <w:sz w:val="32"/>
          <w:szCs w:val="32"/>
          <w:lang w:eastAsia="zh-CN"/>
        </w:rPr>
        <w:t>截至目前</w:t>
      </w:r>
      <w:r>
        <w:rPr>
          <w:rFonts w:hint="eastAsia" w:ascii="仿宋" w:hAnsi="仿宋" w:eastAsia="仿宋" w:cs="仿宋"/>
          <w:sz w:val="32"/>
          <w:szCs w:val="32"/>
        </w:rPr>
        <w:t>，完成了西奥电梯、水电五局、昭昆机械、众鑫机械、西成高铁等项目供地工作，已供应土地32宗，供地面积1403.33亩，实现土地收入1.6亿元，市区同城机制实施后，市本级土地出让收入分成5400万元，共计实现土地收入2.14亿元。四是积极化解土地遗留问题。</w:t>
      </w:r>
      <w:r>
        <w:rPr>
          <w:rFonts w:hint="eastAsia" w:ascii="仿宋" w:hAnsi="仿宋" w:eastAsia="仿宋" w:cs="仿宋"/>
          <w:sz w:val="32"/>
          <w:szCs w:val="32"/>
          <w:lang w:eastAsia="zh-CN"/>
        </w:rPr>
        <w:t>截至目前</w:t>
      </w:r>
      <w:r>
        <w:rPr>
          <w:rFonts w:hint="eastAsia" w:ascii="仿宋" w:hAnsi="仿宋" w:eastAsia="仿宋" w:cs="仿宋"/>
          <w:sz w:val="32"/>
          <w:szCs w:val="32"/>
        </w:rPr>
        <w:t>，已催缴土地出让金1.1亿元，26个项目涉及的土地遗留问题供地方案已经土管会审议并经市、区政府审批，其中6个项目业主已缴清土地出让金，6个问题楼盘已通过法律诉讼手段追缴土地出让金，7个问题楼盘正在通过行政征收方式追缴土地出让金。五是做好批而未供处置工作。有</w:t>
      </w:r>
      <w:r>
        <w:rPr>
          <w:rFonts w:hint="eastAsia" w:ascii="仿宋" w:hAnsi="仿宋" w:eastAsia="仿宋" w:cs="仿宋"/>
          <w:sz w:val="32"/>
          <w:szCs w:val="32"/>
          <w:lang w:eastAsia="zh-CN"/>
        </w:rPr>
        <w:t>针对性地制定了</w:t>
      </w:r>
      <w:r>
        <w:rPr>
          <w:rFonts w:hint="eastAsia" w:ascii="仿宋" w:hAnsi="仿宋" w:eastAsia="仿宋" w:cs="仿宋"/>
          <w:sz w:val="32"/>
          <w:szCs w:val="32"/>
        </w:rPr>
        <w:t>2021年“一地一策”攻坚计划，积极协调市征拆中心、区住建局等相关部门，对未达到“净地”条件的地块及时调整相关规划，已完成批而未供处置103亩。</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（七）多措并举确保土地确权登记工作稳步有序。</w:t>
      </w:r>
      <w:r>
        <w:rPr>
          <w:rFonts w:hint="eastAsia" w:ascii="仿宋" w:hAnsi="仿宋" w:eastAsia="仿宋" w:cs="仿宋"/>
          <w:sz w:val="32"/>
          <w:szCs w:val="32"/>
        </w:rPr>
        <w:t>一是完成了2020年度国土变更调查的数据质检和汇交工作。二是扎实做好第三次全国国土调查成果检验验收工作，我区统一时点更新数据已通过国家质检，目前正在开展市级预验收整改工作，年底前完成省级终验收。三是积极推动农村房地一体工作。我区农村房地一体确权登记项目工作总基数约5万户（含经开区7122户），已完成我区3.1万户不动产权籍库工作，预计2021年底前完成权籍数据成果汇交工作。四是按照省厅要求，完成了我区2021年度耕地动态监测工作。五是做好易地扶贫搬迁农户不动产权证办理工作。采取“专题研究+领导牵头+工作专班+部门协同+主动服务+每日通报+督办提醒”等多种工作措施和“政府承诺+容缺后补”的登记方式，强力推进工作实施，完成全区1313户易地扶贫搬迁安置住房不动产登记发证工作。六是积极有效做好土地权属纠纷调处工作。牵头调查处理三堆镇飞龙村和高桥村林权纠纷1起。七是提前谋划2021年度国土变更调查工作。充分评估本年度变更调查工作量，科学测算调查经费，足额纳入年度财政预算，目前已启动变更调查实施方案编制工作。</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（八）强化矿产资源管理，促进矿产资源就地转化。</w:t>
      </w:r>
      <w:r>
        <w:rPr>
          <w:rFonts w:hint="eastAsia" w:ascii="仿宋" w:hAnsi="仿宋" w:eastAsia="仿宋" w:cs="仿宋"/>
          <w:sz w:val="32"/>
          <w:szCs w:val="32"/>
        </w:rPr>
        <w:t>一是做好矿业权登记管理工作。办理矿业权登记业务5宗，其中延续登记业务4宗，注销登记1宗。二是完成了区内33宗矿业权（其中采矿权29宗，探矿权4宗）信息公示和矿业权实地核查工作，实现公示率100%目标。三是完成了第三轮矿产资源规划调整完善工作，并取得省自然资源厅批复，新规定设置宝轮赤化镇1亿吨砂石集中开采区1个，目前正在开展矿业权出让前期准备工作。四是完成了矿产资源调查工作和第四轮矿产资源规划文本编制工作，摸清了区内资源种类、分布以及资源量等情况。五是深入开展环保督察整改工作，完成了全区19家在建、生产的非煤矿山的开发利用方案实施、“二合一”方案执行、固体废物处理、物料加工堆放场以及粉尘、噪音等情况的全面核查工作，目前涉及环保方面问题已基本完成整改。六是加快推进利州区范围内砖瓦企业退出工作。对全区14家砖厂进行全面排查，逐厂建立了“一厂一策”退出方案，对所有拟退出砖厂开展了地籍测绘，摸清了占地面积和占用耕地情况，目前已对11家砖厂下发责令整改通知书。七是扎实开展绿色矿山建设工作，目前已有9家矿山企业完成绿色矿山建设方案编制工作并通过评审，现正按照评审通过的绿色建设方案有序开展矿山整治工作，做到边生产边恢复治理。</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（九）强化执法监察，有序管理全区自然资源。</w:t>
      </w:r>
      <w:r>
        <w:rPr>
          <w:rFonts w:hint="eastAsia" w:ascii="仿宋" w:hAnsi="仿宋" w:eastAsia="仿宋" w:cs="仿宋"/>
          <w:sz w:val="32"/>
          <w:szCs w:val="32"/>
        </w:rPr>
        <w:t>一是积极谋划，主动作为，确保规划行政执法工作稳步有序推进。通过开展巡查和建立工作台账，摸清了全区基本情况并同步做好处置工作。已梳理2020年、2021年办理建设工程规划许可证的项目共77个，处理信访投诉件109宗，发放《责令改正违法行为通知书》10份，发放《责令限期自行拆除违法建设公告》2份。二是常态化做好动态巡查工作。会同各自然资源所对全区开展动态巡查650余次，立案查处案件13件，结案8件，收缴罚没款278.53万元。三是扎实做好卫片执法工作。</w:t>
      </w:r>
      <w:r>
        <w:rPr>
          <w:rFonts w:hint="eastAsia" w:ascii="仿宋" w:hAnsi="仿宋" w:eastAsia="仿宋" w:cs="仿宋"/>
          <w:sz w:val="32"/>
          <w:szCs w:val="32"/>
          <w:lang w:eastAsia="zh-CN"/>
        </w:rPr>
        <w:t>截至目前</w:t>
      </w:r>
      <w:r>
        <w:rPr>
          <w:rFonts w:hint="eastAsia" w:ascii="仿宋" w:hAnsi="仿宋" w:eastAsia="仿宋" w:cs="仿宋"/>
          <w:sz w:val="32"/>
          <w:szCs w:val="32"/>
        </w:rPr>
        <w:t>，自然资源部和四川省自然资源厅共向我区下发卫片图斑 566个（含2020年第四季度补充图斑），去除经开区，共向我区下发卫片图斑471个，涉及土地面积3982.4亩，耕地面积1159.02亩。目前已全部完成外业核查、集体研判、系统填报、资料归档工作。四是持续推进闲置土地处置工作。我区目前共有闲置土地34宗，涉及土地面积951.6亩，完成闲置土地系统销号8宗，涉及土地总面积252.45亩。五是按照省违建别墅整治办公室和 “大棚房”和重点区域违法违规占用国家资源挤占生态空间问题清理整治工作领导小组办公室关于开展“回头看”工作要求，指导各乡镇（街道）对全区范围内大棚房问题和违建别墅问题再次开展“回头看”清查工作，经核实，全区无新增和反弹大棚房、违建别墅问题。六是按照市局要求对全区范围内的石材加工小作坊进行了全面的清理排查，共清查出28家小石材加工作坊，目前基本完成对石材加工小作坊分类整治工作。七是做好“能交水”项目整改销号工作。目前宝轮南环线项目、省道301项目、芳香大道、学工村至109场道路、清江右岸河堤项目已取得批文，北二环东延线已组卷上报省厅。八是持续做好扫黑除恶斗争常态化相关工作，经排查，目前我区自然资源领域未发现新增黑恶线索。</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（十）做好地质灾害防治，确保群众生命财产安全。</w:t>
      </w:r>
      <w:r>
        <w:rPr>
          <w:rFonts w:hint="eastAsia" w:ascii="仿宋" w:hAnsi="仿宋" w:eastAsia="仿宋" w:cs="仿宋"/>
          <w:sz w:val="32"/>
          <w:szCs w:val="32"/>
        </w:rPr>
        <w:t>一是严格落实 “三避让”“三个紧急撤离”制度，实现连续十年“零伤亡”。今年汛期期间，根据现场排查核实情况，凡是存在严重地质灾害风险的，实现应转尽转，全区共转移235户864人，涉及73个地灾隐患点、12个乡镇（街道）。二是健全和完善群测群防体系。印发了《广元市利州区2021年地质灾害防治方案》、《广元市利州区2021年突发性地质灾害应急预案》，落实了全区218处隐患点区、乡镇（街道）、村（社区）、监测人的4级防治工作体系。三是制作了防灾、避险明白卡2000余份。及时在部、省系统更新信息，填报率达100%。四是在全区72个隐患点安装了专业监测设备，实时监测滑坡、崩塌、泥石流发育变形情况，完善“人防+技防”体系，同时，告知作业单位每周检修设备，确保在线率达98%以上，全面提升了我区防灾减灾能力。五是会同专业技术单位对隐患点群众开展宣传培训及应急演练，参与演练1000余人，宣传培训1500人次，发放宣传资料3000份。六是加强地质灾害治理项目实施。</w:t>
      </w:r>
      <w:r>
        <w:rPr>
          <w:rFonts w:hint="eastAsia" w:ascii="仿宋" w:hAnsi="仿宋" w:eastAsia="仿宋" w:cs="仿宋"/>
          <w:sz w:val="32"/>
          <w:szCs w:val="32"/>
          <w:lang w:eastAsia="zh-CN"/>
        </w:rPr>
        <w:t>截至目前</w:t>
      </w:r>
      <w:r>
        <w:rPr>
          <w:rFonts w:hint="eastAsia" w:ascii="仿宋" w:hAnsi="仿宋" w:eastAsia="仿宋" w:cs="仿宋"/>
          <w:sz w:val="32"/>
          <w:szCs w:val="32"/>
        </w:rPr>
        <w:t>，共实施项目17个（10个治理工程，5个排危除险，2个加固维护）项目，其中，完成威胁50人以上重大地质灾害隐患点3处。目前已完工16个。超前谋划，包装地质治理项目。2021年10月强降雨后，根据专家现场踏勘意见，谋划包装12个地灾治理项目，预计投资8000万元。七是定期、不定期开展地灾项目信用评价。在项目实施过程中、局领导班子，相关股室人员定期、不定期到项目现场对工程质量、项目班子成员到岗情况进行检查。</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（十一）准确把握政策，谋划包装项目。</w:t>
      </w:r>
      <w:r>
        <w:rPr>
          <w:rFonts w:hint="eastAsia" w:ascii="仿宋" w:hAnsi="仿宋" w:eastAsia="仿宋" w:cs="仿宋"/>
          <w:sz w:val="32"/>
          <w:szCs w:val="32"/>
        </w:rPr>
        <w:t>一是全力推进城乡建设用地增减挂钩试点项目。目前，我区共计取得实施规划批复增减挂钩项目12个，已完成荣山大地等11个村项目的影像复核，并与仁寿县签订协议，实现流转收益7256.763万元，目前已分两次到位资金2320万元（第1次320万，第2次2000万），市上分成20%，我区实际到位资金1856万元。其余11个项目区已竣工6个（5个已完成省市联合核查验收，待厅务会后获取指标证，1个已通过区级验收），正在实施1个，预计产生节余指标953.8335亩，预计可产生流转收益2.8615亿元。二是抢抓政策机遇，包装工矿废弃地复垦项目。积极谋划在2020年矿企治理和长江10KM一带废弃矿山修复基础上包装工矿废弃地复垦项目。利州区工矿废弃地复垦项目（一期）已完成区级验收，初验指标67亩。目前我区还有435亩资源，待正式规划出台后组织实施。三是在与市局紧密对接基础上，对已实施的8个地方投资土地整治项目完成新增耕地核定，待市局上会后出具验收意见，预计产生耕地占补平衡指标5000余亩。四是谋划上报了5个乡镇33个村共7个拟省投资土地整治项目，该批项目已经市自然资源局审查入库优选，整理规模71079.75亩，整理后可新增耕地面积5922.74亩（其中：旱地4844.06亩，水田1078.68亩），计划总投资10791.51万元。其中白朝乡月坝等7个村省投资土地整治项目完成省厅审核、财评等工作，争取资金到位960.97万元。五是扎实开展9个部移除库项目整改。完成9个部移除储备库土地整理项目共涉及255个问题地块的整改工作，目前已全部提交备案系统，并通过省级审核，现已审查备案通过5个。</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（十二）深化便民服务意识，优化营商环境受好评。</w:t>
      </w:r>
      <w:r>
        <w:rPr>
          <w:rFonts w:hint="eastAsia" w:ascii="仿宋" w:hAnsi="仿宋" w:eastAsia="仿宋" w:cs="仿宋"/>
          <w:sz w:val="32"/>
          <w:szCs w:val="32"/>
        </w:rPr>
        <w:t>今年以来，区自然资源分局认真贯彻落实中央、省、市、区关于深化“放管服”改革优化营商环境的部署要求，不断简化流程，压缩办理时间，深入推进审批服务便民化，努力构建便捷高效、便民利民的营商环境，不断增强企业和群众改革获得感，取得了显著成效，获得了企业群众的广泛好评，收获了8面锦旗。一是规范不动产统一登记，助推实现不动产登记“只跑一次”。简化流程，规范要件，将原来分两次流程办理的预购商品房预告登记和抵押权预告登记合并为一次流程办理，取消不必用证明材料6个，简化环节2个，实现查封登记等8项登记即时办结，抵押权预告登记等6项登记1日办结，一般类型登记3日办结。</w:t>
      </w:r>
      <w:r>
        <w:rPr>
          <w:rFonts w:hint="eastAsia" w:ascii="仿宋" w:hAnsi="仿宋" w:eastAsia="仿宋" w:cs="仿宋"/>
          <w:sz w:val="32"/>
          <w:szCs w:val="32"/>
          <w:lang w:eastAsia="zh-CN"/>
        </w:rPr>
        <w:t>截至目前</w:t>
      </w:r>
      <w:r>
        <w:rPr>
          <w:rFonts w:hint="eastAsia" w:ascii="仿宋" w:hAnsi="仿宋" w:eastAsia="仿宋" w:cs="仿宋"/>
          <w:sz w:val="32"/>
          <w:szCs w:val="32"/>
        </w:rPr>
        <w:t>，共办理不动产权证、不动产登记证明等6452件，开具房屋证明997份，接受电话咨询2412次，现场咨询1054次。二是优化行政审批服务。充分运用省政务服务“一体化平台”， 83个事项全面实现“一网通办”，材料减免率、即办率分别达到60%和50%以上。三是深入推进工改2.0系统辅助模块推广使用，区域评估、方案联审、“多规合一”“多测合一”全部“破零”，有力推动了服务前置，强化了信息资源共享。</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（十三）持续推动精准扶贫，助力乡村振兴。</w:t>
      </w:r>
      <w:r>
        <w:rPr>
          <w:rFonts w:hint="eastAsia" w:ascii="仿宋" w:hAnsi="仿宋" w:eastAsia="仿宋" w:cs="仿宋"/>
          <w:sz w:val="32"/>
          <w:szCs w:val="32"/>
        </w:rPr>
        <w:t>一是进一步加强驻村干部管理，始终坚持局派出干部吃住在村、组织关系转到村、全脱产驻村，不再参与局内工作并由所在村镇考勤，局长及分管领导每月不少于1次到村开展调研促推活动。二是积极谋划村集体经济产业，除及时继续与吉香居公司签订“订单农业”合同发展200余亩萝卜种植和300余亩藤椒产业园的管护力度外</w:t>
      </w:r>
      <w:r>
        <w:rPr>
          <w:rFonts w:hint="eastAsia" w:ascii="仿宋" w:hAnsi="仿宋" w:eastAsia="仿宋" w:cs="仿宋"/>
          <w:sz w:val="32"/>
          <w:szCs w:val="32"/>
          <w:lang w:eastAsia="zh-CN"/>
        </w:rPr>
        <w:t>，</w:t>
      </w:r>
      <w:r>
        <w:rPr>
          <w:rFonts w:hint="eastAsia" w:ascii="仿宋" w:hAnsi="仿宋" w:eastAsia="仿宋" w:cs="仿宋"/>
          <w:sz w:val="32"/>
          <w:szCs w:val="32"/>
        </w:rPr>
        <w:t>还积极引进社会资本方到村流转土地210余亩土地和山林发展种养业，其中石笋8组130亩已</w:t>
      </w:r>
      <w:r>
        <w:rPr>
          <w:rFonts w:hint="eastAsia" w:ascii="仿宋" w:hAnsi="仿宋" w:eastAsia="仿宋" w:cs="仿宋"/>
          <w:sz w:val="32"/>
          <w:szCs w:val="32"/>
          <w:lang w:eastAsia="zh-CN"/>
        </w:rPr>
        <w:t>缴纳</w:t>
      </w:r>
      <w:r>
        <w:rPr>
          <w:rFonts w:hint="eastAsia" w:ascii="仿宋" w:hAnsi="仿宋" w:eastAsia="仿宋" w:cs="仿宋"/>
          <w:sz w:val="32"/>
          <w:szCs w:val="32"/>
        </w:rPr>
        <w:t>拟种蔬菜定金。石笋3组80亩土地正在锄草复耕，存栏商品种羊50余只。三是防止规模性返贫，通过逐户摸底和各级研判，确定脱贫不稳定户1户，通过及时对接区人社局等相关部门解决公益岗位1个，彻底化解了返贫风险。四是对“两不愁三保障”到户政策落实情况进行逐户摸排，利用村上开会、党员</w:t>
      </w:r>
      <w:r>
        <w:rPr>
          <w:rFonts w:hint="eastAsia" w:ascii="仿宋" w:hAnsi="仿宋" w:eastAsia="仿宋" w:cs="仿宋"/>
          <w:sz w:val="32"/>
          <w:szCs w:val="32"/>
          <w:lang w:eastAsia="zh-CN"/>
        </w:rPr>
        <w:t>志愿</w:t>
      </w:r>
      <w:r>
        <w:rPr>
          <w:rFonts w:hint="eastAsia" w:ascii="仿宋" w:hAnsi="仿宋" w:eastAsia="仿宋" w:cs="仿宋"/>
          <w:sz w:val="32"/>
          <w:szCs w:val="32"/>
        </w:rPr>
        <w:t>服务及驻村干部入户走访等方式及时宣传脱贫、疫情防控、耕地保护、森林防火等政策。五是全面梳理整理2016年以来的扶贫资料，并按年度分类归档移交区档案局保存。六是主动开展“以购代扶”活动，驻村工作队及时将农产品销售信息发布到我局工作群，充分发动职工积极参与购买活动，助推乡村振兴。</w:t>
      </w:r>
      <w:r>
        <w:rPr>
          <w:rFonts w:hint="eastAsia" w:ascii="仿宋" w:hAnsi="仿宋" w:eastAsia="仿宋" w:cs="仿宋"/>
          <w:sz w:val="32"/>
          <w:szCs w:val="32"/>
          <w:lang w:eastAsia="zh-CN"/>
        </w:rPr>
        <w:t>截至目前</w:t>
      </w:r>
      <w:r>
        <w:rPr>
          <w:rFonts w:hint="eastAsia" w:ascii="仿宋" w:hAnsi="仿宋" w:eastAsia="仿宋" w:cs="仿宋"/>
          <w:sz w:val="32"/>
          <w:szCs w:val="32"/>
        </w:rPr>
        <w:t>，我局及帮扶单位参与人数达63人，购买群众农产品2991公斤，金额6.42万元。</w:t>
      </w:r>
    </w:p>
    <w:p>
      <w:pPr>
        <w:pageBreakBefore w:val="0"/>
        <w:kinsoku/>
        <w:wordWrap/>
        <w:overflowPunct/>
        <w:topLinePunct w:val="0"/>
        <w:bidi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（十四）全力以赴完成各类经济指标。</w:t>
      </w:r>
      <w:r>
        <w:rPr>
          <w:rFonts w:hint="eastAsia" w:ascii="仿宋" w:hAnsi="仿宋" w:eastAsia="仿宋" w:cs="仿宋"/>
          <w:sz w:val="32"/>
          <w:szCs w:val="32"/>
        </w:rPr>
        <w:t>2021年，我局坚定信心和决心，精准把脉问题和不足，全力以赴推动各项经济指标的完成，为全区经济发展保持良好态势贡献了自然资源力量。今年以来落实向上争取资金3317.85万元，完成固定资产投资1.6亿元，实现非税收入571.15万元，土地营运收入3.25亿元。</w:t>
      </w:r>
    </w:p>
    <w:p>
      <w:pPr>
        <w:pageBreakBefore w:val="0"/>
        <w:widowControl/>
        <w:kinsoku/>
        <w:wordWrap/>
        <w:overflowPunct/>
        <w:topLinePunct w:val="0"/>
        <w:bidi w:val="0"/>
        <w:spacing w:line="560" w:lineRule="exact"/>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bidi w:val="0"/>
        <w:jc w:val="center"/>
        <w:rPr>
          <w:rFonts w:hint="eastAsia" w:asciiTheme="majorEastAsia" w:hAnsiTheme="majorEastAsia" w:eastAsiaTheme="majorEastAsia" w:cstheme="majorEastAsia"/>
          <w:sz w:val="32"/>
          <w:szCs w:val="32"/>
        </w:rPr>
      </w:pPr>
      <w:bookmarkStart w:id="32" w:name="_Toc7831"/>
      <w:bookmarkStart w:id="33" w:name="_Toc15377204"/>
      <w:bookmarkStart w:id="34" w:name="_Toc15396602"/>
      <w:r>
        <w:rPr>
          <w:rFonts w:hint="eastAsia" w:asciiTheme="majorEastAsia" w:hAnsiTheme="majorEastAsia" w:eastAsiaTheme="majorEastAsia" w:cstheme="majorEastAsia"/>
          <w:sz w:val="32"/>
          <w:szCs w:val="32"/>
        </w:rPr>
        <w:t xml:space="preserve">第二部分 </w:t>
      </w:r>
      <w:r>
        <w:rPr>
          <w:rFonts w:hint="eastAsia" w:asciiTheme="majorEastAsia" w:hAnsiTheme="majorEastAsia" w:eastAsiaTheme="majorEastAsia" w:cstheme="majorEastAsia"/>
          <w:sz w:val="32"/>
          <w:szCs w:val="32"/>
          <w:lang w:val="en-US" w:eastAsia="zh-CN"/>
        </w:rPr>
        <w:t>2021年度</w:t>
      </w:r>
      <w:r>
        <w:rPr>
          <w:rFonts w:hint="eastAsia" w:asciiTheme="majorEastAsia" w:hAnsiTheme="majorEastAsia" w:eastAsiaTheme="majorEastAsia" w:cstheme="majorEastAsia"/>
          <w:sz w:val="32"/>
          <w:szCs w:val="32"/>
          <w:lang w:eastAsia="zh-CN"/>
        </w:rPr>
        <w:t>单位</w:t>
      </w:r>
      <w:r>
        <w:rPr>
          <w:rFonts w:hint="eastAsia" w:asciiTheme="majorEastAsia" w:hAnsiTheme="majorEastAsia" w:eastAsiaTheme="majorEastAsia" w:cstheme="majorEastAsia"/>
          <w:sz w:val="32"/>
          <w:szCs w:val="32"/>
        </w:rPr>
        <w:t>决算情况说明</w:t>
      </w:r>
      <w:bookmarkEnd w:id="32"/>
      <w:bookmarkEnd w:id="33"/>
      <w:bookmarkEnd w:id="34"/>
    </w:p>
    <w:p>
      <w:pPr>
        <w:pStyle w:val="4"/>
        <w:pageBreakBefore w:val="0"/>
        <w:widowControl w:val="0"/>
        <w:numPr>
          <w:ilvl w:val="0"/>
          <w:numId w:val="1"/>
        </w:numPr>
        <w:kinsoku/>
        <w:wordWrap/>
        <w:overflowPunct/>
        <w:topLinePunct w:val="0"/>
        <w:autoSpaceDE/>
        <w:autoSpaceDN/>
        <w:bidi w:val="0"/>
        <w:adjustRightInd/>
        <w:snapToGrid/>
        <w:spacing w:after="0"/>
        <w:textAlignment w:val="auto"/>
      </w:pPr>
      <w:bookmarkStart w:id="35" w:name="_Toc15377205"/>
      <w:bookmarkStart w:id="36" w:name="_Toc15396603"/>
      <w:bookmarkStart w:id="37" w:name="_Toc8622"/>
      <w:r>
        <w:rPr>
          <w:rFonts w:hint="eastAsia"/>
          <w:sz w:val="30"/>
          <w:szCs w:val="30"/>
        </w:rPr>
        <w:t>收入支出决算总体情况说明</w:t>
      </w:r>
      <w:bookmarkEnd w:id="35"/>
      <w:bookmarkEnd w:id="36"/>
      <w:bookmarkEnd w:id="37"/>
    </w:p>
    <w:p>
      <w:pPr>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ascii="仿宋" w:hAnsi="仿宋" w:eastAsia="仿宋"/>
          <w:color w:val="auto"/>
          <w:sz w:val="32"/>
          <w:szCs w:val="32"/>
          <w:highlight w:val="none"/>
          <w:lang w:val="en-US" w:eastAsia="zh-CN"/>
        </w:rPr>
      </w:pPr>
      <w:r>
        <w:drawing>
          <wp:anchor distT="0" distB="0" distL="114300" distR="114300" simplePos="0" relativeHeight="251662336" behindDoc="0" locked="0" layoutInCell="1" allowOverlap="1">
            <wp:simplePos x="0" y="0"/>
            <wp:positionH relativeFrom="column">
              <wp:posOffset>140970</wp:posOffset>
            </wp:positionH>
            <wp:positionV relativeFrom="paragraph">
              <wp:posOffset>1494790</wp:posOffset>
            </wp:positionV>
            <wp:extent cx="5029200" cy="2743200"/>
            <wp:effectExtent l="4445" t="4445" r="14605"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w:t>
      </w:r>
      <w:r>
        <w:rPr>
          <w:rFonts w:hint="eastAsia" w:ascii="仿宋" w:hAnsi="仿宋" w:eastAsia="仿宋"/>
          <w:color w:val="auto"/>
          <w:sz w:val="32"/>
          <w:szCs w:val="32"/>
          <w:highlight w:val="none"/>
          <w:lang w:val="en-US" w:eastAsia="zh-CN"/>
        </w:rPr>
        <w:t>总计6789.61万元</w:t>
      </w:r>
      <w:r>
        <w:rPr>
          <w:rFonts w:hint="eastAsia" w:ascii="仿宋" w:hAnsi="仿宋" w:eastAsia="仿宋"/>
          <w:color w:val="auto"/>
          <w:sz w:val="32"/>
          <w:szCs w:val="32"/>
          <w:highlight w:val="none"/>
        </w:rPr>
        <w:t>、支总计</w:t>
      </w:r>
      <w:r>
        <w:rPr>
          <w:rFonts w:hint="eastAsia" w:ascii="仿宋" w:hAnsi="仿宋" w:eastAsia="仿宋"/>
          <w:color w:val="auto"/>
          <w:sz w:val="32"/>
          <w:szCs w:val="32"/>
          <w:highlight w:val="none"/>
          <w:lang w:val="en-US" w:eastAsia="zh-CN"/>
        </w:rPr>
        <w:t>8505.42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入减少2045.63万元，减少23.15%，支出增加117.98万元，增加1.4%</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2021年项目支出增多。</w:t>
      </w:r>
    </w:p>
    <w:p>
      <w:pPr>
        <w:pageBreakBefore w:val="0"/>
        <w:kinsoku/>
        <w:wordWrap/>
        <w:overflowPunct/>
        <w:topLinePunct w:val="0"/>
        <w:bidi w:val="0"/>
        <w:spacing w:line="560" w:lineRule="exact"/>
        <w:ind w:firstLine="420" w:firstLineChars="200"/>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图</w:t>
      </w:r>
      <w:r>
        <w:rPr>
          <w:rFonts w:ascii="仿宋" w:hAnsi="仿宋" w:eastAsia="仿宋"/>
          <w:color w:val="auto"/>
          <w:sz w:val="21"/>
          <w:szCs w:val="21"/>
          <w:highlight w:val="none"/>
        </w:rPr>
        <w:t>1</w:t>
      </w:r>
      <w:r>
        <w:rPr>
          <w:rFonts w:hint="eastAsia" w:ascii="仿宋" w:hAnsi="仿宋" w:eastAsia="仿宋"/>
          <w:color w:val="auto"/>
          <w:sz w:val="21"/>
          <w:szCs w:val="21"/>
          <w:highlight w:val="none"/>
        </w:rPr>
        <w:t>：收、支决算总计变动情况图</w:t>
      </w:r>
    </w:p>
    <w:p>
      <w:pPr>
        <w:pStyle w:val="4"/>
        <w:pageBreakBefore w:val="0"/>
        <w:widowControl w:val="0"/>
        <w:numPr>
          <w:ilvl w:val="0"/>
          <w:numId w:val="1"/>
        </w:numPr>
        <w:kinsoku/>
        <w:wordWrap/>
        <w:overflowPunct/>
        <w:topLinePunct w:val="0"/>
        <w:autoSpaceDE/>
        <w:autoSpaceDN/>
        <w:bidi w:val="0"/>
        <w:adjustRightInd/>
        <w:snapToGrid/>
        <w:spacing w:before="0" w:after="0"/>
        <w:textAlignment w:val="auto"/>
        <w:rPr>
          <w:sz w:val="30"/>
          <w:szCs w:val="30"/>
        </w:rPr>
      </w:pPr>
      <w:bookmarkStart w:id="38" w:name="_Toc23797"/>
      <w:bookmarkStart w:id="39" w:name="_Toc15377206"/>
      <w:bookmarkStart w:id="40" w:name="_Toc15396604"/>
      <w:r>
        <w:rPr>
          <w:rFonts w:hint="eastAsia"/>
          <w:sz w:val="30"/>
          <w:szCs w:val="30"/>
        </w:rPr>
        <w:t>收入决算情况说明</w:t>
      </w:r>
      <w:bookmarkEnd w:id="38"/>
      <w:bookmarkEnd w:id="39"/>
      <w:bookmarkEnd w:id="4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2021年本年收入合计6789.61万元，其中：一般公共预算财政拨款收入2169.38万元，占32%；政府性基金预算财政拨款收入4620.23万元，占68%；国有资本经营预算财政拨款收入0元，占0%；上级补助收入0万元，占0%；事业收入0万元，占0%；经营收入0万元，占0%；附属单位上缴收入0万元，占0%；其他收入0万元，占0%。</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auto"/>
          <w:sz w:val="32"/>
          <w:szCs w:val="32"/>
          <w:highlight w:val="none"/>
          <w:lang w:val="en-US" w:eastAsia="zh-CN"/>
        </w:rPr>
      </w:pPr>
    </w:p>
    <w:p>
      <w:pPr>
        <w:pageBreakBefore w:val="0"/>
        <w:kinsoku/>
        <w:wordWrap/>
        <w:overflowPunct/>
        <w:topLinePunct w:val="0"/>
        <w:bidi w:val="0"/>
        <w:spacing w:line="560" w:lineRule="exact"/>
        <w:ind w:firstLine="420" w:firstLineChars="200"/>
        <w:jc w:val="center"/>
        <w:outlineLvl w:val="9"/>
        <w:rPr>
          <w:rFonts w:hint="eastAsia" w:ascii="仿宋" w:hAnsi="仿宋" w:eastAsia="仿宋"/>
          <w:color w:val="auto"/>
          <w:sz w:val="21"/>
          <w:szCs w:val="21"/>
          <w:highlight w:val="none"/>
          <w:lang w:eastAsia="zh-CN"/>
        </w:rPr>
      </w:pPr>
      <w:r>
        <w:rPr>
          <w:sz w:val="21"/>
          <w:szCs w:val="21"/>
        </w:rPr>
        <w:drawing>
          <wp:anchor distT="0" distB="0" distL="114300" distR="114300" simplePos="0" relativeHeight="251659264" behindDoc="0" locked="0" layoutInCell="1" allowOverlap="1">
            <wp:simplePos x="0" y="0"/>
            <wp:positionH relativeFrom="column">
              <wp:posOffset>223520</wp:posOffset>
            </wp:positionH>
            <wp:positionV relativeFrom="paragraph">
              <wp:posOffset>186690</wp:posOffset>
            </wp:positionV>
            <wp:extent cx="4572000" cy="27432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21"/>
          <w:szCs w:val="21"/>
          <w:highlight w:val="none"/>
        </w:rPr>
        <w:t>图2：收入决算结构图</w:t>
      </w:r>
    </w:p>
    <w:p>
      <w:pPr>
        <w:pStyle w:val="4"/>
        <w:pageBreakBefore w:val="0"/>
        <w:widowControl w:val="0"/>
        <w:numPr>
          <w:ilvl w:val="0"/>
          <w:numId w:val="1"/>
        </w:numPr>
        <w:kinsoku/>
        <w:wordWrap/>
        <w:overflowPunct/>
        <w:topLinePunct w:val="0"/>
        <w:autoSpaceDE/>
        <w:autoSpaceDN/>
        <w:bidi w:val="0"/>
        <w:adjustRightInd/>
        <w:snapToGrid/>
        <w:spacing w:before="0" w:after="0"/>
        <w:textAlignment w:val="auto"/>
        <w:rPr>
          <w:sz w:val="30"/>
          <w:szCs w:val="30"/>
        </w:rPr>
      </w:pPr>
      <w:bookmarkStart w:id="41" w:name="_Toc15396605"/>
      <w:bookmarkStart w:id="42" w:name="_Toc15377207"/>
      <w:bookmarkStart w:id="43" w:name="_Toc6767"/>
      <w:r>
        <w:rPr>
          <w:rFonts w:hint="eastAsia"/>
          <w:sz w:val="30"/>
          <w:szCs w:val="30"/>
        </w:rPr>
        <w:t>支出决算情况说明</w:t>
      </w:r>
      <w:bookmarkEnd w:id="41"/>
      <w:bookmarkEnd w:id="42"/>
      <w:bookmarkEnd w:id="4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auto"/>
          <w:sz w:val="32"/>
          <w:szCs w:val="32"/>
          <w:highlight w:val="none"/>
          <w:lang w:val="en-US" w:eastAsia="zh-CN"/>
        </w:rPr>
      </w:pPr>
      <w:r>
        <w:rPr>
          <w:rFonts w:hint="eastAsia" w:ascii="仿宋" w:hAnsi="仿宋" w:eastAsia="仿宋" w:cs="Times New Roman"/>
          <w:color w:val="auto"/>
          <w:sz w:val="32"/>
          <w:szCs w:val="32"/>
          <w:highlight w:val="none"/>
          <w:lang w:val="en-US" w:eastAsia="zh-CN"/>
        </w:rPr>
        <w:t>2021年本年支出合计8505.42万元，其中：基本支出1125.42万元，占13%；项目支出7380万元，占87%；上缴上级支出0万元，占0%；经营支出0万元，占0%；对附属单位补助支出0万元，占0%。</w:t>
      </w:r>
    </w:p>
    <w:p>
      <w:pPr>
        <w:pageBreakBefore w:val="0"/>
        <w:kinsoku/>
        <w:wordWrap/>
        <w:overflowPunct/>
        <w:topLinePunct w:val="0"/>
        <w:bidi w:val="0"/>
        <w:spacing w:line="560" w:lineRule="exact"/>
        <w:ind w:firstLine="640"/>
        <w:jc w:val="center"/>
        <w:rPr>
          <w:rFonts w:ascii="仿宋" w:hAnsi="仿宋" w:eastAsia="仿宋"/>
          <w:color w:val="auto"/>
          <w:sz w:val="21"/>
          <w:szCs w:val="21"/>
          <w:highlight w:val="none"/>
        </w:rPr>
      </w:pPr>
      <w:r>
        <w:rPr>
          <w:sz w:val="21"/>
          <w:szCs w:val="21"/>
        </w:rPr>
        <w:drawing>
          <wp:anchor distT="0" distB="0" distL="114300" distR="114300" simplePos="0" relativeHeight="251660288" behindDoc="0" locked="0" layoutInCell="1" allowOverlap="1">
            <wp:simplePos x="0" y="0"/>
            <wp:positionH relativeFrom="column">
              <wp:posOffset>410845</wp:posOffset>
            </wp:positionH>
            <wp:positionV relativeFrom="paragraph">
              <wp:posOffset>98425</wp:posOffset>
            </wp:positionV>
            <wp:extent cx="4572000" cy="2743200"/>
            <wp:effectExtent l="4445" t="4445" r="14605" b="146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21"/>
          <w:szCs w:val="21"/>
          <w:highlight w:val="none"/>
        </w:rPr>
        <w:t>图3：支出决算结构图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p>
    <w:p>
      <w:pPr>
        <w:pStyle w:val="4"/>
        <w:pageBreakBefore w:val="0"/>
        <w:widowControl w:val="0"/>
        <w:kinsoku/>
        <w:wordWrap/>
        <w:overflowPunct/>
        <w:topLinePunct w:val="0"/>
        <w:autoSpaceDE/>
        <w:autoSpaceDN/>
        <w:bidi w:val="0"/>
        <w:adjustRightInd/>
        <w:snapToGrid/>
        <w:spacing w:before="0" w:after="0"/>
        <w:ind w:firstLine="602" w:firstLineChars="200"/>
        <w:textAlignment w:val="auto"/>
        <w:rPr>
          <w:sz w:val="30"/>
          <w:szCs w:val="30"/>
        </w:rPr>
      </w:pPr>
      <w:bookmarkStart w:id="44" w:name="_Toc7488"/>
      <w:bookmarkStart w:id="45" w:name="_Toc15377208"/>
      <w:bookmarkStart w:id="46" w:name="_Toc15396606"/>
      <w:r>
        <w:rPr>
          <w:rFonts w:hint="eastAsia"/>
          <w:sz w:val="30"/>
          <w:szCs w:val="30"/>
        </w:rPr>
        <w:t>四、财政拨款收入支出决算总体情况说明</w:t>
      </w:r>
      <w:bookmarkEnd w:id="44"/>
      <w:bookmarkEnd w:id="45"/>
      <w:bookmarkEnd w:id="46"/>
    </w:p>
    <w:p>
      <w:pPr>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val="en-US" w:eastAsia="zh-CN"/>
        </w:rPr>
        <w:t>入总计6789.61万元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财政拨款支出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8505.42</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w:t>
      </w:r>
      <w:r>
        <w:rPr>
          <w:rFonts w:hint="eastAsia" w:ascii="仿宋" w:hAnsi="仿宋" w:eastAsia="仿宋"/>
          <w:color w:val="auto"/>
          <w:sz w:val="32"/>
          <w:szCs w:val="32"/>
          <w:highlight w:val="none"/>
          <w:lang w:val="en-US" w:eastAsia="zh-CN"/>
        </w:rPr>
        <w:t>入减少2045.63万元，减少23.15%，支出增加117.98万元，增加1.4%</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2021年项目支出增多。</w:t>
      </w:r>
    </w:p>
    <w:p>
      <w:pPr>
        <w:pStyle w:val="2"/>
        <w:rPr>
          <w:rFonts w:ascii="仿宋" w:hAnsi="仿宋" w:eastAsia="仿宋"/>
          <w:color w:val="auto"/>
          <w:sz w:val="32"/>
          <w:szCs w:val="32"/>
          <w:highlight w:val="none"/>
        </w:rPr>
      </w:pPr>
      <w: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ageBreakBefore w:val="0"/>
        <w:kinsoku/>
        <w:wordWrap/>
        <w:overflowPunct/>
        <w:topLinePunct w:val="0"/>
        <w:bidi w:val="0"/>
        <w:spacing w:line="560" w:lineRule="exact"/>
        <w:ind w:firstLine="420" w:firstLineChars="200"/>
        <w:jc w:val="center"/>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rPr>
        <w:t>图4：财政拨款收、支决算总计变动情况</w:t>
      </w:r>
    </w:p>
    <w:p>
      <w:pPr>
        <w:pStyle w:val="4"/>
        <w:pageBreakBefore w:val="0"/>
        <w:widowControl w:val="0"/>
        <w:kinsoku/>
        <w:wordWrap/>
        <w:overflowPunct/>
        <w:topLinePunct w:val="0"/>
        <w:autoSpaceDE/>
        <w:autoSpaceDN/>
        <w:bidi w:val="0"/>
        <w:adjustRightInd/>
        <w:snapToGrid/>
        <w:spacing w:before="0" w:after="0"/>
        <w:ind w:firstLine="602" w:firstLineChars="200"/>
        <w:textAlignment w:val="auto"/>
        <w:rPr>
          <w:sz w:val="30"/>
          <w:szCs w:val="30"/>
        </w:rPr>
      </w:pPr>
      <w:bookmarkStart w:id="47" w:name="_Toc15377209"/>
      <w:bookmarkStart w:id="48" w:name="_Toc1921"/>
      <w:bookmarkStart w:id="49" w:name="_Toc15396607"/>
      <w:r>
        <w:rPr>
          <w:rFonts w:hint="eastAsia"/>
          <w:sz w:val="30"/>
          <w:szCs w:val="30"/>
        </w:rPr>
        <w:t>五、一般公共预算财政拨款支出决算情况说明</w:t>
      </w:r>
      <w:bookmarkEnd w:id="47"/>
      <w:bookmarkEnd w:id="48"/>
      <w:bookmarkEnd w:id="49"/>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Times New Roman"/>
          <w:b/>
          <w:bCs/>
          <w:color w:val="auto"/>
          <w:sz w:val="32"/>
          <w:szCs w:val="32"/>
          <w:highlight w:val="none"/>
        </w:rPr>
      </w:pPr>
      <w:bookmarkStart w:id="50" w:name="_Toc15377210"/>
      <w:r>
        <w:rPr>
          <w:rFonts w:hint="eastAsia" w:ascii="仿宋" w:hAnsi="仿宋" w:eastAsia="仿宋" w:cs="Times New Roman"/>
          <w:b/>
          <w:bCs/>
          <w:color w:val="auto"/>
          <w:sz w:val="32"/>
          <w:szCs w:val="32"/>
          <w:highlight w:val="none"/>
        </w:rPr>
        <w:t>（一）一般公共预算财政拨款支出决算总体情况</w:t>
      </w:r>
      <w:bookmarkEnd w:id="50"/>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3785.8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44.5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249.86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6.2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2021年我局厉行节约，在行政运行方面支出减少，且由于政策原因，在地质勘查与矿产资源管理方面支出减少。</w:t>
      </w:r>
    </w:p>
    <w:p>
      <w:pPr>
        <w:pageBreakBefore w:val="0"/>
        <w:kinsoku/>
        <w:wordWrap/>
        <w:overflowPunct/>
        <w:topLinePunct w:val="0"/>
        <w:bidi w:val="0"/>
        <w:spacing w:line="560" w:lineRule="exact"/>
        <w:ind w:firstLine="640" w:firstLineChars="200"/>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rPr>
          <w:highlight w:val="none"/>
        </w:rP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560" w:lineRule="exact"/>
        <w:ind w:firstLine="420" w:firstLineChars="200"/>
        <w:jc w:val="center"/>
        <w:rPr>
          <w:rFonts w:ascii="仿宋" w:hAnsi="仿宋" w:eastAsia="仿宋"/>
          <w:color w:val="auto"/>
          <w:sz w:val="21"/>
          <w:szCs w:val="21"/>
          <w:highlight w:val="none"/>
        </w:rPr>
      </w:pPr>
      <w:r>
        <w:rPr>
          <w:rFonts w:hint="eastAsia" w:ascii="仿宋" w:hAnsi="仿宋" w:eastAsia="仿宋"/>
          <w:color w:val="auto"/>
          <w:sz w:val="21"/>
          <w:szCs w:val="21"/>
          <w:highlight w:val="none"/>
        </w:rPr>
        <w:t>图5：一般公共预算财政拨款支出决算变动情况</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Times New Roman"/>
          <w:b/>
          <w:bCs/>
          <w:color w:val="auto"/>
          <w:sz w:val="32"/>
          <w:szCs w:val="32"/>
          <w:highlight w:val="none"/>
        </w:rPr>
      </w:pPr>
      <w:bookmarkStart w:id="51" w:name="_Toc15377211"/>
      <w:r>
        <w:rPr>
          <w:rFonts w:hint="eastAsia" w:ascii="仿宋" w:hAnsi="仿宋" w:eastAsia="仿宋" w:cs="Times New Roman"/>
          <w:b/>
          <w:bCs/>
          <w:color w:val="auto"/>
          <w:sz w:val="32"/>
          <w:szCs w:val="32"/>
          <w:highlight w:val="none"/>
        </w:rPr>
        <w:t>（二）一般公共预算财政拨款支出决算结构情况</w:t>
      </w:r>
      <w:bookmarkEnd w:id="5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Times New Roman"/>
          <w:color w:val="auto"/>
          <w:sz w:val="32"/>
          <w:szCs w:val="32"/>
          <w:highlight w:val="none"/>
          <w:lang w:val="en-US"/>
        </w:rPr>
      </w:pPr>
      <w:r>
        <w:rPr>
          <w:rFonts w:hint="eastAsia" w:ascii="仿宋" w:hAnsi="仿宋" w:eastAsia="仿宋" w:cs="Times New Roman"/>
          <w:color w:val="auto"/>
          <w:sz w:val="32"/>
          <w:szCs w:val="32"/>
          <w:highlight w:val="none"/>
        </w:rPr>
        <w:t>20</w:t>
      </w:r>
      <w:r>
        <w:rPr>
          <w:rFonts w:hint="eastAsia" w:ascii="仿宋" w:hAnsi="仿宋" w:eastAsia="仿宋" w:cs="Times New Roman"/>
          <w:color w:val="auto"/>
          <w:sz w:val="32"/>
          <w:szCs w:val="32"/>
          <w:highlight w:val="none"/>
          <w:lang w:val="en-US" w:eastAsia="zh-CN"/>
        </w:rPr>
        <w:t>21</w:t>
      </w:r>
      <w:r>
        <w:rPr>
          <w:rFonts w:hint="eastAsia" w:ascii="仿宋" w:hAnsi="仿宋" w:eastAsia="仿宋" w:cs="Times New Roman"/>
          <w:color w:val="auto"/>
          <w:sz w:val="32"/>
          <w:szCs w:val="32"/>
          <w:highlight w:val="none"/>
        </w:rPr>
        <w:t>年一般公共预算财政拨款支出</w:t>
      </w:r>
      <w:r>
        <w:rPr>
          <w:rFonts w:hint="eastAsia" w:ascii="仿宋" w:hAnsi="仿宋" w:eastAsia="仿宋" w:cs="Times New Roman"/>
          <w:color w:val="auto"/>
          <w:sz w:val="32"/>
          <w:szCs w:val="32"/>
          <w:highlight w:val="none"/>
          <w:lang w:val="en-US" w:eastAsia="zh-CN"/>
        </w:rPr>
        <w:t>3785.8</w:t>
      </w:r>
      <w:r>
        <w:rPr>
          <w:rFonts w:hint="eastAsia" w:ascii="仿宋" w:hAnsi="仿宋" w:eastAsia="仿宋" w:cs="Times New Roman"/>
          <w:color w:val="auto"/>
          <w:sz w:val="32"/>
          <w:szCs w:val="32"/>
          <w:highlight w:val="none"/>
        </w:rPr>
        <w:t>万元，主要用于以下方面</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一般公共服务（类）支出</w:t>
      </w:r>
      <w:r>
        <w:rPr>
          <w:rFonts w:hint="eastAsia" w:ascii="仿宋" w:hAnsi="仿宋" w:eastAsia="仿宋" w:cs="Times New Roman"/>
          <w:color w:val="auto"/>
          <w:sz w:val="32"/>
          <w:szCs w:val="32"/>
          <w:highlight w:val="none"/>
          <w:lang w:val="en-US" w:eastAsia="zh-CN"/>
        </w:rPr>
        <w:t>3</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0.08</w:t>
      </w:r>
      <w:r>
        <w:rPr>
          <w:rFonts w:hint="eastAsia" w:ascii="仿宋" w:hAnsi="仿宋" w:eastAsia="仿宋" w:cs="Times New Roman"/>
          <w:color w:val="auto"/>
          <w:sz w:val="32"/>
          <w:szCs w:val="32"/>
          <w:highlight w:val="none"/>
        </w:rPr>
        <w:t>%；教育支出（类）</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%；科学技术（类）支出</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%；文化旅游体育与传媒（类）支出</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0</w:t>
      </w:r>
      <w:r>
        <w:rPr>
          <w:rFonts w:hint="eastAsia" w:ascii="仿宋" w:hAnsi="仿宋" w:eastAsia="仿宋" w:cs="Times New Roman"/>
          <w:color w:val="auto"/>
          <w:sz w:val="32"/>
          <w:szCs w:val="32"/>
          <w:highlight w:val="none"/>
        </w:rPr>
        <w:t>%；社会保障和就业（类）支出</w:t>
      </w:r>
      <w:r>
        <w:rPr>
          <w:rFonts w:hint="eastAsia" w:ascii="仿宋" w:hAnsi="仿宋" w:eastAsia="仿宋" w:cs="Times New Roman"/>
          <w:color w:val="auto"/>
          <w:sz w:val="32"/>
          <w:szCs w:val="32"/>
          <w:highlight w:val="none"/>
          <w:lang w:val="en-US" w:eastAsia="zh-CN"/>
        </w:rPr>
        <w:t>81.53</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2.16</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卫生健康支出</w:t>
      </w:r>
      <w:r>
        <w:rPr>
          <w:rFonts w:hint="eastAsia" w:ascii="仿宋" w:hAnsi="仿宋" w:eastAsia="仿宋" w:cs="Times New Roman"/>
          <w:color w:val="auto"/>
          <w:sz w:val="32"/>
          <w:szCs w:val="32"/>
          <w:highlight w:val="none"/>
          <w:lang w:val="en-US" w:eastAsia="zh-CN"/>
        </w:rPr>
        <w:t>36.72</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1</w:t>
      </w:r>
      <w:r>
        <w:rPr>
          <w:rFonts w:hint="eastAsia" w:ascii="仿宋" w:hAnsi="仿宋" w:eastAsia="仿宋" w:cs="Times New Roman"/>
          <w:color w:val="auto"/>
          <w:sz w:val="32"/>
          <w:szCs w:val="32"/>
          <w:highlight w:val="none"/>
        </w:rPr>
        <w:t>%；农林水（类）支出</w:t>
      </w:r>
      <w:r>
        <w:rPr>
          <w:rFonts w:hint="eastAsia" w:ascii="仿宋" w:hAnsi="仿宋" w:eastAsia="仿宋" w:cs="Times New Roman"/>
          <w:color w:val="auto"/>
          <w:sz w:val="32"/>
          <w:szCs w:val="32"/>
          <w:highlight w:val="none"/>
          <w:lang w:val="en-US" w:eastAsia="zh-CN"/>
        </w:rPr>
        <w:t>30.79万元，</w:t>
      </w:r>
      <w:r>
        <w:rPr>
          <w:rFonts w:hint="eastAsia" w:ascii="仿宋" w:hAnsi="仿宋" w:eastAsia="仿宋" w:cs="Times New Roman"/>
          <w:color w:val="auto"/>
          <w:sz w:val="32"/>
          <w:szCs w:val="32"/>
          <w:highlight w:val="none"/>
        </w:rPr>
        <w:t>占</w:t>
      </w:r>
      <w:r>
        <w:rPr>
          <w:rFonts w:hint="eastAsia" w:ascii="仿宋" w:hAnsi="仿宋" w:eastAsia="仿宋" w:cs="Times New Roman"/>
          <w:color w:val="auto"/>
          <w:sz w:val="32"/>
          <w:szCs w:val="32"/>
          <w:highlight w:val="none"/>
          <w:lang w:val="en-US" w:eastAsia="zh-CN"/>
        </w:rPr>
        <w:t>0.8</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自然资源海洋</w:t>
      </w:r>
      <w:r>
        <w:rPr>
          <w:rFonts w:hint="eastAsia" w:ascii="仿宋" w:hAnsi="仿宋" w:eastAsia="仿宋" w:cs="Times New Roman"/>
          <w:color w:val="auto"/>
          <w:sz w:val="32"/>
          <w:szCs w:val="32"/>
          <w:highlight w:val="none"/>
        </w:rPr>
        <w:t>（类）支出</w:t>
      </w:r>
      <w:r>
        <w:rPr>
          <w:rFonts w:hint="eastAsia" w:ascii="仿宋" w:hAnsi="仿宋" w:eastAsia="仿宋" w:cs="Times New Roman"/>
          <w:color w:val="auto"/>
          <w:sz w:val="32"/>
          <w:szCs w:val="32"/>
          <w:highlight w:val="none"/>
          <w:lang w:val="en-US" w:eastAsia="zh-CN"/>
        </w:rPr>
        <w:t>1516.48万元，占40%；</w:t>
      </w:r>
      <w:r>
        <w:rPr>
          <w:rFonts w:hint="eastAsia" w:ascii="仿宋" w:hAnsi="仿宋" w:eastAsia="仿宋" w:cs="Times New Roman"/>
          <w:color w:val="auto"/>
          <w:sz w:val="32"/>
          <w:szCs w:val="32"/>
          <w:highlight w:val="none"/>
        </w:rPr>
        <w:t>住房保障支出</w:t>
      </w:r>
      <w:r>
        <w:rPr>
          <w:rFonts w:hint="eastAsia" w:ascii="仿宋" w:hAnsi="仿宋" w:eastAsia="仿宋" w:cs="Times New Roman"/>
          <w:color w:val="auto"/>
          <w:sz w:val="32"/>
          <w:szCs w:val="32"/>
          <w:highlight w:val="none"/>
          <w:lang w:val="en-US" w:eastAsia="zh-CN"/>
        </w:rPr>
        <w:t>51.54</w:t>
      </w:r>
      <w:r>
        <w:rPr>
          <w:rFonts w:hint="eastAsia" w:ascii="仿宋" w:hAnsi="仿宋" w:eastAsia="仿宋" w:cs="Times New Roman"/>
          <w:color w:val="auto"/>
          <w:sz w:val="32"/>
          <w:szCs w:val="32"/>
          <w:highlight w:val="none"/>
        </w:rPr>
        <w:t>万元，占</w:t>
      </w:r>
      <w:r>
        <w:rPr>
          <w:rFonts w:hint="eastAsia" w:ascii="仿宋" w:hAnsi="仿宋" w:eastAsia="仿宋" w:cs="Times New Roman"/>
          <w:color w:val="auto"/>
          <w:sz w:val="32"/>
          <w:szCs w:val="32"/>
          <w:highlight w:val="none"/>
          <w:lang w:val="en-US" w:eastAsia="zh-CN"/>
        </w:rPr>
        <w:t>1.36</w:t>
      </w:r>
      <w:r>
        <w:rPr>
          <w:rFonts w:hint="eastAsia" w:ascii="仿宋" w:hAnsi="仿宋" w:eastAsia="仿宋" w:cs="Times New Roman"/>
          <w:color w:val="auto"/>
          <w:sz w:val="32"/>
          <w:szCs w:val="32"/>
          <w:highlight w:val="none"/>
        </w:rPr>
        <w:t>%</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灾害防治及应急管理（类）支出</w:t>
      </w:r>
      <w:r>
        <w:rPr>
          <w:rFonts w:hint="eastAsia" w:ascii="仿宋" w:hAnsi="仿宋" w:eastAsia="仿宋" w:cs="Times New Roman"/>
          <w:color w:val="auto"/>
          <w:sz w:val="32"/>
          <w:szCs w:val="32"/>
          <w:highlight w:val="none"/>
          <w:lang w:val="en-US" w:eastAsia="zh-CN"/>
        </w:rPr>
        <w:t>2065.74万元，占54.6%。</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auto"/>
          <w:sz w:val="32"/>
          <w:szCs w:val="32"/>
          <w:highlight w:val="none"/>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ind w:left="0" w:leftChars="0" w:firstLine="0" w:firstLineChars="0"/>
        <w:rPr>
          <w:rFonts w:hint="eastAsia" w:ascii="仿宋" w:hAnsi="仿宋" w:eastAsia="仿宋"/>
          <w:b/>
          <w:color w:val="auto"/>
          <w:sz w:val="32"/>
          <w:szCs w:val="32"/>
          <w:highlight w:val="none"/>
        </w:rPr>
      </w:pPr>
      <w:r>
        <w:rPr>
          <w:rFonts w:hint="eastAsia"/>
          <w:highlight w:val="none"/>
          <w:lang w:val="en-US" w:eastAsia="zh-CN"/>
        </w:rPr>
        <w:t xml:space="preserve"> </w:t>
      </w:r>
      <w:r>
        <w:rPr>
          <w:highlight w:val="none"/>
        </w:rPr>
        <w:drawing>
          <wp:inline distT="0" distB="0" distL="114300" distR="114300">
            <wp:extent cx="4972050" cy="2990850"/>
            <wp:effectExtent l="4445" t="4445" r="1460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ascii="仿宋" w:hAnsi="仿宋" w:eastAsia="仿宋"/>
          <w:color w:val="auto"/>
          <w:sz w:val="21"/>
          <w:szCs w:val="21"/>
          <w:highlight w:val="none"/>
        </w:rPr>
      </w:pPr>
      <w:r>
        <w:rPr>
          <w:rFonts w:hint="eastAsia" w:ascii="仿宋" w:hAnsi="仿宋" w:eastAsia="仿宋"/>
          <w:color w:val="auto"/>
          <w:sz w:val="21"/>
          <w:szCs w:val="21"/>
          <w:highlight w:val="none"/>
        </w:rPr>
        <w:t>图6：一般公共预算财政拨款支出决算结构</w:t>
      </w:r>
      <w:bookmarkStart w:id="52" w:name="_Toc15377212"/>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Times New Roman"/>
          <w:b/>
          <w:bCs/>
          <w:color w:val="auto"/>
          <w:sz w:val="32"/>
          <w:szCs w:val="32"/>
          <w:highlight w:val="none"/>
        </w:rPr>
      </w:pPr>
      <w:r>
        <w:rPr>
          <w:rFonts w:hint="eastAsia" w:ascii="仿宋" w:hAnsi="仿宋" w:eastAsia="仿宋" w:cs="Times New Roman"/>
          <w:b/>
          <w:bCs/>
          <w:color w:val="auto"/>
          <w:sz w:val="32"/>
          <w:szCs w:val="32"/>
          <w:highlight w:val="none"/>
        </w:rPr>
        <w:t>（三）一般公共预算财政拨款支出决算具体情况</w:t>
      </w:r>
      <w:bookmarkEnd w:id="52"/>
    </w:p>
    <w:p>
      <w:pPr>
        <w:pageBreakBefore w:val="0"/>
        <w:kinsoku/>
        <w:wordWrap/>
        <w:overflowPunct/>
        <w:topLinePunct w:val="0"/>
        <w:bidi w:val="0"/>
        <w:spacing w:line="560" w:lineRule="exact"/>
        <w:ind w:firstLine="643" w:firstLineChars="200"/>
        <w:rPr>
          <w:rFonts w:hint="eastAsia" w:ascii="仿宋" w:hAnsi="仿宋" w:eastAsia="仿宋" w:cs="仿宋"/>
          <w:b/>
          <w:bCs/>
          <w:color w:val="000000"/>
          <w:sz w:val="32"/>
          <w:szCs w:val="32"/>
          <w:highlight w:val="none"/>
        </w:rPr>
      </w:pPr>
      <w:bookmarkStart w:id="53" w:name="_Toc15377213"/>
      <w:bookmarkStart w:id="54" w:name="_Toc15378460"/>
      <w:bookmarkStart w:id="55" w:name="_Toc15377444"/>
      <w:r>
        <w:rPr>
          <w:rFonts w:hint="eastAsia" w:ascii="仿宋" w:hAnsi="仿宋" w:eastAsia="仿宋" w:cs="仿宋"/>
          <w:b/>
          <w:bCs/>
          <w:color w:val="000000"/>
          <w:sz w:val="32"/>
          <w:szCs w:val="32"/>
          <w:highlight w:val="none"/>
        </w:rPr>
        <w:t>20</w:t>
      </w:r>
      <w:r>
        <w:rPr>
          <w:rFonts w:hint="eastAsia" w:ascii="仿宋" w:hAnsi="仿宋" w:eastAsia="仿宋" w:cs="仿宋"/>
          <w:b/>
          <w:bCs/>
          <w:color w:val="000000"/>
          <w:sz w:val="32"/>
          <w:szCs w:val="32"/>
          <w:highlight w:val="none"/>
          <w:lang w:val="en-US" w:eastAsia="zh-CN"/>
        </w:rPr>
        <w:t>21</w:t>
      </w:r>
      <w:r>
        <w:rPr>
          <w:rFonts w:hint="eastAsia" w:ascii="仿宋" w:hAnsi="仿宋" w:eastAsia="仿宋" w:cs="仿宋"/>
          <w:b/>
          <w:bCs/>
          <w:color w:val="000000"/>
          <w:sz w:val="32"/>
          <w:szCs w:val="32"/>
          <w:highlight w:val="none"/>
        </w:rPr>
        <w:t>年</w:t>
      </w:r>
      <w:r>
        <w:rPr>
          <w:rFonts w:hint="eastAsia" w:ascii="仿宋" w:hAnsi="仿宋" w:eastAsia="仿宋" w:cs="仿宋"/>
          <w:b/>
          <w:bCs/>
          <w:color w:val="000000"/>
          <w:sz w:val="32"/>
          <w:szCs w:val="32"/>
          <w:highlight w:val="none"/>
          <w:lang w:eastAsia="zh-CN"/>
        </w:rPr>
        <w:t>一</w:t>
      </w:r>
      <w:r>
        <w:rPr>
          <w:rFonts w:hint="eastAsia" w:ascii="仿宋" w:hAnsi="仿宋" w:eastAsia="仿宋" w:cs="仿宋"/>
          <w:b/>
          <w:bCs/>
          <w:color w:val="000000"/>
          <w:sz w:val="32"/>
          <w:szCs w:val="32"/>
          <w:highlight w:val="none"/>
        </w:rPr>
        <w:t>般公共预算支出决算数为</w:t>
      </w:r>
      <w:r>
        <w:rPr>
          <w:rFonts w:hint="eastAsia" w:ascii="仿宋" w:hAnsi="仿宋" w:eastAsia="仿宋" w:cs="仿宋"/>
          <w:b/>
          <w:bCs/>
          <w:color w:val="000000"/>
          <w:sz w:val="32"/>
          <w:szCs w:val="32"/>
          <w:highlight w:val="none"/>
          <w:lang w:val="en-US" w:eastAsia="zh-CN"/>
        </w:rPr>
        <w:t>3785.8</w:t>
      </w:r>
      <w:r>
        <w:rPr>
          <w:rFonts w:hint="eastAsia" w:ascii="仿宋" w:hAnsi="仿宋" w:eastAsia="仿宋" w:cs="仿宋"/>
          <w:b/>
          <w:bCs/>
          <w:color w:val="000000"/>
          <w:sz w:val="32"/>
          <w:szCs w:val="32"/>
          <w:highlight w:val="none"/>
        </w:rPr>
        <w:t>，完成预算</w:t>
      </w:r>
      <w:r>
        <w:rPr>
          <w:rFonts w:hint="eastAsia" w:ascii="仿宋" w:hAnsi="仿宋" w:eastAsia="仿宋" w:cs="仿宋"/>
          <w:b/>
          <w:bCs/>
          <w:color w:val="000000"/>
          <w:sz w:val="32"/>
          <w:szCs w:val="32"/>
          <w:highlight w:val="none"/>
          <w:lang w:val="en-US" w:eastAsia="zh-CN"/>
        </w:rPr>
        <w:t>66.33</w:t>
      </w:r>
      <w:r>
        <w:rPr>
          <w:rFonts w:hint="eastAsia" w:ascii="仿宋" w:hAnsi="仿宋" w:eastAsia="仿宋" w:cs="仿宋"/>
          <w:b/>
          <w:bCs/>
          <w:color w:val="000000"/>
          <w:sz w:val="32"/>
          <w:szCs w:val="32"/>
          <w:highlight w:val="none"/>
        </w:rPr>
        <w:t>%。其中：</w:t>
      </w:r>
      <w:bookmarkEnd w:id="53"/>
      <w:bookmarkEnd w:id="54"/>
      <w:bookmarkEnd w:id="55"/>
    </w:p>
    <w:p>
      <w:pPr>
        <w:pageBreakBefore w:val="0"/>
        <w:kinsoku/>
        <w:wordWrap/>
        <w:overflowPunct/>
        <w:topLinePunct w:val="0"/>
        <w:bidi w:val="0"/>
        <w:spacing w:line="56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1.</w:t>
      </w:r>
      <w:r>
        <w:rPr>
          <w:rFonts w:hint="eastAsia" w:ascii="仿宋" w:hAnsi="仿宋" w:eastAsia="仿宋" w:cs="仿宋"/>
          <w:b/>
          <w:bCs/>
          <w:color w:val="000000"/>
          <w:sz w:val="32"/>
          <w:szCs w:val="32"/>
          <w:highlight w:val="none"/>
        </w:rPr>
        <w:t>社会保障和就业（类）行政事业单位离退休（款）机关事业单位基本养老保险缴费（项）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70.17</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ageBreakBefore w:val="0"/>
        <w:kinsoku/>
        <w:wordWrap/>
        <w:overflowPunct/>
        <w:topLinePunct w:val="0"/>
        <w:bidi w:val="0"/>
        <w:spacing w:line="56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2.</w:t>
      </w:r>
      <w:r>
        <w:rPr>
          <w:rFonts w:hint="eastAsia" w:ascii="仿宋" w:hAnsi="仿宋" w:eastAsia="仿宋" w:cs="仿宋"/>
          <w:b/>
          <w:bCs/>
          <w:color w:val="000000"/>
          <w:sz w:val="32"/>
          <w:szCs w:val="32"/>
          <w:highlight w:val="none"/>
        </w:rPr>
        <w:t>社会保障和就业（类）行政事业单位离退休（款）机关事业单位职业年金缴费（项）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7.65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ageBreakBefore w:val="0"/>
        <w:kinsoku/>
        <w:wordWrap/>
        <w:overflowPunct/>
        <w:topLinePunct w:val="0"/>
        <w:bidi w:val="0"/>
        <w:spacing w:line="56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3.</w:t>
      </w:r>
      <w:r>
        <w:rPr>
          <w:rStyle w:val="18"/>
          <w:rFonts w:hint="eastAsia" w:ascii="仿宋" w:hAnsi="仿宋" w:eastAsia="仿宋" w:cs="仿宋"/>
          <w:color w:val="000000"/>
          <w:sz w:val="32"/>
          <w:szCs w:val="32"/>
          <w:highlight w:val="none"/>
        </w:rPr>
        <w:t>社会保障和就业（类）行政事业单位离退休（款）</w:t>
      </w:r>
      <w:r>
        <w:rPr>
          <w:rStyle w:val="18"/>
          <w:rFonts w:hint="eastAsia" w:ascii="仿宋" w:hAnsi="仿宋" w:eastAsia="仿宋" w:cs="仿宋"/>
          <w:color w:val="000000"/>
          <w:sz w:val="32"/>
          <w:szCs w:val="32"/>
          <w:highlight w:val="none"/>
          <w:lang w:val="en-US" w:eastAsia="zh-CN"/>
        </w:rPr>
        <w:t>其他社会保险和就业支出</w:t>
      </w:r>
      <w:r>
        <w:rPr>
          <w:rStyle w:val="18"/>
          <w:rFonts w:hint="eastAsia" w:ascii="仿宋" w:hAnsi="仿宋" w:eastAsia="仿宋" w:cs="仿宋"/>
          <w:color w:val="000000"/>
          <w:sz w:val="32"/>
          <w:szCs w:val="32"/>
          <w:highlight w:val="none"/>
        </w:rPr>
        <w:t>（项）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3.72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ageBreakBefore w:val="0"/>
        <w:kinsoku/>
        <w:wordWrap/>
        <w:overflowPunct/>
        <w:topLinePunct w:val="0"/>
        <w:bidi w:val="0"/>
        <w:spacing w:line="56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4.</w:t>
      </w:r>
      <w:r>
        <w:rPr>
          <w:rStyle w:val="18"/>
          <w:rFonts w:hint="eastAsia" w:ascii="仿宋" w:hAnsi="仿宋" w:eastAsia="仿宋" w:cs="仿宋"/>
          <w:color w:val="000000"/>
          <w:sz w:val="32"/>
          <w:szCs w:val="32"/>
          <w:highlight w:val="none"/>
        </w:rPr>
        <w:t>医疗卫生与计划生育（类）行政事业单位医疗（款）行政单位医疗（项）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36.72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ageBreakBefore w:val="0"/>
        <w:kinsoku/>
        <w:wordWrap/>
        <w:overflowPunct/>
        <w:topLinePunct w:val="0"/>
        <w:bidi w:val="0"/>
        <w:spacing w:line="56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5.</w:t>
      </w:r>
      <w:r>
        <w:rPr>
          <w:rFonts w:hint="eastAsia" w:ascii="仿宋" w:hAnsi="仿宋" w:eastAsia="仿宋" w:cs="仿宋"/>
          <w:b/>
          <w:bCs/>
          <w:color w:val="000000"/>
          <w:sz w:val="32"/>
          <w:szCs w:val="32"/>
          <w:highlight w:val="none"/>
        </w:rPr>
        <w:t>农林水（类）农业（款）防灾救灾（项）</w:t>
      </w:r>
      <w:r>
        <w:rPr>
          <w:rStyle w:val="18"/>
          <w:rFonts w:ascii="仿宋" w:hAnsi="仿宋" w:eastAsia="仿宋"/>
          <w:bCs/>
          <w:color w:val="auto"/>
          <w:sz w:val="32"/>
          <w:szCs w:val="32"/>
          <w:highlight w:val="none"/>
        </w:rPr>
        <w:t>:</w:t>
      </w:r>
      <w:r>
        <w:rPr>
          <w:rStyle w:val="18"/>
          <w:rFonts w:ascii="仿宋" w:hAnsi="仿宋" w:eastAsia="仿宋"/>
          <w:b w:val="0"/>
          <w:bCs/>
          <w:color w:val="auto"/>
          <w:sz w:val="32"/>
          <w:szCs w:val="32"/>
          <w:highlight w:val="none"/>
        </w:rPr>
        <w:t xml:space="preserve"> </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29.79</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99</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，决算数小于预算数的主要原因是</w:t>
      </w:r>
      <w:r>
        <w:rPr>
          <w:rStyle w:val="18"/>
          <w:rFonts w:hint="eastAsia" w:ascii="仿宋" w:hAnsi="仿宋" w:eastAsia="仿宋"/>
          <w:b w:val="0"/>
          <w:bCs/>
          <w:color w:val="auto"/>
          <w:sz w:val="32"/>
          <w:szCs w:val="32"/>
          <w:highlight w:val="none"/>
          <w:lang w:val="en-US" w:eastAsia="zh-CN"/>
        </w:rPr>
        <w:t>年终项目结余</w:t>
      </w:r>
      <w:r>
        <w:rPr>
          <w:rStyle w:val="18"/>
          <w:rFonts w:hint="eastAsia" w:ascii="仿宋" w:hAnsi="仿宋" w:eastAsia="仿宋"/>
          <w:b w:val="0"/>
          <w:bCs/>
          <w:color w:val="auto"/>
          <w:sz w:val="32"/>
          <w:szCs w:val="32"/>
          <w:highlight w:val="none"/>
        </w:rPr>
        <w:t>。</w:t>
      </w:r>
    </w:p>
    <w:p>
      <w:pPr>
        <w:pageBreakBefore w:val="0"/>
        <w:kinsoku/>
        <w:wordWrap/>
        <w:overflowPunct/>
        <w:topLinePunct w:val="0"/>
        <w:bidi w:val="0"/>
        <w:spacing w:line="56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6.</w:t>
      </w:r>
      <w:r>
        <w:rPr>
          <w:rFonts w:hint="eastAsia" w:ascii="仿宋" w:hAnsi="仿宋" w:eastAsia="仿宋" w:cs="仿宋"/>
          <w:b/>
          <w:bCs/>
          <w:color w:val="000000"/>
          <w:sz w:val="32"/>
          <w:szCs w:val="32"/>
          <w:highlight w:val="none"/>
        </w:rPr>
        <w:t>农林水（类）扶贫（款）其他扶贫（项）</w:t>
      </w:r>
      <w:r>
        <w:rPr>
          <w:rFonts w:hint="eastAsia" w:ascii="仿宋" w:hAnsi="仿宋" w:eastAsia="仿宋" w:cs="仿宋"/>
          <w:b/>
          <w:bCs/>
          <w:color w:val="000000"/>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pageBreakBefore w:val="0"/>
        <w:kinsoku/>
        <w:wordWrap/>
        <w:overflowPunct/>
        <w:topLinePunct w:val="0"/>
        <w:bidi w:val="0"/>
        <w:spacing w:line="560" w:lineRule="exact"/>
        <w:ind w:firstLine="643" w:firstLineChars="200"/>
        <w:rPr>
          <w:rFonts w:hint="default"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7</w:t>
      </w:r>
      <w:r>
        <w:rPr>
          <w:rFonts w:hint="eastAsia" w:ascii="仿宋" w:hAnsi="仿宋" w:eastAsia="仿宋" w:cs="仿宋"/>
          <w:b/>
          <w:bCs/>
          <w:color w:val="000000"/>
          <w:sz w:val="32"/>
          <w:szCs w:val="32"/>
          <w:highlight w:val="none"/>
        </w:rPr>
        <w:t>.自然资源海洋气象等（类）自然资源</w:t>
      </w:r>
      <w:bookmarkStart w:id="117" w:name="_GoBack"/>
      <w:bookmarkEnd w:id="117"/>
      <w:r>
        <w:rPr>
          <w:rFonts w:hint="eastAsia" w:ascii="仿宋" w:hAnsi="仿宋" w:eastAsia="仿宋" w:cs="仿宋"/>
          <w:b/>
          <w:bCs/>
          <w:color w:val="000000"/>
          <w:sz w:val="32"/>
          <w:szCs w:val="32"/>
          <w:highlight w:val="none"/>
        </w:rPr>
        <w:t>事务（款）行政运行（项）</w:t>
      </w:r>
      <w:r>
        <w:rPr>
          <w:rFonts w:hint="eastAsia" w:ascii="仿宋" w:hAnsi="仿宋" w:eastAsia="仿宋" w:cs="仿宋"/>
          <w:b/>
          <w:bCs/>
          <w:color w:val="000000"/>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525.48万元，完成预算99.04%。</w:t>
      </w:r>
      <w:r>
        <w:rPr>
          <w:rStyle w:val="18"/>
          <w:rFonts w:hint="eastAsia" w:ascii="仿宋" w:hAnsi="仿宋" w:eastAsia="仿宋" w:cs="仿宋"/>
          <w:b w:val="0"/>
          <w:bCs w:val="0"/>
          <w:color w:val="000000"/>
          <w:sz w:val="32"/>
          <w:szCs w:val="32"/>
          <w:highlight w:val="none"/>
        </w:rPr>
        <w:t>决算数</w:t>
      </w:r>
      <w:r>
        <w:rPr>
          <w:rStyle w:val="18"/>
          <w:rFonts w:hint="eastAsia" w:ascii="仿宋" w:hAnsi="仿宋" w:eastAsia="仿宋" w:cs="仿宋"/>
          <w:b w:val="0"/>
          <w:bCs w:val="0"/>
          <w:color w:val="000000"/>
          <w:sz w:val="32"/>
          <w:szCs w:val="32"/>
          <w:highlight w:val="none"/>
          <w:lang w:val="en-US" w:eastAsia="zh-CN"/>
        </w:rPr>
        <w:t>小</w:t>
      </w:r>
      <w:r>
        <w:rPr>
          <w:rStyle w:val="18"/>
          <w:rFonts w:hint="eastAsia" w:ascii="仿宋" w:hAnsi="仿宋" w:eastAsia="仿宋" w:cs="仿宋"/>
          <w:b w:val="0"/>
          <w:bCs w:val="0"/>
          <w:color w:val="000000"/>
          <w:sz w:val="32"/>
          <w:szCs w:val="32"/>
          <w:highlight w:val="none"/>
        </w:rPr>
        <w:t>于预算数的主要原因</w:t>
      </w:r>
      <w:r>
        <w:rPr>
          <w:rStyle w:val="18"/>
          <w:rFonts w:hint="eastAsia" w:ascii="仿宋" w:hAnsi="仿宋" w:eastAsia="仿宋" w:cs="仿宋"/>
          <w:b w:val="0"/>
          <w:bCs w:val="0"/>
          <w:color w:val="000000"/>
          <w:sz w:val="32"/>
          <w:szCs w:val="32"/>
          <w:highlight w:val="none"/>
          <w:lang w:val="en-US" w:eastAsia="zh-CN"/>
        </w:rPr>
        <w:t>是我局缩减了部分开支。</w:t>
      </w:r>
    </w:p>
    <w:p>
      <w:pPr>
        <w:pageBreakBefore w:val="0"/>
        <w:kinsoku/>
        <w:wordWrap/>
        <w:overflowPunct/>
        <w:topLinePunct w:val="0"/>
        <w:bidi w:val="0"/>
        <w:spacing w:line="560" w:lineRule="exact"/>
        <w:ind w:firstLine="643" w:firstLineChars="200"/>
        <w:rPr>
          <w:rStyle w:val="18"/>
          <w:rFonts w:hint="default" w:ascii="仿宋" w:hAnsi="仿宋" w:eastAsia="仿宋" w:cstheme="minorBidi"/>
          <w:b w:val="0"/>
          <w:bCs/>
          <w:color w:val="auto"/>
          <w:sz w:val="32"/>
          <w:szCs w:val="32"/>
          <w:highlight w:val="none"/>
          <w:lang w:val="en-US" w:eastAsia="zh-CN"/>
        </w:rPr>
      </w:pPr>
      <w:r>
        <w:rPr>
          <w:rFonts w:hint="eastAsia" w:ascii="仿宋" w:hAnsi="仿宋" w:eastAsia="仿宋" w:cs="仿宋"/>
          <w:b/>
          <w:bCs/>
          <w:color w:val="000000"/>
          <w:sz w:val="32"/>
          <w:szCs w:val="32"/>
          <w:highlight w:val="none"/>
          <w:lang w:val="en-US" w:eastAsia="zh-CN"/>
        </w:rPr>
        <w:t>8</w:t>
      </w:r>
      <w:r>
        <w:rPr>
          <w:rFonts w:hint="eastAsia" w:ascii="仿宋" w:hAnsi="仿宋" w:eastAsia="仿宋" w:cs="仿宋"/>
          <w:b/>
          <w:bCs/>
          <w:color w:val="000000"/>
          <w:sz w:val="32"/>
          <w:szCs w:val="32"/>
          <w:highlight w:val="none"/>
        </w:rPr>
        <w:t>.自然资源海洋气象等（类）自然资源事务（款）</w:t>
      </w:r>
      <w:r>
        <w:rPr>
          <w:rFonts w:hint="eastAsia" w:ascii="仿宋" w:hAnsi="仿宋" w:eastAsia="仿宋" w:cs="仿宋"/>
          <w:b/>
          <w:bCs/>
          <w:color w:val="000000"/>
          <w:sz w:val="32"/>
          <w:szCs w:val="32"/>
          <w:highlight w:val="none"/>
          <w:lang w:val="en-US" w:eastAsia="zh-CN"/>
        </w:rPr>
        <w:t>事业运行</w:t>
      </w:r>
      <w:r>
        <w:rPr>
          <w:rFonts w:hint="eastAsia" w:ascii="仿宋" w:hAnsi="仿宋" w:eastAsia="仿宋" w:cs="仿宋"/>
          <w:b/>
          <w:bCs/>
          <w:color w:val="000000"/>
          <w:sz w:val="32"/>
          <w:szCs w:val="32"/>
          <w:highlight w:val="none"/>
        </w:rPr>
        <w:t>（项）</w:t>
      </w:r>
      <w:r>
        <w:rPr>
          <w:rFonts w:hint="eastAsia" w:ascii="仿宋" w:hAnsi="仿宋" w:eastAsia="仿宋" w:cs="仿宋"/>
          <w:b/>
          <w:bCs/>
          <w:color w:val="000000"/>
          <w:sz w:val="32"/>
          <w:szCs w:val="32"/>
          <w:highlight w:val="none"/>
          <w:lang w:eastAsia="zh-CN"/>
        </w:rPr>
        <w:t>：</w:t>
      </w:r>
      <w:r>
        <w:rPr>
          <w:rStyle w:val="18"/>
          <w:rFonts w:hint="eastAsia" w:ascii="仿宋" w:hAnsi="仿宋" w:eastAsia="仿宋" w:cstheme="minorBidi"/>
          <w:b w:val="0"/>
          <w:bCs/>
          <w:color w:val="auto"/>
          <w:sz w:val="32"/>
          <w:szCs w:val="32"/>
          <w:highlight w:val="none"/>
          <w:lang w:val="en-US" w:eastAsia="zh-CN"/>
        </w:rPr>
        <w:t>支出决算为430.13万元，完成预算数的100%。</w:t>
      </w:r>
    </w:p>
    <w:p>
      <w:pPr>
        <w:pageBreakBefore w:val="0"/>
        <w:kinsoku/>
        <w:wordWrap/>
        <w:overflowPunct/>
        <w:topLinePunct w:val="0"/>
        <w:bidi w:val="0"/>
        <w:spacing w:line="560" w:lineRule="exact"/>
        <w:ind w:firstLine="643" w:firstLineChars="200"/>
        <w:rPr>
          <w:rFonts w:hint="default"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9</w:t>
      </w:r>
      <w:r>
        <w:rPr>
          <w:rFonts w:hint="eastAsia" w:ascii="仿宋" w:hAnsi="仿宋" w:eastAsia="仿宋" w:cs="仿宋"/>
          <w:b/>
          <w:bCs/>
          <w:color w:val="000000"/>
          <w:sz w:val="32"/>
          <w:szCs w:val="32"/>
          <w:highlight w:val="none"/>
        </w:rPr>
        <w:t>.自然资源海洋气象等（类）自然资源事务（款）一般行政管理事务（项）</w:t>
      </w:r>
      <w:r>
        <w:rPr>
          <w:rFonts w:hint="eastAsia" w:ascii="仿宋" w:hAnsi="仿宋" w:eastAsia="仿宋" w:cs="仿宋"/>
          <w:b/>
          <w:bCs/>
          <w:color w:val="000000"/>
          <w:sz w:val="32"/>
          <w:szCs w:val="32"/>
          <w:highlight w:val="none"/>
          <w:lang w:eastAsia="zh-CN"/>
        </w:rPr>
        <w:t>：</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262.9万元，完成预算57.78%，决</w:t>
      </w:r>
      <w:r>
        <w:rPr>
          <w:rStyle w:val="18"/>
          <w:rFonts w:hint="eastAsia" w:ascii="仿宋" w:hAnsi="仿宋" w:eastAsia="仿宋" w:cs="仿宋"/>
          <w:b w:val="0"/>
          <w:bCs w:val="0"/>
          <w:color w:val="000000"/>
          <w:sz w:val="32"/>
          <w:szCs w:val="32"/>
          <w:highlight w:val="none"/>
        </w:rPr>
        <w:t>算数</w:t>
      </w:r>
      <w:r>
        <w:rPr>
          <w:rStyle w:val="18"/>
          <w:rFonts w:hint="eastAsia" w:ascii="仿宋" w:hAnsi="仿宋" w:eastAsia="仿宋" w:cs="仿宋"/>
          <w:b w:val="0"/>
          <w:bCs w:val="0"/>
          <w:color w:val="000000"/>
          <w:sz w:val="32"/>
          <w:szCs w:val="32"/>
          <w:highlight w:val="none"/>
          <w:lang w:val="en-US" w:eastAsia="zh-CN"/>
        </w:rPr>
        <w:t>小</w:t>
      </w:r>
      <w:r>
        <w:rPr>
          <w:rStyle w:val="18"/>
          <w:rFonts w:hint="eastAsia" w:ascii="仿宋" w:hAnsi="仿宋" w:eastAsia="仿宋" w:cs="仿宋"/>
          <w:b w:val="0"/>
          <w:bCs w:val="0"/>
          <w:color w:val="000000"/>
          <w:sz w:val="32"/>
          <w:szCs w:val="32"/>
          <w:highlight w:val="none"/>
        </w:rPr>
        <w:t>于预算数的主要原因</w:t>
      </w:r>
      <w:r>
        <w:rPr>
          <w:rStyle w:val="18"/>
          <w:rFonts w:hint="eastAsia" w:ascii="仿宋" w:hAnsi="仿宋" w:eastAsia="仿宋" w:cs="仿宋"/>
          <w:b w:val="0"/>
          <w:bCs w:val="0"/>
          <w:color w:val="000000"/>
          <w:sz w:val="32"/>
          <w:szCs w:val="32"/>
          <w:highlight w:val="none"/>
          <w:lang w:val="en-US" w:eastAsia="zh-CN"/>
        </w:rPr>
        <w:t>是部分项目未达到付款条件。</w:t>
      </w:r>
    </w:p>
    <w:p>
      <w:pPr>
        <w:pageBreakBefore w:val="0"/>
        <w:kinsoku/>
        <w:wordWrap/>
        <w:overflowPunct/>
        <w:topLinePunct w:val="0"/>
        <w:bidi w:val="0"/>
        <w:spacing w:line="560" w:lineRule="exact"/>
        <w:ind w:firstLine="643" w:firstLineChars="200"/>
        <w:rPr>
          <w:rFonts w:hint="default" w:ascii="仿宋" w:hAnsi="仿宋" w:eastAsia="仿宋" w:cs="仿宋"/>
          <w:b w:val="0"/>
          <w:bCs w:val="0"/>
          <w:color w:val="000000"/>
          <w:sz w:val="32"/>
          <w:szCs w:val="32"/>
          <w:highlight w:val="none"/>
          <w:lang w:val="en-US" w:eastAsia="zh-CN"/>
        </w:rPr>
      </w:pPr>
      <w:r>
        <w:rPr>
          <w:rStyle w:val="18"/>
          <w:rFonts w:hint="eastAsia" w:ascii="仿宋" w:hAnsi="仿宋" w:eastAsia="仿宋" w:cs="仿宋"/>
          <w:color w:val="000000"/>
          <w:sz w:val="32"/>
          <w:szCs w:val="32"/>
          <w:highlight w:val="none"/>
          <w:lang w:val="en-US" w:eastAsia="zh-CN"/>
        </w:rPr>
        <w:t>10</w:t>
      </w:r>
      <w:r>
        <w:rPr>
          <w:rStyle w:val="18"/>
          <w:rFonts w:hint="eastAsia" w:ascii="仿宋" w:hAnsi="仿宋" w:eastAsia="仿宋" w:cs="仿宋"/>
          <w:b w:val="0"/>
          <w:bCs w:val="0"/>
          <w:color w:val="000000"/>
          <w:sz w:val="32"/>
          <w:szCs w:val="32"/>
          <w:highlight w:val="none"/>
        </w:rPr>
        <w:t>.</w:t>
      </w:r>
      <w:r>
        <w:rPr>
          <w:rFonts w:hint="eastAsia" w:ascii="仿宋" w:hAnsi="仿宋" w:eastAsia="仿宋" w:cs="仿宋"/>
          <w:b/>
          <w:bCs/>
          <w:color w:val="000000"/>
          <w:sz w:val="32"/>
          <w:szCs w:val="32"/>
          <w:highlight w:val="none"/>
        </w:rPr>
        <w:t>自然资源海洋气象等（类）自然资源事务（款）</w:t>
      </w:r>
      <w:r>
        <w:rPr>
          <w:rFonts w:hint="eastAsia" w:ascii="仿宋" w:hAnsi="仿宋" w:eastAsia="仿宋" w:cs="仿宋"/>
          <w:b/>
          <w:bCs/>
          <w:color w:val="000000"/>
          <w:sz w:val="32"/>
          <w:szCs w:val="32"/>
          <w:highlight w:val="none"/>
          <w:lang w:val="en-US" w:eastAsia="zh-CN"/>
        </w:rPr>
        <w:t>自然资源规划及管理</w:t>
      </w:r>
      <w:r>
        <w:rPr>
          <w:rFonts w:hint="eastAsia" w:ascii="仿宋" w:hAnsi="仿宋" w:eastAsia="仿宋" w:cs="仿宋"/>
          <w:b/>
          <w:bCs/>
          <w:color w:val="000000"/>
          <w:sz w:val="32"/>
          <w:szCs w:val="32"/>
          <w:highlight w:val="none"/>
        </w:rPr>
        <w:t>（项）</w:t>
      </w:r>
      <w:r>
        <w:rPr>
          <w:rFonts w:hint="eastAsia" w:ascii="仿宋" w:hAnsi="仿宋" w:eastAsia="仿宋" w:cs="仿宋"/>
          <w:b/>
          <w:bCs/>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支出决算数23万元，完成预算数100%。</w:t>
      </w:r>
    </w:p>
    <w:p>
      <w:pPr>
        <w:pageBreakBefore w:val="0"/>
        <w:kinsoku/>
        <w:wordWrap/>
        <w:overflowPunct/>
        <w:topLinePunct w:val="0"/>
        <w:bidi w:val="0"/>
        <w:spacing w:line="560" w:lineRule="exact"/>
        <w:ind w:firstLine="643" w:firstLineChars="200"/>
        <w:rPr>
          <w:rFonts w:hint="default" w:ascii="仿宋" w:hAnsi="仿宋" w:eastAsia="仿宋" w:cs="仿宋"/>
          <w:b/>
          <w:bCs/>
          <w:color w:val="000000"/>
          <w:sz w:val="32"/>
          <w:szCs w:val="32"/>
          <w:highlight w:val="none"/>
          <w:lang w:val="en-US" w:eastAsia="zh-CN"/>
        </w:rPr>
      </w:pPr>
      <w:r>
        <w:rPr>
          <w:rStyle w:val="18"/>
          <w:rFonts w:hint="eastAsia" w:ascii="仿宋" w:hAnsi="仿宋" w:eastAsia="仿宋" w:cs="仿宋"/>
          <w:color w:val="000000"/>
          <w:sz w:val="32"/>
          <w:szCs w:val="32"/>
          <w:highlight w:val="none"/>
        </w:rPr>
        <w:t>1</w:t>
      </w:r>
      <w:r>
        <w:rPr>
          <w:rStyle w:val="18"/>
          <w:rFonts w:hint="eastAsia" w:ascii="仿宋" w:hAnsi="仿宋" w:eastAsia="仿宋" w:cs="仿宋"/>
          <w:color w:val="000000"/>
          <w:sz w:val="32"/>
          <w:szCs w:val="32"/>
          <w:highlight w:val="none"/>
          <w:lang w:val="en-US" w:eastAsia="zh-CN"/>
        </w:rPr>
        <w:t>1</w:t>
      </w:r>
      <w:r>
        <w:rPr>
          <w:rStyle w:val="18"/>
          <w:rFonts w:hint="eastAsia" w:ascii="仿宋" w:hAnsi="仿宋" w:eastAsia="仿宋" w:cs="仿宋"/>
          <w:color w:val="000000"/>
          <w:sz w:val="32"/>
          <w:szCs w:val="32"/>
          <w:highlight w:val="none"/>
        </w:rPr>
        <w:t>.</w:t>
      </w:r>
      <w:r>
        <w:rPr>
          <w:rFonts w:hint="eastAsia" w:ascii="仿宋" w:hAnsi="仿宋" w:eastAsia="仿宋" w:cs="仿宋"/>
          <w:b/>
          <w:bCs/>
          <w:color w:val="000000"/>
          <w:sz w:val="32"/>
          <w:szCs w:val="32"/>
          <w:highlight w:val="none"/>
        </w:rPr>
        <w:t>自然资源海洋气象等（类）自然资源事务（款）</w:t>
      </w:r>
      <w:r>
        <w:rPr>
          <w:rFonts w:hint="eastAsia" w:ascii="仿宋" w:hAnsi="仿宋" w:eastAsia="仿宋" w:cs="仿宋"/>
          <w:b/>
          <w:bCs/>
          <w:color w:val="000000"/>
          <w:sz w:val="32"/>
          <w:szCs w:val="32"/>
          <w:highlight w:val="none"/>
          <w:lang w:val="en-US" w:eastAsia="zh-CN"/>
        </w:rPr>
        <w:t>自然资源调查与确权登记</w:t>
      </w:r>
      <w:r>
        <w:rPr>
          <w:rFonts w:hint="eastAsia" w:ascii="仿宋" w:hAnsi="仿宋" w:eastAsia="仿宋" w:cs="仿宋"/>
          <w:b/>
          <w:bCs/>
          <w:color w:val="000000"/>
          <w:sz w:val="32"/>
          <w:szCs w:val="32"/>
          <w:highlight w:val="none"/>
        </w:rPr>
        <w:t>（项）</w:t>
      </w:r>
      <w:r>
        <w:rPr>
          <w:rFonts w:hint="eastAsia" w:ascii="仿宋" w:hAnsi="仿宋" w:eastAsia="仿宋" w:cs="仿宋"/>
          <w:b/>
          <w:bCs/>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支出决算数14.29万元，完成预算数33%，决算数小于预算数的主要原因是受疫情影响，项目未达到付款条件。</w:t>
      </w:r>
    </w:p>
    <w:p>
      <w:pPr>
        <w:pStyle w:val="15"/>
        <w:pageBreakBefore w:val="0"/>
        <w:kinsoku/>
        <w:wordWrap/>
        <w:overflowPunct/>
        <w:topLinePunct w:val="0"/>
        <w:bidi w:val="0"/>
        <w:spacing w:line="560" w:lineRule="exact"/>
        <w:ind w:left="0" w:leftChars="0" w:firstLine="643" w:firstLineChars="200"/>
        <w:rPr>
          <w:rFonts w:hint="eastAsia" w:ascii="仿宋" w:hAnsi="仿宋" w:eastAsia="仿宋" w:cs="仿宋"/>
          <w:b w:val="0"/>
          <w:bCs w:val="0"/>
          <w:color w:val="000000"/>
          <w:sz w:val="32"/>
          <w:szCs w:val="32"/>
          <w:highlight w:val="none"/>
          <w:lang w:val="en-US" w:eastAsia="zh-CN"/>
        </w:rPr>
      </w:pPr>
      <w:r>
        <w:rPr>
          <w:rStyle w:val="18"/>
          <w:rFonts w:hint="eastAsia" w:ascii="仿宋" w:hAnsi="仿宋" w:eastAsia="仿宋" w:cs="仿宋"/>
          <w:color w:val="000000"/>
          <w:sz w:val="32"/>
          <w:szCs w:val="32"/>
          <w:highlight w:val="none"/>
        </w:rPr>
        <w:t>1</w:t>
      </w:r>
      <w:r>
        <w:rPr>
          <w:rStyle w:val="18"/>
          <w:rFonts w:hint="eastAsia" w:ascii="仿宋" w:hAnsi="仿宋" w:eastAsia="仿宋" w:cs="仿宋"/>
          <w:color w:val="000000"/>
          <w:sz w:val="32"/>
          <w:szCs w:val="32"/>
          <w:highlight w:val="none"/>
          <w:lang w:val="en-US" w:eastAsia="zh-CN"/>
        </w:rPr>
        <w:t>2</w:t>
      </w:r>
      <w:r>
        <w:rPr>
          <w:rStyle w:val="18"/>
          <w:rFonts w:hint="eastAsia" w:ascii="仿宋" w:hAnsi="仿宋" w:eastAsia="仿宋" w:cs="仿宋"/>
          <w:color w:val="000000"/>
          <w:sz w:val="32"/>
          <w:szCs w:val="32"/>
          <w:highlight w:val="none"/>
        </w:rPr>
        <w:t>.</w:t>
      </w:r>
      <w:r>
        <w:rPr>
          <w:rFonts w:hint="eastAsia" w:ascii="仿宋" w:hAnsi="仿宋" w:eastAsia="仿宋" w:cs="仿宋"/>
          <w:b/>
          <w:bCs/>
          <w:color w:val="000000"/>
          <w:sz w:val="32"/>
          <w:szCs w:val="32"/>
          <w:highlight w:val="none"/>
        </w:rPr>
        <w:t>自然资源海洋气象等（类）自然资源事务（款）</w:t>
      </w:r>
      <w:r>
        <w:rPr>
          <w:rFonts w:hint="eastAsia" w:ascii="仿宋" w:hAnsi="仿宋" w:eastAsia="仿宋" w:cs="仿宋"/>
          <w:b/>
          <w:bCs/>
          <w:color w:val="000000"/>
          <w:sz w:val="32"/>
          <w:szCs w:val="32"/>
          <w:highlight w:val="none"/>
          <w:lang w:val="en-US" w:eastAsia="zh-CN"/>
        </w:rPr>
        <w:t>地质勘查与矿产资源管理</w:t>
      </w:r>
      <w:r>
        <w:rPr>
          <w:rFonts w:hint="eastAsia" w:ascii="仿宋" w:hAnsi="仿宋" w:eastAsia="仿宋" w:cs="仿宋"/>
          <w:b/>
          <w:bCs/>
          <w:color w:val="000000"/>
          <w:sz w:val="32"/>
          <w:szCs w:val="32"/>
          <w:highlight w:val="none"/>
        </w:rPr>
        <w:t>（项）</w:t>
      </w:r>
      <w:r>
        <w:rPr>
          <w:rFonts w:hint="eastAsia" w:ascii="仿宋" w:hAnsi="仿宋" w:eastAsia="仿宋" w:cs="仿宋"/>
          <w:b/>
          <w:bCs/>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支出决算数8万元，完成预算数100%。</w:t>
      </w:r>
    </w:p>
    <w:p>
      <w:pPr>
        <w:pageBreakBefore w:val="0"/>
        <w:kinsoku/>
        <w:wordWrap/>
        <w:overflowPunct/>
        <w:topLinePunct w:val="0"/>
        <w:bidi w:val="0"/>
        <w:spacing w:line="560" w:lineRule="exact"/>
        <w:rPr>
          <w:rFonts w:hint="default" w:eastAsia="仿宋"/>
          <w:highlight w:val="none"/>
          <w:lang w:val="en-US" w:eastAsia="zh-CN"/>
        </w:rPr>
      </w:pPr>
      <w:r>
        <w:rPr>
          <w:rFonts w:hint="eastAsia" w:ascii="仿宋" w:hAnsi="仿宋" w:eastAsia="仿宋" w:cs="仿宋"/>
          <w:b w:val="0"/>
          <w:bCs w:val="0"/>
          <w:color w:val="000000"/>
          <w:sz w:val="32"/>
          <w:szCs w:val="32"/>
          <w:highlight w:val="none"/>
          <w:lang w:val="en-US" w:eastAsia="zh-CN"/>
        </w:rPr>
        <w:t xml:space="preserve">    </w:t>
      </w:r>
      <w:r>
        <w:rPr>
          <w:rFonts w:hint="eastAsia" w:ascii="仿宋" w:hAnsi="仿宋" w:eastAsia="仿宋" w:cs="仿宋"/>
          <w:b/>
          <w:bCs/>
          <w:color w:val="000000"/>
          <w:sz w:val="32"/>
          <w:szCs w:val="32"/>
          <w:highlight w:val="none"/>
          <w:lang w:val="en-US" w:eastAsia="zh-CN"/>
        </w:rPr>
        <w:t>13.</w:t>
      </w:r>
      <w:r>
        <w:rPr>
          <w:rFonts w:hint="eastAsia" w:ascii="仿宋" w:hAnsi="仿宋" w:eastAsia="仿宋" w:cs="仿宋"/>
          <w:b/>
          <w:bCs/>
          <w:color w:val="000000"/>
          <w:sz w:val="32"/>
          <w:szCs w:val="32"/>
          <w:highlight w:val="none"/>
        </w:rPr>
        <w:t>自然资源海洋气象等（类）自然资源事务（款）</w:t>
      </w:r>
      <w:r>
        <w:rPr>
          <w:rFonts w:hint="eastAsia" w:ascii="仿宋" w:hAnsi="仿宋" w:eastAsia="仿宋" w:cs="仿宋"/>
          <w:b/>
          <w:bCs/>
          <w:color w:val="000000"/>
          <w:sz w:val="32"/>
          <w:szCs w:val="32"/>
          <w:highlight w:val="none"/>
          <w:lang w:val="en-US" w:eastAsia="zh-CN"/>
        </w:rPr>
        <w:t>其他自然资源事务支出</w:t>
      </w:r>
      <w:r>
        <w:rPr>
          <w:rFonts w:hint="eastAsia" w:ascii="仿宋" w:hAnsi="仿宋" w:eastAsia="仿宋" w:cs="仿宋"/>
          <w:b/>
          <w:bCs/>
          <w:color w:val="000000"/>
          <w:sz w:val="32"/>
          <w:szCs w:val="32"/>
          <w:highlight w:val="none"/>
        </w:rPr>
        <w:t>（项）</w:t>
      </w:r>
      <w:r>
        <w:rPr>
          <w:rFonts w:hint="eastAsia" w:ascii="仿宋" w:hAnsi="仿宋" w:eastAsia="仿宋" w:cs="仿宋"/>
          <w:b/>
          <w:bCs/>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支出决算数249.67万元，完成预算数100%。</w:t>
      </w:r>
    </w:p>
    <w:p>
      <w:pPr>
        <w:pStyle w:val="15"/>
        <w:pageBreakBefore w:val="0"/>
        <w:kinsoku/>
        <w:wordWrap/>
        <w:overflowPunct/>
        <w:topLinePunct w:val="0"/>
        <w:bidi w:val="0"/>
        <w:spacing w:line="560" w:lineRule="exact"/>
        <w:ind w:left="0" w:leftChars="0" w:firstLine="643" w:firstLineChars="200"/>
        <w:rPr>
          <w:rFonts w:hint="default"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14.</w:t>
      </w:r>
      <w:r>
        <w:rPr>
          <w:rFonts w:hint="eastAsia" w:ascii="仿宋" w:hAnsi="仿宋" w:eastAsia="仿宋" w:cs="仿宋"/>
          <w:b/>
          <w:bCs/>
          <w:color w:val="000000"/>
          <w:sz w:val="32"/>
          <w:szCs w:val="32"/>
          <w:highlight w:val="none"/>
        </w:rPr>
        <w:t>住房保障（类）住房改革（款）住房公积金（项）</w:t>
      </w:r>
      <w:r>
        <w:rPr>
          <w:rFonts w:hint="eastAsia" w:ascii="仿宋" w:hAnsi="仿宋" w:eastAsia="仿宋" w:cs="仿宋"/>
          <w:b/>
          <w:bCs/>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支出决算数51.54万元，完成预算数100%。</w:t>
      </w:r>
    </w:p>
    <w:p>
      <w:pPr>
        <w:pageBreakBefore w:val="0"/>
        <w:kinsoku/>
        <w:wordWrap/>
        <w:overflowPunct/>
        <w:topLinePunct w:val="0"/>
        <w:bidi w:val="0"/>
        <w:spacing w:line="560" w:lineRule="exact"/>
        <w:rPr>
          <w:rFonts w:hint="default"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 xml:space="preserve">    15.</w:t>
      </w:r>
      <w:r>
        <w:rPr>
          <w:rStyle w:val="18"/>
          <w:rFonts w:hint="eastAsia" w:ascii="仿宋" w:hAnsi="仿宋" w:eastAsia="仿宋"/>
          <w:bCs/>
          <w:color w:val="000000"/>
          <w:sz w:val="32"/>
          <w:szCs w:val="32"/>
          <w:highlight w:val="none"/>
          <w:lang w:val="en-US" w:eastAsia="zh-CN"/>
        </w:rPr>
        <w:t>灾害防治及应急管理</w:t>
      </w:r>
      <w:r>
        <w:rPr>
          <w:rStyle w:val="18"/>
          <w:rFonts w:hint="eastAsia" w:ascii="仿宋" w:hAnsi="仿宋" w:eastAsia="仿宋"/>
          <w:bCs/>
          <w:color w:val="000000"/>
          <w:sz w:val="32"/>
          <w:szCs w:val="32"/>
          <w:highlight w:val="none"/>
        </w:rPr>
        <w:t>（类）</w:t>
      </w:r>
      <w:r>
        <w:rPr>
          <w:rStyle w:val="18"/>
          <w:rFonts w:hint="eastAsia" w:ascii="仿宋" w:hAnsi="仿宋" w:eastAsia="仿宋"/>
          <w:bCs/>
          <w:color w:val="000000"/>
          <w:sz w:val="32"/>
          <w:szCs w:val="32"/>
          <w:highlight w:val="none"/>
          <w:lang w:val="en-US" w:eastAsia="zh-CN"/>
        </w:rPr>
        <w:t>自然灾害防治</w:t>
      </w:r>
      <w:r>
        <w:rPr>
          <w:rStyle w:val="18"/>
          <w:rFonts w:hint="eastAsia" w:ascii="仿宋" w:hAnsi="仿宋" w:eastAsia="仿宋"/>
          <w:bCs/>
          <w:color w:val="000000"/>
          <w:sz w:val="32"/>
          <w:szCs w:val="32"/>
          <w:highlight w:val="none"/>
        </w:rPr>
        <w:t>（款）</w:t>
      </w:r>
      <w:r>
        <w:rPr>
          <w:rStyle w:val="18"/>
          <w:rFonts w:hint="eastAsia" w:ascii="仿宋" w:hAnsi="仿宋" w:eastAsia="仿宋"/>
          <w:bCs/>
          <w:color w:val="000000"/>
          <w:sz w:val="32"/>
          <w:szCs w:val="32"/>
          <w:highlight w:val="none"/>
          <w:lang w:val="en-US" w:eastAsia="zh-CN"/>
        </w:rPr>
        <w:t>地质灾害防治</w:t>
      </w:r>
      <w:r>
        <w:rPr>
          <w:rStyle w:val="18"/>
          <w:rFonts w:hint="eastAsia" w:ascii="仿宋" w:hAnsi="仿宋" w:eastAsia="仿宋"/>
          <w:bCs/>
          <w:color w:val="000000"/>
          <w:sz w:val="32"/>
          <w:szCs w:val="32"/>
          <w:highlight w:val="none"/>
        </w:rPr>
        <w:t>（项）</w:t>
      </w:r>
      <w:r>
        <w:rPr>
          <w:rStyle w:val="18"/>
          <w:rFonts w:hint="eastAsia" w:ascii="仿宋" w:hAnsi="仿宋" w:eastAsia="仿宋"/>
          <w:bCs/>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支出决算数2065.74万元，完成预算数60%，决算数小于预算数的原因是受疫情影响，部分项目未达到付款条件。</w:t>
      </w:r>
    </w:p>
    <w:p>
      <w:pPr>
        <w:pageBreakBefore w:val="0"/>
        <w:tabs>
          <w:tab w:val="right" w:pos="8306"/>
        </w:tabs>
        <w:kinsoku/>
        <w:wordWrap/>
        <w:overflowPunct/>
        <w:topLinePunct w:val="0"/>
        <w:bidi w:val="0"/>
        <w:spacing w:line="560" w:lineRule="exact"/>
        <w:ind w:firstLine="640"/>
        <w:outlineLvl w:val="1"/>
        <w:rPr>
          <w:rStyle w:val="29"/>
          <w:color w:val="auto"/>
          <w:highlight w:val="none"/>
        </w:rPr>
      </w:pPr>
      <w:bookmarkStart w:id="56" w:name="_Toc17232"/>
      <w:bookmarkStart w:id="57" w:name="_Toc15377214"/>
      <w:bookmarkStart w:id="58" w:name="_Toc15396608"/>
      <w:r>
        <w:rPr>
          <w:rStyle w:val="29"/>
          <w:rFonts w:hint="eastAsia"/>
          <w:sz w:val="30"/>
          <w:szCs w:val="30"/>
          <w:highlight w:val="none"/>
        </w:rPr>
        <w:t>六、一般公共预算财政拨款基本支出决算情况说明</w:t>
      </w:r>
      <w:bookmarkEnd w:id="56"/>
      <w:bookmarkEnd w:id="57"/>
      <w:bookmarkEnd w:id="58"/>
      <w:r>
        <w:rPr>
          <w:rStyle w:val="29"/>
          <w:rFonts w:ascii="黑体" w:hAnsi="黑体" w:eastAsia="黑体"/>
          <w:b w:val="0"/>
          <w:color w:val="auto"/>
          <w:highlight w:val="none"/>
        </w:rPr>
        <w:tab/>
      </w:r>
    </w:p>
    <w:p>
      <w:pPr>
        <w:pageBreakBefore w:val="0"/>
        <w:kinsoku/>
        <w:wordWrap/>
        <w:overflowPunct/>
        <w:topLinePunct w:val="0"/>
        <w:bidi w:val="0"/>
        <w:spacing w:line="56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1125.42</w:t>
      </w:r>
      <w:r>
        <w:rPr>
          <w:rFonts w:hint="eastAsia" w:ascii="仿宋" w:hAnsi="仿宋" w:eastAsia="仿宋"/>
          <w:color w:val="auto"/>
          <w:sz w:val="32"/>
          <w:szCs w:val="32"/>
          <w:highlight w:val="none"/>
        </w:rPr>
        <w:t>万元，其中：</w:t>
      </w:r>
    </w:p>
    <w:p>
      <w:pPr>
        <w:pageBreakBefore w:val="0"/>
        <w:kinsoku/>
        <w:wordWrap/>
        <w:overflowPunct/>
        <w:topLinePunct w:val="0"/>
        <w:bidi w:val="0"/>
        <w:spacing w:line="56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1037</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88.42</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4"/>
        <w:pageBreakBefore w:val="0"/>
        <w:widowControl w:val="0"/>
        <w:kinsoku/>
        <w:wordWrap/>
        <w:overflowPunct/>
        <w:topLinePunct w:val="0"/>
        <w:autoSpaceDE/>
        <w:autoSpaceDN/>
        <w:bidi w:val="0"/>
        <w:adjustRightInd/>
        <w:snapToGrid/>
        <w:spacing w:before="0" w:after="0"/>
        <w:ind w:firstLine="602" w:firstLineChars="200"/>
        <w:textAlignment w:val="auto"/>
        <w:rPr>
          <w:sz w:val="30"/>
          <w:szCs w:val="30"/>
        </w:rPr>
      </w:pPr>
      <w:bookmarkStart w:id="59" w:name="_Toc15377215"/>
      <w:bookmarkStart w:id="60" w:name="_Toc15396609"/>
      <w:bookmarkStart w:id="61" w:name="_Toc26654"/>
      <w:r>
        <w:rPr>
          <w:rFonts w:hint="eastAsia"/>
          <w:sz w:val="30"/>
          <w:szCs w:val="30"/>
        </w:rPr>
        <w:t>七、“三公”经费财政拨款支出决算情况说明</w:t>
      </w:r>
      <w:bookmarkEnd w:id="59"/>
      <w:bookmarkEnd w:id="60"/>
      <w:bookmarkEnd w:id="61"/>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b/>
          <w:bCs/>
          <w:color w:val="auto"/>
          <w:sz w:val="32"/>
          <w:szCs w:val="32"/>
          <w:highlight w:val="none"/>
        </w:rPr>
      </w:pPr>
      <w:bookmarkStart w:id="62" w:name="_Toc15377216"/>
      <w:r>
        <w:rPr>
          <w:rFonts w:hint="eastAsia" w:ascii="仿宋" w:hAnsi="仿宋" w:eastAsia="仿宋" w:cs="Times New Roman"/>
          <w:b/>
          <w:bCs/>
          <w:color w:val="auto"/>
          <w:sz w:val="32"/>
          <w:szCs w:val="32"/>
          <w:highlight w:val="none"/>
        </w:rPr>
        <w:t>（一）“三公”经费财政拨款支出决算总体情况说明</w:t>
      </w:r>
      <w:bookmarkEnd w:id="62"/>
    </w:p>
    <w:p>
      <w:pPr>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5.39</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s="仿宋"/>
          <w:color w:val="000000"/>
          <w:sz w:val="32"/>
          <w:szCs w:val="32"/>
        </w:rPr>
        <w:t>决算数与预算数持平的主要原因是严格执行中央八项规定，控制三公经费支出。</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Times New Roman"/>
          <w:b/>
          <w:bCs/>
          <w:color w:val="auto"/>
          <w:sz w:val="32"/>
          <w:szCs w:val="32"/>
          <w:highlight w:val="none"/>
        </w:rPr>
      </w:pPr>
      <w:bookmarkStart w:id="63" w:name="_Toc15377217"/>
      <w:r>
        <w:rPr>
          <w:rFonts w:hint="eastAsia" w:ascii="仿宋" w:hAnsi="仿宋" w:eastAsia="仿宋" w:cs="Times New Roman"/>
          <w:b/>
          <w:bCs/>
          <w:color w:val="auto"/>
          <w:sz w:val="32"/>
          <w:szCs w:val="32"/>
          <w:highlight w:val="none"/>
        </w:rPr>
        <w:t>（二）“三公”经费财政拨款支出决算具体情况说明</w:t>
      </w:r>
      <w:bookmarkEnd w:id="63"/>
    </w:p>
    <w:p>
      <w:pPr>
        <w:pageBreakBefore w:val="0"/>
        <w:kinsoku/>
        <w:wordWrap/>
        <w:overflowPunct/>
        <w:topLinePunct w:val="0"/>
        <w:bidi w:val="0"/>
        <w:spacing w:line="56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5.39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ageBreakBefore w:val="0"/>
        <w:kinsoku/>
        <w:wordWrap/>
        <w:overflowPunct/>
        <w:topLinePunct w:val="0"/>
        <w:bidi w:val="0"/>
        <w:spacing w:line="560" w:lineRule="exact"/>
        <w:ind w:firstLine="640"/>
        <w:jc w:val="center"/>
        <w:rPr>
          <w:rFonts w:ascii="仿宋" w:hAnsi="仿宋" w:eastAsia="仿宋"/>
          <w:color w:val="auto"/>
          <w:sz w:val="21"/>
          <w:szCs w:val="21"/>
          <w:highlight w:val="none"/>
        </w:rPr>
      </w:pPr>
      <w:r>
        <w:rPr>
          <w:sz w:val="21"/>
          <w:szCs w:val="21"/>
        </w:rPr>
        <w:drawing>
          <wp:anchor distT="0" distB="0" distL="114300" distR="114300" simplePos="0" relativeHeight="251661312" behindDoc="0" locked="0" layoutInCell="1" allowOverlap="1">
            <wp:simplePos x="0" y="0"/>
            <wp:positionH relativeFrom="column">
              <wp:posOffset>339725</wp:posOffset>
            </wp:positionH>
            <wp:positionV relativeFrom="paragraph">
              <wp:posOffset>110490</wp:posOffset>
            </wp:positionV>
            <wp:extent cx="4572000" cy="2743200"/>
            <wp:effectExtent l="4445" t="4445" r="14605" b="14605"/>
            <wp:wrapTopAndBottom/>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21"/>
          <w:szCs w:val="21"/>
          <w:highlight w:val="none"/>
        </w:rPr>
        <w:t>图7：“三公”经费财政拨款支出结构</w:t>
      </w:r>
    </w:p>
    <w:p>
      <w:pPr>
        <w:pageBreakBefore w:val="0"/>
        <w:kinsoku/>
        <w:wordWrap/>
        <w:overflowPunct/>
        <w:topLinePunct w:val="0"/>
        <w:bidi w:val="0"/>
        <w:spacing w:line="56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000000"/>
          <w:sz w:val="32"/>
          <w:szCs w:val="32"/>
        </w:rPr>
        <w:t>因公出国（境）支出决算</w:t>
      </w:r>
      <w:r>
        <w:rPr>
          <w:rFonts w:hint="eastAsia" w:ascii="仿宋_GB2312" w:eastAsia="仿宋_GB2312"/>
          <w:color w:val="000000"/>
          <w:sz w:val="32"/>
          <w:szCs w:val="32"/>
          <w:lang w:val="en-US" w:eastAsia="zh-CN"/>
        </w:rPr>
        <w:t>与2020年一致。</w:t>
      </w:r>
    </w:p>
    <w:p>
      <w:pPr>
        <w:pageBreakBefore w:val="0"/>
        <w:kinsoku/>
        <w:wordWrap/>
        <w:overflowPunct/>
        <w:topLinePunct w:val="0"/>
        <w:bidi w:val="0"/>
        <w:spacing w:line="56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20年不变。</w:t>
      </w:r>
    </w:p>
    <w:p>
      <w:pPr>
        <w:pageBreakBefore w:val="0"/>
        <w:kinsoku/>
        <w:wordWrap/>
        <w:overflowPunct/>
        <w:topLinePunct w:val="0"/>
        <w:bidi w:val="0"/>
        <w:spacing w:line="56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pageBreakBefore w:val="0"/>
        <w:kinsoku/>
        <w:wordWrap/>
        <w:overflowPunct/>
        <w:topLinePunct w:val="0"/>
        <w:bidi w:val="0"/>
        <w:spacing w:line="56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kinsoku/>
        <w:wordWrap/>
        <w:overflowPunct/>
        <w:topLinePunct w:val="0"/>
        <w:bidi w:val="0"/>
        <w:spacing w:line="56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5.39</w:t>
      </w:r>
      <w:r>
        <w:rPr>
          <w:rFonts w:hint="eastAsia" w:ascii="仿宋_GB2312" w:eastAsia="仿宋_GB2312"/>
          <w:color w:val="auto"/>
          <w:sz w:val="32"/>
          <w:szCs w:val="32"/>
          <w:highlight w:val="none"/>
        </w:rPr>
        <w:t>万元，</w:t>
      </w:r>
      <w:r>
        <w:rPr>
          <w:rStyle w:val="18"/>
          <w:rFonts w:hint="eastAsia" w:ascii="仿宋" w:hAnsi="仿宋" w:eastAsia="仿宋"/>
          <w:b w:val="0"/>
          <w:bCs/>
          <w:color w:val="auto"/>
          <w:sz w:val="32"/>
          <w:szCs w:val="32"/>
          <w:highlight w:val="none"/>
        </w:rPr>
        <w:t>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0.01</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0.19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r>
        <w:rPr>
          <w:rFonts w:hint="eastAsia" w:ascii="仿宋" w:hAnsi="仿宋" w:eastAsia="仿宋" w:cs="仿宋"/>
          <w:color w:val="000000"/>
          <w:sz w:val="32"/>
          <w:szCs w:val="32"/>
        </w:rPr>
        <w:t>主要原因是严格执行中央八项规定，控制公务接待费。</w:t>
      </w:r>
      <w:r>
        <w:rPr>
          <w:rFonts w:hint="eastAsia" w:ascii="仿宋_GB2312" w:eastAsia="仿宋_GB2312"/>
          <w:color w:val="auto"/>
          <w:sz w:val="32"/>
          <w:szCs w:val="32"/>
          <w:highlight w:val="none"/>
        </w:rPr>
        <w:t>其中：</w:t>
      </w:r>
    </w:p>
    <w:p>
      <w:pPr>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5.39</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71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655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5.39</w:t>
      </w:r>
      <w:r>
        <w:rPr>
          <w:rFonts w:hint="eastAsia" w:ascii="仿宋_GB2312" w:eastAsia="仿宋_GB2312"/>
          <w:color w:val="auto"/>
          <w:sz w:val="32"/>
          <w:szCs w:val="32"/>
          <w:highlight w:val="none"/>
        </w:rPr>
        <w:t>万元，具体内容包括：</w:t>
      </w:r>
      <w:r>
        <w:rPr>
          <w:rFonts w:hint="eastAsia" w:ascii="仿宋" w:hAnsi="仿宋" w:eastAsia="仿宋" w:cs="仿宋"/>
          <w:color w:val="000000"/>
          <w:sz w:val="32"/>
          <w:szCs w:val="32"/>
        </w:rPr>
        <w:t>主要用于省级部门工作检查、其他市区局及市内各县、区局学习交流、衔接相关业务等其他工作</w:t>
      </w:r>
      <w:r>
        <w:rPr>
          <w:rFonts w:hint="eastAsia" w:ascii="仿宋" w:hAnsi="仿宋" w:eastAsia="仿宋" w:cs="仿宋"/>
          <w:color w:val="000000"/>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4"/>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sz w:val="30"/>
          <w:szCs w:val="30"/>
        </w:rPr>
      </w:pPr>
      <w:bookmarkStart w:id="64" w:name="_Toc15396610"/>
      <w:bookmarkStart w:id="65" w:name="_Toc15377218"/>
      <w:bookmarkStart w:id="66" w:name="_Toc22831"/>
      <w:r>
        <w:rPr>
          <w:rFonts w:hint="eastAsia"/>
          <w:sz w:val="30"/>
          <w:szCs w:val="30"/>
        </w:rPr>
        <w:t>八、政府性基金预算支出决算情况说明</w:t>
      </w:r>
      <w:bookmarkEnd w:id="64"/>
      <w:bookmarkEnd w:id="65"/>
      <w:bookmarkEnd w:id="66"/>
    </w:p>
    <w:p>
      <w:pPr>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4620.23</w:t>
      </w:r>
      <w:r>
        <w:rPr>
          <w:rFonts w:hint="eastAsia" w:ascii="仿宋_GB2312" w:eastAsia="仿宋_GB2312"/>
          <w:color w:val="auto"/>
          <w:sz w:val="32"/>
          <w:szCs w:val="32"/>
          <w:highlight w:val="none"/>
        </w:rPr>
        <w:t>万元。</w:t>
      </w:r>
    </w:p>
    <w:p>
      <w:pPr>
        <w:pStyle w:val="4"/>
        <w:pageBreakBefore w:val="0"/>
        <w:widowControl w:val="0"/>
        <w:numPr>
          <w:ilvl w:val="0"/>
          <w:numId w:val="0"/>
        </w:numPr>
        <w:kinsoku/>
        <w:wordWrap/>
        <w:overflowPunct/>
        <w:topLinePunct w:val="0"/>
        <w:autoSpaceDE/>
        <w:autoSpaceDN/>
        <w:bidi w:val="0"/>
        <w:adjustRightInd/>
        <w:snapToGrid/>
        <w:spacing w:before="0" w:after="0"/>
        <w:ind w:firstLine="602" w:firstLineChars="200"/>
        <w:textAlignment w:val="auto"/>
        <w:rPr>
          <w:sz w:val="30"/>
          <w:szCs w:val="30"/>
        </w:rPr>
      </w:pPr>
      <w:bookmarkStart w:id="67" w:name="_Toc15396611"/>
      <w:bookmarkStart w:id="68" w:name="_Toc28411"/>
      <w:bookmarkStart w:id="69" w:name="_Toc15377219"/>
      <w:r>
        <w:rPr>
          <w:rFonts w:hint="eastAsia"/>
          <w:sz w:val="30"/>
          <w:szCs w:val="30"/>
          <w:lang w:val="en-US" w:eastAsia="zh-CN"/>
        </w:rPr>
        <w:t>九、</w:t>
      </w:r>
      <w:r>
        <w:rPr>
          <w:rFonts w:hint="eastAsia"/>
          <w:sz w:val="30"/>
          <w:szCs w:val="30"/>
        </w:rPr>
        <w:t>国有资本经营预算支出决算情况说明</w:t>
      </w:r>
      <w:bookmarkEnd w:id="67"/>
      <w:bookmarkEnd w:id="68"/>
      <w:bookmarkEnd w:id="69"/>
    </w:p>
    <w:p>
      <w:pPr>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Style w:val="4"/>
        <w:pageBreakBefore w:val="0"/>
        <w:widowControl w:val="0"/>
        <w:kinsoku/>
        <w:wordWrap/>
        <w:overflowPunct/>
        <w:topLinePunct w:val="0"/>
        <w:autoSpaceDE/>
        <w:autoSpaceDN/>
        <w:bidi w:val="0"/>
        <w:adjustRightInd/>
        <w:snapToGrid/>
        <w:spacing w:before="0" w:after="0"/>
        <w:ind w:firstLine="602" w:firstLineChars="200"/>
        <w:textAlignment w:val="auto"/>
        <w:rPr>
          <w:rFonts w:hint="eastAsia"/>
          <w:sz w:val="30"/>
          <w:szCs w:val="30"/>
        </w:rPr>
      </w:pPr>
      <w:bookmarkStart w:id="70" w:name="_Toc15396612"/>
      <w:bookmarkStart w:id="71" w:name="_Toc15377221"/>
      <w:bookmarkStart w:id="72" w:name="_Toc7244"/>
      <w:r>
        <w:rPr>
          <w:rFonts w:hint="eastAsia"/>
          <w:sz w:val="30"/>
          <w:szCs w:val="30"/>
          <w:lang w:val="en-US" w:eastAsia="zh-CN"/>
        </w:rPr>
        <w:t>十、</w:t>
      </w:r>
      <w:r>
        <w:rPr>
          <w:rFonts w:hint="eastAsia"/>
          <w:sz w:val="30"/>
          <w:szCs w:val="30"/>
        </w:rPr>
        <w:t>其他重要事项的情况说明</w:t>
      </w:r>
      <w:bookmarkEnd w:id="70"/>
      <w:bookmarkEnd w:id="71"/>
      <w:bookmarkEnd w:id="72"/>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b/>
          <w:bCs/>
          <w:color w:val="auto"/>
          <w:sz w:val="32"/>
          <w:szCs w:val="32"/>
          <w:highlight w:val="none"/>
          <w:lang w:val="en-US" w:eastAsia="zh-CN"/>
        </w:rPr>
      </w:pPr>
      <w:bookmarkStart w:id="73" w:name="_Toc15377222"/>
      <w:r>
        <w:rPr>
          <w:rFonts w:hint="eastAsia" w:ascii="仿宋_GB2312" w:hAnsi="Times New Roman" w:eastAsia="仿宋_GB2312" w:cs="Times New Roman"/>
          <w:b/>
          <w:bCs/>
          <w:color w:val="auto"/>
          <w:sz w:val="32"/>
          <w:szCs w:val="32"/>
          <w:highlight w:val="none"/>
          <w:lang w:val="en-US" w:eastAsia="zh-CN"/>
        </w:rPr>
        <w:t>（一）机关运行经费支出情况</w:t>
      </w:r>
      <w:bookmarkEnd w:id="73"/>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 w:hAnsi="仿宋" w:eastAsia="仿宋" w:cs="仿宋"/>
          <w:color w:val="000000"/>
          <w:sz w:val="32"/>
          <w:szCs w:val="32"/>
        </w:rPr>
        <w:t>广元市自然资源局利州区分局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940.64</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46.81</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5.23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新进事业人员2名，</w:t>
      </w:r>
      <w:r>
        <w:rPr>
          <w:rFonts w:hint="eastAsia" w:ascii="仿宋" w:hAnsi="仿宋" w:eastAsia="仿宋" w:cs="仿宋"/>
          <w:color w:val="000000"/>
          <w:sz w:val="32"/>
          <w:szCs w:val="32"/>
        </w:rPr>
        <w:t>并且将目标考核部门奖励用于机关运行费用支出。</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b/>
          <w:bCs/>
          <w:color w:val="auto"/>
          <w:sz w:val="32"/>
          <w:szCs w:val="32"/>
          <w:highlight w:val="none"/>
          <w:lang w:val="en-US" w:eastAsia="zh-CN"/>
        </w:rPr>
      </w:pPr>
      <w:bookmarkStart w:id="74" w:name="_Toc15377223"/>
      <w:r>
        <w:rPr>
          <w:rFonts w:hint="eastAsia" w:ascii="仿宋_GB2312" w:hAnsi="Times New Roman" w:eastAsia="仿宋_GB2312" w:cs="Times New Roman"/>
          <w:b/>
          <w:bCs/>
          <w:color w:val="auto"/>
          <w:sz w:val="32"/>
          <w:szCs w:val="32"/>
          <w:highlight w:val="none"/>
          <w:lang w:val="en-US" w:eastAsia="zh-CN"/>
        </w:rPr>
        <w:t>（二）政府采购支出情况</w:t>
      </w:r>
      <w:bookmarkEnd w:id="74"/>
    </w:p>
    <w:p>
      <w:pPr>
        <w:pageBreakBefore w:val="0"/>
        <w:kinsoku/>
        <w:wordWrap/>
        <w:overflowPunct/>
        <w:topLinePunct w:val="0"/>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 w:hAnsi="仿宋" w:eastAsia="仿宋" w:cs="仿宋"/>
          <w:color w:val="000000"/>
          <w:sz w:val="32"/>
          <w:szCs w:val="32"/>
        </w:rPr>
        <w:t>广元市自然资源局利州区分局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477.11</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477.11</w:t>
      </w:r>
      <w:r>
        <w:rPr>
          <w:rFonts w:hint="eastAsia" w:ascii="仿宋_GB2312" w:eastAsia="仿宋_GB2312"/>
          <w:color w:val="auto"/>
          <w:sz w:val="32"/>
          <w:szCs w:val="32"/>
          <w:highlight w:val="none"/>
        </w:rPr>
        <w:t>万元。主要用于办公楼改水工程</w:t>
      </w:r>
      <w:r>
        <w:rPr>
          <w:rFonts w:hint="eastAsia" w:ascii="仿宋_GB2312" w:eastAsia="仿宋_GB2312"/>
          <w:color w:val="auto"/>
          <w:sz w:val="32"/>
          <w:szCs w:val="32"/>
          <w:highlight w:val="none"/>
          <w:lang w:eastAsia="zh-CN"/>
        </w:rPr>
        <w:t>、“一张图”和“三大平台”项目、2021年广元市利州区卫片执法工作、村规划编制、2021年地质灾害全年排查驻守督导、广元市利州区2020年度土地变更调查、广元市利州区第三次全国国土调查、广元市利州区2018年测绘服务</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447.11</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b/>
          <w:bCs/>
          <w:color w:val="auto"/>
          <w:sz w:val="32"/>
          <w:szCs w:val="32"/>
          <w:highlight w:val="none"/>
          <w:lang w:val="en-US" w:eastAsia="zh-CN"/>
        </w:rPr>
      </w:pPr>
      <w:bookmarkStart w:id="75" w:name="_Toc15377224"/>
      <w:r>
        <w:rPr>
          <w:rFonts w:hint="eastAsia" w:ascii="仿宋_GB2312" w:hAnsi="Times New Roman" w:eastAsia="仿宋_GB2312" w:cs="Times New Roman"/>
          <w:b/>
          <w:bCs/>
          <w:color w:val="auto"/>
          <w:sz w:val="32"/>
          <w:szCs w:val="32"/>
          <w:highlight w:val="none"/>
          <w:lang w:val="en-US" w:eastAsia="zh-CN"/>
        </w:rPr>
        <w:t>（三）国有资产占有使用情况</w:t>
      </w:r>
      <w:bookmarkEnd w:id="75"/>
    </w:p>
    <w:p>
      <w:pPr>
        <w:pageBreakBefore w:val="0"/>
        <w:kinsoku/>
        <w:wordWrap/>
        <w:overflowPunct/>
        <w:topLinePunct w:val="0"/>
        <w:autoSpaceDE w:val="0"/>
        <w:autoSpaceDN w:val="0"/>
        <w:bidi w:val="0"/>
        <w:adjustRightInd w:val="0"/>
        <w:spacing w:line="56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广元市自然资源局利州区分局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公</w:t>
      </w:r>
      <w:r>
        <w:rPr>
          <w:rFonts w:hint="eastAsia" w:ascii="仿宋" w:hAnsi="仿宋" w:eastAsia="仿宋" w:cs="仿宋"/>
          <w:color w:val="000000"/>
          <w:sz w:val="32"/>
          <w:szCs w:val="32"/>
          <w:lang w:val="en-US" w:eastAsia="zh-CN"/>
        </w:rPr>
        <w:t>改后，我单位于2020年5月收到</w:t>
      </w:r>
      <w:r>
        <w:rPr>
          <w:rFonts w:hint="eastAsia" w:ascii="仿宋" w:hAnsi="仿宋" w:eastAsia="仿宋" w:cs="仿宋"/>
          <w:color w:val="000000"/>
          <w:sz w:val="32"/>
          <w:szCs w:val="32"/>
        </w:rPr>
        <w:t>机关事务管理局</w:t>
      </w:r>
      <w:r>
        <w:rPr>
          <w:rFonts w:hint="eastAsia" w:ascii="仿宋" w:hAnsi="仿宋" w:eastAsia="仿宋" w:cs="仿宋"/>
          <w:color w:val="000000"/>
          <w:sz w:val="32"/>
          <w:szCs w:val="32"/>
          <w:lang w:val="en-US" w:eastAsia="zh-CN"/>
        </w:rPr>
        <w:t>一辆车的下账通知，因此公务用车数量为1。</w:t>
      </w:r>
      <w:r>
        <w:rPr>
          <w:rFonts w:hint="eastAsia" w:ascii="仿宋" w:hAnsi="仿宋" w:eastAsia="仿宋" w:cs="仿宋"/>
          <w:color w:val="000000"/>
          <w:sz w:val="32"/>
          <w:szCs w:val="32"/>
        </w:rPr>
        <w:t>单价50万元以上通用设备</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台（套），单价100万元以上专用设备</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台（套）。</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b/>
          <w:bCs/>
          <w:color w:val="auto"/>
          <w:sz w:val="32"/>
          <w:szCs w:val="32"/>
          <w:highlight w:val="none"/>
          <w:lang w:val="en-US" w:eastAsia="zh-CN"/>
        </w:rPr>
      </w:pPr>
      <w:r>
        <w:rPr>
          <w:rFonts w:hint="eastAsia" w:ascii="仿宋_GB2312" w:hAnsi="Times New Roman" w:eastAsia="仿宋_GB2312" w:cs="Times New Roman"/>
          <w:b/>
          <w:bCs/>
          <w:color w:val="auto"/>
          <w:sz w:val="32"/>
          <w:szCs w:val="32"/>
          <w:highlight w:val="none"/>
          <w:lang w:val="en-US" w:eastAsia="zh-CN"/>
        </w:rPr>
        <w:t>（四）预算绩效管理情况</w:t>
      </w:r>
    </w:p>
    <w:p>
      <w:pPr>
        <w:pageBreakBefore w:val="0"/>
        <w:kinsoku/>
        <w:wordWrap/>
        <w:overflowPunct/>
        <w:topLinePunct w:val="0"/>
        <w:bidi w:val="0"/>
        <w:spacing w:line="560" w:lineRule="exact"/>
        <w:ind w:firstLine="640" w:firstLineChars="200"/>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不动产责任保险费，矿产资源开发利用前期工作，视频会议系统建设，测绘标志保护，不动产登记日常工作，地质灾害治理项目前期申报工作，土地评估、土地权属调查等工作，项目申报和土地报征工作，不动产登记系统进行维护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动产产权证书、证明工本费，土地例行督察项目，非贫困村第一书记，2021年第23批次建设用地等被征地农民社保资金预存款（养老、失业保险），龙潭旅游环线道路改建工程用地、2020年第2批建设用地、2018年第9批城市建设用地耕占税及滞纳金，S301三堆羊盘至青川观音店段公路改建、宝轮环线道路（南线）建设用地耕占税及滞纳金，2020年第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批建设用地耕占税及滞纳金，2021年第2批次建设用地社保预存资金，2021年第5批建设用地耕占税，2021年第2批次建设用地耕占税及滞纳金，2020年第5批省级和2021年第一批中央地质灾害防治资金，2021年第二批地害资金（省级），2021年第4批地质灾害防治（省级）</w:t>
      </w:r>
      <w:r>
        <w:rPr>
          <w:rFonts w:hint="eastAsia" w:ascii="仿宋_GB2312" w:hAnsi="仿宋_GB2312" w:eastAsia="仿宋_GB2312" w:cs="仿宋_GB2312"/>
          <w:color w:val="auto"/>
          <w:sz w:val="32"/>
          <w:szCs w:val="32"/>
          <w:highlight w:val="none"/>
          <w:lang w:val="en-US" w:eastAsia="zh-CN"/>
        </w:rPr>
        <w:t>等22个项目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val="0"/>
        <w:autoSpaceDN w:val="0"/>
        <w:bidi w:val="0"/>
        <w:adjustRightInd w:val="0"/>
        <w:spacing w:line="560" w:lineRule="exact"/>
        <w:ind w:firstLine="643" w:firstLineChars="200"/>
        <w:jc w:val="both"/>
        <w:rPr>
          <w:rFonts w:hint="eastAsia" w:ascii="仿宋" w:hAnsi="仿宋" w:eastAsia="仿宋"/>
          <w:b/>
          <w:bCs w:val="0"/>
          <w:color w:val="auto"/>
          <w:sz w:val="32"/>
          <w:szCs w:val="32"/>
          <w:highlight w:val="none"/>
        </w:rPr>
      </w:pPr>
    </w:p>
    <w:p>
      <w:pPr>
        <w:pageBreakBefore w:val="0"/>
        <w:kinsoku/>
        <w:wordWrap/>
        <w:overflowPunct/>
        <w:topLinePunct w:val="0"/>
        <w:autoSpaceDE w:val="0"/>
        <w:autoSpaceDN w:val="0"/>
        <w:bidi w:val="0"/>
        <w:adjustRightInd w:val="0"/>
        <w:spacing w:line="560" w:lineRule="exact"/>
        <w:ind w:firstLine="643" w:firstLineChars="200"/>
        <w:jc w:val="both"/>
        <w:rPr>
          <w:rFonts w:hint="eastAsia" w:ascii="仿宋" w:hAnsi="仿宋" w:eastAsia="仿宋"/>
          <w:b/>
          <w:bCs w:val="0"/>
          <w:color w:val="auto"/>
          <w:sz w:val="32"/>
          <w:szCs w:val="32"/>
          <w:highlight w:val="none"/>
        </w:rPr>
      </w:pPr>
    </w:p>
    <w:p>
      <w:pPr>
        <w:pageBreakBefore w:val="0"/>
        <w:kinsoku/>
        <w:wordWrap/>
        <w:overflowPunct/>
        <w:topLinePunct w:val="0"/>
        <w:autoSpaceDE w:val="0"/>
        <w:autoSpaceDN w:val="0"/>
        <w:bidi w:val="0"/>
        <w:adjustRightInd w:val="0"/>
        <w:spacing w:line="560" w:lineRule="exact"/>
        <w:ind w:firstLine="643" w:firstLineChars="200"/>
        <w:jc w:val="both"/>
        <w:rPr>
          <w:rFonts w:hint="eastAsia" w:ascii="仿宋" w:hAnsi="仿宋" w:eastAsia="仿宋"/>
          <w:b/>
          <w:bCs w:val="0"/>
          <w:color w:val="auto"/>
          <w:sz w:val="32"/>
          <w:szCs w:val="32"/>
          <w:highlight w:val="none"/>
        </w:rPr>
      </w:pPr>
    </w:p>
    <w:p>
      <w:pPr>
        <w:pageBreakBefore w:val="0"/>
        <w:kinsoku/>
        <w:wordWrap/>
        <w:overflowPunct/>
        <w:topLinePunct w:val="0"/>
        <w:autoSpaceDE w:val="0"/>
        <w:autoSpaceDN w:val="0"/>
        <w:bidi w:val="0"/>
        <w:adjustRightInd w:val="0"/>
        <w:spacing w:line="560" w:lineRule="exact"/>
        <w:ind w:firstLine="643" w:firstLineChars="200"/>
        <w:jc w:val="both"/>
        <w:rPr>
          <w:rFonts w:hint="eastAsia" w:ascii="仿宋" w:hAnsi="仿宋" w:eastAsia="仿宋"/>
          <w:b/>
          <w:bCs w:val="0"/>
          <w:color w:val="auto"/>
          <w:sz w:val="32"/>
          <w:szCs w:val="32"/>
          <w:highlight w:val="none"/>
        </w:rPr>
      </w:pPr>
    </w:p>
    <w:p>
      <w:pPr>
        <w:pageBreakBefore w:val="0"/>
        <w:kinsoku/>
        <w:wordWrap/>
        <w:overflowPunct/>
        <w:topLinePunct w:val="0"/>
        <w:autoSpaceDE w:val="0"/>
        <w:autoSpaceDN w:val="0"/>
        <w:bidi w:val="0"/>
        <w:adjustRightInd w:val="0"/>
        <w:spacing w:line="560" w:lineRule="exact"/>
        <w:ind w:firstLine="643" w:firstLineChars="200"/>
        <w:jc w:val="both"/>
        <w:rPr>
          <w:rFonts w:hint="eastAsia" w:ascii="仿宋" w:hAnsi="仿宋" w:eastAsia="仿宋"/>
          <w:b/>
          <w:bCs w:val="0"/>
          <w:color w:val="auto"/>
          <w:sz w:val="32"/>
          <w:szCs w:val="32"/>
          <w:highlight w:val="none"/>
        </w:rPr>
      </w:pPr>
    </w:p>
    <w:p>
      <w:pPr>
        <w:pageBreakBefore w:val="0"/>
        <w:kinsoku/>
        <w:wordWrap/>
        <w:overflowPunct/>
        <w:topLinePunct w:val="0"/>
        <w:autoSpaceDE w:val="0"/>
        <w:autoSpaceDN w:val="0"/>
        <w:bidi w:val="0"/>
        <w:adjustRightInd w:val="0"/>
        <w:spacing w:line="560" w:lineRule="exact"/>
        <w:ind w:firstLine="643" w:firstLineChars="200"/>
        <w:jc w:val="both"/>
        <w:rPr>
          <w:rFonts w:hint="eastAsia" w:ascii="仿宋" w:hAnsi="仿宋" w:eastAsia="仿宋"/>
          <w:b/>
          <w:bCs w:val="0"/>
          <w:color w:val="auto"/>
          <w:sz w:val="32"/>
          <w:szCs w:val="32"/>
          <w:highlight w:val="none"/>
        </w:rPr>
      </w:pPr>
    </w:p>
    <w:p>
      <w:pPr>
        <w:pStyle w:val="2"/>
        <w:rPr>
          <w:rFonts w:hint="eastAsia" w:ascii="仿宋" w:hAnsi="仿宋" w:eastAsia="仿宋"/>
          <w:b/>
          <w:bCs w:val="0"/>
          <w:color w:val="auto"/>
          <w:sz w:val="32"/>
          <w:szCs w:val="32"/>
          <w:highlight w:val="none"/>
        </w:rPr>
      </w:pPr>
    </w:p>
    <w:p>
      <w:pPr>
        <w:pStyle w:val="2"/>
        <w:rPr>
          <w:rFonts w:hint="eastAsia" w:ascii="仿宋" w:hAnsi="仿宋" w:eastAsia="仿宋"/>
          <w:b/>
          <w:bCs w:val="0"/>
          <w:color w:val="auto"/>
          <w:sz w:val="32"/>
          <w:szCs w:val="32"/>
          <w:highlight w:val="none"/>
        </w:rPr>
      </w:pPr>
    </w:p>
    <w:p>
      <w:pPr>
        <w:pageBreakBefore w:val="0"/>
        <w:widowControl/>
        <w:kinsoku/>
        <w:wordWrap/>
        <w:overflowPunct/>
        <w:topLinePunct w:val="0"/>
        <w:bidi w:val="0"/>
        <w:spacing w:line="560" w:lineRule="exact"/>
        <w:jc w:val="center"/>
        <w:outlineLvl w:val="0"/>
        <w:rPr>
          <w:sz w:val="32"/>
          <w:szCs w:val="32"/>
        </w:rPr>
      </w:pPr>
      <w:bookmarkStart w:id="76" w:name="_Toc2862"/>
      <w:bookmarkStart w:id="77" w:name="_Toc15377225"/>
      <w:bookmarkStart w:id="78" w:name="_Toc15396613"/>
      <w:r>
        <w:rPr>
          <w:rStyle w:val="28"/>
          <w:rFonts w:hint="eastAsia"/>
          <w:sz w:val="32"/>
          <w:szCs w:val="32"/>
          <w:lang w:val="en-US" w:eastAsia="zh-CN"/>
        </w:rPr>
        <w:t xml:space="preserve">第三部分 </w:t>
      </w:r>
      <w:r>
        <w:rPr>
          <w:rStyle w:val="28"/>
          <w:rFonts w:hint="eastAsia"/>
          <w:sz w:val="32"/>
          <w:szCs w:val="32"/>
        </w:rPr>
        <w:t>名词解释</w:t>
      </w:r>
      <w:bookmarkEnd w:id="76"/>
      <w:bookmarkEnd w:id="77"/>
      <w:bookmarkEnd w:id="78"/>
    </w:p>
    <w:p>
      <w:pPr>
        <w:pageBreakBefore w:val="0"/>
        <w:kinsoku/>
        <w:wordWrap/>
        <w:overflowPunct/>
        <w:topLinePunct w:val="0"/>
        <w:bidi w:val="0"/>
        <w:spacing w:line="560" w:lineRule="exact"/>
        <w:jc w:val="left"/>
        <w:rPr>
          <w:rFonts w:ascii="宋体"/>
          <w:b/>
          <w:color w:val="auto"/>
          <w:sz w:val="44"/>
          <w:szCs w:val="44"/>
          <w:highlight w:val="none"/>
        </w:rPr>
      </w:pPr>
    </w:p>
    <w:p>
      <w:pPr>
        <w:pStyle w:val="26"/>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1.财政拨款收入：指单位从同级财政部门取得的财政预算资金。</w:t>
      </w:r>
    </w:p>
    <w:p>
      <w:pPr>
        <w:pStyle w:val="26"/>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2.事业收入：指事业单位开展专业业务活动及辅助活动取得的收入。</w:t>
      </w:r>
    </w:p>
    <w:p>
      <w:pPr>
        <w:pStyle w:val="26"/>
        <w:pageBreakBefore w:val="0"/>
        <w:kinsoku/>
        <w:wordWrap/>
        <w:overflowPunct/>
        <w:topLinePunct w:val="0"/>
        <w:bidi w:val="0"/>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3.经营收入：指事业单位在专业业务活动及其辅助活动之外开展非独立核算经营活动取得的收入。</w:t>
      </w:r>
    </w:p>
    <w:p>
      <w:pPr>
        <w:pStyle w:val="26"/>
        <w:pageBreakBefore w:val="0"/>
        <w:kinsoku/>
        <w:wordWrap/>
        <w:overflowPunct/>
        <w:topLinePunct w:val="0"/>
        <w:bidi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4.其他收入：指单位取得的除上述收入以外的各项收入。</w:t>
      </w:r>
      <w:r>
        <w:rPr>
          <w:rFonts w:ascii="仿宋_GB2312" w:eastAsia="仿宋_GB2312"/>
          <w:color w:val="auto"/>
          <w:sz w:val="32"/>
          <w:szCs w:val="32"/>
          <w:highlight w:val="none"/>
        </w:rPr>
        <w:t xml:space="preserve"> </w:t>
      </w:r>
    </w:p>
    <w:p>
      <w:pPr>
        <w:pStyle w:val="26"/>
        <w:pageBreakBefore w:val="0"/>
        <w:kinsoku/>
        <w:wordWrap/>
        <w:overflowPunct/>
        <w:topLinePunct w:val="0"/>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6"/>
        <w:pageBreakBefore w:val="0"/>
        <w:kinsoku/>
        <w:wordWrap/>
        <w:overflowPunct/>
        <w:topLinePunct w:val="0"/>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6"/>
        <w:pageBreakBefore w:val="0"/>
        <w:kinsoku/>
        <w:wordWrap/>
        <w:overflowPunct/>
        <w:topLinePunct w:val="0"/>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6"/>
        <w:pageBreakBefore w:val="0"/>
        <w:kinsoku/>
        <w:wordWrap/>
        <w:overflowPunct/>
        <w:topLinePunct w:val="0"/>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9. 农林水（类）其他农林水（款）其他农林水（项）：指除化解债务支出以外其他用于农林水方面的支出。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10. 自然资源海洋气象等（类）其他国土海洋气象（款）其他国土海洋气象（项）：指用于国土海洋气象等方面的支出。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11. 社会保障和就业（类）行政事业单位离退休（款）机关事业单位职业年金缴费（项）：指机关事业单位实施养老保险制度由单位实际缴纳的职业年金支出。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12. 农林水（类）扶贫（款）其他扶贫（项）：指用于扶贫方面的支出。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13.自然资源海洋气象等（类）自然资源事务（款）国土资源社会公益服务（项）：指自然资源部门土地、地质、矿产实物资料和信息资源采集、处理并提供社会公益展览和服务，国土资源知识普及等方面的支出。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14. 自然资源海洋气象等（类）自然资源事务（款）一般行政管理事务（项）：指行政单位（包括实行公务员管理的事业单位）未单独设置项级科目的其他项目支出。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15.社会保障和就业（类）行政事业单位离退休（款）机关事业单位基本养老保险缴费（项）：指机关事业单位实施养老保险制度由单位缴纳的基本养老保险费支出。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16.医疗卫生与计划生育（类）行政事业单位医疗（款）行政单位医疗（项）：指财政部门集中安排的行政单位基本医疗保险缴费经费，未参加医疗保险的行政单位的公费医疗经费，按国家规定享受离休人员、红军老战士待遇人员的医疗经费。                 </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17. 自然资源海洋气象等（类）自然资源事务（款）其他自然资源事务（项）：指其他用于国土资源事务方面的支出。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18.城乡社区（类）国有土地使用权出让收入及对应专项债务收入安排的支出（款）土地开发支出（项）：指反映地方人民政府用于前期土地开发性支出以及与前期土地开发相关的费用等支出。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19. 农林水（类）农业（款）防灾救灾（项）：指对农业生产因遭受自然、生物灾害损失给予的补助，促进农业生产增产措施补助，海滩救助补助，草原扑火防火及因其他灾害导致农牧渔业生产者损失给予的补助。</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20. 自然资源海洋气象等（类）自然资源事务（款）地质灾害防治（项）：指抗震设防、震害预测、地震区划、防震减灾行政执法、地震活动断层探测、指导地方地震工作等业务支出。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21.自然资源海洋气象等（类）自然资源事务（款）国土整治（项）：指国土资源部门国土整治方面的支出。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22.自然资源海洋气象等（类）自然资源事务（款）土地资源调查（项）：指用于土地资源调查评价、土地利用变更调查、地籍调查等方面的支出。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23. 自然资源海洋气象等（类）自然资源事务（款）自然资源规划及管理（项）：指用于国土资源规划、研究、管理方面的支出。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24. 自然资源海洋气象等（类）自然资源事务（款）行政运行（项）：指行政单位（包括实行公务员管理的事业单位）的基本支出。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25. 住房保障（类）住房改革（款）住房公积金（项）：指行政事业单位按人力资源和社会保障部、财政部规定的基本工资和津贴补贴以及规定比例为职工缴纳的住房公积金。</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26. 自然资源海洋气象等（类）自然资源事务（款）地质矿产资源利用与保护（项）：指国土资源部门地质矿产资源、地质环境、地质遗迹等开发、利用、监测、保护等方面的支出。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27.城乡社区（类）国有土地使用权出让收入及对应专项债务收入安排的支出（款）土地出让业务支出（项）：指土地出让收入用于土地出让业务费用的开支。</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28.其他支出（类）其他政府性基金及对应专项债务收入安排的支出（款）其他政府性基金及对应专项债务收入安排的支出（项）：指其他政府性基金及对应专项债务收入安排的支出（包括用以前年度欠款收入安排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29.基本支出：指为保障机构正常运转、完成日常工作任务而发生的人员支出和公用支出。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30.项目支出：指在基本支出之外为完成特定行政任务和事业发展目标所发生的支出。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31.经营支出：指事业单位在专业业务活动及其辅助活动之外开展非独立核算经营活动发生的支出。</w:t>
      </w:r>
    </w:p>
    <w:p>
      <w:pPr>
        <w:pageBreakBefore w:val="0"/>
        <w:tabs>
          <w:tab w:val="left" w:pos="312"/>
        </w:tabs>
        <w:kinsoku/>
        <w:wordWrap/>
        <w:overflowPunct/>
        <w:topLinePunct w:val="0"/>
        <w:bidi w:val="0"/>
        <w:spacing w:line="560" w:lineRule="exact"/>
        <w:ind w:firstLine="480" w:firstLineChars="150"/>
        <w:rPr>
          <w:rFonts w:hint="eastAsia" w:ascii="仿宋" w:hAnsi="仿宋" w:eastAsia="仿宋" w:cs="仿宋"/>
          <w:sz w:val="32"/>
          <w:szCs w:val="32"/>
        </w:rPr>
      </w:pPr>
      <w:r>
        <w:rPr>
          <w:rFonts w:hint="eastAsia" w:ascii="仿宋" w:hAnsi="仿宋" w:eastAsia="仿宋" w:cs="仿宋"/>
          <w:sz w:val="32"/>
          <w:szCs w:val="32"/>
        </w:rPr>
        <w:t>32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spacing w:line="560" w:lineRule="exact"/>
        <w:ind w:firstLine="640"/>
        <w:rPr>
          <w:rFonts w:hint="eastAsia" w:ascii="仿宋" w:hAnsi="仿宋" w:eastAsia="仿宋" w:cs="仿宋"/>
          <w:sz w:val="32"/>
          <w:szCs w:val="32"/>
        </w:rPr>
      </w:pPr>
      <w:r>
        <w:rPr>
          <w:rFonts w:hint="eastAsia" w:ascii="仿宋" w:hAnsi="仿宋" w:eastAsia="仿宋" w:cs="仿宋"/>
          <w:sz w:val="32"/>
          <w:szCs w:val="32"/>
        </w:rPr>
        <w:t>33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60" w:lineRule="exact"/>
        <w:jc w:val="center"/>
        <w:outlineLvl w:val="0"/>
        <w:rPr>
          <w:rStyle w:val="28"/>
          <w:rFonts w:ascii="黑体" w:hAnsi="黑体" w:eastAsia="黑体"/>
          <w:b w:val="0"/>
          <w:color w:val="auto"/>
          <w:sz w:val="44"/>
          <w:szCs w:val="44"/>
          <w:highlight w:val="none"/>
        </w:rPr>
      </w:pPr>
      <w:bookmarkStart w:id="79" w:name="_Toc15377226"/>
      <w:r>
        <w:rPr>
          <w:rFonts w:ascii="宋体"/>
          <w:b/>
          <w:color w:val="auto"/>
          <w:sz w:val="44"/>
          <w:szCs w:val="44"/>
          <w:highlight w:val="none"/>
        </w:rPr>
        <w:br w:type="page"/>
      </w:r>
      <w:bookmarkStart w:id="80" w:name="_Toc20796"/>
      <w:bookmarkStart w:id="81" w:name="_Toc15396614"/>
      <w:r>
        <w:rPr>
          <w:rStyle w:val="28"/>
          <w:rFonts w:hint="eastAsia"/>
          <w:sz w:val="44"/>
          <w:szCs w:val="44"/>
        </w:rPr>
        <w:t>第四部分 附件</w:t>
      </w:r>
      <w:bookmarkEnd w:id="80"/>
      <w:bookmarkEnd w:id="81"/>
    </w:p>
    <w:p>
      <w:pPr>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bidi w:val="0"/>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广元市自然资源局利州区分局</w:t>
      </w:r>
    </w:p>
    <w:p>
      <w:pPr>
        <w:bidi w:val="0"/>
        <w:jc w:val="center"/>
        <w:rPr>
          <w:rFonts w:hint="eastAsia" w:asciiTheme="minorHAnsi" w:hAnsiTheme="minorHAnsi" w:eastAsiaTheme="minorEastAsia" w:cstheme="minorBidi"/>
          <w:szCs w:val="44"/>
          <w:lang w:eastAsia="zh-CN"/>
        </w:rPr>
      </w:pPr>
      <w:r>
        <w:rPr>
          <w:rFonts w:hint="eastAsia" w:asciiTheme="majorEastAsia" w:hAnsiTheme="majorEastAsia" w:eastAsiaTheme="majorEastAsia" w:cstheme="majorEastAsia"/>
          <w:sz w:val="44"/>
          <w:szCs w:val="44"/>
          <w:lang w:eastAsia="zh-CN"/>
        </w:rPr>
        <w:t>202</w:t>
      </w:r>
      <w:r>
        <w:rPr>
          <w:rFonts w:hint="eastAsia" w:asciiTheme="majorEastAsia" w:hAnsiTheme="majorEastAsia" w:eastAsiaTheme="majorEastAsia" w:cstheme="majorEastAsia"/>
          <w:sz w:val="44"/>
          <w:szCs w:val="44"/>
          <w:lang w:val="en-US" w:eastAsia="zh-CN"/>
        </w:rPr>
        <w:t>1</w:t>
      </w:r>
      <w:r>
        <w:rPr>
          <w:rFonts w:hint="eastAsia" w:asciiTheme="majorEastAsia" w:hAnsiTheme="majorEastAsia" w:eastAsiaTheme="majorEastAsia" w:cstheme="majorEastAsia"/>
          <w:sz w:val="44"/>
          <w:szCs w:val="44"/>
          <w:lang w:eastAsia="zh-CN"/>
        </w:rPr>
        <w:t>年区级部门整体支出绩效评价报告</w:t>
      </w:r>
    </w:p>
    <w:p>
      <w:pPr>
        <w:bidi w:val="0"/>
        <w:ind w:firstLine="640" w:firstLineChars="200"/>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部门（单位）概况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sz w:val="32"/>
          <w:szCs w:val="32"/>
        </w:rPr>
      </w:pPr>
      <w:r>
        <w:rPr>
          <w:rFonts w:hint="eastAsia" w:ascii="楷体" w:hAnsi="楷体" w:eastAsia="楷体" w:cs="楷体"/>
          <w:b w:val="0"/>
          <w:bCs w:val="0"/>
          <w:color w:val="000000"/>
          <w:kern w:val="0"/>
          <w:sz w:val="32"/>
          <w:szCs w:val="32"/>
          <w:shd w:val="clear" w:color="auto" w:fill="FFFFFF"/>
          <w:lang w:val="zh-CN"/>
        </w:rPr>
        <w:t>（一）</w:t>
      </w:r>
      <w:r>
        <w:rPr>
          <w:rStyle w:val="35"/>
          <w:rFonts w:hint="eastAsia" w:ascii="楷体" w:hAnsi="楷体" w:eastAsia="楷体" w:cs="楷体"/>
          <w:b w:val="0"/>
          <w:bCs w:val="0"/>
          <w:lang w:val="zh-CN"/>
        </w:rPr>
        <w:t>机构组成。</w:t>
      </w:r>
      <w:r>
        <w:rPr>
          <w:rFonts w:hint="eastAsia" w:ascii="仿宋" w:hAnsi="仿宋" w:eastAsia="仿宋" w:cs="仿宋"/>
          <w:sz w:val="32"/>
          <w:szCs w:val="32"/>
        </w:rPr>
        <w:t>广元市自然资源局利州区分局隶属于广元市自然资源局，受广元市自然资源局和利州区委区政府的双重领导和管理。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sz w:val="32"/>
          <w:szCs w:val="32"/>
        </w:rPr>
      </w:pPr>
      <w:r>
        <w:rPr>
          <w:rStyle w:val="35"/>
          <w:rFonts w:hint="eastAsia" w:ascii="楷体" w:hAnsi="楷体" w:eastAsia="楷体" w:cs="楷体"/>
          <w:b w:val="0"/>
          <w:bCs w:val="0"/>
          <w:lang w:val="zh-CN"/>
        </w:rPr>
        <w:t>（</w:t>
      </w:r>
      <w:r>
        <w:rPr>
          <w:rStyle w:val="35"/>
          <w:rFonts w:hint="eastAsia" w:ascii="楷体" w:hAnsi="楷体" w:eastAsia="楷体" w:cs="楷体"/>
          <w:b w:val="0"/>
          <w:bCs w:val="0"/>
          <w:lang w:val="en-US" w:eastAsia="zh-CN"/>
        </w:rPr>
        <w:t>二</w:t>
      </w:r>
      <w:r>
        <w:rPr>
          <w:rStyle w:val="35"/>
          <w:rFonts w:hint="eastAsia" w:ascii="楷体" w:hAnsi="楷体" w:eastAsia="楷体" w:cs="楷体"/>
          <w:b w:val="0"/>
          <w:bCs w:val="0"/>
          <w:lang w:val="zh-CN"/>
        </w:rPr>
        <w:t>）机构职能。</w:t>
      </w:r>
      <w:r>
        <w:rPr>
          <w:rFonts w:hint="eastAsia" w:ascii="仿宋" w:hAnsi="仿宋" w:eastAsia="仿宋" w:cs="仿宋"/>
          <w:sz w:val="32"/>
          <w:szCs w:val="32"/>
        </w:rPr>
        <w:t>贯彻执行国家关于土地、矿产资源方面的方针、政策和法律、法规；负责拟定本区土地资源、矿产资源等自然资源管理的规范性文件；组织贯彻实施土地资源、矿产资源管理的技术标准、规程、规范和办法。组织编制和实施国土规划、土地利用总体规划、其他土地专项规划和土地利用年度计划；对建设项目用地进行预审；指导乡镇土地利用总体规划；组织矿产资源的调查评价，编制矿产资源保护与合理利用规划、地质灾害防治。监督检查全区各级国土资源主管部门行政执法和土地、矿产资源规划执行情况；保护土地、矿产资源所有者和使用者的合法权益，承办并组织调处土地、矿产权属纠纷；查处土地、矿产违法案件。贯彻实施耕地特殊保护和鼓励耕地开发、整理政策，实施土地用途管制，组织基本农田保护，负责未利用土地开发、土地整理、土地复垦、开发耕地和土地储备的管理和监督工作，确保全区耕地占补平衡，稳定耕地面积。制定和贯彻实施地籍管理办法，组织土地资源调查与评价、地籍调查、土地统计和动态监测；依法负责土地确权、城乡地籍、土地定级和登记、发证等工作。组织实施土地使用权出让、租赁、转让管理办法；按规定拟定、审查、上报农用地转用方案、土地征用方案、补充耕地方案和供地方案；指导乡</w:t>
      </w:r>
      <w:r>
        <w:rPr>
          <w:rFonts w:hint="eastAsia" w:ascii="仿宋" w:hAnsi="仿宋" w:eastAsia="仿宋" w:cs="仿宋"/>
          <w:sz w:val="32"/>
          <w:szCs w:val="32"/>
          <w:lang w:eastAsia="zh-CN"/>
        </w:rPr>
        <w:t>（</w:t>
      </w:r>
      <w:r>
        <w:rPr>
          <w:rFonts w:hint="eastAsia" w:ascii="仿宋" w:hAnsi="仿宋" w:eastAsia="仿宋" w:cs="仿宋"/>
          <w:sz w:val="32"/>
          <w:szCs w:val="32"/>
        </w:rPr>
        <w:t>镇</w:t>
      </w:r>
      <w:r>
        <w:rPr>
          <w:rFonts w:hint="eastAsia" w:ascii="仿宋" w:hAnsi="仿宋" w:eastAsia="仿宋" w:cs="仿宋"/>
          <w:sz w:val="32"/>
          <w:szCs w:val="32"/>
          <w:lang w:eastAsia="zh-CN"/>
        </w:rPr>
        <w:t>）</w:t>
      </w:r>
      <w:r>
        <w:rPr>
          <w:rFonts w:hint="eastAsia" w:ascii="仿宋" w:hAnsi="仿宋" w:eastAsia="仿宋" w:cs="仿宋"/>
          <w:sz w:val="32"/>
          <w:szCs w:val="32"/>
        </w:rPr>
        <w:t>村用地管理和农村集体非农土地使用权的流转管理工作。承办区人民政府审查和审批的各类用地的审查报批工作；按规定负责土地补偿费、安置补助费、耕地开垦费、土地有偿使用费、土地闲置费等的征管，组织有关预算的执行。依法管理矿产资源探矿权、采矿权的审批登记发证和转让审批登记；依法审批和组织实施对外合作区块；承担矿产资源储备管理工作，管理地质资料汇交；依法实施地质勘查行业管理，审查确定地质勘查单位的资格，管理地勘成果；按规定管理矿产资源补偿费、采矿权使用费的征收和使用；审定评估机构从事探矿权、采矿权评估的资格；确认探矿权、采矿权评估结果。组织监测、防治地质灾害；依法管理工程地质、环境地质勘查和评价工作；审核地质环境影响评价报告，依法保护地质环境。承办市自然资源局和区委区政府交办的其他事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sz w:val="32"/>
          <w:szCs w:val="32"/>
        </w:rPr>
      </w:pPr>
      <w:r>
        <w:rPr>
          <w:rFonts w:hint="eastAsia" w:ascii="楷体" w:hAnsi="楷体" w:eastAsia="楷体" w:cs="楷体"/>
          <w:b w:val="0"/>
          <w:bCs w:val="0"/>
          <w:color w:val="000000"/>
          <w:kern w:val="0"/>
          <w:sz w:val="32"/>
          <w:szCs w:val="32"/>
          <w:shd w:val="clear" w:color="auto" w:fill="FFFFFF"/>
          <w:lang w:val="zh-CN"/>
        </w:rPr>
        <w:t>（三）</w:t>
      </w:r>
      <w:r>
        <w:rPr>
          <w:rStyle w:val="35"/>
          <w:rFonts w:hint="eastAsia" w:ascii="楷体" w:hAnsi="楷体" w:eastAsia="楷体" w:cs="楷体"/>
          <w:b w:val="0"/>
          <w:bCs w:val="0"/>
          <w:lang w:val="zh-CN"/>
        </w:rPr>
        <w:t>人员概况。</w:t>
      </w:r>
      <w:r>
        <w:rPr>
          <w:rFonts w:hint="eastAsia" w:ascii="仿宋" w:hAnsi="仿宋" w:eastAsia="仿宋" w:cs="仿宋"/>
          <w:sz w:val="32"/>
          <w:szCs w:val="32"/>
        </w:rPr>
        <w:t>我局年末人员编制数79人：其中公务员</w:t>
      </w:r>
      <w:r>
        <w:rPr>
          <w:rFonts w:hint="eastAsia" w:ascii="仿宋" w:hAnsi="仿宋" w:eastAsia="仿宋" w:cs="仿宋"/>
          <w:sz w:val="32"/>
          <w:szCs w:val="32"/>
          <w:lang w:val="en-US" w:eastAsia="zh-CN"/>
        </w:rPr>
        <w:t>8</w:t>
      </w:r>
      <w:r>
        <w:rPr>
          <w:rFonts w:hint="eastAsia" w:ascii="仿宋" w:hAnsi="仿宋" w:eastAsia="仿宋" w:cs="仿宋"/>
          <w:sz w:val="32"/>
          <w:szCs w:val="32"/>
        </w:rPr>
        <w:t>人，参公2</w:t>
      </w:r>
      <w:r>
        <w:rPr>
          <w:rFonts w:hint="eastAsia" w:ascii="仿宋" w:hAnsi="仿宋" w:eastAsia="仿宋" w:cs="仿宋"/>
          <w:sz w:val="32"/>
          <w:szCs w:val="32"/>
          <w:lang w:val="en-US" w:eastAsia="zh-CN"/>
        </w:rPr>
        <w:t>6</w:t>
      </w:r>
      <w:r>
        <w:rPr>
          <w:rFonts w:hint="eastAsia" w:ascii="仿宋" w:hAnsi="仿宋" w:eastAsia="仿宋" w:cs="仿宋"/>
          <w:sz w:val="32"/>
          <w:szCs w:val="32"/>
        </w:rPr>
        <w:t>人，工勤</w:t>
      </w:r>
      <w:r>
        <w:rPr>
          <w:rFonts w:hint="eastAsia" w:ascii="仿宋" w:hAnsi="仿宋" w:eastAsia="仿宋" w:cs="仿宋"/>
          <w:sz w:val="32"/>
          <w:szCs w:val="32"/>
          <w:lang w:val="en-US" w:eastAsia="zh-CN"/>
        </w:rPr>
        <w:t>1</w:t>
      </w:r>
      <w:r>
        <w:rPr>
          <w:rFonts w:hint="eastAsia" w:ascii="仿宋" w:hAnsi="仿宋" w:eastAsia="仿宋" w:cs="仿宋"/>
          <w:sz w:val="32"/>
          <w:szCs w:val="32"/>
        </w:rPr>
        <w:t>人， 全额事业人员44人。年末实有人员</w:t>
      </w:r>
      <w:r>
        <w:rPr>
          <w:rFonts w:hint="eastAsia" w:ascii="仿宋" w:hAnsi="仿宋" w:eastAsia="仿宋" w:cs="仿宋"/>
          <w:sz w:val="32"/>
          <w:szCs w:val="32"/>
          <w:lang w:val="en-US" w:eastAsia="zh-CN"/>
        </w:rPr>
        <w:t>67</w:t>
      </w:r>
      <w:r>
        <w:rPr>
          <w:rFonts w:hint="eastAsia" w:ascii="仿宋" w:hAnsi="仿宋" w:eastAsia="仿宋" w:cs="仿宋"/>
          <w:sz w:val="32"/>
          <w:szCs w:val="32"/>
        </w:rPr>
        <w:t>人：其中公务员</w:t>
      </w:r>
      <w:r>
        <w:rPr>
          <w:rFonts w:hint="eastAsia" w:ascii="仿宋" w:hAnsi="仿宋" w:eastAsia="仿宋" w:cs="仿宋"/>
          <w:sz w:val="32"/>
          <w:szCs w:val="32"/>
          <w:lang w:val="en-US" w:eastAsia="zh-CN"/>
        </w:rPr>
        <w:t>7</w:t>
      </w:r>
      <w:r>
        <w:rPr>
          <w:rFonts w:hint="eastAsia" w:ascii="仿宋" w:hAnsi="仿宋" w:eastAsia="仿宋" w:cs="仿宋"/>
          <w:sz w:val="32"/>
          <w:szCs w:val="32"/>
        </w:rPr>
        <w:t>人，参公</w:t>
      </w:r>
      <w:r>
        <w:rPr>
          <w:rFonts w:hint="eastAsia" w:ascii="仿宋" w:hAnsi="仿宋" w:eastAsia="仿宋" w:cs="仿宋"/>
          <w:sz w:val="32"/>
          <w:szCs w:val="32"/>
          <w:lang w:val="en-US" w:eastAsia="zh-CN"/>
        </w:rPr>
        <w:t>18</w:t>
      </w:r>
      <w:r>
        <w:rPr>
          <w:rFonts w:hint="eastAsia" w:ascii="仿宋" w:hAnsi="仿宋" w:eastAsia="仿宋" w:cs="仿宋"/>
          <w:sz w:val="32"/>
          <w:szCs w:val="32"/>
        </w:rPr>
        <w:t>人，全额事业人员</w:t>
      </w:r>
      <w:r>
        <w:rPr>
          <w:rFonts w:hint="eastAsia" w:ascii="仿宋" w:hAnsi="仿宋" w:eastAsia="仿宋" w:cs="仿宋"/>
          <w:sz w:val="32"/>
          <w:szCs w:val="32"/>
          <w:lang w:val="en-US" w:eastAsia="zh-CN"/>
        </w:rPr>
        <w:t>44</w:t>
      </w:r>
      <w:r>
        <w:rPr>
          <w:rFonts w:hint="eastAsia" w:ascii="仿宋" w:hAnsi="仿宋" w:eastAsia="仿宋" w:cs="仿宋"/>
          <w:sz w:val="32"/>
          <w:szCs w:val="32"/>
        </w:rPr>
        <w:t>人，工勤2人。今年人员变动情况为：</w:t>
      </w:r>
      <w:r>
        <w:rPr>
          <w:rFonts w:hint="eastAsia" w:ascii="仿宋" w:hAnsi="仿宋" w:eastAsia="仿宋" w:cs="仿宋"/>
          <w:sz w:val="32"/>
          <w:szCs w:val="32"/>
          <w:lang w:val="en-US" w:eastAsia="zh-CN"/>
        </w:rPr>
        <w:t>调出1人，</w:t>
      </w:r>
      <w:r>
        <w:rPr>
          <w:rFonts w:hint="eastAsia" w:ascii="仿宋" w:hAnsi="仿宋" w:eastAsia="仿宋" w:cs="仿宋"/>
          <w:sz w:val="32"/>
          <w:szCs w:val="32"/>
        </w:rPr>
        <w:t>退休</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招录参公人员1人</w:t>
      </w:r>
      <w:r>
        <w:rPr>
          <w:rFonts w:hint="eastAsia" w:ascii="仿宋" w:hAnsi="仿宋" w:eastAsia="仿宋" w:cs="仿宋"/>
          <w:sz w:val="32"/>
          <w:szCs w:val="32"/>
        </w:rPr>
        <w:t>，</w:t>
      </w:r>
      <w:r>
        <w:rPr>
          <w:rFonts w:hint="eastAsia" w:ascii="仿宋" w:hAnsi="仿宋" w:eastAsia="仿宋" w:cs="仿宋"/>
          <w:sz w:val="32"/>
          <w:szCs w:val="32"/>
          <w:lang w:val="en-US" w:eastAsia="zh-CN"/>
        </w:rPr>
        <w:t>调入事业人员1人，新进事业人员2人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方正黑体简体" w:hAnsi="宋体" w:eastAsia="方正黑体简体" w:cs="宋体"/>
          <w:color w:val="000000"/>
          <w:kern w:val="0"/>
          <w:sz w:val="32"/>
          <w:szCs w:val="32"/>
          <w:shd w:val="clear" w:color="auto" w:fill="FFFFFF"/>
        </w:rPr>
      </w:pPr>
      <w:r>
        <w:rPr>
          <w:rFonts w:hint="eastAsia" w:ascii="方正黑体简体" w:hAnsi="宋体" w:eastAsia="方正黑体简体" w:cs="宋体"/>
          <w:color w:val="000000"/>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方正仿宋简体" w:hAnsi="宋体" w:eastAsia="方正仿宋简体" w:cs="宋体"/>
          <w:color w:val="000000"/>
          <w:kern w:val="0"/>
          <w:sz w:val="32"/>
          <w:szCs w:val="32"/>
          <w:shd w:val="clear" w:color="auto" w:fill="FFFFFF"/>
          <w:lang w:val="zh-CN"/>
        </w:rPr>
      </w:pPr>
      <w:r>
        <w:rPr>
          <w:rFonts w:hint="eastAsia" w:ascii="仿宋" w:hAnsi="仿宋" w:eastAsia="仿宋" w:cs="仿宋"/>
          <w:sz w:val="32"/>
          <w:szCs w:val="32"/>
          <w:lang w:val="en-US" w:eastAsia="zh-CN"/>
        </w:rPr>
        <w:t>2021</w:t>
      </w:r>
      <w:r>
        <w:rPr>
          <w:rFonts w:hint="eastAsia" w:ascii="仿宋" w:hAnsi="仿宋" w:eastAsia="仿宋" w:cs="仿宋"/>
          <w:sz w:val="32"/>
          <w:szCs w:val="32"/>
          <w:lang w:val="zh-CN"/>
        </w:rPr>
        <w:t>年本年收入合计</w:t>
      </w:r>
      <w:r>
        <w:rPr>
          <w:rFonts w:hint="eastAsia" w:ascii="仿宋" w:hAnsi="仿宋" w:eastAsia="仿宋" w:cs="仿宋"/>
          <w:sz w:val="32"/>
          <w:szCs w:val="32"/>
          <w:lang w:val="en-US" w:eastAsia="zh-CN"/>
        </w:rPr>
        <w:t>6789.61</w:t>
      </w:r>
      <w:r>
        <w:rPr>
          <w:rFonts w:hint="eastAsia" w:ascii="仿宋" w:hAnsi="仿宋" w:eastAsia="仿宋" w:cs="仿宋"/>
          <w:sz w:val="32"/>
          <w:szCs w:val="32"/>
          <w:lang w:val="zh-CN"/>
        </w:rPr>
        <w:t>万元，其中：一般公共预算财政拨款收入</w:t>
      </w:r>
      <w:r>
        <w:rPr>
          <w:rFonts w:hint="eastAsia" w:ascii="仿宋" w:hAnsi="仿宋" w:eastAsia="仿宋" w:cs="仿宋"/>
          <w:sz w:val="32"/>
          <w:szCs w:val="32"/>
          <w:lang w:val="en-US" w:eastAsia="zh-CN"/>
        </w:rPr>
        <w:t>2169.38</w:t>
      </w:r>
      <w:r>
        <w:rPr>
          <w:rFonts w:hint="eastAsia" w:ascii="仿宋" w:hAnsi="仿宋" w:eastAsia="仿宋" w:cs="仿宋"/>
          <w:sz w:val="32"/>
          <w:szCs w:val="32"/>
          <w:lang w:val="zh-CN"/>
        </w:rPr>
        <w:t>万元，占</w:t>
      </w:r>
      <w:r>
        <w:rPr>
          <w:rFonts w:hint="eastAsia" w:ascii="仿宋" w:hAnsi="仿宋" w:eastAsia="仿宋" w:cs="仿宋"/>
          <w:sz w:val="32"/>
          <w:szCs w:val="32"/>
          <w:lang w:val="en-US" w:eastAsia="zh-CN"/>
        </w:rPr>
        <w:t>31.95</w:t>
      </w:r>
      <w:r>
        <w:rPr>
          <w:rFonts w:hint="eastAsia" w:ascii="仿宋" w:hAnsi="仿宋" w:eastAsia="仿宋" w:cs="仿宋"/>
          <w:sz w:val="32"/>
          <w:szCs w:val="32"/>
          <w:lang w:val="zh-CN"/>
        </w:rPr>
        <w:t>%；政府性基金预算财政拨款收入</w:t>
      </w:r>
      <w:r>
        <w:rPr>
          <w:rFonts w:hint="eastAsia" w:ascii="仿宋" w:hAnsi="仿宋" w:eastAsia="仿宋" w:cs="仿宋"/>
          <w:sz w:val="32"/>
          <w:szCs w:val="32"/>
          <w:lang w:val="en-US" w:eastAsia="zh-CN"/>
        </w:rPr>
        <w:t>4620.23</w:t>
      </w:r>
      <w:r>
        <w:rPr>
          <w:rFonts w:hint="eastAsia" w:ascii="仿宋" w:hAnsi="仿宋" w:eastAsia="仿宋" w:cs="仿宋"/>
          <w:sz w:val="32"/>
          <w:szCs w:val="32"/>
          <w:lang w:val="zh-CN"/>
        </w:rPr>
        <w:t>万元，占</w:t>
      </w:r>
      <w:r>
        <w:rPr>
          <w:rFonts w:hint="eastAsia" w:ascii="仿宋" w:hAnsi="仿宋" w:eastAsia="仿宋" w:cs="仿宋"/>
          <w:sz w:val="32"/>
          <w:szCs w:val="32"/>
          <w:lang w:val="en-US" w:eastAsia="zh-CN"/>
        </w:rPr>
        <w:t>68.05</w:t>
      </w:r>
      <w:r>
        <w:rPr>
          <w:rFonts w:hint="eastAsia" w:ascii="仿宋" w:hAnsi="仿宋" w:eastAsia="仿宋" w:cs="仿宋"/>
          <w:sz w:val="32"/>
          <w:szCs w:val="32"/>
          <w:lang w:val="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w:t>
      </w:r>
      <w:r>
        <w:rPr>
          <w:rFonts w:hint="eastAsia" w:ascii="楷体" w:hAnsi="楷体" w:eastAsia="楷体" w:cs="楷体"/>
          <w:color w:val="000000"/>
          <w:kern w:val="0"/>
          <w:sz w:val="32"/>
          <w:szCs w:val="32"/>
          <w:shd w:val="clear" w:color="auto" w:fill="FFFFFF"/>
          <w:lang w:val="en-US" w:eastAsia="zh-CN"/>
        </w:rPr>
        <w:t>二</w:t>
      </w:r>
      <w:r>
        <w:rPr>
          <w:rFonts w:hint="eastAsia" w:ascii="楷体" w:hAnsi="楷体" w:eastAsia="楷体" w:cs="楷体"/>
          <w:color w:val="000000"/>
          <w:kern w:val="0"/>
          <w:sz w:val="32"/>
          <w:szCs w:val="32"/>
          <w:shd w:val="clear" w:color="auto" w:fill="FFFFFF"/>
          <w:lang w:val="zh-CN"/>
        </w:rPr>
        <w:t>）部门财政资金支出情况</w:t>
      </w:r>
    </w:p>
    <w:p>
      <w:pPr>
        <w:keepNext w:val="0"/>
        <w:keepLines w:val="0"/>
        <w:pageBreakBefore w:val="0"/>
        <w:tabs>
          <w:tab w:val="left" w:pos="312"/>
        </w:tabs>
        <w:kinsoku/>
        <w:wordWrap/>
        <w:overflowPunct/>
        <w:topLinePunct w:val="0"/>
        <w:autoSpaceDE/>
        <w:autoSpaceDN/>
        <w:bidi w:val="0"/>
        <w:spacing w:line="560" w:lineRule="exact"/>
        <w:ind w:firstLine="480" w:firstLineChars="150"/>
        <w:textAlignment w:val="auto"/>
        <w:rPr>
          <w:rFonts w:hint="default" w:ascii="方正仿宋简体" w:hAnsi="宋体" w:eastAsia="方正仿宋简体" w:cs="宋体"/>
          <w:color w:val="000000"/>
          <w:kern w:val="0"/>
          <w:sz w:val="32"/>
          <w:szCs w:val="32"/>
          <w:shd w:val="clear" w:color="auto" w:fill="FFFFFF"/>
          <w:lang w:val="en-US" w:eastAsia="zh-CN"/>
        </w:rPr>
      </w:pPr>
      <w:r>
        <w:rPr>
          <w:rFonts w:hint="eastAsia" w:ascii="方正仿宋简体" w:hAnsi="宋体" w:eastAsia="方正仿宋简体" w:cs="宋体"/>
          <w:color w:val="000000"/>
          <w:kern w:val="0"/>
          <w:sz w:val="32"/>
          <w:szCs w:val="32"/>
          <w:shd w:val="clear" w:color="auto" w:fill="FFFFFF"/>
          <w:lang w:val="en-US" w:eastAsia="zh-CN"/>
        </w:rPr>
        <w:t xml:space="preserve"> </w:t>
      </w:r>
      <w:r>
        <w:rPr>
          <w:rFonts w:hint="eastAsia" w:ascii="仿宋" w:hAnsi="仿宋" w:eastAsia="仿宋" w:cs="仿宋"/>
          <w:sz w:val="32"/>
          <w:szCs w:val="32"/>
          <w:lang w:val="en-US" w:eastAsia="zh-CN"/>
        </w:rPr>
        <w:t>2020年本年支出合计8505.42万元，其中：基本支出1125.41万元，占13.23%；项目支出7380.01万元，占86.77%。</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val="en-US" w:eastAsia="zh-CN"/>
        </w:rPr>
        <w:t>三、</w:t>
      </w:r>
      <w:r>
        <w:rPr>
          <w:rFonts w:hint="eastAsia" w:ascii="黑体" w:hAnsi="黑体" w:eastAsia="黑体" w:cs="黑体"/>
          <w:color w:val="000000"/>
          <w:kern w:val="0"/>
          <w:sz w:val="32"/>
          <w:szCs w:val="32"/>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320" w:firstLineChars="100"/>
        <w:contextualSpacing/>
        <w:jc w:val="left"/>
        <w:textAlignment w:val="auto"/>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 w:hAnsi="仿宋" w:eastAsia="仿宋" w:cs="仿宋"/>
          <w:sz w:val="32"/>
          <w:szCs w:val="32"/>
        </w:rPr>
      </w:pPr>
      <w:r>
        <w:rPr>
          <w:rFonts w:hint="eastAsia" w:ascii="仿宋_GB2312" w:hAnsi="宋体" w:eastAsia="仿宋_GB2312" w:cs="宋体"/>
          <w:b/>
          <w:bCs/>
          <w:color w:val="auto"/>
          <w:kern w:val="0"/>
          <w:sz w:val="32"/>
          <w:szCs w:val="32"/>
          <w:highlight w:val="none"/>
          <w:shd w:val="clear" w:color="auto" w:fill="FFFFFF"/>
          <w:lang w:val="en-US" w:eastAsia="zh-CN"/>
        </w:rPr>
        <w:t>1.预算编制情况。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
          <w:sz w:val="32"/>
          <w:szCs w:val="32"/>
          <w:lang w:val="en-US"/>
        </w:rPr>
      </w:pPr>
      <w:r>
        <w:rPr>
          <w:rFonts w:ascii="仿宋_GB2312" w:hAnsi="宋体" w:eastAsia="仿宋_GB2312" w:cs="仿宋_GB2312"/>
          <w:i w:val="0"/>
          <w:iCs w:val="0"/>
          <w:caps w:val="0"/>
          <w:color w:val="000000"/>
          <w:spacing w:val="0"/>
          <w:sz w:val="32"/>
          <w:szCs w:val="32"/>
          <w:shd w:val="clear" w:fill="FFFFFF"/>
        </w:rPr>
        <w:t>严格按照预算管理的相关规定和部门预算编制要求</w:t>
      </w:r>
      <w:r>
        <w:rPr>
          <w:rFonts w:hint="eastAsia" w:ascii="仿宋_GB2312" w:hAnsi="宋体" w:eastAsia="仿宋_GB2312" w:cs="仿宋_GB2312"/>
          <w:i w:val="0"/>
          <w:iCs w:val="0"/>
          <w:caps w:val="0"/>
          <w:color w:val="000000"/>
          <w:spacing w:val="0"/>
          <w:sz w:val="32"/>
          <w:szCs w:val="32"/>
          <w:shd w:val="clear" w:fill="FFFFFF"/>
          <w:lang w:eastAsia="zh-CN"/>
        </w:rPr>
        <w:t>，</w:t>
      </w:r>
      <w:r>
        <w:rPr>
          <w:rFonts w:hint="default" w:ascii="仿宋_GB2312" w:hAnsi="宋体" w:eastAsia="仿宋_GB2312" w:cs="仿宋_GB2312"/>
          <w:i w:val="0"/>
          <w:iCs w:val="0"/>
          <w:caps w:val="0"/>
          <w:color w:val="000000"/>
          <w:spacing w:val="0"/>
          <w:sz w:val="32"/>
          <w:szCs w:val="32"/>
          <w:shd w:val="clear" w:fill="FFFFFF"/>
        </w:rPr>
        <w:t>科学合理编制项目预算</w:t>
      </w:r>
      <w:r>
        <w:rPr>
          <w:rFonts w:hint="eastAsia" w:ascii="仿宋_GB2312" w:hAnsi="宋体" w:eastAsia="仿宋_GB2312" w:cs="仿宋_GB2312"/>
          <w:i w:val="0"/>
          <w:iCs w:val="0"/>
          <w:caps w:val="0"/>
          <w:color w:val="000000"/>
          <w:spacing w:val="0"/>
          <w:sz w:val="32"/>
          <w:szCs w:val="32"/>
          <w:shd w:val="clear" w:fill="FFFFFF"/>
          <w:lang w:eastAsia="zh-CN"/>
        </w:rPr>
        <w:t>，</w:t>
      </w:r>
      <w:r>
        <w:rPr>
          <w:rFonts w:hint="default" w:ascii="仿宋_GB2312" w:hAnsi="宋体" w:eastAsia="仿宋_GB2312" w:cs="仿宋_GB2312"/>
          <w:i w:val="0"/>
          <w:iCs w:val="0"/>
          <w:caps w:val="0"/>
          <w:color w:val="000000"/>
          <w:spacing w:val="0"/>
          <w:sz w:val="32"/>
          <w:szCs w:val="32"/>
          <w:shd w:val="clear" w:fill="FFFFFF"/>
        </w:rPr>
        <w:t>按时完成了</w:t>
      </w:r>
      <w:r>
        <w:rPr>
          <w:rFonts w:hint="eastAsia" w:ascii="仿宋_GB2312" w:hAnsi="宋体" w:eastAsia="仿宋_GB2312" w:cs="仿宋_GB2312"/>
          <w:i w:val="0"/>
          <w:iCs w:val="0"/>
          <w:caps w:val="0"/>
          <w:color w:val="000000"/>
          <w:spacing w:val="0"/>
          <w:sz w:val="32"/>
          <w:szCs w:val="32"/>
          <w:shd w:val="clear" w:fill="FFFFFF"/>
          <w:lang w:val="en-US" w:eastAsia="zh-CN"/>
        </w:rPr>
        <w:t>2021</w:t>
      </w:r>
      <w:r>
        <w:rPr>
          <w:rFonts w:hint="default" w:ascii="仿宋_GB2312" w:hAnsi="宋体" w:eastAsia="仿宋_GB2312" w:cs="仿宋_GB2312"/>
          <w:i w:val="0"/>
          <w:iCs w:val="0"/>
          <w:caps w:val="0"/>
          <w:color w:val="000000"/>
          <w:spacing w:val="0"/>
          <w:sz w:val="32"/>
          <w:szCs w:val="32"/>
          <w:shd w:val="clear" w:fill="FFFFFF"/>
        </w:rPr>
        <w:t>年预算编制工作。</w:t>
      </w:r>
      <w:r>
        <w:rPr>
          <w:rFonts w:hint="eastAsia" w:ascii="仿宋_GB2312" w:hAnsi="宋体" w:eastAsia="仿宋_GB2312" w:cs="仿宋_GB2312"/>
          <w:i w:val="0"/>
          <w:iCs w:val="0"/>
          <w:caps w:val="0"/>
          <w:color w:val="000000"/>
          <w:spacing w:val="0"/>
          <w:sz w:val="32"/>
          <w:szCs w:val="32"/>
          <w:shd w:val="clear" w:fill="FFFFFF"/>
          <w:lang w:val="en-US" w:eastAsia="zh-CN"/>
        </w:rPr>
        <w:t>2021年广元市自然资源局利州区分局收入预算总额为6789.61万元，其中：</w:t>
      </w:r>
      <w:r>
        <w:rPr>
          <w:rFonts w:hint="default" w:ascii="仿宋_GB2312" w:hAnsi="宋体" w:eastAsia="仿宋_GB2312" w:cs="仿宋_GB2312"/>
          <w:i w:val="0"/>
          <w:iCs w:val="0"/>
          <w:caps w:val="0"/>
          <w:color w:val="000000"/>
          <w:spacing w:val="0"/>
          <w:sz w:val="32"/>
          <w:szCs w:val="32"/>
          <w:shd w:val="clear" w:fill="FFFFFF"/>
        </w:rPr>
        <w:t>年财政拨款收入</w:t>
      </w:r>
      <w:r>
        <w:rPr>
          <w:rFonts w:hint="eastAsia" w:ascii="仿宋_GB2312" w:hAnsi="宋体" w:eastAsia="仿宋_GB2312" w:cs="仿宋_GB2312"/>
          <w:i w:val="0"/>
          <w:iCs w:val="0"/>
          <w:caps w:val="0"/>
          <w:color w:val="000000"/>
          <w:spacing w:val="0"/>
          <w:sz w:val="32"/>
          <w:szCs w:val="32"/>
          <w:shd w:val="clear" w:fill="FFFFFF"/>
          <w:lang w:val="en-US" w:eastAsia="zh-CN"/>
        </w:rPr>
        <w:t>6789.61</w:t>
      </w:r>
      <w:r>
        <w:rPr>
          <w:rFonts w:hint="default" w:ascii="仿宋_GB2312" w:hAnsi="宋体" w:eastAsia="仿宋_GB2312" w:cs="仿宋_GB2312"/>
          <w:i w:val="0"/>
          <w:iCs w:val="0"/>
          <w:caps w:val="0"/>
          <w:color w:val="000000"/>
          <w:spacing w:val="0"/>
          <w:sz w:val="32"/>
          <w:szCs w:val="32"/>
          <w:shd w:val="clear" w:fill="FFFFFF"/>
        </w:rPr>
        <w:t>万元，</w:t>
      </w:r>
      <w:r>
        <w:rPr>
          <w:rFonts w:hint="eastAsia" w:ascii="仿宋_GB2312" w:hAnsi="宋体" w:eastAsia="仿宋_GB2312" w:cs="仿宋_GB2312"/>
          <w:i w:val="0"/>
          <w:iCs w:val="0"/>
          <w:caps w:val="0"/>
          <w:color w:val="000000"/>
          <w:spacing w:val="0"/>
          <w:sz w:val="32"/>
          <w:szCs w:val="32"/>
          <w:shd w:val="clear" w:fill="FFFFFF"/>
          <w:lang w:eastAsia="zh-CN"/>
        </w:rPr>
        <w:t>占比</w:t>
      </w:r>
      <w:r>
        <w:rPr>
          <w:rFonts w:hint="eastAsia" w:ascii="仿宋_GB2312" w:hAnsi="宋体" w:eastAsia="仿宋_GB2312" w:cs="仿宋_GB2312"/>
          <w:i w:val="0"/>
          <w:iCs w:val="0"/>
          <w:caps w:val="0"/>
          <w:color w:val="000000"/>
          <w:spacing w:val="0"/>
          <w:sz w:val="32"/>
          <w:szCs w:val="32"/>
          <w:shd w:val="clear" w:fill="FFFFFF"/>
          <w:lang w:val="en-US" w:eastAsia="zh-CN"/>
        </w:rPr>
        <w:t>100%</w:t>
      </w:r>
      <w:r>
        <w:rPr>
          <w:rFonts w:hint="default" w:ascii="仿宋_GB2312" w:hAnsi="宋体" w:eastAsia="仿宋_GB2312" w:cs="仿宋_GB2312"/>
          <w:i w:val="0"/>
          <w:iCs w:val="0"/>
          <w:caps w:val="0"/>
          <w:color w:val="000000"/>
          <w:spacing w:val="0"/>
          <w:sz w:val="32"/>
          <w:szCs w:val="32"/>
          <w:shd w:val="clear" w:fill="FFFFFF"/>
        </w:rPr>
        <w:t>。相应安排支出预算</w:t>
      </w:r>
      <w:r>
        <w:rPr>
          <w:rFonts w:hint="eastAsia" w:ascii="仿宋_GB2312" w:hAnsi="宋体" w:eastAsia="仿宋_GB2312" w:cs="仿宋_GB2312"/>
          <w:i w:val="0"/>
          <w:iCs w:val="0"/>
          <w:caps w:val="0"/>
          <w:color w:val="000000"/>
          <w:spacing w:val="0"/>
          <w:sz w:val="32"/>
          <w:szCs w:val="32"/>
          <w:shd w:val="clear" w:fill="FFFFFF"/>
          <w:lang w:val="en-US" w:eastAsia="zh-CN"/>
        </w:rPr>
        <w:t>8505.42万元，其中：人员支出1037万元，日常公用支出88.42万元，专项支出7380万元。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2.执行管理情况。</w:t>
      </w:r>
    </w:p>
    <w:p>
      <w:pPr>
        <w:pStyle w:val="14"/>
        <w:keepNext w:val="0"/>
        <w:keepLines w:val="0"/>
        <w:widowControl/>
        <w:suppressLineNumbers w:val="0"/>
        <w:shd w:val="clear" w:fill="FFFFFF"/>
        <w:spacing w:before="0" w:beforeAutospacing="0" w:after="0" w:afterAutospacing="0" w:line="576" w:lineRule="atLeast"/>
        <w:ind w:left="0" w:right="0" w:firstLine="640"/>
        <w:jc w:val="both"/>
        <w:rPr>
          <w:rFonts w:hint="default" w:ascii="Times New Roman" w:hAnsi="Times New Roman" w:cs="Times New Roman"/>
          <w:i w:val="0"/>
          <w:iCs w:val="0"/>
          <w:caps w:val="0"/>
          <w:color w:val="000000"/>
          <w:spacing w:val="0"/>
          <w:sz w:val="21"/>
          <w:szCs w:val="21"/>
        </w:rPr>
      </w:pPr>
      <w:r>
        <w:rPr>
          <w:rFonts w:ascii="仿宋_GB2312" w:hAnsi="Times New Roman" w:eastAsia="仿宋_GB2312" w:cs="仿宋_GB2312"/>
          <w:i w:val="0"/>
          <w:iCs w:val="0"/>
          <w:caps w:val="0"/>
          <w:color w:val="000000"/>
          <w:spacing w:val="0"/>
          <w:sz w:val="32"/>
          <w:szCs w:val="32"/>
          <w:shd w:val="clear" w:fill="FFFFFF"/>
        </w:rPr>
        <w:t>一是行政运行保障情况。</w:t>
      </w:r>
      <w:r>
        <w:rPr>
          <w:rFonts w:hint="default" w:ascii="仿宋_GB2312" w:hAnsi="Times New Roman" w:eastAsia="仿宋_GB2312" w:cs="仿宋_GB2312"/>
          <w:i w:val="0"/>
          <w:iCs w:val="0"/>
          <w:caps w:val="0"/>
          <w:color w:val="000000"/>
          <w:spacing w:val="0"/>
          <w:sz w:val="32"/>
          <w:szCs w:val="32"/>
          <w:shd w:val="clear" w:fill="FFFFFF"/>
        </w:rPr>
        <w:t>我</w:t>
      </w:r>
      <w:r>
        <w:rPr>
          <w:rFonts w:hint="eastAsia" w:ascii="仿宋_GB2312" w:eastAsia="仿宋_GB2312" w:cs="仿宋_GB2312"/>
          <w:i w:val="0"/>
          <w:iCs w:val="0"/>
          <w:caps w:val="0"/>
          <w:color w:val="000000"/>
          <w:spacing w:val="0"/>
          <w:sz w:val="32"/>
          <w:szCs w:val="32"/>
          <w:shd w:val="clear" w:fill="FFFFFF"/>
          <w:lang w:val="en-US" w:eastAsia="zh-CN"/>
        </w:rPr>
        <w:t>局</w:t>
      </w:r>
      <w:r>
        <w:rPr>
          <w:rFonts w:hint="default" w:ascii="仿宋_GB2312" w:hAnsi="Times New Roman" w:eastAsia="仿宋_GB2312" w:cs="仿宋_GB2312"/>
          <w:i w:val="0"/>
          <w:iCs w:val="0"/>
          <w:caps w:val="0"/>
          <w:color w:val="000000"/>
          <w:spacing w:val="0"/>
          <w:sz w:val="32"/>
          <w:szCs w:val="32"/>
          <w:shd w:val="clear" w:fill="FFFFFF"/>
        </w:rPr>
        <w:t>严格按照年初预算安排</w:t>
      </w:r>
      <w:r>
        <w:rPr>
          <w:rFonts w:hint="eastAsia" w:ascii="仿宋_GB2312"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shd w:val="clear" w:fill="FFFFFF"/>
        </w:rPr>
        <w:t>严格执行中央八项规定和</w:t>
      </w:r>
      <w:r>
        <w:rPr>
          <w:rFonts w:hint="eastAsia" w:ascii="仿宋_GB2312" w:hAnsi="Times New Roman" w:eastAsia="仿宋_GB2312" w:cs="仿宋_GB2312"/>
          <w:i w:val="0"/>
          <w:iCs w:val="0"/>
          <w:caps w:val="0"/>
          <w:color w:val="000000"/>
          <w:spacing w:val="0"/>
          <w:sz w:val="32"/>
          <w:szCs w:val="32"/>
          <w:shd w:val="clear" w:fill="FFFFFF"/>
          <w:lang w:eastAsia="zh-CN"/>
        </w:rPr>
        <w:t>市</w:t>
      </w:r>
      <w:r>
        <w:rPr>
          <w:rFonts w:hint="default" w:ascii="仿宋_GB2312" w:hAnsi="Times New Roman" w:eastAsia="仿宋_GB2312" w:cs="仿宋_GB2312"/>
          <w:i w:val="0"/>
          <w:iCs w:val="0"/>
          <w:caps w:val="0"/>
          <w:color w:val="000000"/>
          <w:spacing w:val="0"/>
          <w:sz w:val="32"/>
          <w:szCs w:val="32"/>
          <w:shd w:val="clear" w:fill="FFFFFF"/>
        </w:rPr>
        <w:t>、</w:t>
      </w:r>
      <w:r>
        <w:rPr>
          <w:rFonts w:hint="eastAsia" w:ascii="仿宋_GB2312" w:hAnsi="Times New Roman" w:eastAsia="仿宋_GB2312" w:cs="仿宋_GB2312"/>
          <w:i w:val="0"/>
          <w:iCs w:val="0"/>
          <w:caps w:val="0"/>
          <w:color w:val="000000"/>
          <w:spacing w:val="0"/>
          <w:sz w:val="32"/>
          <w:szCs w:val="32"/>
          <w:shd w:val="clear" w:fill="FFFFFF"/>
          <w:lang w:eastAsia="zh-CN"/>
        </w:rPr>
        <w:t>区</w:t>
      </w:r>
      <w:r>
        <w:rPr>
          <w:rFonts w:hint="default" w:ascii="仿宋_GB2312" w:hAnsi="Times New Roman" w:eastAsia="仿宋_GB2312" w:cs="仿宋_GB2312"/>
          <w:i w:val="0"/>
          <w:iCs w:val="0"/>
          <w:caps w:val="0"/>
          <w:color w:val="000000"/>
          <w:spacing w:val="0"/>
          <w:sz w:val="32"/>
          <w:szCs w:val="32"/>
          <w:shd w:val="clear" w:fill="FFFFFF"/>
        </w:rPr>
        <w:t>十项规定</w:t>
      </w:r>
      <w:r>
        <w:rPr>
          <w:rFonts w:hint="eastAsia" w:ascii="仿宋_GB2312"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shd w:val="clear" w:fill="FFFFFF"/>
        </w:rPr>
        <w:t>厉行节约规范使用预算资金。收入上，严格执行 </w:t>
      </w:r>
      <w:r>
        <w:rPr>
          <w:rFonts w:hint="eastAsia" w:ascii="仿宋_GB2312"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shd w:val="clear" w:fill="FFFFFF"/>
        </w:rPr>
        <w:t>收支两条线</w:t>
      </w:r>
      <w:r>
        <w:rPr>
          <w:rFonts w:hint="eastAsia" w:ascii="仿宋_GB2312"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shd w:val="clear" w:fill="FFFFFF"/>
        </w:rPr>
        <w:t>管理制度，在支出管理中</w:t>
      </w:r>
      <w:r>
        <w:rPr>
          <w:rFonts w:hint="eastAsia" w:ascii="仿宋_GB2312"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shd w:val="clear" w:fill="FFFFFF"/>
        </w:rPr>
        <w:t> 认真执行国库集中支付、政府采购、公务卡报销、重点工作和大额支付上会集体决策等相关财务管理制度。认真做好每月与银行、财政国库的对账工作，加强动态监控，保障机关各项工作顺利开展。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二是</w:t>
      </w:r>
      <w:r>
        <w:rPr>
          <w:rFonts w:hint="default" w:ascii="仿宋_GB2312" w:hAnsi="Times New Roman" w:eastAsia="仿宋_GB2312" w:cs="仿宋_GB2312"/>
          <w:i w:val="0"/>
          <w:iCs w:val="0"/>
          <w:caps w:val="0"/>
          <w:color w:val="000000"/>
          <w:spacing w:val="0"/>
          <w:sz w:val="32"/>
          <w:szCs w:val="32"/>
          <w:shd w:val="clear" w:fill="FFFFFF"/>
        </w:rPr>
        <w:t>应返还额度情况。20</w:t>
      </w:r>
      <w:r>
        <w:rPr>
          <w:rFonts w:hint="eastAsia" w:ascii="仿宋_GB2312" w:hAnsi="Times New Roman" w:eastAsia="仿宋_GB2312" w:cs="仿宋_GB2312"/>
          <w:i w:val="0"/>
          <w:iCs w:val="0"/>
          <w:caps w:val="0"/>
          <w:color w:val="000000"/>
          <w:spacing w:val="0"/>
          <w:sz w:val="32"/>
          <w:szCs w:val="32"/>
          <w:shd w:val="clear" w:fill="FFFFFF"/>
          <w:lang w:val="en-US" w:eastAsia="zh-CN"/>
        </w:rPr>
        <w:t>21</w:t>
      </w:r>
      <w:r>
        <w:rPr>
          <w:rFonts w:hint="default" w:ascii="仿宋_GB2312" w:hAnsi="Times New Roman" w:eastAsia="仿宋_GB2312" w:cs="仿宋_GB2312"/>
          <w:i w:val="0"/>
          <w:iCs w:val="0"/>
          <w:caps w:val="0"/>
          <w:color w:val="000000"/>
          <w:spacing w:val="0"/>
          <w:sz w:val="32"/>
          <w:szCs w:val="32"/>
          <w:shd w:val="clear" w:fill="FFFFFF"/>
        </w:rPr>
        <w:t>年，我</w:t>
      </w:r>
      <w:r>
        <w:rPr>
          <w:rFonts w:hint="eastAsia" w:ascii="仿宋_GB2312" w:eastAsia="仿宋_GB2312" w:cs="仿宋_GB2312"/>
          <w:i w:val="0"/>
          <w:iCs w:val="0"/>
          <w:caps w:val="0"/>
          <w:color w:val="000000"/>
          <w:spacing w:val="0"/>
          <w:sz w:val="32"/>
          <w:szCs w:val="32"/>
          <w:shd w:val="clear" w:fill="FFFFFF"/>
          <w:lang w:val="en-US" w:eastAsia="zh-CN"/>
        </w:rPr>
        <w:t>局</w:t>
      </w:r>
      <w:r>
        <w:rPr>
          <w:rFonts w:hint="default" w:ascii="仿宋_GB2312" w:hAnsi="Times New Roman" w:eastAsia="仿宋_GB2312" w:cs="仿宋_GB2312"/>
          <w:i w:val="0"/>
          <w:iCs w:val="0"/>
          <w:caps w:val="0"/>
          <w:color w:val="000000"/>
          <w:spacing w:val="0"/>
          <w:sz w:val="32"/>
          <w:szCs w:val="32"/>
          <w:shd w:val="clear" w:fill="FFFFFF"/>
        </w:rPr>
        <w:t>形成的财政应返还额度</w:t>
      </w:r>
      <w:r>
        <w:rPr>
          <w:rFonts w:hint="eastAsia" w:ascii="仿宋_GB2312" w:eastAsia="仿宋_GB2312" w:cs="仿宋_GB2312"/>
          <w:i w:val="0"/>
          <w:iCs w:val="0"/>
          <w:caps w:val="0"/>
          <w:color w:val="000000"/>
          <w:spacing w:val="0"/>
          <w:sz w:val="32"/>
          <w:szCs w:val="32"/>
          <w:shd w:val="clear" w:fill="FFFFFF"/>
          <w:lang w:val="en-US" w:eastAsia="zh-CN"/>
        </w:rPr>
        <w:t>1981.81</w:t>
      </w:r>
      <w:r>
        <w:rPr>
          <w:rFonts w:hint="default" w:ascii="仿宋_GB2312" w:hAnsi="Times New Roman" w:eastAsia="仿宋_GB2312" w:cs="仿宋_GB2312"/>
          <w:i w:val="0"/>
          <w:iCs w:val="0"/>
          <w:caps w:val="0"/>
          <w:color w:val="000000"/>
          <w:spacing w:val="0"/>
          <w:sz w:val="32"/>
          <w:szCs w:val="32"/>
          <w:shd w:val="clear" w:fill="FFFFFF"/>
        </w:rPr>
        <w:t>万元</w:t>
      </w:r>
      <w:r>
        <w:rPr>
          <w:rFonts w:hint="eastAsia" w:ascii="仿宋_GB2312" w:eastAsia="仿宋_GB2312" w:cs="仿宋_GB2312"/>
          <w:i w:val="0"/>
          <w:iCs w:val="0"/>
          <w:caps w:val="0"/>
          <w:color w:val="000000"/>
          <w:spacing w:val="0"/>
          <w:sz w:val="32"/>
          <w:szCs w:val="32"/>
          <w:shd w:val="clear" w:fill="FFFFFF"/>
          <w:lang w:eastAsia="zh-CN"/>
        </w:rPr>
        <w:t>，</w:t>
      </w:r>
      <w:r>
        <w:rPr>
          <w:rFonts w:hint="default" w:ascii="仿宋_GB2312" w:hAnsi="Times New Roman" w:eastAsia="仿宋_GB2312" w:cs="仿宋_GB2312"/>
          <w:i w:val="0"/>
          <w:iCs w:val="0"/>
          <w:caps w:val="0"/>
          <w:color w:val="000000"/>
          <w:spacing w:val="0"/>
          <w:sz w:val="32"/>
          <w:szCs w:val="32"/>
          <w:shd w:val="clear" w:fill="FFFFFF"/>
        </w:rPr>
        <w:t>形成的主要原因：</w:t>
      </w:r>
      <w:r>
        <w:rPr>
          <w:rFonts w:hint="eastAsia" w:ascii="仿宋_GB2312" w:hAnsi="Times New Roman" w:eastAsia="仿宋_GB2312" w:cs="仿宋_GB2312"/>
          <w:i w:val="0"/>
          <w:iCs w:val="0"/>
          <w:caps w:val="0"/>
          <w:color w:val="000000"/>
          <w:spacing w:val="0"/>
          <w:sz w:val="32"/>
          <w:szCs w:val="32"/>
          <w:shd w:val="clear" w:fill="FFFFFF"/>
          <w:lang w:eastAsia="zh-CN"/>
        </w:rPr>
        <w:t>日常公用经费</w:t>
      </w:r>
      <w:r>
        <w:rPr>
          <w:rFonts w:hint="eastAsia" w:ascii="仿宋_GB2312" w:eastAsia="仿宋_GB2312" w:cs="仿宋_GB2312"/>
          <w:i w:val="0"/>
          <w:iCs w:val="0"/>
          <w:caps w:val="0"/>
          <w:color w:val="000000"/>
          <w:spacing w:val="0"/>
          <w:sz w:val="32"/>
          <w:szCs w:val="32"/>
          <w:shd w:val="clear" w:fill="FFFFFF"/>
          <w:lang w:val="en-US" w:eastAsia="zh-CN"/>
        </w:rPr>
        <w:t>和项目</w:t>
      </w:r>
      <w:r>
        <w:rPr>
          <w:rFonts w:hint="eastAsia" w:ascii="仿宋_GB2312" w:hAnsi="Times New Roman" w:eastAsia="仿宋_GB2312" w:cs="仿宋_GB2312"/>
          <w:i w:val="0"/>
          <w:iCs w:val="0"/>
          <w:caps w:val="0"/>
          <w:color w:val="000000"/>
          <w:spacing w:val="0"/>
          <w:sz w:val="32"/>
          <w:szCs w:val="32"/>
          <w:shd w:val="clear" w:fill="FFFFFF"/>
          <w:lang w:eastAsia="zh-CN"/>
        </w:rPr>
        <w:t>结余，</w:t>
      </w:r>
      <w:r>
        <w:rPr>
          <w:rFonts w:hint="eastAsia" w:ascii="仿宋_GB2312" w:eastAsia="仿宋_GB2312" w:cs="仿宋_GB2312"/>
          <w:i w:val="0"/>
          <w:iCs w:val="0"/>
          <w:caps w:val="0"/>
          <w:color w:val="000000"/>
          <w:spacing w:val="0"/>
          <w:sz w:val="32"/>
          <w:szCs w:val="32"/>
          <w:shd w:val="clear" w:fill="FFFFFF"/>
          <w:lang w:val="en-US" w:eastAsia="zh-CN"/>
        </w:rPr>
        <w:t>部分项目未达到付款条件。</w:t>
      </w:r>
    </w:p>
    <w:p>
      <w:pPr>
        <w:pStyle w:val="2"/>
        <w:keepNext w:val="0"/>
        <w:keepLines w:val="0"/>
        <w:pageBreakBefore w:val="0"/>
        <w:kinsoku/>
        <w:wordWrap/>
        <w:overflowPunct/>
        <w:topLinePunct w:val="0"/>
        <w:autoSpaceDE/>
        <w:autoSpaceDN/>
        <w:bidi w:val="0"/>
        <w:spacing w:beforeLines="0"/>
        <w:ind w:left="0" w:leftChars="0" w:firstLine="640" w:firstLineChars="200"/>
        <w:textAlignment w:val="auto"/>
        <w:rPr>
          <w:rFonts w:hint="eastAsia" w:ascii="仿宋" w:hAnsi="仿宋" w:eastAsia="仿宋" w:cs="仿宋"/>
          <w:color w:val="000000"/>
          <w:sz w:val="32"/>
          <w:szCs w:val="32"/>
          <w:lang w:eastAsia="zh-CN"/>
        </w:rPr>
      </w:pPr>
      <w:r>
        <w:rPr>
          <w:rFonts w:hint="default" w:ascii="仿宋_GB2312" w:hAnsi="宋体" w:eastAsia="仿宋_GB2312" w:cs="仿宋_GB2312"/>
          <w:i w:val="0"/>
          <w:iCs w:val="0"/>
          <w:caps w:val="0"/>
          <w:color w:val="000000"/>
          <w:spacing w:val="0"/>
          <w:sz w:val="32"/>
          <w:szCs w:val="32"/>
          <w:shd w:val="clear" w:fill="FFFFFF"/>
        </w:rPr>
        <w:t>三是“三公”经费预算执行情况。我</w:t>
      </w:r>
      <w:r>
        <w:rPr>
          <w:rFonts w:hint="eastAsia" w:ascii="仿宋_GB2312" w:hAnsi="宋体" w:eastAsia="仿宋_GB2312" w:cs="仿宋_GB2312"/>
          <w:i w:val="0"/>
          <w:iCs w:val="0"/>
          <w:caps w:val="0"/>
          <w:color w:val="000000"/>
          <w:spacing w:val="0"/>
          <w:sz w:val="32"/>
          <w:szCs w:val="32"/>
          <w:shd w:val="clear" w:fill="FFFFFF"/>
          <w:lang w:val="en-US" w:eastAsia="zh-CN"/>
        </w:rPr>
        <w:t>局</w:t>
      </w:r>
      <w:r>
        <w:rPr>
          <w:rFonts w:hint="default" w:ascii="仿宋_GB2312" w:hAnsi="宋体" w:eastAsia="仿宋_GB2312" w:cs="仿宋_GB2312"/>
          <w:i w:val="0"/>
          <w:iCs w:val="0"/>
          <w:caps w:val="0"/>
          <w:color w:val="000000"/>
          <w:spacing w:val="0"/>
          <w:sz w:val="32"/>
          <w:szCs w:val="32"/>
          <w:shd w:val="clear" w:fill="FFFFFF"/>
        </w:rPr>
        <w:t>严格按照中央省市</w:t>
      </w:r>
      <w:r>
        <w:rPr>
          <w:rFonts w:hint="eastAsia" w:ascii="仿宋_GB2312" w:hAnsi="宋体" w:eastAsia="仿宋_GB2312" w:cs="仿宋_GB2312"/>
          <w:i w:val="0"/>
          <w:iCs w:val="0"/>
          <w:caps w:val="0"/>
          <w:color w:val="000000"/>
          <w:spacing w:val="0"/>
          <w:sz w:val="32"/>
          <w:szCs w:val="32"/>
          <w:shd w:val="clear" w:fill="FFFFFF"/>
          <w:lang w:eastAsia="zh-CN"/>
        </w:rPr>
        <w:t>、区</w:t>
      </w:r>
      <w:r>
        <w:rPr>
          <w:rFonts w:hint="default" w:ascii="仿宋_GB2312" w:hAnsi="宋体" w:eastAsia="仿宋_GB2312" w:cs="仿宋_GB2312"/>
          <w:i w:val="0"/>
          <w:iCs w:val="0"/>
          <w:caps w:val="0"/>
          <w:color w:val="000000"/>
          <w:spacing w:val="0"/>
          <w:sz w:val="32"/>
          <w:szCs w:val="32"/>
          <w:shd w:val="clear" w:fill="FFFFFF"/>
        </w:rPr>
        <w:t>的相关文件要求</w:t>
      </w:r>
      <w:r>
        <w:rPr>
          <w:rFonts w:hint="eastAsia" w:ascii="仿宋_GB2312" w:hAnsi="宋体" w:eastAsia="仿宋_GB2312" w:cs="仿宋_GB2312"/>
          <w:i w:val="0"/>
          <w:iCs w:val="0"/>
          <w:caps w:val="0"/>
          <w:color w:val="000000"/>
          <w:spacing w:val="0"/>
          <w:sz w:val="32"/>
          <w:szCs w:val="32"/>
          <w:shd w:val="clear" w:fill="FFFFFF"/>
          <w:lang w:eastAsia="zh-CN"/>
        </w:rPr>
        <w:t>，</w:t>
      </w:r>
      <w:r>
        <w:rPr>
          <w:rFonts w:hint="default" w:ascii="仿宋_GB2312" w:hAnsi="宋体" w:eastAsia="仿宋_GB2312" w:cs="仿宋_GB2312"/>
          <w:i w:val="0"/>
          <w:iCs w:val="0"/>
          <w:caps w:val="0"/>
          <w:color w:val="000000"/>
          <w:spacing w:val="0"/>
          <w:sz w:val="32"/>
          <w:szCs w:val="32"/>
          <w:shd w:val="clear" w:fill="FFFFFF"/>
        </w:rPr>
        <w:t> 严控“三公经费”支出。</w:t>
      </w:r>
      <w:r>
        <w:rPr>
          <w:rFonts w:hint="eastAsia" w:ascii="仿宋_GB2312" w:hAnsi="宋体" w:eastAsia="仿宋_GB2312" w:cs="仿宋_GB2312"/>
          <w:i w:val="0"/>
          <w:iCs w:val="0"/>
          <w:caps w:val="0"/>
          <w:color w:val="000000"/>
          <w:spacing w:val="0"/>
          <w:sz w:val="32"/>
          <w:szCs w:val="32"/>
          <w:shd w:val="clear" w:fill="FFFFFF"/>
          <w:lang w:val="en-US" w:eastAsia="zh-CN"/>
        </w:rPr>
        <w:t>2021</w:t>
      </w:r>
      <w:r>
        <w:rPr>
          <w:rFonts w:hint="default" w:ascii="仿宋_GB2312" w:hAnsi="宋体" w:eastAsia="仿宋_GB2312" w:cs="仿宋_GB2312"/>
          <w:i w:val="0"/>
          <w:iCs w:val="0"/>
          <w:caps w:val="0"/>
          <w:color w:val="000000"/>
          <w:spacing w:val="0"/>
          <w:sz w:val="32"/>
          <w:szCs w:val="32"/>
          <w:shd w:val="clear" w:fill="FFFFFF"/>
        </w:rPr>
        <w:t>年因公出国（境）经费支出</w:t>
      </w:r>
      <w:r>
        <w:rPr>
          <w:rFonts w:hint="eastAsia" w:ascii="仿宋_GB2312" w:hAnsi="宋体" w:eastAsia="仿宋_GB2312" w:cs="仿宋_GB2312"/>
          <w:i w:val="0"/>
          <w:iCs w:val="0"/>
          <w:caps w:val="0"/>
          <w:color w:val="000000"/>
          <w:spacing w:val="0"/>
          <w:sz w:val="32"/>
          <w:szCs w:val="32"/>
          <w:shd w:val="clear" w:fill="FFFFFF"/>
          <w:lang w:val="en-US" w:eastAsia="zh-CN"/>
        </w:rPr>
        <w:t>0</w:t>
      </w:r>
      <w:r>
        <w:rPr>
          <w:rFonts w:hint="default" w:ascii="仿宋_GB2312" w:hAnsi="宋体" w:eastAsia="仿宋_GB2312" w:cs="仿宋_GB2312"/>
          <w:i w:val="0"/>
          <w:iCs w:val="0"/>
          <w:caps w:val="0"/>
          <w:color w:val="000000"/>
          <w:spacing w:val="0"/>
          <w:sz w:val="32"/>
          <w:szCs w:val="32"/>
          <w:shd w:val="clear" w:fill="FFFFFF"/>
        </w:rPr>
        <w:t>万元。全年安排因公出国（境）团组</w:t>
      </w:r>
      <w:r>
        <w:rPr>
          <w:rFonts w:hint="eastAsia" w:ascii="仿宋_GB2312" w:hAnsi="宋体" w:eastAsia="仿宋_GB2312" w:cs="仿宋_GB2312"/>
          <w:i w:val="0"/>
          <w:iCs w:val="0"/>
          <w:caps w:val="0"/>
          <w:color w:val="000000"/>
          <w:spacing w:val="0"/>
          <w:sz w:val="32"/>
          <w:szCs w:val="32"/>
          <w:shd w:val="clear" w:fill="FFFFFF"/>
          <w:lang w:val="en-US" w:eastAsia="zh-CN"/>
        </w:rPr>
        <w:t>0</w:t>
      </w:r>
      <w:r>
        <w:rPr>
          <w:rFonts w:hint="default" w:ascii="仿宋_GB2312" w:hAnsi="宋体" w:eastAsia="仿宋_GB2312" w:cs="仿宋_GB2312"/>
          <w:i w:val="0"/>
          <w:iCs w:val="0"/>
          <w:caps w:val="0"/>
          <w:color w:val="000000"/>
          <w:spacing w:val="0"/>
          <w:sz w:val="32"/>
          <w:szCs w:val="32"/>
          <w:shd w:val="clear" w:fill="FFFFFF"/>
        </w:rPr>
        <w:t>次，出国（境）</w:t>
      </w:r>
      <w:r>
        <w:rPr>
          <w:rFonts w:hint="eastAsia" w:ascii="仿宋_GB2312" w:hAnsi="宋体" w:eastAsia="仿宋_GB2312" w:cs="仿宋_GB2312"/>
          <w:i w:val="0"/>
          <w:iCs w:val="0"/>
          <w:caps w:val="0"/>
          <w:color w:val="000000"/>
          <w:spacing w:val="0"/>
          <w:sz w:val="32"/>
          <w:szCs w:val="32"/>
          <w:shd w:val="clear" w:fill="FFFFFF"/>
          <w:lang w:val="en-US" w:eastAsia="zh-CN"/>
        </w:rPr>
        <w:t>0</w:t>
      </w:r>
      <w:r>
        <w:rPr>
          <w:rFonts w:hint="default" w:ascii="仿宋_GB2312" w:hAnsi="宋体" w:eastAsia="仿宋_GB2312" w:cs="仿宋_GB2312"/>
          <w:i w:val="0"/>
          <w:iCs w:val="0"/>
          <w:caps w:val="0"/>
          <w:color w:val="000000"/>
          <w:spacing w:val="0"/>
          <w:sz w:val="32"/>
          <w:szCs w:val="32"/>
          <w:shd w:val="clear" w:fill="FFFFFF"/>
        </w:rPr>
        <w:t>人。</w:t>
      </w:r>
      <w:r>
        <w:rPr>
          <w:rFonts w:hint="eastAsia" w:ascii="仿宋_GB2312" w:hAnsi="宋体" w:eastAsia="仿宋_GB2312" w:cs="仿宋_GB2312"/>
          <w:i w:val="0"/>
          <w:iCs w:val="0"/>
          <w:caps w:val="0"/>
          <w:color w:val="000000"/>
          <w:spacing w:val="0"/>
          <w:sz w:val="32"/>
          <w:szCs w:val="32"/>
          <w:shd w:val="clear" w:fill="FFFFFF"/>
          <w:lang w:val="en-US" w:eastAsia="zh-CN"/>
        </w:rPr>
        <w:t>2021</w:t>
      </w:r>
      <w:r>
        <w:rPr>
          <w:rFonts w:hint="default" w:ascii="仿宋_GB2312" w:hAnsi="宋体" w:eastAsia="仿宋_GB2312" w:cs="仿宋_GB2312"/>
          <w:i w:val="0"/>
          <w:iCs w:val="0"/>
          <w:caps w:val="0"/>
          <w:color w:val="000000"/>
          <w:spacing w:val="0"/>
          <w:sz w:val="32"/>
          <w:szCs w:val="32"/>
          <w:shd w:val="clear" w:fill="FFFFFF"/>
        </w:rPr>
        <w:t>年公务用车购置及运行维护费支出</w:t>
      </w:r>
      <w:r>
        <w:rPr>
          <w:rFonts w:hint="eastAsia" w:ascii="仿宋_GB2312" w:hAnsi="宋体" w:eastAsia="仿宋_GB2312" w:cs="仿宋_GB2312"/>
          <w:i w:val="0"/>
          <w:iCs w:val="0"/>
          <w:caps w:val="0"/>
          <w:color w:val="000000"/>
          <w:spacing w:val="0"/>
          <w:sz w:val="32"/>
          <w:szCs w:val="32"/>
          <w:shd w:val="clear" w:fill="FFFFFF"/>
          <w:lang w:val="en-US" w:eastAsia="zh-CN"/>
        </w:rPr>
        <w:t>0</w:t>
      </w:r>
      <w:r>
        <w:rPr>
          <w:rFonts w:hint="default" w:ascii="仿宋_GB2312" w:hAnsi="宋体" w:eastAsia="仿宋_GB2312" w:cs="仿宋_GB2312"/>
          <w:i w:val="0"/>
          <w:iCs w:val="0"/>
          <w:caps w:val="0"/>
          <w:color w:val="000000"/>
          <w:spacing w:val="0"/>
          <w:sz w:val="32"/>
          <w:szCs w:val="32"/>
          <w:shd w:val="clear" w:fill="FFFFFF"/>
        </w:rPr>
        <w:t>万元。20</w:t>
      </w:r>
      <w:r>
        <w:rPr>
          <w:rFonts w:hint="eastAsia" w:ascii="仿宋_GB2312" w:hAnsi="宋体" w:eastAsia="仿宋_GB2312" w:cs="仿宋_GB2312"/>
          <w:i w:val="0"/>
          <w:iCs w:val="0"/>
          <w:caps w:val="0"/>
          <w:color w:val="000000"/>
          <w:spacing w:val="0"/>
          <w:sz w:val="32"/>
          <w:szCs w:val="32"/>
          <w:shd w:val="clear" w:fill="FFFFFF"/>
          <w:lang w:val="en-US" w:eastAsia="zh-CN"/>
        </w:rPr>
        <w:t>21</w:t>
      </w:r>
      <w:r>
        <w:rPr>
          <w:rFonts w:hint="default" w:ascii="仿宋_GB2312" w:hAnsi="宋体" w:eastAsia="仿宋_GB2312" w:cs="仿宋_GB2312"/>
          <w:i w:val="0"/>
          <w:iCs w:val="0"/>
          <w:caps w:val="0"/>
          <w:color w:val="000000"/>
          <w:spacing w:val="0"/>
          <w:sz w:val="32"/>
          <w:szCs w:val="32"/>
          <w:shd w:val="clear" w:fill="FFFFFF"/>
        </w:rPr>
        <w:t>年公务接待费支出</w:t>
      </w:r>
      <w:r>
        <w:rPr>
          <w:rFonts w:hint="eastAsia" w:ascii="仿宋" w:hAnsi="仿宋" w:eastAsia="仿宋"/>
          <w:color w:val="auto"/>
          <w:sz w:val="32"/>
          <w:szCs w:val="32"/>
          <w:highlight w:val="none"/>
          <w:lang w:val="en-US" w:eastAsia="zh-CN"/>
        </w:rPr>
        <w:t>5.39</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71</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655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5.39</w:t>
      </w:r>
      <w:r>
        <w:rPr>
          <w:rFonts w:hint="eastAsia" w:ascii="仿宋_GB2312" w:eastAsia="仿宋_GB2312"/>
          <w:color w:val="auto"/>
          <w:sz w:val="32"/>
          <w:szCs w:val="32"/>
          <w:highlight w:val="none"/>
        </w:rPr>
        <w:t>万元，具体内容包括：</w:t>
      </w:r>
      <w:r>
        <w:rPr>
          <w:rFonts w:hint="eastAsia" w:ascii="仿宋" w:hAnsi="仿宋" w:eastAsia="仿宋" w:cs="仿宋"/>
          <w:color w:val="000000"/>
          <w:sz w:val="32"/>
          <w:szCs w:val="32"/>
        </w:rPr>
        <w:t>主要用于省级部门工作检查、其他市区局及市内各县、区局学习交流、衔接相关业务等其他工作</w:t>
      </w:r>
      <w:r>
        <w:rPr>
          <w:rFonts w:hint="eastAsia" w:ascii="仿宋" w:hAnsi="仿宋" w:eastAsia="仿宋" w:cs="仿宋"/>
          <w:color w:val="000000"/>
          <w:sz w:val="32"/>
          <w:szCs w:val="32"/>
          <w:lang w:eastAsia="zh-CN"/>
        </w:rPr>
        <w:t>。</w:t>
      </w:r>
    </w:p>
    <w:p>
      <w:pPr>
        <w:keepNext w:val="0"/>
        <w:keepLines w:val="0"/>
        <w:pageBreakBefore w:val="0"/>
        <w:tabs>
          <w:tab w:val="left" w:pos="312"/>
        </w:tabs>
        <w:kinsoku/>
        <w:wordWrap/>
        <w:overflowPunct/>
        <w:topLinePunct w:val="0"/>
        <w:autoSpaceDE/>
        <w:autoSpaceDN/>
        <w:bidi w:val="0"/>
        <w:spacing w:line="560" w:lineRule="exact"/>
        <w:ind w:firstLine="480" w:firstLineChars="150"/>
        <w:textAlignment w:val="auto"/>
        <w:rPr>
          <w:rFonts w:hint="eastAsia" w:ascii="方正仿宋简体" w:hAnsi="宋体" w:eastAsia="方正仿宋简体" w:cs="宋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（二）结果应用情况</w:t>
      </w:r>
    </w:p>
    <w:p>
      <w:pPr>
        <w:keepNext w:val="0"/>
        <w:keepLines w:val="0"/>
        <w:pageBreakBefore w:val="0"/>
        <w:kinsoku/>
        <w:wordWrap/>
        <w:overflowPunct/>
        <w:topLinePunct w:val="0"/>
        <w:autoSpaceDE/>
        <w:autoSpaceDN/>
        <w:bidi w:val="0"/>
        <w:spacing w:line="560" w:lineRule="exact"/>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1.债务管理。严格执行“收支两条线”管理，防止挤占、挪用专项资金，形成事实债务。严格控制项目投资，杜绝隐性债务发生。严格执行预算，杜绝超支现象发生。我单位无债务发生。</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 w:hAnsi="仿宋" w:eastAsia="仿宋" w:cs="仿宋"/>
          <w:color w:val="auto"/>
          <w:kern w:val="2"/>
          <w:sz w:val="32"/>
          <w:szCs w:val="32"/>
          <w:lang w:val="en-US" w:eastAsia="zh-CN" w:bidi="ar-SA"/>
        </w:rPr>
      </w:pPr>
      <w:r>
        <w:rPr>
          <w:rFonts w:hint="eastAsia" w:ascii="仿宋_GB2312" w:hAnsi="华文仿宋" w:eastAsia="仿宋_GB2312" w:cs="Times New Roman"/>
          <w:color w:val="282828"/>
          <w:sz w:val="32"/>
          <w:szCs w:val="32"/>
          <w:lang w:eastAsia="zh-CN"/>
        </w:rPr>
        <w:t>2.政府采购。各类项目资金严格按照相关法规和政策执行，</w:t>
      </w:r>
      <w:r>
        <w:rPr>
          <w:rFonts w:hint="eastAsia" w:ascii="仿宋_GB2312" w:hAnsi="华文仿宋" w:eastAsia="仿宋_GB2312" w:cs="Times New Roman"/>
          <w:color w:val="282828"/>
          <w:sz w:val="32"/>
          <w:szCs w:val="32"/>
          <w:lang w:val="en-US" w:eastAsia="zh-CN"/>
        </w:rPr>
        <w:t>严格落实各项有关采购的管理规定，严格把控采购项目的申报、比选、审核、审查、审批等流程，确保了采购活动严格按照采购预算和计划实施，采购方式、采购程序及款项支付符合相关规定。</w:t>
      </w:r>
    </w:p>
    <w:p>
      <w:pPr>
        <w:keepNext w:val="0"/>
        <w:keepLines w:val="0"/>
        <w:pageBreakBefore w:val="0"/>
        <w:kinsoku/>
        <w:wordWrap/>
        <w:overflowPunct/>
        <w:topLinePunct w:val="0"/>
        <w:autoSpaceDE/>
        <w:autoSpaceDN/>
        <w:bidi w:val="0"/>
        <w:spacing w:line="560" w:lineRule="exact"/>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3.资产管理。进一步规范了各类资产的购置审批、采购、使用、出租出借、处置、报废等管理制度。对单位公共财产物资实行统一管理、统一调配，并按使用人建立了资产实物管理台账，实行使用、保管登记制度。同时所有资产纳入资产信息系统和会计核算平台，及时准确反映资产增减变动情况，做到账卡相符、账账相符、账实相符，每年底还要对财产物资进行清查、盘点、核对、处置，确保资产信息清晰完整真实。</w:t>
      </w:r>
    </w:p>
    <w:p>
      <w:pPr>
        <w:keepNext w:val="0"/>
        <w:keepLines w:val="0"/>
        <w:pageBreakBefore w:val="0"/>
        <w:kinsoku/>
        <w:wordWrap/>
        <w:overflowPunct/>
        <w:topLinePunct w:val="0"/>
        <w:autoSpaceDE/>
        <w:autoSpaceDN/>
        <w:bidi w:val="0"/>
        <w:spacing w:line="560" w:lineRule="exact"/>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4.内控制度管理。进一步修订、完善了内控制度。通过查找、梳理、评估项目管理工作中的各类风险，制定了一系列制度、流程、程序和方法，对工作的风险点进行事前防范、事中控制、事后监督和纠正的动态监管和控制。同时，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严格遵守廉洁从政规定，防范舞弊和预防腐败；严格执行建设项目有关法律法规，提高项目资金的安全性、规范性、有效性。通过内控制度保障我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各项工作合法、合规、安全、高效运转，全方位地服务于我区</w:t>
      </w:r>
      <w:r>
        <w:rPr>
          <w:rFonts w:hint="eastAsia" w:ascii="仿宋_GB2312" w:hAnsi="华文仿宋" w:eastAsia="仿宋_GB2312" w:cs="Times New Roman"/>
          <w:color w:val="282828"/>
          <w:sz w:val="32"/>
          <w:szCs w:val="32"/>
          <w:lang w:val="en-US" w:eastAsia="zh-CN"/>
        </w:rPr>
        <w:t>自然资源</w:t>
      </w:r>
      <w:r>
        <w:rPr>
          <w:rFonts w:hint="eastAsia" w:ascii="仿宋_GB2312" w:hAnsi="华文仿宋" w:eastAsia="仿宋_GB2312" w:cs="Times New Roman"/>
          <w:color w:val="282828"/>
          <w:sz w:val="32"/>
          <w:szCs w:val="32"/>
          <w:lang w:eastAsia="zh-CN"/>
        </w:rPr>
        <w:t>事业发展。</w:t>
      </w:r>
    </w:p>
    <w:p>
      <w:pPr>
        <w:keepNext w:val="0"/>
        <w:keepLines w:val="0"/>
        <w:pageBreakBefore w:val="0"/>
        <w:kinsoku/>
        <w:wordWrap/>
        <w:overflowPunct/>
        <w:topLinePunct w:val="0"/>
        <w:autoSpaceDE/>
        <w:autoSpaceDN/>
        <w:bidi w:val="0"/>
        <w:spacing w:line="560" w:lineRule="exact"/>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5.信息公开（包括预算、决算、政府采购信息、绩效目标、绩效自评等信息公开）。政府财政信息公开是构建现代公共财政体系的必然要求。保障人民群众对政府财政信息的知情权，满足人民群众参与监督政府行为的需求。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严格按照相关要求，在指定时间、指定网站、及时公开了指定公开内容，在公开的实效与时效上都严格与相关部门要求保持一致。</w:t>
      </w:r>
    </w:p>
    <w:p>
      <w:pPr>
        <w:keepNext w:val="0"/>
        <w:keepLines w:val="0"/>
        <w:pageBreakBefore w:val="0"/>
        <w:tabs>
          <w:tab w:val="left" w:pos="312"/>
        </w:tabs>
        <w:kinsoku/>
        <w:wordWrap/>
        <w:overflowPunct/>
        <w:topLinePunct w:val="0"/>
        <w:autoSpaceDE/>
        <w:autoSpaceDN/>
        <w:bidi w:val="0"/>
        <w:spacing w:line="560" w:lineRule="exact"/>
        <w:ind w:firstLine="640" w:firstLineChars="200"/>
        <w:textAlignment w:val="auto"/>
        <w:rPr>
          <w:rFonts w:hint="eastAsia" w:ascii="楷体" w:hAnsi="楷体" w:eastAsia="楷体" w:cs="楷体"/>
          <w:color w:val="000000"/>
          <w:kern w:val="0"/>
          <w:sz w:val="32"/>
          <w:szCs w:val="32"/>
          <w:shd w:val="clear" w:color="auto" w:fill="FFFFFF"/>
          <w:lang w:val="zh-CN"/>
        </w:rPr>
      </w:pPr>
      <w:r>
        <w:rPr>
          <w:rFonts w:hint="eastAsia" w:ascii="楷体" w:hAnsi="楷体" w:eastAsia="楷体" w:cs="楷体"/>
          <w:color w:val="000000"/>
          <w:kern w:val="0"/>
          <w:sz w:val="32"/>
          <w:szCs w:val="32"/>
          <w:shd w:val="clear" w:color="auto" w:fill="FFFFFF"/>
          <w:lang w:val="zh-CN"/>
        </w:rPr>
        <w:t>（三）自评质量</w:t>
      </w:r>
    </w:p>
    <w:p>
      <w:pPr>
        <w:pStyle w:val="2"/>
        <w:keepNext w:val="0"/>
        <w:keepLines w:val="0"/>
        <w:pageBreakBefore w:val="0"/>
        <w:kinsoku/>
        <w:wordWrap/>
        <w:overflowPunct/>
        <w:topLinePunct w:val="0"/>
        <w:autoSpaceDE/>
        <w:autoSpaceDN/>
        <w:bidi w:val="0"/>
        <w:spacing w:beforeLines="0"/>
        <w:ind w:left="0" w:leftChars="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sz w:val="32"/>
          <w:szCs w:val="32"/>
          <w:lang w:val="zh-CN" w:eastAsia="zh-CN"/>
        </w:rPr>
        <w:t>按照202</w:t>
      </w: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年区级部门整体支出绩效评价指标体系，广元市</w:t>
      </w:r>
      <w:r>
        <w:rPr>
          <w:rFonts w:hint="eastAsia" w:ascii="仿宋" w:hAnsi="仿宋" w:eastAsia="仿宋" w:cs="仿宋"/>
          <w:sz w:val="32"/>
          <w:szCs w:val="32"/>
          <w:lang w:val="en-US" w:eastAsia="zh-CN"/>
        </w:rPr>
        <w:t>自然资源局利州区分局</w:t>
      </w:r>
      <w:r>
        <w:rPr>
          <w:rFonts w:hint="eastAsia" w:ascii="仿宋" w:hAnsi="仿宋" w:eastAsia="仿宋" w:cs="仿宋"/>
          <w:sz w:val="32"/>
          <w:szCs w:val="32"/>
          <w:lang w:val="zh-CN" w:eastAsia="zh-CN"/>
        </w:rPr>
        <w:t>年初设立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的绩效目标符合国家法律法规、国民经济和社会发展总体规划，符合部门“三定”方案确定的职能职责，符合部门中长期实施规划；绩效指标清晰、可量化，与部门年度的任务数相对应，与2021年预算资金相匹配；预算配置科学合理，预算执行积极有效，预算管理透明规范，资产管理安全高效，职责履行目标完成、质量达标，履职效益较好。严格执行财经制度和管理规定，按时完成预算执行进度，严格控制、合理利用各项经费，鼓励合法合规的经费开支，按要求进行预算管理，不断完善资产管理制度，提高了国有资产使用效益</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eastAsia="zh-CN"/>
        </w:rPr>
        <w:t>。</w:t>
      </w:r>
    </w:p>
    <w:p>
      <w:pPr>
        <w:bidi w:val="0"/>
        <w:ind w:firstLine="640" w:firstLineChars="200"/>
        <w:rPr>
          <w:rFonts w:hint="eastAsia" w:ascii="黑体" w:hAnsi="黑体" w:eastAsia="黑体" w:cs="黑体"/>
          <w:b w:val="0"/>
          <w:bCs w:val="0"/>
          <w:color w:val="282828"/>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 w:hAnsi="楷体" w:eastAsia="楷体" w:cs="楷体"/>
          <w:color w:val="000000"/>
          <w:kern w:val="0"/>
          <w:sz w:val="32"/>
          <w:szCs w:val="32"/>
          <w:shd w:val="clear" w:color="auto" w:fill="FFFFFF"/>
          <w:lang w:val="zh-CN" w:eastAsia="zh-CN"/>
        </w:rPr>
      </w:pPr>
      <w:r>
        <w:rPr>
          <w:rFonts w:hint="eastAsia" w:ascii="楷体" w:hAnsi="楷体" w:eastAsia="楷体" w:cs="楷体"/>
          <w:color w:val="000000"/>
          <w:kern w:val="0"/>
          <w:sz w:val="32"/>
          <w:szCs w:val="32"/>
          <w:shd w:val="clear" w:color="auto" w:fill="FFFFFF"/>
          <w:lang w:val="zh-CN" w:eastAsia="zh-CN"/>
        </w:rPr>
        <w:t>（一）自评结论</w:t>
      </w:r>
    </w:p>
    <w:p>
      <w:pPr>
        <w:keepNext w:val="0"/>
        <w:keepLines w:val="0"/>
        <w:pageBreakBefore w:val="0"/>
        <w:kinsoku/>
        <w:wordWrap/>
        <w:overflowPunct/>
        <w:topLinePunct w:val="0"/>
        <w:autoSpaceDE/>
        <w:autoSpaceDN/>
        <w:bidi w:val="0"/>
        <w:spacing w:line="560" w:lineRule="exact"/>
        <w:ind w:left="0" w:right="0" w:rightChars="0" w:firstLine="640" w:firstLineChars="200"/>
        <w:jc w:val="both"/>
        <w:textAlignment w:val="auto"/>
        <w:rPr>
          <w:rFonts w:hint="eastAsia" w:ascii="仿宋_GB2312" w:hAnsi="华文仿宋" w:eastAsia="仿宋_GB2312" w:cs="Times New Roman"/>
          <w:color w:val="282828"/>
          <w:sz w:val="32"/>
          <w:szCs w:val="32"/>
          <w:lang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强化预算执行监管和执行结果评价，将绩效管理渗透到预算管理的事前、事中、事后各个环节，有力地促进了预算绩效管理工作，圆满地完成了2021年预算绩效管理各项目工作。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 w:hAnsi="楷体" w:eastAsia="楷体" w:cs="楷体"/>
          <w:color w:val="000000"/>
          <w:kern w:val="0"/>
          <w:sz w:val="32"/>
          <w:szCs w:val="32"/>
          <w:shd w:val="clear" w:color="auto" w:fill="FFFFFF"/>
          <w:lang w:val="zh-CN" w:eastAsia="zh-CN"/>
        </w:rPr>
      </w:pPr>
      <w:r>
        <w:rPr>
          <w:rFonts w:hint="eastAsia" w:ascii="楷体" w:hAnsi="楷体" w:eastAsia="楷体" w:cs="楷体"/>
          <w:color w:val="000000"/>
          <w:kern w:val="0"/>
          <w:sz w:val="32"/>
          <w:szCs w:val="32"/>
          <w:shd w:val="clear" w:color="auto" w:fill="FFFFFF"/>
          <w:lang w:val="zh-CN" w:eastAsia="zh-CN"/>
        </w:rPr>
        <w:t>（二）存在问题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局预算绩效管理工作虽然取得了一些成绩，但也存在一些问题、不足之处，需要解决和完善。一是评价指标体系指标设置不精准。由于绩效评价涉及指标多，项目之间差异性大，目前虽然财政部门已明确一、二级指标体系，但真正能体现项目效果的三级指标，自行设置理解把握不准，不能很好地量化、细化部分指标，还不能完全满足目前绩效管理工作的需要。二是人员素质有待进一步提高。由于预算绩效管理工作开展时间较短，加之缺乏系统的业务培训，对预算绩效管理业务不了解、不熟悉，同时对预算绩效管理意识不够深，认识还有偏差、工作重点把握不到位，由此造成绩效评价工作还有差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 w:hAnsi="楷体" w:eastAsia="楷体" w:cs="楷体"/>
          <w:color w:val="000000"/>
          <w:kern w:val="0"/>
          <w:sz w:val="32"/>
          <w:szCs w:val="32"/>
          <w:shd w:val="clear" w:color="auto" w:fill="FFFFFF"/>
          <w:lang w:val="en-US" w:eastAsia="zh-CN"/>
        </w:rPr>
      </w:pPr>
      <w:r>
        <w:rPr>
          <w:rFonts w:hint="eastAsia" w:ascii="楷体" w:hAnsi="楷体" w:eastAsia="楷体" w:cs="楷体"/>
          <w:color w:val="000000"/>
          <w:kern w:val="0"/>
          <w:sz w:val="32"/>
          <w:szCs w:val="32"/>
          <w:shd w:val="clear" w:color="auto" w:fill="FFFFFF"/>
          <w:lang w:val="zh-CN"/>
        </w:rPr>
        <w:t>（</w:t>
      </w:r>
      <w:r>
        <w:rPr>
          <w:rFonts w:hint="eastAsia" w:ascii="楷体" w:hAnsi="楷体" w:eastAsia="楷体" w:cs="楷体"/>
          <w:color w:val="000000"/>
          <w:kern w:val="0"/>
          <w:sz w:val="32"/>
          <w:szCs w:val="32"/>
          <w:shd w:val="clear" w:color="auto" w:fill="FFFFFF"/>
          <w:lang w:val="en-US" w:eastAsia="zh-CN"/>
        </w:rPr>
        <w:t>三</w:t>
      </w:r>
      <w:r>
        <w:rPr>
          <w:rFonts w:hint="eastAsia" w:ascii="楷体" w:hAnsi="楷体" w:eastAsia="楷体" w:cs="楷体"/>
          <w:color w:val="000000"/>
          <w:kern w:val="0"/>
          <w:sz w:val="32"/>
          <w:szCs w:val="32"/>
          <w:shd w:val="clear" w:color="auto" w:fill="FFFFFF"/>
          <w:lang w:val="zh-CN"/>
        </w:rPr>
        <w:t>）改进建议</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加强评价指标体系建设。一是汇总梳理以前年度制定的指标，将符合当前预算绩效管理要求和行业管理特点的个性指标汇编成库；二是组织人员搜集整理先进省市制定出台的指标，进一步充实完善个性指标库；三是建立指标更新机制，将以后年度新制定的指标及时纳入指标库，做到随时更新、完善。</w:t>
      </w:r>
    </w:p>
    <w:p>
      <w:pPr>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以绩效评价结果为导向。建立绩效评价结果的反馈与整改、激励与约束制度，进一步完善绩效评价结果的运用机制。将评价结果作为安排以后年度项目资金的重要依据，将一些绩效评价结果不好的项目予以取消，对执行不力的要相应削减预算安排，切实发挥绩效评价工作的应有作用。</w:t>
      </w:r>
    </w:p>
    <w:p>
      <w:pPr>
        <w:keepNext w:val="0"/>
        <w:keepLines w:val="0"/>
        <w:pageBreakBefore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加强绩效管理培训和指导。采取集中学习、讲座、专题会议、自学等方式，加大对参与绩效管理工作的人员培训力度，进一步统一思想认识，充实业务知识，提升业务技能。同时要加大对绩效管理工作事前、事中、事后等各个环节的监管与指导。</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r>
        <w:rPr>
          <w:rFonts w:hint="eastAsia" w:ascii="宋体" w:hAnsi="宋体" w:eastAsia="宋体" w:cs="宋体"/>
          <w:bCs/>
          <w:sz w:val="44"/>
          <w:szCs w:val="44"/>
          <w:lang w:val="en-US" w:eastAsia="zh-CN"/>
        </w:rPr>
        <w:t>2020年第1、2批建设用地耕占税及滞纳金支出绩效自评报告</w:t>
      </w:r>
      <w:r>
        <w:rPr>
          <w:rFonts w:hint="eastAsia" w:asciiTheme="majorEastAsia" w:hAnsiTheme="majorEastAsia" w:eastAsiaTheme="majorEastAsia" w:cstheme="majorEastAsia"/>
          <w:sz w:val="44"/>
          <w:szCs w:val="44"/>
          <w:lang w:val="en-US" w:eastAsia="zh-CN"/>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cs="仿宋"/>
          <w:b w:val="0"/>
          <w:bCs w:val="0"/>
          <w:sz w:val="32"/>
          <w:szCs w:val="32"/>
          <w:lang w:val="en-US" w:eastAsia="zh-CN"/>
        </w:rPr>
        <w:t>202</w:t>
      </w:r>
      <w:r>
        <w:rPr>
          <w:rFonts w:hint="eastAsia" w:ascii="Times New Roman" w:hAnsi="Times New Roman" w:eastAsia="仿宋_GB2312" w:cs="Times New Roman"/>
          <w:sz w:val="32"/>
          <w:szCs w:val="32"/>
          <w:lang w:val="en-US" w:eastAsia="zh-CN"/>
        </w:rPr>
        <w:t>0年第1、2批建设用地耕占税及滞纳金</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，主要用于</w:t>
      </w:r>
      <w:r>
        <w:rPr>
          <w:rFonts w:hint="eastAsia" w:ascii="Times New Roman" w:hAnsi="Times New Roman" w:eastAsia="仿宋_GB2312" w:cs="Times New Roman"/>
          <w:sz w:val="32"/>
          <w:szCs w:val="32"/>
          <w:lang w:eastAsia="zh-CN"/>
        </w:rPr>
        <w:t>涉及</w:t>
      </w:r>
      <w:r>
        <w:rPr>
          <w:rFonts w:hint="default" w:ascii="Times New Roman" w:hAnsi="Times New Roman" w:eastAsia="仿宋_GB2312" w:cs="Times New Roman"/>
          <w:sz w:val="32"/>
          <w:szCs w:val="32"/>
        </w:rPr>
        <w:t>土地征收征用管理工作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承担报国务院和省、市政府审批的各类土地用途转用的审核、报批</w:t>
      </w:r>
      <w:r>
        <w:rPr>
          <w:rFonts w:hint="eastAsia" w:ascii="Times New Roman" w:hAnsi="Times New Roman" w:eastAsia="仿宋_GB2312" w:cs="Times New Roman"/>
          <w:sz w:val="32"/>
          <w:szCs w:val="32"/>
          <w:lang w:eastAsia="zh-CN"/>
        </w:rPr>
        <w:t>任务</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Times New Roman" w:hAnsi="Times New Roman" w:eastAsia="仿宋_GB2312" w:cs="Times New Roman"/>
          <w:sz w:val="32"/>
          <w:szCs w:val="32"/>
          <w:lang w:val="en-US" w:eastAsia="zh-CN"/>
        </w:rPr>
        <w:t>经局党组研究，</w:t>
      </w:r>
      <w:r>
        <w:rPr>
          <w:rFonts w:hint="eastAsia" w:ascii="仿宋" w:hAnsi="仿宋" w:eastAsia="仿宋" w:cs="仿宋"/>
          <w:b w:val="0"/>
          <w:bCs w:val="0"/>
          <w:sz w:val="32"/>
          <w:szCs w:val="32"/>
          <w:lang w:val="en-US" w:eastAsia="zh-CN"/>
        </w:rPr>
        <w:t>202</w:t>
      </w:r>
      <w:r>
        <w:rPr>
          <w:rFonts w:hint="eastAsia" w:ascii="Times New Roman" w:hAnsi="Times New Roman" w:eastAsia="仿宋_GB2312" w:cs="Times New Roman"/>
          <w:sz w:val="32"/>
          <w:szCs w:val="32"/>
          <w:lang w:val="en-US" w:eastAsia="zh-CN"/>
        </w:rPr>
        <w:t>0年第1、2批建设用地耕占税及滞纳金</w:t>
      </w:r>
      <w:r>
        <w:rPr>
          <w:rFonts w:hint="eastAsia" w:ascii="仿宋" w:hAnsi="仿宋" w:eastAsia="仿宋" w:cs="仿宋"/>
          <w:b w:val="0"/>
          <w:bCs w:val="0"/>
          <w:sz w:val="32"/>
          <w:szCs w:val="32"/>
          <w:lang w:val="en-US" w:eastAsia="zh-CN"/>
        </w:rPr>
        <w:t>项目经费用于</w:t>
      </w:r>
      <w:r>
        <w:rPr>
          <w:rFonts w:hint="eastAsia" w:ascii="仿宋_GB2312" w:hAnsi="仿宋_GB2312" w:eastAsia="仿宋_GB2312" w:cs="仿宋_GB2312"/>
          <w:bCs/>
          <w:sz w:val="32"/>
          <w:szCs w:val="32"/>
          <w:lang w:val="en-US" w:eastAsia="zh-CN"/>
        </w:rPr>
        <w:t>广元市利州区2020年第1、2批建设用地征收耕占税及滞纳金支出，共计使用</w:t>
      </w:r>
      <w:r>
        <w:rPr>
          <w:rFonts w:hint="eastAsia" w:ascii="Times New Roman" w:hAnsi="Times New Roman" w:eastAsia="仿宋_GB2312" w:cs="Times New Roman"/>
          <w:sz w:val="32"/>
          <w:szCs w:val="32"/>
          <w:lang w:val="en-US" w:eastAsia="zh-CN"/>
        </w:rPr>
        <w:t>财政专项资金372.332608万元。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0" w:afterAutospacing="0" w:line="560" w:lineRule="exact"/>
        <w:ind w:right="0"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 w:hAnsi="仿宋" w:eastAsia="仿宋" w:cs="仿宋"/>
          <w:b w:val="0"/>
          <w:bCs w:val="0"/>
          <w:sz w:val="32"/>
          <w:szCs w:val="32"/>
          <w:lang w:val="en-US" w:eastAsia="zh-CN"/>
        </w:rPr>
        <w:t>202</w:t>
      </w:r>
      <w:r>
        <w:rPr>
          <w:rFonts w:hint="eastAsia" w:ascii="Times New Roman" w:hAnsi="Times New Roman" w:eastAsia="仿宋_GB2312" w:cs="Times New Roman"/>
          <w:sz w:val="32"/>
          <w:szCs w:val="32"/>
          <w:lang w:val="en-US" w:eastAsia="zh-CN"/>
        </w:rPr>
        <w:t>0年第1、2批建设用地耕占税及滞纳金</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资金申报372.332608</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 w:hAnsi="仿宋" w:eastAsia="仿宋" w:cs="仿宋"/>
          <w:b w:val="0"/>
          <w:bCs w:val="0"/>
          <w:sz w:val="32"/>
          <w:szCs w:val="32"/>
          <w:lang w:val="en-US" w:eastAsia="zh-CN"/>
        </w:rPr>
        <w:t>202</w:t>
      </w:r>
      <w:r>
        <w:rPr>
          <w:rFonts w:hint="eastAsia" w:ascii="Times New Roman" w:hAnsi="Times New Roman" w:eastAsia="仿宋_GB2312" w:cs="Times New Roman"/>
          <w:sz w:val="32"/>
          <w:szCs w:val="32"/>
          <w:lang w:val="en-US" w:eastAsia="zh-CN"/>
        </w:rPr>
        <w:t>0年第1、2批建设用地耕占税及滞纳金</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经费主要用于</w:t>
      </w:r>
      <w:r>
        <w:rPr>
          <w:rFonts w:hint="eastAsia" w:ascii="仿宋_GB2312" w:hAnsi="仿宋_GB2312" w:eastAsia="仿宋_GB2312" w:cs="仿宋_GB2312"/>
          <w:bCs/>
          <w:sz w:val="32"/>
          <w:szCs w:val="32"/>
          <w:lang w:val="en-US" w:eastAsia="zh-CN"/>
        </w:rPr>
        <w:t>广元市利州区2020年第1、2批建设用地征收耕占税及滞纳金支出</w:t>
      </w:r>
      <w:r>
        <w:rPr>
          <w:rFonts w:hint="eastAsia" w:ascii="Times New Roman" w:hAnsi="Times New Roman" w:eastAsia="仿宋_GB2312" w:cs="Times New Roman"/>
          <w:sz w:val="32"/>
          <w:szCs w:val="32"/>
          <w:lang w:val="en-US" w:eastAsia="zh-CN"/>
        </w:rPr>
        <w:t>，共计372.332608万元，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于2021年5月完成支付，支付率100%，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 w:hAnsi="仿宋" w:eastAsia="仿宋" w:cs="仿宋"/>
          <w:b w:val="0"/>
          <w:bCs w:val="0"/>
          <w:sz w:val="32"/>
          <w:szCs w:val="32"/>
          <w:lang w:val="en-US" w:eastAsia="zh-CN"/>
        </w:rPr>
        <w:t>202</w:t>
      </w:r>
      <w:r>
        <w:rPr>
          <w:rFonts w:hint="eastAsia" w:ascii="Times New Roman" w:hAnsi="Times New Roman" w:eastAsia="仿宋_GB2312" w:cs="Times New Roman"/>
          <w:sz w:val="32"/>
          <w:szCs w:val="32"/>
          <w:lang w:val="en-US" w:eastAsia="zh-CN"/>
        </w:rPr>
        <w:t>0年第1、2批建设用地耕占税及滞纳金</w:t>
      </w:r>
      <w:r>
        <w:rPr>
          <w:rFonts w:hint="eastAsia" w:ascii="仿宋" w:hAnsi="仿宋" w:eastAsia="仿宋" w:cs="仿宋"/>
          <w:b w:val="0"/>
          <w:bCs w:val="0"/>
          <w:sz w:val="32"/>
          <w:szCs w:val="32"/>
          <w:lang w:val="en-US" w:eastAsia="zh-CN"/>
        </w:rPr>
        <w:t>项目</w:t>
      </w:r>
      <w:r>
        <w:rPr>
          <w:rFonts w:hint="eastAsia" w:ascii="仿宋_GB2312" w:hAnsi="宋体" w:eastAsia="仿宋_GB2312"/>
          <w:sz w:val="32"/>
          <w:szCs w:val="32"/>
          <w:lang w:val="en-US" w:eastAsia="zh-CN"/>
        </w:rPr>
        <w:t>由专门管理部门（耕地保护监督工作组）负责管理实施，资金按照省市和区财政专项资金使用要求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仿宋" w:hAnsi="仿宋" w:eastAsia="仿宋" w:cs="仿宋"/>
          <w:b w:val="0"/>
          <w:bCs w:val="0"/>
          <w:sz w:val="32"/>
          <w:szCs w:val="32"/>
          <w:lang w:val="en-US" w:eastAsia="zh-CN"/>
        </w:rPr>
        <w:t>202</w:t>
      </w:r>
      <w:r>
        <w:rPr>
          <w:rFonts w:hint="eastAsia" w:ascii="Times New Roman" w:hAnsi="Times New Roman" w:eastAsia="仿宋_GB2312" w:cs="Times New Roman"/>
          <w:sz w:val="32"/>
          <w:szCs w:val="32"/>
          <w:lang w:val="en-US" w:eastAsia="zh-CN"/>
        </w:rPr>
        <w:t>0年第1、2批建设用地耕占税及滞纳金</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全年预算数372.332608万元，执行数372.332608万元，完成预算的100%，本项目由耕地保护监督工作组负责实施，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广元市利州区2020年第1、2批建设用地经省人民政府同意并发放批复后，区税务局向我局来函《关于将耕地占用税转入待缴库税款专户的函》（广利税函〔2021〕6号），</w:t>
      </w:r>
      <w:r>
        <w:rPr>
          <w:rFonts w:hint="eastAsia" w:ascii="仿宋_GB2312" w:hAnsi="仿宋_GB2312" w:eastAsia="仿宋_GB2312" w:cs="仿宋_GB2312"/>
          <w:sz w:val="32"/>
          <w:szCs w:val="32"/>
          <w:highlight w:val="none"/>
          <w:lang w:val="en-US" w:eastAsia="zh-CN"/>
        </w:rPr>
        <w:t>要求我局将涉及的耕地占用税及滞纳金，转入区税务局的待缴库税款专户。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根据《中华人民共和国耕地占用税法》文件精</w:t>
      </w:r>
      <w:r>
        <w:rPr>
          <w:rFonts w:hint="eastAsia" w:ascii="仿宋_GB2312" w:hAnsi="仿宋_GB2312" w:eastAsia="仿宋_GB2312" w:cs="仿宋_GB2312"/>
          <w:bCs/>
          <w:sz w:val="32"/>
          <w:szCs w:val="32"/>
          <w:lang w:val="zh-CN"/>
        </w:rPr>
        <w:t>神</w:t>
      </w:r>
      <w:r>
        <w:rPr>
          <w:rFonts w:hint="eastAsia" w:ascii="仿宋_GB2312" w:hAnsi="仿宋_GB2312" w:eastAsia="仿宋_GB2312" w:cs="仿宋_GB2312"/>
          <w:bCs/>
          <w:sz w:val="32"/>
          <w:szCs w:val="32"/>
          <w:lang w:val="zh-CN" w:eastAsia="zh-CN"/>
        </w:rPr>
        <w:t>，为了合理利用土地资源，加强土地管理，保护耕地，</w:t>
      </w:r>
      <w:r>
        <w:rPr>
          <w:rFonts w:hint="eastAsia" w:ascii="仿宋_GB2312" w:hAnsi="仿宋_GB2312" w:eastAsia="仿宋_GB2312" w:cs="仿宋_GB2312"/>
          <w:bCs/>
          <w:sz w:val="32"/>
          <w:szCs w:val="32"/>
          <w:lang w:val="en-US" w:eastAsia="zh-CN"/>
        </w:rPr>
        <w:t>依法对广元市利州区2020年第1、2批建设用地征收耕占税及滞纳金</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“广元市利州区2020年第1、2批建设用地耕占税及滞纳金”项目预算申报时共设置4个完成指标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adjustRightInd w:val="0"/>
        <w:snapToGrid w:val="0"/>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广元市利州区2020年第1、2批建设用地耕占税及滞纳金</w:t>
      </w:r>
    </w:p>
    <w:p>
      <w:pPr>
        <w:adjustRightInd w:val="0"/>
        <w:snapToGrid w:val="0"/>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支出绩效评价表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耕占税及滞纳金按要求缴纳</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372.332608万元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372.332608万元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按税务部门要求足额缴纳耕占税</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根据缴费时限，按规定足额缴纳耕占税及滞纳金</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cs="宋体"/>
                <w:i w:val="0"/>
                <w:iCs w:val="0"/>
                <w:color w:val="000000"/>
                <w:sz w:val="18"/>
                <w:szCs w:val="18"/>
                <w:highlight w:val="none"/>
                <w:u w:val="none"/>
                <w:lang w:val="en-US" w:eastAsia="zh-CN"/>
              </w:rPr>
              <w:t>已按照规定足额缴纳耕占税</w:t>
            </w:r>
            <w:r>
              <w:rPr>
                <w:rFonts w:hint="eastAsia" w:ascii="宋体" w:hAnsi="宋体" w:cs="宋体"/>
                <w:i w:val="0"/>
                <w:iCs w:val="0"/>
                <w:color w:val="000000"/>
                <w:kern w:val="0"/>
                <w:sz w:val="18"/>
                <w:szCs w:val="18"/>
                <w:u w:val="none"/>
                <w:lang w:val="en-US" w:eastAsia="zh-CN" w:bidi="ar"/>
              </w:rPr>
              <w:t>372.332608万元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按时缴纳耕占税及滞纳金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2021年12月  31日前</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已在规定时间内缴纳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耕占税及滞纳金金额</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372.332608万元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372.332608万元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促进土地资源的合理运用，增加地方财税收入</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50%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加强土地管理，保护农用耕地</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限制非农业建设占用耕地</w:t>
            </w:r>
            <w:r>
              <w:rPr>
                <w:rFonts w:hint="default" w:ascii="宋体" w:hAnsi="宋体" w:eastAsia="宋体" w:cs="宋体"/>
                <w:i w:val="0"/>
                <w:iCs w:val="0"/>
                <w:color w:val="000000"/>
                <w:kern w:val="0"/>
                <w:sz w:val="18"/>
                <w:szCs w:val="18"/>
                <w:u w:val="none"/>
                <w:lang w:val="en-US" w:eastAsia="zh-CN" w:bidi="ar"/>
              </w:rPr>
              <w:t>，促进农业生产的全面协调发展</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限制非农业建设占用耕地</w:t>
            </w:r>
            <w:r>
              <w:rPr>
                <w:rFonts w:hint="default" w:ascii="宋体" w:hAnsi="宋体" w:eastAsia="宋体" w:cs="宋体"/>
                <w:i w:val="0"/>
                <w:iCs w:val="0"/>
                <w:color w:val="000000"/>
                <w:kern w:val="0"/>
                <w:sz w:val="18"/>
                <w:szCs w:val="18"/>
                <w:u w:val="none"/>
                <w:lang w:val="en-US" w:eastAsia="zh-CN" w:bidi="ar"/>
              </w:rPr>
              <w:t>，促进农业生产的全面协调发展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征收的耕地占用税收入在地方建立农业发展基金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用于提高耕地质量</w:t>
            </w:r>
            <w:r>
              <w:rPr>
                <w:rFonts w:hint="eastAsia" w:ascii="宋体" w:hAnsi="宋体" w:eastAsia="宋体" w:cs="宋体"/>
                <w:i w:val="0"/>
                <w:iCs w:val="0"/>
                <w:color w:val="000000"/>
                <w:sz w:val="18"/>
                <w:szCs w:val="18"/>
                <w:u w:val="none"/>
                <w:lang w:val="en-US" w:eastAsia="zh-CN"/>
              </w:rPr>
              <w:t>，扩大耕地数量</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用于提高耕地质量</w:t>
            </w:r>
            <w:r>
              <w:rPr>
                <w:rFonts w:hint="eastAsia" w:ascii="宋体" w:hAnsi="宋体" w:eastAsia="宋体" w:cs="宋体"/>
                <w:i w:val="0"/>
                <w:iCs w:val="0"/>
                <w:color w:val="000000"/>
                <w:sz w:val="18"/>
                <w:szCs w:val="18"/>
                <w:u w:val="none"/>
                <w:lang w:val="en-US" w:eastAsia="zh-CN"/>
              </w:rPr>
              <w:t>，扩大耕地数量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保护耕地，</w:t>
            </w:r>
            <w:r>
              <w:rPr>
                <w:rFonts w:hint="eastAsia" w:ascii="宋体" w:hAnsi="宋体" w:cs="宋体"/>
                <w:i w:val="0"/>
                <w:iCs w:val="0"/>
                <w:color w:val="000000"/>
                <w:kern w:val="0"/>
                <w:sz w:val="18"/>
                <w:szCs w:val="18"/>
                <w:u w:val="none"/>
                <w:lang w:val="en-US" w:eastAsia="zh-CN" w:bidi="ar"/>
              </w:rPr>
              <w:t>维护社会稳定</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政府满意、企业满意</w:t>
            </w:r>
            <w:r>
              <w:rPr>
                <w:rFonts w:hint="eastAsia" w:ascii="宋体" w:hAnsi="宋体" w:cs="宋体"/>
                <w:i w:val="0"/>
                <w:iCs w:val="0"/>
                <w:color w:val="000000"/>
                <w:kern w:val="0"/>
                <w:sz w:val="18"/>
                <w:szCs w:val="18"/>
                <w:u w:val="none"/>
                <w:lang w:val="en-US" w:eastAsia="zh-CN" w:bidi="ar"/>
              </w:rPr>
              <w:t>、群众满意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highlight w:val="yellow"/>
          <w:lang w:val="en-US" w:eastAsia="zh-CN"/>
        </w:rPr>
      </w:pPr>
      <w:r>
        <w:rPr>
          <w:rFonts w:hint="eastAsia" w:ascii="仿宋_GB2312" w:hAnsi="宋体" w:eastAsia="仿宋_GB2312"/>
          <w:sz w:val="32"/>
          <w:szCs w:val="32"/>
          <w:highlight w:val="none"/>
          <w:lang w:val="en-US" w:eastAsia="zh-CN"/>
        </w:rPr>
        <w:t>在取得省人民政府建设用地批复后，税务部门通知缴纳耕占税滞后，造成迟缴现象发生，导致产生滞纳金。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宋体" w:eastAsia="仿宋_GB2312"/>
          <w:sz w:val="32"/>
          <w:szCs w:val="32"/>
          <w:highlight w:val="none"/>
          <w:lang w:val="en-US" w:eastAsia="zh-CN"/>
        </w:rPr>
        <w:t>加强与区税务局沟通，主动对接确保取得批复后及时通知我局耕占税金额，积极对接市、区财政，</w:t>
      </w:r>
      <w:r>
        <w:rPr>
          <w:rFonts w:hint="eastAsia" w:ascii="仿宋_GB2312" w:hAnsi="仿宋_GB2312" w:eastAsia="仿宋_GB2312" w:cs="仿宋_GB2312"/>
          <w:bCs/>
          <w:sz w:val="32"/>
          <w:szCs w:val="32"/>
          <w:highlight w:val="none"/>
        </w:rPr>
        <w:t>确保</w:t>
      </w:r>
      <w:r>
        <w:rPr>
          <w:rFonts w:hint="eastAsia" w:ascii="仿宋_GB2312" w:hAnsi="仿宋_GB2312" w:eastAsia="仿宋_GB2312" w:cs="仿宋_GB2312"/>
          <w:bCs/>
          <w:sz w:val="32"/>
          <w:szCs w:val="32"/>
          <w:highlight w:val="none"/>
          <w:lang w:val="en-US" w:eastAsia="zh-CN"/>
        </w:rPr>
        <w:t>及时缴纳耕占税，避免产生滞纳金</w:t>
      </w:r>
      <w:r>
        <w:rPr>
          <w:rFonts w:hint="eastAsia" w:ascii="仿宋_GB2312" w:hAnsi="仿宋_GB2312" w:eastAsia="仿宋_GB2312" w:cs="仿宋_GB2312"/>
          <w:bCs/>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880" w:firstLineChars="20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2021年第2批次建设用地被征地农民社保资金预存款支出绩效自评报告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2021年第2批次建设用地被征地农民社保资金预存款项目</w:t>
      </w:r>
      <w:r>
        <w:rPr>
          <w:rFonts w:hint="eastAsia" w:ascii="仿宋_GB2312" w:hAnsi="仿宋_GB2312" w:eastAsia="仿宋_GB2312" w:cs="仿宋_GB2312"/>
          <w:sz w:val="32"/>
          <w:szCs w:val="32"/>
          <w:lang w:val="zh-CN"/>
        </w:rPr>
        <w:t>资金用于广元市利州区2021年第2批次建设用地被征地农民社保资金预存款支出。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Times New Roman" w:hAnsi="Times New Roman" w:eastAsia="仿宋_GB2312" w:cs="Times New Roman"/>
          <w:sz w:val="32"/>
          <w:szCs w:val="32"/>
          <w:lang w:val="en-US" w:eastAsia="zh-CN"/>
        </w:rPr>
        <w:t>经局党组研究，2021年第2批次建设用地被征地农民社保资金预存款项目</w:t>
      </w:r>
      <w:r>
        <w:rPr>
          <w:rFonts w:hint="eastAsia" w:ascii="仿宋_GB2312" w:hAnsi="仿宋_GB2312" w:eastAsia="仿宋_GB2312" w:cs="仿宋_GB2312"/>
          <w:sz w:val="32"/>
          <w:szCs w:val="32"/>
          <w:lang w:val="zh-CN"/>
        </w:rPr>
        <w:t>资金用于广元市利州区2021年第2批次建设用地被征地农民社保资金预存款支出</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财政专项资金2800万元。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0" w:afterAutospacing="0" w:line="560" w:lineRule="exact"/>
        <w:ind w:right="0"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 w:hAnsi="仿宋" w:eastAsia="仿宋" w:cs="仿宋"/>
          <w:b w:val="0"/>
          <w:bCs w:val="0"/>
          <w:sz w:val="32"/>
          <w:szCs w:val="32"/>
          <w:lang w:val="en-US" w:eastAsia="zh-CN"/>
        </w:rPr>
        <w:t>2</w:t>
      </w:r>
      <w:r>
        <w:rPr>
          <w:rFonts w:hint="eastAsia" w:ascii="Times New Roman" w:hAnsi="Times New Roman" w:eastAsia="仿宋_GB2312" w:cs="Times New Roman"/>
          <w:sz w:val="32"/>
          <w:szCs w:val="32"/>
          <w:lang w:val="en-US" w:eastAsia="zh-CN"/>
        </w:rPr>
        <w:t>2021年第2批次建设用地被征地农民社保资金预存款项目资金申报2800</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 w:hAnsi="仿宋" w:eastAsia="仿宋" w:cs="仿宋"/>
          <w:b w:val="0"/>
          <w:bCs w:val="0"/>
          <w:sz w:val="32"/>
          <w:szCs w:val="32"/>
          <w:lang w:val="en-US" w:eastAsia="zh-CN"/>
        </w:rPr>
        <w:t>2</w:t>
      </w:r>
      <w:r>
        <w:rPr>
          <w:rFonts w:hint="eastAsia" w:ascii="Times New Roman" w:hAnsi="Times New Roman" w:eastAsia="仿宋_GB2312" w:cs="Times New Roman"/>
          <w:sz w:val="32"/>
          <w:szCs w:val="32"/>
          <w:lang w:val="en-US" w:eastAsia="zh-CN"/>
        </w:rPr>
        <w:t>021年第2批次建设用地被征地农民社保资金预存款项目经费</w:t>
      </w:r>
      <w:r>
        <w:rPr>
          <w:rFonts w:hint="eastAsia" w:ascii="仿宋_GB2312" w:hAnsi="仿宋_GB2312" w:eastAsia="仿宋_GB2312" w:cs="仿宋_GB2312"/>
          <w:sz w:val="32"/>
          <w:szCs w:val="32"/>
          <w:lang w:val="zh-CN"/>
        </w:rPr>
        <w:t>用于广元市利州区2021年第2批次建设用地被征地农民社保资金预存款支出</w:t>
      </w:r>
      <w:r>
        <w:rPr>
          <w:rFonts w:hint="eastAsia" w:ascii="Times New Roman" w:hAnsi="Times New Roman" w:eastAsia="仿宋_GB2312" w:cs="Times New Roman"/>
          <w:sz w:val="32"/>
          <w:szCs w:val="32"/>
          <w:lang w:val="en-US" w:eastAsia="zh-CN"/>
        </w:rPr>
        <w:t>，共计2800万元，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于2021年5月完成支付，支付率100%，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 w:hAnsi="仿宋" w:eastAsia="仿宋" w:cs="仿宋"/>
          <w:b w:val="0"/>
          <w:bCs w:val="0"/>
          <w:sz w:val="32"/>
          <w:szCs w:val="32"/>
          <w:lang w:val="en-US" w:eastAsia="zh-CN"/>
        </w:rPr>
        <w:t>2</w:t>
      </w:r>
      <w:r>
        <w:rPr>
          <w:rFonts w:hint="eastAsia" w:ascii="Times New Roman" w:hAnsi="Times New Roman" w:eastAsia="仿宋_GB2312" w:cs="Times New Roman"/>
          <w:sz w:val="32"/>
          <w:szCs w:val="32"/>
          <w:lang w:val="en-US" w:eastAsia="zh-CN"/>
        </w:rPr>
        <w:t>021年第2批次建设用地被征地农民社保资金预存款项目</w:t>
      </w:r>
      <w:r>
        <w:rPr>
          <w:rFonts w:hint="eastAsia" w:ascii="仿宋_GB2312" w:hAnsi="宋体" w:eastAsia="仿宋_GB2312"/>
          <w:sz w:val="32"/>
          <w:szCs w:val="32"/>
          <w:lang w:val="en-US" w:eastAsia="zh-CN"/>
        </w:rPr>
        <w:t>由专门管理部门（耕地保护监督工作组）负责管理实施，资金按照省市和区财政专项资金使用要求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仿宋" w:hAnsi="仿宋" w:eastAsia="仿宋" w:cs="仿宋"/>
          <w:b w:val="0"/>
          <w:bCs w:val="0"/>
          <w:sz w:val="32"/>
          <w:szCs w:val="32"/>
          <w:lang w:val="en-US" w:eastAsia="zh-CN"/>
        </w:rPr>
        <w:t>2</w:t>
      </w:r>
      <w:r>
        <w:rPr>
          <w:rFonts w:hint="eastAsia" w:ascii="Times New Roman" w:hAnsi="Times New Roman" w:eastAsia="仿宋_GB2312" w:cs="Times New Roman"/>
          <w:sz w:val="32"/>
          <w:szCs w:val="32"/>
          <w:lang w:val="en-US" w:eastAsia="zh-CN"/>
        </w:rPr>
        <w:t>021年第2批次建设用地被征地农民社保资金预存款项目全年预算数2800万元，执行数2800万元，完成预算的100%，本项目由耕地保护监督工作组负责实施，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仿宋_GB2312" w:hAnsi="仿宋_GB2312" w:eastAsia="仿宋_GB2312" w:cs="仿宋_GB2312"/>
          <w:bCs/>
          <w:sz w:val="32"/>
          <w:szCs w:val="32"/>
        </w:rPr>
        <w:t>根据《四川省人力资源和社会保障社厅 四川省财政厅 四川省自然资源厅关于印发〈四川省被征地农民养老保障实施办法〉》（川人社发〔2018〕46号）文件精神，养老保险补偿费实行预存款制度，征地报批前，实施征地的部门或单位应当按人均13年的养老保险补偿费筹集资金，其目的是为确保征地获批后能够及时缴纳被征地农民社保费，保护被征地需安置人员的合法利益。我区上报的</w:t>
      </w:r>
      <w:r>
        <w:rPr>
          <w:rFonts w:hint="eastAsia" w:ascii="仿宋_GB2312" w:hAnsi="仿宋_GB2312" w:eastAsia="仿宋_GB2312" w:cs="仿宋_GB2312"/>
          <w:bCs/>
          <w:sz w:val="32"/>
          <w:szCs w:val="32"/>
          <w:lang w:eastAsia="zh-CN"/>
        </w:rPr>
        <w:t>广元市利州区2021年第2批次</w:t>
      </w:r>
      <w:r>
        <w:rPr>
          <w:rFonts w:hint="eastAsia" w:ascii="仿宋_GB2312" w:hAnsi="仿宋_GB2312" w:eastAsia="仿宋_GB2312" w:cs="仿宋_GB2312"/>
          <w:bCs/>
          <w:sz w:val="32"/>
          <w:szCs w:val="32"/>
        </w:rPr>
        <w:t>建设用地征地需安置农转非人口297人，其中劳动力人口146人，超龄人口68人，其他人口83人。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楷体" w:hAnsi="楷体" w:eastAsia="楷体" w:cs="楷体"/>
          <w:sz w:val="32"/>
          <w:szCs w:val="32"/>
          <w:lang w:val="en-US" w:eastAsia="zh-CN"/>
        </w:rPr>
        <w:t>（二）项目效益情况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仿宋_GB2312" w:hAnsi="宋体" w:eastAsia="仿宋_GB2312"/>
          <w:sz w:val="32"/>
          <w:szCs w:val="32"/>
          <w:lang w:val="zh-CN"/>
        </w:rPr>
        <w:t>资金由区自然资源分局申报，经区人民政府和财政部门批复，拨付</w:t>
      </w:r>
      <w:r>
        <w:rPr>
          <w:rFonts w:hint="eastAsia" w:ascii="仿宋_GB2312" w:hAnsi="宋体" w:eastAsia="仿宋_GB2312"/>
          <w:sz w:val="32"/>
          <w:szCs w:val="32"/>
          <w:lang w:val="en-US" w:eastAsia="zh-CN"/>
        </w:rPr>
        <w:t>2800万元用于广元市利州区2021年第2批次建设用地被征地农民社保资金预存款支出。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“2021年第2批次建设用地被征地农民社保资金预存款”项目预算申报时共设置4个完成指标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adjustRightInd w:val="0"/>
        <w:snapToGrid w:val="0"/>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2021年第2批次建设用地被征地农民社保资金预存款支出绩效评价表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社保预存款按要求支付</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2800万元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2800万元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按照区社保中心测算结果全额缴纳</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按时缴纳社保预存款</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组卷上报省厅前完成缴纳</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已按照规定时间缴纳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社保资金预存款</w:t>
            </w:r>
            <w:r>
              <w:rPr>
                <w:rFonts w:hint="eastAsia" w:ascii="宋体" w:hAnsi="宋体" w:cs="宋体"/>
                <w:i w:val="0"/>
                <w:iCs w:val="0"/>
                <w:color w:val="000000"/>
                <w:sz w:val="18"/>
                <w:szCs w:val="18"/>
                <w:u w:val="none"/>
                <w:lang w:eastAsia="zh-CN"/>
              </w:rPr>
              <w:t>金额</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2800万元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2800万元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保障项目用地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创造</w:t>
            </w:r>
            <w:r>
              <w:rPr>
                <w:rFonts w:hint="eastAsia" w:ascii="宋体" w:hAnsi="宋体" w:cs="宋体"/>
                <w:i w:val="0"/>
                <w:iCs w:val="0"/>
                <w:color w:val="000000"/>
                <w:kern w:val="0"/>
                <w:sz w:val="18"/>
                <w:szCs w:val="18"/>
                <w:u w:val="none"/>
                <w:lang w:val="en-US" w:eastAsia="zh-CN" w:bidi="ar"/>
              </w:rPr>
              <w:t>利润</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100</w:t>
            </w:r>
            <w:r>
              <w:rPr>
                <w:rFonts w:hint="eastAsia" w:ascii="宋体" w:hAnsi="宋体" w:eastAsia="宋体" w:cs="宋体"/>
                <w:sz w:val="18"/>
                <w:szCs w:val="18"/>
                <w:vertAlign w:val="baseline"/>
                <w:lang w:val="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100</w:t>
            </w:r>
            <w:r>
              <w:rPr>
                <w:rFonts w:hint="eastAsia" w:ascii="宋体" w:hAnsi="宋体" w:eastAsia="宋体" w:cs="宋体"/>
                <w:sz w:val="18"/>
                <w:szCs w:val="18"/>
                <w:vertAlign w:val="baseline"/>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保护被征地需安置人员的合法权益</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确保安置人员社保资金落实到位</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eastAsia="zh-CN"/>
              </w:rPr>
              <w:t>确保安置人员社保资金落实到位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保护被征地需安置人员的合法社会权益，保障生态效益</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保护被征地需安置人员的合法社会权益</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保护被征地需安置人员的合法社会权益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保护被征地群众合法权益，</w:t>
            </w:r>
            <w:r>
              <w:rPr>
                <w:rFonts w:hint="eastAsia" w:ascii="宋体" w:hAnsi="宋体" w:cs="宋体"/>
                <w:i w:val="0"/>
                <w:iCs w:val="0"/>
                <w:color w:val="000000"/>
                <w:kern w:val="0"/>
                <w:sz w:val="18"/>
                <w:szCs w:val="18"/>
                <w:u w:val="none"/>
                <w:lang w:val="en-US" w:eastAsia="zh-CN" w:bidi="ar"/>
              </w:rPr>
              <w:t>维护社会稳定</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政府满意、企业满意</w:t>
            </w:r>
            <w:r>
              <w:rPr>
                <w:rFonts w:hint="eastAsia" w:ascii="宋体" w:hAnsi="宋体" w:cs="宋体"/>
                <w:i w:val="0"/>
                <w:iCs w:val="0"/>
                <w:color w:val="000000"/>
                <w:kern w:val="0"/>
                <w:sz w:val="18"/>
                <w:szCs w:val="18"/>
                <w:u w:val="none"/>
                <w:lang w:val="en-US" w:eastAsia="zh-CN" w:bidi="ar"/>
              </w:rPr>
              <w:t>、群众满意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由于利州区涉及征地建设项目较多，被征地农民社保预存款金额大，利州区财政解缴该项费用压力较大，由于未及时缴纳预存款导致批次用地无法按时上报。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_GB2312" w:hAnsi="宋体" w:eastAsia="仿宋_GB2312"/>
          <w:sz w:val="32"/>
          <w:szCs w:val="32"/>
          <w:lang w:val="en-US" w:eastAsia="zh-CN"/>
        </w:rPr>
        <w:t>积极对接市、区级财政，适当增加预算以保障我区建设项目被征地农民社保资金预存款解缴工作，</w:t>
      </w:r>
      <w:r>
        <w:rPr>
          <w:rFonts w:hint="eastAsia" w:ascii="仿宋_GB2312" w:hAnsi="仿宋_GB2312" w:eastAsia="仿宋_GB2312" w:cs="仿宋_GB2312"/>
          <w:bCs/>
          <w:sz w:val="32"/>
          <w:szCs w:val="32"/>
        </w:rPr>
        <w:t>确保被征地需安置人员的合法</w:t>
      </w:r>
      <w:r>
        <w:rPr>
          <w:rFonts w:hint="eastAsia" w:ascii="仿宋_GB2312" w:hAnsi="仿宋_GB2312" w:eastAsia="仿宋_GB2312" w:cs="仿宋_GB2312"/>
          <w:bCs/>
          <w:sz w:val="32"/>
          <w:szCs w:val="32"/>
          <w:lang w:eastAsia="zh-CN"/>
        </w:rPr>
        <w:t>权益和全区经济可持续发展</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利州区2021年第2批次建设用地耕占税及滞纳金支出绩效自评报告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2021年第2批次建设用地耕占税及滞纳金项目，主要用于</w:t>
      </w:r>
      <w:r>
        <w:rPr>
          <w:rFonts w:hint="eastAsia" w:ascii="Times New Roman" w:hAnsi="Times New Roman" w:eastAsia="仿宋_GB2312" w:cs="Times New Roman"/>
          <w:sz w:val="32"/>
          <w:szCs w:val="32"/>
          <w:lang w:eastAsia="zh-CN"/>
        </w:rPr>
        <w:t>涉及</w:t>
      </w:r>
      <w:r>
        <w:rPr>
          <w:rFonts w:hint="default" w:ascii="Times New Roman" w:hAnsi="Times New Roman" w:eastAsia="仿宋_GB2312" w:cs="Times New Roman"/>
          <w:sz w:val="32"/>
          <w:szCs w:val="32"/>
        </w:rPr>
        <w:t>土地征收征用管理工作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承担报国务院和省、市政府审批的各类土地用途转用的审核、报批</w:t>
      </w:r>
      <w:r>
        <w:rPr>
          <w:rFonts w:hint="eastAsia" w:ascii="Times New Roman" w:hAnsi="Times New Roman" w:eastAsia="仿宋_GB2312" w:cs="Times New Roman"/>
          <w:sz w:val="32"/>
          <w:szCs w:val="32"/>
          <w:lang w:eastAsia="zh-CN"/>
        </w:rPr>
        <w:t>任务</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Times New Roman" w:hAnsi="Times New Roman" w:eastAsia="仿宋_GB2312" w:cs="Times New Roman"/>
          <w:sz w:val="32"/>
          <w:szCs w:val="32"/>
          <w:lang w:val="en-US" w:eastAsia="zh-CN"/>
        </w:rPr>
        <w:t>经局党组研究，2021年第2批次建设用地耕占税及滞纳金项目</w:t>
      </w:r>
      <w:r>
        <w:rPr>
          <w:rFonts w:hint="eastAsia" w:ascii="仿宋" w:hAnsi="仿宋" w:eastAsia="仿宋" w:cs="仿宋"/>
          <w:b w:val="0"/>
          <w:bCs w:val="0"/>
          <w:sz w:val="32"/>
          <w:szCs w:val="32"/>
          <w:lang w:val="en-US" w:eastAsia="zh-CN"/>
        </w:rPr>
        <w:t>经费</w:t>
      </w:r>
      <w:r>
        <w:rPr>
          <w:rFonts w:hint="eastAsia" w:ascii="仿宋_GB2312" w:hAnsi="仿宋_GB2312" w:eastAsia="仿宋_GB2312" w:cs="仿宋_GB2312"/>
          <w:sz w:val="32"/>
          <w:szCs w:val="32"/>
          <w:lang w:val="zh-CN"/>
        </w:rPr>
        <w:t>用于广元市利州区2021年第2批次建设用地耕占税及滞纳金支出，</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w:t>
      </w:r>
      <w:r>
        <w:rPr>
          <w:rFonts w:hint="eastAsia" w:ascii="仿宋_GB2312" w:hAnsi="仿宋_GB2312" w:eastAsia="仿宋_GB2312" w:cs="仿宋_GB2312"/>
          <w:bCs/>
          <w:sz w:val="32"/>
          <w:szCs w:val="32"/>
          <w:lang w:val="en-US" w:eastAsia="zh-CN"/>
        </w:rPr>
        <w:t>315.939592</w:t>
      </w:r>
      <w:r>
        <w:rPr>
          <w:rFonts w:hint="eastAsia" w:ascii="Times New Roman" w:hAnsi="Times New Roman" w:eastAsia="仿宋_GB2312" w:cs="Times New Roman"/>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0" w:afterAutospacing="0" w:line="560" w:lineRule="exact"/>
        <w:ind w:right="0"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sz w:val="32"/>
          <w:szCs w:val="32"/>
          <w:lang w:val="en-US" w:eastAsia="zh-CN"/>
        </w:rPr>
        <w:t>2021年第2批次建设用地耕占税及滞纳金项目资金申报</w:t>
      </w:r>
      <w:r>
        <w:rPr>
          <w:rFonts w:hint="eastAsia" w:ascii="仿宋_GB2312" w:hAnsi="仿宋_GB2312" w:eastAsia="仿宋_GB2312" w:cs="仿宋_GB2312"/>
          <w:bCs/>
          <w:sz w:val="32"/>
          <w:szCs w:val="32"/>
          <w:lang w:val="en-US" w:eastAsia="zh-CN"/>
        </w:rPr>
        <w:t>315.939592</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sz w:val="32"/>
          <w:szCs w:val="32"/>
          <w:lang w:val="en-US" w:eastAsia="zh-CN"/>
        </w:rPr>
        <w:t>2021年第2批次建设用地耕占税及滞纳金项目</w:t>
      </w:r>
      <w:r>
        <w:rPr>
          <w:rFonts w:hint="eastAsia" w:ascii="仿宋" w:hAnsi="仿宋" w:eastAsia="仿宋" w:cs="仿宋"/>
          <w:b w:val="0"/>
          <w:bCs w:val="0"/>
          <w:sz w:val="32"/>
          <w:szCs w:val="32"/>
          <w:lang w:val="en-US" w:eastAsia="zh-CN"/>
        </w:rPr>
        <w:t>经费</w:t>
      </w:r>
      <w:r>
        <w:rPr>
          <w:rFonts w:hint="eastAsia" w:ascii="仿宋_GB2312" w:hAnsi="仿宋_GB2312" w:eastAsia="仿宋_GB2312" w:cs="仿宋_GB2312"/>
          <w:sz w:val="32"/>
          <w:szCs w:val="32"/>
          <w:lang w:val="zh-CN"/>
        </w:rPr>
        <w:t>用于广元市利州区2021年第2批次建设用地耕占税及滞纳金支出，</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w:t>
      </w:r>
      <w:r>
        <w:rPr>
          <w:rFonts w:hint="eastAsia" w:ascii="仿宋_GB2312" w:hAnsi="仿宋_GB2312" w:eastAsia="仿宋_GB2312" w:cs="仿宋_GB2312"/>
          <w:bCs/>
          <w:sz w:val="32"/>
          <w:szCs w:val="32"/>
          <w:lang w:val="en-US" w:eastAsia="zh-CN"/>
        </w:rPr>
        <w:t>315.939592</w:t>
      </w:r>
      <w:r>
        <w:rPr>
          <w:rFonts w:hint="eastAsia" w:ascii="Times New Roman" w:hAnsi="Times New Roman" w:eastAsia="仿宋_GB2312" w:cs="Times New Roman"/>
          <w:sz w:val="32"/>
          <w:szCs w:val="32"/>
          <w:lang w:val="en-US" w:eastAsia="zh-CN"/>
        </w:rPr>
        <w:t>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于2021年11月完成支付，支付率100%，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Times New Roman" w:hAnsi="Times New Roman" w:eastAsia="仿宋_GB2312" w:cs="Times New Roman"/>
          <w:sz w:val="32"/>
          <w:szCs w:val="32"/>
          <w:lang w:val="en-US" w:eastAsia="zh-CN"/>
        </w:rPr>
        <w:t>2021年第2批次建设用地耕占税及滞纳金项目</w:t>
      </w:r>
      <w:r>
        <w:rPr>
          <w:rFonts w:hint="eastAsia" w:ascii="仿宋_GB2312" w:hAnsi="宋体" w:eastAsia="仿宋_GB2312"/>
          <w:sz w:val="32"/>
          <w:szCs w:val="32"/>
          <w:lang w:val="en-US" w:eastAsia="zh-CN"/>
        </w:rPr>
        <w:t>由专门管理部门（耕地保护监督工作组）负责管理实施，资金按照省市和区财政专项资金使用要求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2021年第2批次建设用地耕占税及滞纳金项目全年预算数</w:t>
      </w:r>
      <w:r>
        <w:rPr>
          <w:rFonts w:hint="eastAsia" w:ascii="仿宋_GB2312" w:hAnsi="仿宋_GB2312" w:eastAsia="仿宋_GB2312" w:cs="仿宋_GB2312"/>
          <w:bCs/>
          <w:sz w:val="32"/>
          <w:szCs w:val="32"/>
          <w:lang w:val="en-US" w:eastAsia="zh-CN"/>
        </w:rPr>
        <w:t>315.939592</w:t>
      </w:r>
      <w:r>
        <w:rPr>
          <w:rFonts w:hint="eastAsia" w:ascii="Times New Roman" w:hAnsi="Times New Roman" w:eastAsia="仿宋_GB2312" w:cs="Times New Roman"/>
          <w:sz w:val="32"/>
          <w:szCs w:val="32"/>
          <w:lang w:val="en-US" w:eastAsia="zh-CN"/>
        </w:rPr>
        <w:t>万元，执行数</w:t>
      </w:r>
      <w:r>
        <w:rPr>
          <w:rFonts w:hint="eastAsia" w:ascii="仿宋_GB2312" w:hAnsi="仿宋_GB2312" w:eastAsia="仿宋_GB2312" w:cs="仿宋_GB2312"/>
          <w:bCs/>
          <w:sz w:val="32"/>
          <w:szCs w:val="32"/>
          <w:lang w:val="en-US" w:eastAsia="zh-CN"/>
        </w:rPr>
        <w:t>315.939592</w:t>
      </w:r>
      <w:r>
        <w:rPr>
          <w:rFonts w:hint="eastAsia" w:ascii="Times New Roman" w:hAnsi="Times New Roman" w:eastAsia="仿宋_GB2312" w:cs="Times New Roman"/>
          <w:sz w:val="32"/>
          <w:szCs w:val="32"/>
          <w:lang w:val="en-US" w:eastAsia="zh-CN"/>
        </w:rPr>
        <w:t>万元，完成预算的100%，本项目由耕地保护监督工作组负责实施，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仿宋_GB2312" w:hAnsi="仿宋_GB2312" w:eastAsia="仿宋_GB2312" w:cs="仿宋_GB2312"/>
          <w:bCs/>
          <w:sz w:val="32"/>
          <w:szCs w:val="32"/>
          <w:lang w:val="zh-CN"/>
        </w:rPr>
        <w:t>资金由区自然资源分局申报，经区人民政府和财政部门批复，拨付</w:t>
      </w:r>
      <w:r>
        <w:rPr>
          <w:rFonts w:hint="eastAsia" w:ascii="仿宋_GB2312" w:hAnsi="仿宋_GB2312" w:eastAsia="仿宋_GB2312" w:cs="仿宋_GB2312"/>
          <w:bCs/>
          <w:sz w:val="32"/>
          <w:szCs w:val="32"/>
          <w:lang w:val="en-US" w:eastAsia="zh-CN"/>
        </w:rPr>
        <w:t>315.939592万元用于广元市利州区2021年第2批次建设用地耕占税及滞纳金支出。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仿宋_GB2312" w:hAnsi="仿宋_GB2312" w:eastAsia="仿宋_GB2312" w:cs="仿宋_GB2312"/>
          <w:bCs/>
          <w:sz w:val="32"/>
          <w:szCs w:val="32"/>
        </w:rPr>
        <w:t>根据《中华人民共和国耕地占用税法》文件精</w:t>
      </w:r>
      <w:r>
        <w:rPr>
          <w:rFonts w:hint="eastAsia" w:ascii="仿宋_GB2312" w:hAnsi="仿宋_GB2312" w:eastAsia="仿宋_GB2312" w:cs="仿宋_GB2312"/>
          <w:bCs/>
          <w:sz w:val="32"/>
          <w:szCs w:val="32"/>
          <w:lang w:val="zh-CN"/>
        </w:rPr>
        <w:t>神</w:t>
      </w:r>
      <w:r>
        <w:rPr>
          <w:rFonts w:hint="eastAsia" w:ascii="仿宋_GB2312" w:hAnsi="仿宋_GB2312" w:eastAsia="仿宋_GB2312" w:cs="仿宋_GB2312"/>
          <w:bCs/>
          <w:sz w:val="32"/>
          <w:szCs w:val="32"/>
          <w:lang w:val="zh-CN" w:eastAsia="zh-CN"/>
        </w:rPr>
        <w:t>，为了合理利用土地资源，加强土地管理，保护耕地，</w:t>
      </w:r>
      <w:r>
        <w:rPr>
          <w:rFonts w:hint="eastAsia" w:ascii="仿宋_GB2312" w:hAnsi="仿宋_GB2312" w:eastAsia="仿宋_GB2312" w:cs="仿宋_GB2312"/>
          <w:bCs/>
          <w:sz w:val="32"/>
          <w:szCs w:val="32"/>
          <w:lang w:val="en-US" w:eastAsia="zh-CN"/>
        </w:rPr>
        <w:t>依法对广元市利州区2021年第2批次建设用地征收耕占税及滞纳金</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“广元市利州区2021年第2批次建设用地耕占税及滞纳金”项目预算申报时共设置4个完成指标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adjustRightInd w:val="0"/>
        <w:snapToGrid w:val="0"/>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广元市利州区2021年第2批次建设用地耕占税及滞纳金</w:t>
      </w:r>
    </w:p>
    <w:p>
      <w:pPr>
        <w:adjustRightInd w:val="0"/>
        <w:snapToGrid w:val="0"/>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支出绩效评价表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耕占税及滞纳金按要求支付</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315.939592万元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315.939592万元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none"/>
                <w:u w:val="none"/>
                <w:lang w:val="en-US" w:eastAsia="zh-CN"/>
              </w:rPr>
              <w:t>按税务部门要求足额缴纳耕占税</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highlight w:val="none"/>
                <w:u w:val="none"/>
                <w:lang w:val="en-US" w:eastAsia="zh-CN"/>
              </w:rPr>
              <w:t>根据缴费时限，按规定足额缴纳耕占税及滞纳金</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i w:val="0"/>
                <w:iCs w:val="0"/>
                <w:color w:val="000000"/>
                <w:sz w:val="18"/>
                <w:szCs w:val="18"/>
                <w:highlight w:val="none"/>
                <w:u w:val="none"/>
                <w:lang w:val="en-US" w:eastAsia="zh-CN"/>
              </w:rPr>
              <w:t>已按照规定足额缴纳耕占税</w:t>
            </w:r>
            <w:r>
              <w:rPr>
                <w:rFonts w:hint="eastAsia" w:ascii="宋体" w:hAnsi="宋体" w:cs="宋体"/>
                <w:i w:val="0"/>
                <w:iCs w:val="0"/>
                <w:color w:val="000000"/>
                <w:kern w:val="0"/>
                <w:sz w:val="18"/>
                <w:szCs w:val="18"/>
                <w:u w:val="none"/>
                <w:lang w:val="en-US" w:eastAsia="zh-CN" w:bidi="ar"/>
              </w:rPr>
              <w:t>315.939592万元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按时缴纳耕占税及滞纳金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2021年11月25日前</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已在规定时间内缴纳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耕占税及滞纳金金额</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315.939592万元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315.939592万元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促进土地资源的合理运用，增加地方财税收入</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50%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加强土地管理，保护农用耕地</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限制非农业建设占用耕地</w:t>
            </w:r>
            <w:r>
              <w:rPr>
                <w:rFonts w:hint="default" w:ascii="宋体" w:hAnsi="宋体" w:eastAsia="宋体" w:cs="宋体"/>
                <w:i w:val="0"/>
                <w:iCs w:val="0"/>
                <w:color w:val="000000"/>
                <w:kern w:val="0"/>
                <w:sz w:val="18"/>
                <w:szCs w:val="18"/>
                <w:u w:val="none"/>
                <w:lang w:val="en-US" w:eastAsia="zh-CN" w:bidi="ar"/>
              </w:rPr>
              <w:t>，促进农业生产的全面协调发展</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限制非农业建设占用耕地</w:t>
            </w:r>
            <w:r>
              <w:rPr>
                <w:rFonts w:hint="default" w:ascii="宋体" w:hAnsi="宋体" w:eastAsia="宋体" w:cs="宋体"/>
                <w:i w:val="0"/>
                <w:iCs w:val="0"/>
                <w:color w:val="000000"/>
                <w:kern w:val="0"/>
                <w:sz w:val="18"/>
                <w:szCs w:val="18"/>
                <w:u w:val="none"/>
                <w:lang w:val="en-US" w:eastAsia="zh-CN" w:bidi="ar"/>
              </w:rPr>
              <w:t>，促进农业生产的全面协调发展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征收的耕地占用税收入在地方建立农业发展基金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用于提高耕地质量</w:t>
            </w:r>
            <w:r>
              <w:rPr>
                <w:rFonts w:hint="eastAsia" w:ascii="宋体" w:hAnsi="宋体" w:eastAsia="宋体" w:cs="宋体"/>
                <w:i w:val="0"/>
                <w:iCs w:val="0"/>
                <w:color w:val="000000"/>
                <w:sz w:val="18"/>
                <w:szCs w:val="18"/>
                <w:u w:val="none"/>
                <w:lang w:val="en-US" w:eastAsia="zh-CN"/>
              </w:rPr>
              <w:t>，扩大耕地数量</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用于提高耕地质量</w:t>
            </w:r>
            <w:r>
              <w:rPr>
                <w:rFonts w:hint="eastAsia" w:ascii="宋体" w:hAnsi="宋体" w:eastAsia="宋体" w:cs="宋体"/>
                <w:i w:val="0"/>
                <w:iCs w:val="0"/>
                <w:color w:val="000000"/>
                <w:sz w:val="18"/>
                <w:szCs w:val="18"/>
                <w:u w:val="none"/>
                <w:lang w:val="en-US" w:eastAsia="zh-CN"/>
              </w:rPr>
              <w:t>，扩大耕地数量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保护耕地，</w:t>
            </w:r>
            <w:r>
              <w:rPr>
                <w:rFonts w:hint="eastAsia" w:ascii="宋体" w:hAnsi="宋体" w:cs="宋体"/>
                <w:i w:val="0"/>
                <w:iCs w:val="0"/>
                <w:color w:val="000000"/>
                <w:kern w:val="0"/>
                <w:sz w:val="18"/>
                <w:szCs w:val="18"/>
                <w:u w:val="none"/>
                <w:lang w:val="en-US" w:eastAsia="zh-CN" w:bidi="ar"/>
              </w:rPr>
              <w:t>维护社会稳定</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政府满意、企业满意</w:t>
            </w:r>
            <w:r>
              <w:rPr>
                <w:rFonts w:hint="eastAsia" w:ascii="宋体" w:hAnsi="宋体" w:cs="宋体"/>
                <w:i w:val="0"/>
                <w:iCs w:val="0"/>
                <w:color w:val="000000"/>
                <w:kern w:val="0"/>
                <w:sz w:val="18"/>
                <w:szCs w:val="18"/>
                <w:u w:val="none"/>
                <w:lang w:val="en-US" w:eastAsia="zh-CN" w:bidi="ar"/>
              </w:rPr>
              <w:t>、群众满意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highlight w:val="yellow"/>
          <w:lang w:val="en-US" w:eastAsia="zh-CN"/>
        </w:rPr>
      </w:pPr>
      <w:r>
        <w:rPr>
          <w:rFonts w:hint="eastAsia" w:ascii="仿宋_GB2312" w:hAnsi="宋体" w:eastAsia="仿宋_GB2312"/>
          <w:sz w:val="32"/>
          <w:szCs w:val="32"/>
          <w:highlight w:val="none"/>
          <w:lang w:val="en-US" w:eastAsia="zh-CN"/>
        </w:rPr>
        <w:t>在取得省人民政府建设用地批复后，税务部门通知缴纳耕占税滞后，造成迟缴现象发生，导致产生滞纳金。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highlight w:val="none"/>
          <w:lang w:val="en-US" w:eastAsia="zh-CN"/>
        </w:rPr>
        <w:t>加强与区税务局沟通，主动对接确保取得批复后及时通知我局耕占税金额，积极对接市、区财政，</w:t>
      </w:r>
      <w:r>
        <w:rPr>
          <w:rFonts w:hint="eastAsia" w:ascii="仿宋_GB2312" w:hAnsi="仿宋_GB2312" w:eastAsia="仿宋_GB2312" w:cs="仿宋_GB2312"/>
          <w:bCs/>
          <w:sz w:val="32"/>
          <w:szCs w:val="32"/>
          <w:highlight w:val="none"/>
        </w:rPr>
        <w:t>确保</w:t>
      </w:r>
      <w:r>
        <w:rPr>
          <w:rFonts w:hint="eastAsia" w:ascii="仿宋_GB2312" w:hAnsi="仿宋_GB2312" w:eastAsia="仿宋_GB2312" w:cs="仿宋_GB2312"/>
          <w:bCs/>
          <w:sz w:val="32"/>
          <w:szCs w:val="32"/>
          <w:highlight w:val="none"/>
          <w:lang w:val="en-US" w:eastAsia="zh-CN"/>
        </w:rPr>
        <w:t>及时缴纳耕占税，避免产生滞纳金</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2021年第5批建设用地耕占税支出绩效</w:t>
      </w:r>
    </w:p>
    <w:p>
      <w:pPr>
        <w:pStyle w:val="34"/>
        <w:spacing w:line="560" w:lineRule="exact"/>
        <w:jc w:val="center"/>
        <w:rPr>
          <w:rFonts w:hint="eastAsia"/>
        </w:rPr>
      </w:pPr>
      <w:r>
        <w:rPr>
          <w:rFonts w:hint="eastAsia" w:ascii="宋体" w:hAnsi="宋体" w:eastAsia="宋体" w:cs="宋体"/>
          <w:bCs/>
          <w:sz w:val="44"/>
          <w:szCs w:val="44"/>
          <w:lang w:val="en-US" w:eastAsia="zh-CN"/>
        </w:rPr>
        <w:t>自评报告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2021年第5批建设用地耕占税</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，主要用于</w:t>
      </w:r>
      <w:r>
        <w:rPr>
          <w:rFonts w:hint="eastAsia" w:ascii="Times New Roman" w:hAnsi="Times New Roman" w:eastAsia="仿宋_GB2312" w:cs="Times New Roman"/>
          <w:sz w:val="32"/>
          <w:szCs w:val="32"/>
          <w:lang w:eastAsia="zh-CN"/>
        </w:rPr>
        <w:t>涉及</w:t>
      </w:r>
      <w:r>
        <w:rPr>
          <w:rFonts w:hint="default" w:ascii="Times New Roman" w:hAnsi="Times New Roman" w:eastAsia="仿宋_GB2312" w:cs="Times New Roman"/>
          <w:sz w:val="32"/>
          <w:szCs w:val="32"/>
        </w:rPr>
        <w:t>土地征收征用管理工作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承担报国务院和省、市政府审批的各类土地用途转用的审核、报批</w:t>
      </w:r>
      <w:r>
        <w:rPr>
          <w:rFonts w:hint="eastAsia" w:ascii="Times New Roman" w:hAnsi="Times New Roman" w:eastAsia="仿宋_GB2312" w:cs="Times New Roman"/>
          <w:sz w:val="32"/>
          <w:szCs w:val="32"/>
          <w:lang w:eastAsia="zh-CN"/>
        </w:rPr>
        <w:t>任务</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Times New Roman" w:hAnsi="Times New Roman" w:eastAsia="仿宋_GB2312" w:cs="Times New Roman"/>
          <w:sz w:val="32"/>
          <w:szCs w:val="32"/>
          <w:lang w:val="en-US" w:eastAsia="zh-CN"/>
        </w:rPr>
        <w:t>经局党组研究，2021年第5批建设用地耕占税</w:t>
      </w:r>
      <w:r>
        <w:rPr>
          <w:rFonts w:hint="eastAsia" w:ascii="仿宋" w:hAnsi="仿宋" w:eastAsia="仿宋" w:cs="仿宋"/>
          <w:b w:val="0"/>
          <w:bCs w:val="0"/>
          <w:sz w:val="32"/>
          <w:szCs w:val="32"/>
          <w:lang w:val="en-US" w:eastAsia="zh-CN"/>
        </w:rPr>
        <w:t>项目经费</w:t>
      </w:r>
      <w:r>
        <w:rPr>
          <w:rFonts w:hint="eastAsia" w:ascii="仿宋_GB2312" w:hAnsi="仿宋_GB2312" w:eastAsia="仿宋_GB2312" w:cs="仿宋_GB2312"/>
          <w:sz w:val="32"/>
          <w:szCs w:val="32"/>
          <w:lang w:val="zh-CN"/>
        </w:rPr>
        <w:t>用于广元市利州区2021年第5批建设用地耕占税支出</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w:t>
      </w:r>
      <w:r>
        <w:rPr>
          <w:rFonts w:hint="eastAsia" w:ascii="仿宋_GB2312" w:hAnsi="仿宋_GB2312" w:eastAsia="仿宋_GB2312" w:cs="仿宋_GB2312"/>
          <w:bCs/>
          <w:sz w:val="32"/>
          <w:szCs w:val="32"/>
          <w:lang w:val="en-US" w:eastAsia="zh-CN"/>
        </w:rPr>
        <w:t>337.12375</w:t>
      </w:r>
      <w:r>
        <w:rPr>
          <w:rFonts w:hint="eastAsia" w:ascii="Times New Roman" w:hAnsi="Times New Roman" w:eastAsia="仿宋_GB2312" w:cs="Times New Roman"/>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sz w:val="32"/>
          <w:szCs w:val="32"/>
          <w:lang w:val="en-US" w:eastAsia="zh-CN"/>
        </w:rPr>
        <w:t>2021年第5批建设用地耕占税</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资金申报</w:t>
      </w:r>
      <w:r>
        <w:rPr>
          <w:rFonts w:hint="eastAsia" w:ascii="仿宋_GB2312" w:hAnsi="仿宋_GB2312" w:eastAsia="仿宋_GB2312" w:cs="仿宋_GB2312"/>
          <w:bCs/>
          <w:sz w:val="32"/>
          <w:szCs w:val="32"/>
          <w:lang w:val="en-US" w:eastAsia="zh-CN"/>
        </w:rPr>
        <w:t>337.12375</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sz w:val="32"/>
          <w:szCs w:val="32"/>
          <w:lang w:val="en-US" w:eastAsia="zh-CN"/>
        </w:rPr>
        <w:t>2021年第5批建设用地耕占税</w:t>
      </w:r>
      <w:r>
        <w:rPr>
          <w:rFonts w:hint="eastAsia" w:ascii="仿宋" w:hAnsi="仿宋" w:eastAsia="仿宋" w:cs="仿宋"/>
          <w:b w:val="0"/>
          <w:bCs w:val="0"/>
          <w:sz w:val="32"/>
          <w:szCs w:val="32"/>
          <w:lang w:val="en-US" w:eastAsia="zh-CN"/>
        </w:rPr>
        <w:t>项目经费</w:t>
      </w:r>
      <w:r>
        <w:rPr>
          <w:rFonts w:hint="eastAsia" w:ascii="仿宋_GB2312" w:hAnsi="仿宋_GB2312" w:eastAsia="仿宋_GB2312" w:cs="仿宋_GB2312"/>
          <w:sz w:val="32"/>
          <w:szCs w:val="32"/>
          <w:lang w:val="zh-CN"/>
        </w:rPr>
        <w:t>用于广元市利州区2021年第5批建设用地耕占税支出</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w:t>
      </w:r>
      <w:r>
        <w:rPr>
          <w:rFonts w:hint="eastAsia" w:ascii="仿宋_GB2312" w:hAnsi="仿宋_GB2312" w:eastAsia="仿宋_GB2312" w:cs="仿宋_GB2312"/>
          <w:bCs/>
          <w:sz w:val="32"/>
          <w:szCs w:val="32"/>
          <w:lang w:val="en-US" w:eastAsia="zh-CN"/>
        </w:rPr>
        <w:t>337.12375</w:t>
      </w:r>
      <w:r>
        <w:rPr>
          <w:rFonts w:hint="eastAsia" w:ascii="Times New Roman" w:hAnsi="Times New Roman" w:eastAsia="仿宋_GB2312" w:cs="Times New Roman"/>
          <w:sz w:val="32"/>
          <w:szCs w:val="32"/>
          <w:lang w:val="en-US" w:eastAsia="zh-CN"/>
        </w:rPr>
        <w:t>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于2021年6月完成支付，支付率100%，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Times New Roman" w:hAnsi="Times New Roman" w:eastAsia="仿宋_GB2312" w:cs="Times New Roman"/>
          <w:sz w:val="32"/>
          <w:szCs w:val="32"/>
          <w:lang w:val="en-US" w:eastAsia="zh-CN"/>
        </w:rPr>
        <w:t>2021年第5批建设用地耕占税</w:t>
      </w:r>
      <w:r>
        <w:rPr>
          <w:rFonts w:hint="eastAsia" w:ascii="仿宋" w:hAnsi="仿宋" w:eastAsia="仿宋" w:cs="仿宋"/>
          <w:b w:val="0"/>
          <w:bCs w:val="0"/>
          <w:sz w:val="32"/>
          <w:szCs w:val="32"/>
          <w:lang w:val="en-US" w:eastAsia="zh-CN"/>
        </w:rPr>
        <w:t>项目</w:t>
      </w:r>
      <w:r>
        <w:rPr>
          <w:rFonts w:hint="eastAsia" w:ascii="仿宋_GB2312" w:hAnsi="宋体" w:eastAsia="仿宋_GB2312"/>
          <w:sz w:val="32"/>
          <w:szCs w:val="32"/>
          <w:lang w:val="en-US" w:eastAsia="zh-CN"/>
        </w:rPr>
        <w:t>由专门管理部门（耕地保护监督工作组）负责管理实施，资金按照省市和区财政专项资金使用要求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2021年第5批建设用地耕占税</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全年预算数</w:t>
      </w:r>
      <w:r>
        <w:rPr>
          <w:rFonts w:hint="eastAsia" w:ascii="仿宋_GB2312" w:hAnsi="仿宋_GB2312" w:eastAsia="仿宋_GB2312" w:cs="仿宋_GB2312"/>
          <w:bCs/>
          <w:sz w:val="32"/>
          <w:szCs w:val="32"/>
          <w:lang w:val="en-US" w:eastAsia="zh-CN"/>
        </w:rPr>
        <w:t>337.12375</w:t>
      </w:r>
      <w:r>
        <w:rPr>
          <w:rFonts w:hint="eastAsia" w:ascii="Times New Roman" w:hAnsi="Times New Roman" w:eastAsia="仿宋_GB2312" w:cs="Times New Roman"/>
          <w:sz w:val="32"/>
          <w:szCs w:val="32"/>
          <w:lang w:val="en-US" w:eastAsia="zh-CN"/>
        </w:rPr>
        <w:t>万元，执行数</w:t>
      </w:r>
      <w:r>
        <w:rPr>
          <w:rFonts w:hint="eastAsia" w:ascii="仿宋_GB2312" w:hAnsi="仿宋_GB2312" w:eastAsia="仿宋_GB2312" w:cs="仿宋_GB2312"/>
          <w:bCs/>
          <w:sz w:val="32"/>
          <w:szCs w:val="32"/>
          <w:lang w:val="en-US" w:eastAsia="zh-CN"/>
        </w:rPr>
        <w:t>337.12375</w:t>
      </w:r>
      <w:r>
        <w:rPr>
          <w:rFonts w:hint="eastAsia" w:ascii="Times New Roman" w:hAnsi="Times New Roman" w:eastAsia="仿宋_GB2312" w:cs="Times New Roman"/>
          <w:sz w:val="32"/>
          <w:szCs w:val="32"/>
          <w:lang w:val="en-US" w:eastAsia="zh-CN"/>
        </w:rPr>
        <w:t>万元，完成预算的100%，本项目由耕地保护监督工作组负责实施，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pStyle w:val="2"/>
        <w:keepNext w:val="0"/>
        <w:keepLines w:val="0"/>
        <w:pageBreakBefore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bCs/>
          <w:sz w:val="32"/>
          <w:szCs w:val="32"/>
        </w:rPr>
      </w:pPr>
      <w:r>
        <w:rPr>
          <w:rFonts w:hint="eastAsia" w:ascii="仿宋_GB2312" w:hAnsi="宋体" w:eastAsia="仿宋_GB2312"/>
          <w:sz w:val="32"/>
          <w:szCs w:val="32"/>
          <w:lang w:val="en-US" w:eastAsia="zh-CN"/>
        </w:rPr>
        <w:t>该项目资金用于</w:t>
      </w:r>
      <w:r>
        <w:rPr>
          <w:rFonts w:hint="eastAsia" w:ascii="仿宋_GB2312" w:hAnsi="仿宋_GB2312" w:eastAsia="仿宋_GB2312" w:cs="仿宋_GB2312"/>
          <w:sz w:val="32"/>
          <w:szCs w:val="32"/>
          <w:lang w:val="zh-CN"/>
        </w:rPr>
        <w:t>广元市利州区2021年第5批建设用地耕占税支</w:t>
      </w:r>
      <w:r>
        <w:rPr>
          <w:rFonts w:hint="eastAsia" w:ascii="仿宋_GB2312" w:hAnsi="仿宋_GB2312" w:eastAsia="仿宋_GB2312" w:cs="仿宋_GB2312"/>
          <w:sz w:val="32"/>
          <w:szCs w:val="32"/>
          <w:lang w:val="zh-CN" w:eastAsia="zh-CN"/>
        </w:rPr>
        <w:t>出方面，</w:t>
      </w:r>
      <w:r>
        <w:rPr>
          <w:rFonts w:hint="eastAsia" w:ascii="仿宋_GB2312" w:hAnsi="仿宋_GB2312" w:eastAsia="仿宋_GB2312" w:cs="仿宋_GB2312"/>
          <w:sz w:val="32"/>
          <w:szCs w:val="32"/>
          <w:lang w:val="en-US" w:eastAsia="zh-CN"/>
        </w:rPr>
        <w:t>实施流程为：广元市利州区2021年第5批建设用地经省人民政府同意并发放批复后，2021年12月1</w:t>
      </w:r>
      <w:r>
        <w:rPr>
          <w:rFonts w:hint="eastAsia" w:ascii="仿宋_GB2312" w:hAnsi="仿宋_GB2312" w:eastAsia="仿宋_GB2312" w:cs="仿宋_GB2312"/>
          <w:sz w:val="32"/>
          <w:szCs w:val="32"/>
          <w:highlight w:val="none"/>
          <w:lang w:val="en-US" w:eastAsia="zh-CN"/>
        </w:rPr>
        <w:t>7日区税务局向我局来函《关于将耕地占用税转入待缴库税款专户的函》（广利税函〔2021〕16号），要求我局于2021年12月25日将涉及的耕地占用税，转入区税务局的待缴库税款专户，我局于2021年12月17日请示区政府解决耕地占用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pStyle w:val="2"/>
        <w:keepNext w:val="0"/>
        <w:keepLines w:val="0"/>
        <w:pageBreakBefore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bCs/>
          <w:sz w:val="32"/>
          <w:szCs w:val="32"/>
        </w:rPr>
      </w:pPr>
      <w:r>
        <w:rPr>
          <w:rFonts w:hint="eastAsia" w:ascii="仿宋_GB2312" w:hAnsi="仿宋_GB2312" w:eastAsia="仿宋_GB2312" w:cs="仿宋_GB2312"/>
          <w:bCs/>
          <w:sz w:val="32"/>
          <w:szCs w:val="32"/>
        </w:rPr>
        <w:t>据《中华人民共和国耕地占用税法》文件精</w:t>
      </w:r>
      <w:r>
        <w:rPr>
          <w:rFonts w:hint="eastAsia" w:ascii="仿宋_GB2312" w:hAnsi="仿宋_GB2312" w:eastAsia="仿宋_GB2312" w:cs="仿宋_GB2312"/>
          <w:bCs/>
          <w:sz w:val="32"/>
          <w:szCs w:val="32"/>
          <w:lang w:val="zh-CN"/>
        </w:rPr>
        <w:t>神</w:t>
      </w:r>
      <w:r>
        <w:rPr>
          <w:rFonts w:hint="eastAsia" w:ascii="仿宋_GB2312" w:hAnsi="仿宋_GB2312" w:eastAsia="仿宋_GB2312" w:cs="仿宋_GB2312"/>
          <w:bCs/>
          <w:sz w:val="32"/>
          <w:szCs w:val="32"/>
          <w:lang w:val="zh-CN" w:eastAsia="zh-CN"/>
        </w:rPr>
        <w:t>，为了合理利用土地资源，加强土地管理，保护耕地，</w:t>
      </w:r>
      <w:r>
        <w:rPr>
          <w:rFonts w:hint="eastAsia" w:ascii="仿宋_GB2312" w:hAnsi="仿宋_GB2312" w:eastAsia="仿宋_GB2312" w:cs="仿宋_GB2312"/>
          <w:bCs/>
          <w:sz w:val="32"/>
          <w:szCs w:val="32"/>
          <w:lang w:val="en-US" w:eastAsia="zh-CN"/>
        </w:rPr>
        <w:t>依法对广元市利州区2021年第5批建设用地征收耕占税</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w:t>
      </w:r>
      <w:r>
        <w:rPr>
          <w:rFonts w:hint="eastAsia" w:ascii="仿宋_GB2312" w:hAnsi="仿宋_GB2312" w:eastAsia="仿宋_GB2312" w:cs="仿宋_GB2312"/>
          <w:bCs/>
          <w:sz w:val="32"/>
          <w:szCs w:val="32"/>
          <w:lang w:val="en-US" w:eastAsia="zh-CN"/>
        </w:rPr>
        <w:t>2021年第5批建设用地耕占税</w:t>
      </w:r>
      <w:r>
        <w:rPr>
          <w:rFonts w:hint="eastAsia" w:ascii="仿宋_GB2312" w:hAnsi="宋体" w:eastAsia="仿宋_GB2312"/>
          <w:sz w:val="32"/>
          <w:szCs w:val="32"/>
          <w:lang w:val="en-US" w:eastAsia="zh-CN"/>
        </w:rPr>
        <w:t>”项目预算申报时共设置4个完成指标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adjustRightInd w:val="0"/>
        <w:snapToGrid w:val="0"/>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2021年第5批建设用地耕占税支出绩效评价表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耕占税及滞纳金按要求支付</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337.12375万元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337.12375万元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none"/>
                <w:u w:val="none"/>
                <w:lang w:val="en-US" w:eastAsia="zh-CN"/>
              </w:rPr>
              <w:t>按税务部门要求足额缴纳耕占税</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highlight w:val="none"/>
                <w:u w:val="none"/>
                <w:lang w:val="en-US" w:eastAsia="zh-CN"/>
              </w:rPr>
              <w:t>根据缴费时限，按规定足额缴纳耕占税及滞纳金</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i w:val="0"/>
                <w:iCs w:val="0"/>
                <w:color w:val="000000"/>
                <w:sz w:val="18"/>
                <w:szCs w:val="18"/>
                <w:highlight w:val="none"/>
                <w:u w:val="none"/>
                <w:lang w:val="en-US" w:eastAsia="zh-CN"/>
              </w:rPr>
              <w:t>已按照规定足额缴纳耕占税</w:t>
            </w:r>
            <w:r>
              <w:rPr>
                <w:rFonts w:hint="eastAsia" w:ascii="宋体" w:hAnsi="宋体" w:cs="宋体"/>
                <w:i w:val="0"/>
                <w:iCs w:val="0"/>
                <w:color w:val="000000"/>
                <w:kern w:val="0"/>
                <w:sz w:val="18"/>
                <w:szCs w:val="18"/>
                <w:u w:val="none"/>
                <w:lang w:val="en-US" w:eastAsia="zh-CN" w:bidi="ar"/>
              </w:rPr>
              <w:t>337.12375万元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按时缴纳耕占税及滞纳金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2021年12月  25日前</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已在规定时间内缴纳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耕占税及滞纳金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337.12375万元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337.12375万元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促进土地资源的合理运用，增加地方财税收入</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50%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加强土地管理，保护农用耕地</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限制非农业建设占用耕地</w:t>
            </w:r>
            <w:r>
              <w:rPr>
                <w:rFonts w:hint="default" w:ascii="宋体" w:hAnsi="宋体" w:eastAsia="宋体" w:cs="宋体"/>
                <w:i w:val="0"/>
                <w:iCs w:val="0"/>
                <w:color w:val="000000"/>
                <w:kern w:val="0"/>
                <w:sz w:val="18"/>
                <w:szCs w:val="18"/>
                <w:u w:val="none"/>
                <w:lang w:val="en-US" w:eastAsia="zh-CN" w:bidi="ar"/>
              </w:rPr>
              <w:t>，促进农业生产的全面协调发展</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限制非农业建设占用耕地</w:t>
            </w:r>
            <w:r>
              <w:rPr>
                <w:rFonts w:hint="default" w:ascii="宋体" w:hAnsi="宋体" w:eastAsia="宋体" w:cs="宋体"/>
                <w:i w:val="0"/>
                <w:iCs w:val="0"/>
                <w:color w:val="000000"/>
                <w:kern w:val="0"/>
                <w:sz w:val="18"/>
                <w:szCs w:val="18"/>
                <w:u w:val="none"/>
                <w:lang w:val="en-US" w:eastAsia="zh-CN" w:bidi="ar"/>
              </w:rPr>
              <w:t>，促进农业生产的全面协调发展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征收的耕地占用税收入在地方建立农业发展基金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用于提高耕地质量</w:t>
            </w:r>
            <w:r>
              <w:rPr>
                <w:rFonts w:hint="eastAsia" w:ascii="宋体" w:hAnsi="宋体" w:eastAsia="宋体" w:cs="宋体"/>
                <w:i w:val="0"/>
                <w:iCs w:val="0"/>
                <w:color w:val="000000"/>
                <w:sz w:val="18"/>
                <w:szCs w:val="18"/>
                <w:u w:val="none"/>
                <w:lang w:val="en-US" w:eastAsia="zh-CN"/>
              </w:rPr>
              <w:t>，扩大耕地数量</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用于提高耕地质量</w:t>
            </w:r>
            <w:r>
              <w:rPr>
                <w:rFonts w:hint="eastAsia" w:ascii="宋体" w:hAnsi="宋体" w:eastAsia="宋体" w:cs="宋体"/>
                <w:i w:val="0"/>
                <w:iCs w:val="0"/>
                <w:color w:val="000000"/>
                <w:sz w:val="18"/>
                <w:szCs w:val="18"/>
                <w:u w:val="none"/>
                <w:lang w:val="en-US" w:eastAsia="zh-CN"/>
              </w:rPr>
              <w:t>，扩大耕地数量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保护耕地，</w:t>
            </w:r>
            <w:r>
              <w:rPr>
                <w:rFonts w:hint="eastAsia" w:ascii="宋体" w:hAnsi="宋体" w:cs="宋体"/>
                <w:i w:val="0"/>
                <w:iCs w:val="0"/>
                <w:color w:val="000000"/>
                <w:kern w:val="0"/>
                <w:sz w:val="18"/>
                <w:szCs w:val="18"/>
                <w:u w:val="none"/>
                <w:lang w:val="en-US" w:eastAsia="zh-CN" w:bidi="ar"/>
              </w:rPr>
              <w:t>维护社会稳定</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政府满意、企业满意</w:t>
            </w:r>
            <w:r>
              <w:rPr>
                <w:rFonts w:hint="eastAsia" w:ascii="宋体" w:hAnsi="宋体" w:cs="宋体"/>
                <w:i w:val="0"/>
                <w:iCs w:val="0"/>
                <w:color w:val="000000"/>
                <w:kern w:val="0"/>
                <w:sz w:val="18"/>
                <w:szCs w:val="18"/>
                <w:u w:val="none"/>
                <w:lang w:val="en-US" w:eastAsia="zh-CN" w:bidi="ar"/>
              </w:rPr>
              <w:t>、群众满意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highlight w:val="yellow"/>
          <w:lang w:val="en-US" w:eastAsia="zh-CN"/>
        </w:rPr>
      </w:pPr>
      <w:r>
        <w:rPr>
          <w:rFonts w:hint="eastAsia" w:ascii="仿宋_GB2312" w:hAnsi="宋体" w:eastAsia="仿宋_GB2312"/>
          <w:sz w:val="32"/>
          <w:szCs w:val="32"/>
          <w:highlight w:val="none"/>
          <w:lang w:val="en-US" w:eastAsia="zh-CN"/>
        </w:rPr>
        <w:t>在取得省人民政府建设用地批复后，税务部门通知缴纳耕占税滞后，要求缴纳时间紧，容易产生滞纳金。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highlight w:val="none"/>
          <w:lang w:val="en-US" w:eastAsia="zh-CN"/>
        </w:rPr>
        <w:t>加强与区税务局沟通，主动对接确保取得批复后及时通知我局耕占税金额，积极对接市、区财政，</w:t>
      </w:r>
      <w:r>
        <w:rPr>
          <w:rFonts w:hint="eastAsia" w:ascii="仿宋_GB2312" w:hAnsi="仿宋_GB2312" w:eastAsia="仿宋_GB2312" w:cs="仿宋_GB2312"/>
          <w:bCs/>
          <w:sz w:val="32"/>
          <w:szCs w:val="32"/>
          <w:highlight w:val="none"/>
        </w:rPr>
        <w:t>确保</w:t>
      </w:r>
      <w:r>
        <w:rPr>
          <w:rFonts w:hint="eastAsia" w:ascii="仿宋_GB2312" w:hAnsi="仿宋_GB2312" w:eastAsia="仿宋_GB2312" w:cs="仿宋_GB2312"/>
          <w:bCs/>
          <w:sz w:val="32"/>
          <w:szCs w:val="32"/>
          <w:highlight w:val="none"/>
          <w:lang w:val="en-US" w:eastAsia="zh-CN"/>
        </w:rPr>
        <w:t>及时缴纳耕占税，避免产生滞纳金</w:t>
      </w:r>
      <w:r>
        <w:rPr>
          <w:rFonts w:hint="eastAsia" w:ascii="仿宋_GB2312" w:hAnsi="仿宋_GB2312" w:eastAsia="仿宋_GB2312" w:cs="仿宋_GB2312"/>
          <w:bCs/>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880" w:firstLineChars="20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2021年第23批次建设用地被征地</w:t>
      </w:r>
    </w:p>
    <w:p>
      <w:pPr>
        <w:pStyle w:val="34"/>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农民社保资金预存款支出绩效自评报告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32"/>
          <w:lang w:val="en-US" w:eastAsia="zh-CN" w:bidi="ar-SA"/>
        </w:rPr>
        <w:t>2021年第23批次建设用地被征地农民社保资金预存款</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，主要用于</w:t>
      </w:r>
      <w:r>
        <w:rPr>
          <w:rFonts w:hint="eastAsia" w:ascii="Times New Roman" w:hAnsi="Times New Roman" w:eastAsia="仿宋_GB2312" w:cs="Times New Roman"/>
          <w:sz w:val="32"/>
          <w:szCs w:val="32"/>
          <w:lang w:eastAsia="zh-CN"/>
        </w:rPr>
        <w:t>涉及</w:t>
      </w:r>
      <w:r>
        <w:rPr>
          <w:rFonts w:hint="default" w:ascii="Times New Roman" w:hAnsi="Times New Roman" w:eastAsia="仿宋_GB2312" w:cs="Times New Roman"/>
          <w:sz w:val="32"/>
          <w:szCs w:val="32"/>
        </w:rPr>
        <w:t>土地征收征用管理工作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承担报国务院和省、市政府审批的各类土地用途转用的审核、报批</w:t>
      </w:r>
      <w:r>
        <w:rPr>
          <w:rFonts w:hint="eastAsia" w:ascii="Times New Roman" w:hAnsi="Times New Roman" w:eastAsia="仿宋_GB2312" w:cs="Times New Roman"/>
          <w:sz w:val="32"/>
          <w:szCs w:val="32"/>
          <w:lang w:eastAsia="zh-CN"/>
        </w:rPr>
        <w:t>任务</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Times New Roman" w:hAnsi="Times New Roman" w:eastAsia="仿宋_GB2312" w:cs="Times New Roman"/>
          <w:sz w:val="32"/>
          <w:szCs w:val="32"/>
          <w:lang w:val="en-US" w:eastAsia="zh-CN"/>
        </w:rPr>
        <w:t>经局党组研究，</w:t>
      </w:r>
      <w:r>
        <w:rPr>
          <w:rFonts w:hint="eastAsia" w:ascii="Times New Roman" w:hAnsi="Times New Roman" w:eastAsia="仿宋_GB2312" w:cs="Times New Roman"/>
          <w:color w:val="auto"/>
          <w:kern w:val="2"/>
          <w:sz w:val="32"/>
          <w:szCs w:val="32"/>
          <w:lang w:val="en-US" w:eastAsia="zh-CN" w:bidi="ar-SA"/>
        </w:rPr>
        <w:t>2021年第23批次建设用地被征地农民社保资金预存款</w:t>
      </w:r>
      <w:r>
        <w:rPr>
          <w:rFonts w:hint="eastAsia" w:ascii="仿宋" w:hAnsi="仿宋" w:eastAsia="仿宋" w:cs="仿宋"/>
          <w:b w:val="0"/>
          <w:bCs w:val="0"/>
          <w:sz w:val="32"/>
          <w:szCs w:val="32"/>
          <w:lang w:val="en-US" w:eastAsia="zh-CN"/>
        </w:rPr>
        <w:t>项目经费</w:t>
      </w:r>
      <w:r>
        <w:rPr>
          <w:rFonts w:hint="eastAsia" w:ascii="仿宋_GB2312" w:hAnsi="宋体" w:eastAsia="仿宋_GB2312"/>
          <w:sz w:val="32"/>
          <w:szCs w:val="32"/>
          <w:lang w:val="en-US" w:eastAsia="zh-CN"/>
        </w:rPr>
        <w:t>用于2021年第23批次建设用地等被征地农民社保资金预存款支出，</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w:t>
      </w:r>
      <w:r>
        <w:rPr>
          <w:rFonts w:hint="eastAsia" w:ascii="仿宋_GB2312" w:hAnsi="宋体" w:eastAsia="仿宋_GB2312"/>
          <w:sz w:val="32"/>
          <w:szCs w:val="32"/>
          <w:lang w:val="en-US" w:eastAsia="zh-CN"/>
        </w:rPr>
        <w:t>301.01968</w:t>
      </w:r>
      <w:r>
        <w:rPr>
          <w:rFonts w:hint="eastAsia" w:ascii="Times New Roman" w:hAnsi="Times New Roman" w:eastAsia="仿宋_GB2312" w:cs="Times New Roman"/>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lang w:val="en-US" w:eastAsia="zh-CN" w:bidi="ar-SA"/>
        </w:rPr>
        <w:t>2021年第23批次建设用地被征地农民社保资金预存款</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资金申报</w:t>
      </w:r>
      <w:r>
        <w:rPr>
          <w:rFonts w:hint="eastAsia" w:ascii="仿宋_GB2312" w:hAnsi="宋体" w:eastAsia="仿宋_GB2312"/>
          <w:sz w:val="32"/>
          <w:szCs w:val="32"/>
          <w:lang w:val="en-US" w:eastAsia="zh-CN"/>
        </w:rPr>
        <w:t>301.01968</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pStyle w:val="2"/>
        <w:keepNext w:val="0"/>
        <w:keepLines w:val="0"/>
        <w:pageBreakBefore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bCs/>
          <w:sz w:val="32"/>
          <w:szCs w:val="32"/>
        </w:rPr>
      </w:pPr>
      <w:r>
        <w:rPr>
          <w:rFonts w:hint="eastAsia" w:ascii="Times New Roman" w:hAnsi="Times New Roman" w:eastAsia="仿宋_GB2312" w:cs="Times New Roman"/>
          <w:color w:val="auto"/>
          <w:kern w:val="2"/>
          <w:sz w:val="32"/>
          <w:szCs w:val="32"/>
          <w:lang w:val="en-US" w:eastAsia="zh-CN" w:bidi="ar-SA"/>
        </w:rPr>
        <w:t>2021年第23批次建设用地被征地农民社保资金预存款</w:t>
      </w:r>
      <w:r>
        <w:rPr>
          <w:rFonts w:hint="eastAsia" w:ascii="仿宋" w:hAnsi="仿宋" w:eastAsia="仿宋" w:cs="仿宋"/>
          <w:b w:val="0"/>
          <w:bCs w:val="0"/>
          <w:sz w:val="32"/>
          <w:szCs w:val="32"/>
          <w:lang w:val="en-US" w:eastAsia="zh-CN"/>
        </w:rPr>
        <w:t>项目经费</w:t>
      </w:r>
      <w:r>
        <w:rPr>
          <w:rFonts w:hint="eastAsia" w:ascii="仿宋_GB2312" w:hAnsi="宋体" w:eastAsia="仿宋_GB2312"/>
          <w:sz w:val="32"/>
          <w:szCs w:val="32"/>
          <w:lang w:val="en-US" w:eastAsia="zh-CN"/>
        </w:rPr>
        <w:t>用于2021年第23批次建设用地等被征地农民社保资金预存款支出，</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w:t>
      </w:r>
      <w:r>
        <w:rPr>
          <w:rFonts w:hint="eastAsia" w:ascii="仿宋_GB2312" w:hAnsi="宋体" w:eastAsia="仿宋_GB2312"/>
          <w:sz w:val="32"/>
          <w:szCs w:val="32"/>
          <w:lang w:val="en-US" w:eastAsia="zh-CN"/>
        </w:rPr>
        <w:t>301.01968</w:t>
      </w:r>
      <w:r>
        <w:rPr>
          <w:rFonts w:hint="eastAsia" w:ascii="Times New Roman" w:hAnsi="Times New Roman" w:eastAsia="仿宋_GB2312" w:cs="Times New Roman"/>
          <w:sz w:val="32"/>
          <w:szCs w:val="32"/>
          <w:lang w:val="en-US" w:eastAsia="zh-CN"/>
        </w:rPr>
        <w:t>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于2021年10月完成支付，支付率100%，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Times New Roman" w:hAnsi="Times New Roman" w:eastAsia="仿宋_GB2312" w:cs="Times New Roman"/>
          <w:color w:val="auto"/>
          <w:kern w:val="2"/>
          <w:sz w:val="32"/>
          <w:szCs w:val="32"/>
          <w:lang w:val="en-US" w:eastAsia="zh-CN" w:bidi="ar-SA"/>
        </w:rPr>
        <w:t>2021年第23批次建设用地被征地农民社保资金预存款</w:t>
      </w:r>
      <w:r>
        <w:rPr>
          <w:rFonts w:hint="eastAsia" w:ascii="仿宋" w:hAnsi="仿宋" w:eastAsia="仿宋" w:cs="仿宋"/>
          <w:b w:val="0"/>
          <w:bCs w:val="0"/>
          <w:sz w:val="32"/>
          <w:szCs w:val="32"/>
          <w:lang w:val="en-US" w:eastAsia="zh-CN"/>
        </w:rPr>
        <w:t>项目</w:t>
      </w:r>
      <w:r>
        <w:rPr>
          <w:rFonts w:hint="eastAsia" w:ascii="仿宋_GB2312" w:hAnsi="宋体" w:eastAsia="仿宋_GB2312"/>
          <w:sz w:val="32"/>
          <w:szCs w:val="32"/>
          <w:lang w:val="en-US" w:eastAsia="zh-CN"/>
        </w:rPr>
        <w:t>由专门管理部门（耕地保护监督工作组）负责管理实施，资金按照省市和区财政专项资金使用要求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color w:val="auto"/>
          <w:kern w:val="2"/>
          <w:sz w:val="32"/>
          <w:szCs w:val="32"/>
          <w:lang w:val="en-US" w:eastAsia="zh-CN" w:bidi="ar-SA"/>
        </w:rPr>
        <w:t>2021年第23批次建设用地被征地农民社保资金预存款</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全年预算数</w:t>
      </w:r>
      <w:r>
        <w:rPr>
          <w:rFonts w:hint="eastAsia" w:ascii="仿宋_GB2312" w:hAnsi="宋体" w:eastAsia="仿宋_GB2312"/>
          <w:sz w:val="32"/>
          <w:szCs w:val="32"/>
          <w:lang w:val="en-US" w:eastAsia="zh-CN"/>
        </w:rPr>
        <w:t>301.01968</w:t>
      </w:r>
      <w:r>
        <w:rPr>
          <w:rFonts w:hint="eastAsia" w:ascii="Times New Roman" w:hAnsi="Times New Roman" w:eastAsia="仿宋_GB2312" w:cs="Times New Roman"/>
          <w:sz w:val="32"/>
          <w:szCs w:val="32"/>
          <w:lang w:val="en-US" w:eastAsia="zh-CN"/>
        </w:rPr>
        <w:t>万元，执行数</w:t>
      </w:r>
      <w:r>
        <w:rPr>
          <w:rFonts w:hint="eastAsia" w:ascii="仿宋_GB2312" w:hAnsi="宋体" w:eastAsia="仿宋_GB2312"/>
          <w:sz w:val="32"/>
          <w:szCs w:val="32"/>
          <w:lang w:val="en-US" w:eastAsia="zh-CN"/>
        </w:rPr>
        <w:t>301.01968</w:t>
      </w:r>
      <w:r>
        <w:rPr>
          <w:rFonts w:hint="eastAsia" w:ascii="Times New Roman" w:hAnsi="Times New Roman" w:eastAsia="仿宋_GB2312" w:cs="Times New Roman"/>
          <w:sz w:val="32"/>
          <w:szCs w:val="32"/>
          <w:lang w:val="en-US" w:eastAsia="zh-CN"/>
        </w:rPr>
        <w:t>万元，完成预算的100%，本项目由耕地保护监督工作组负责实施，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pStyle w:val="2"/>
        <w:keepNext w:val="0"/>
        <w:keepLines w:val="0"/>
        <w:pageBreakBefore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bCs/>
          <w:sz w:val="32"/>
          <w:szCs w:val="32"/>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pStyle w:val="2"/>
        <w:keepNext w:val="0"/>
        <w:keepLines w:val="0"/>
        <w:pageBreakBefore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bCs/>
          <w:sz w:val="32"/>
          <w:szCs w:val="32"/>
        </w:rPr>
      </w:pPr>
      <w:r>
        <w:rPr>
          <w:rFonts w:hint="eastAsia" w:ascii="仿宋_GB2312" w:hAnsi="仿宋_GB2312" w:eastAsia="仿宋_GB2312" w:cs="仿宋_GB2312"/>
          <w:sz w:val="32"/>
          <w:szCs w:val="32"/>
          <w:lang w:val="zh-CN"/>
        </w:rPr>
        <w:t>该项目资金用于2021年第</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rPr>
        <w:t>批次建设用地被征地农民社保资金预存款支出方面，实施流程为：征地报批前，我局函请利州区社保事务中心测算2021年第</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rPr>
        <w:t>批次建设用地被征地农民社保资金预存款金额，我局依据区社会保险事务中心测算结果，请示区政府解决2021年第</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zh-CN"/>
        </w:rPr>
        <w:t>批次建设用地被征地农民社保资金预存款支出。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pStyle w:val="2"/>
        <w:keepNext w:val="0"/>
        <w:keepLines w:val="0"/>
        <w:pageBreakBefore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bCs/>
          <w:sz w:val="32"/>
          <w:szCs w:val="32"/>
        </w:rPr>
      </w:pPr>
      <w:r>
        <w:rPr>
          <w:rFonts w:hint="eastAsia" w:ascii="仿宋_GB2312" w:hAnsi="宋体" w:eastAsia="仿宋_GB2312"/>
          <w:sz w:val="32"/>
          <w:szCs w:val="32"/>
          <w:lang w:val="zh-CN"/>
        </w:rPr>
        <w:t>资金由区自然资源分局申报，经区人民政府和财政部门批复，拨付</w:t>
      </w:r>
      <w:r>
        <w:rPr>
          <w:rFonts w:hint="eastAsia" w:ascii="仿宋_GB2312" w:hAnsi="宋体" w:eastAsia="仿宋_GB2312"/>
          <w:sz w:val="32"/>
          <w:szCs w:val="32"/>
          <w:lang w:val="en-US" w:eastAsia="zh-CN"/>
        </w:rPr>
        <w:t>301.01968万元用于2021年第23批次建设用地等被征地农民社保资金预存款支出。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“2021年第23批次建设用地等被征地农民社保资金预存款”项目预算申报时共设置4个完成指标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adjustRightInd w:val="0"/>
        <w:snapToGrid w:val="0"/>
        <w:spacing w:line="60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2021年第23批次建设用地被征地农民社保资金预存款支出绩效评价表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社保预存款按要求支付</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301.01968万元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301.01968万元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按照区社保中心测算结果全额缴纳</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按时缴纳社保预存款</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组卷上报省厅前完成缴纳</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已按照规定时间缴纳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社保资金预存款</w:t>
            </w:r>
            <w:r>
              <w:rPr>
                <w:rFonts w:hint="eastAsia" w:ascii="宋体" w:hAnsi="宋体" w:cs="宋体"/>
                <w:i w:val="0"/>
                <w:iCs w:val="0"/>
                <w:color w:val="000000"/>
                <w:sz w:val="18"/>
                <w:szCs w:val="18"/>
                <w:u w:val="none"/>
                <w:lang w:eastAsia="zh-CN"/>
              </w:rPr>
              <w:t>金额</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301.01968万元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301.01968万元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保障项目用地</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创造</w:t>
            </w:r>
            <w:r>
              <w:rPr>
                <w:rFonts w:hint="eastAsia" w:ascii="宋体" w:hAnsi="宋体" w:cs="宋体"/>
                <w:i w:val="0"/>
                <w:iCs w:val="0"/>
                <w:color w:val="000000"/>
                <w:kern w:val="0"/>
                <w:sz w:val="18"/>
                <w:szCs w:val="18"/>
                <w:u w:val="none"/>
                <w:lang w:val="en-US" w:eastAsia="zh-CN" w:bidi="ar"/>
              </w:rPr>
              <w:t>利润</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100</w:t>
            </w:r>
            <w:r>
              <w:rPr>
                <w:rFonts w:hint="eastAsia" w:ascii="宋体" w:hAnsi="宋体" w:eastAsia="宋体" w:cs="宋体"/>
                <w:sz w:val="18"/>
                <w:szCs w:val="18"/>
                <w:vertAlign w:val="baseline"/>
                <w:lang w:val="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100</w:t>
            </w:r>
            <w:r>
              <w:rPr>
                <w:rFonts w:hint="eastAsia" w:ascii="宋体" w:hAnsi="宋体" w:eastAsia="宋体" w:cs="宋体"/>
                <w:sz w:val="18"/>
                <w:szCs w:val="18"/>
                <w:vertAlign w:val="baseline"/>
                <w:lang w:val="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保护被征地需安置人员的合法权益</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确保安置人员社保资金落实到位</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18"/>
                <w:szCs w:val="18"/>
                <w:u w:val="none"/>
                <w:lang w:eastAsia="zh-CN"/>
              </w:rPr>
              <w:t>确保安置人员社保资金落实到位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保护被征地需安置人员的合法社会权益，保障生态效益</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保护被征地需安置人员的合法社会权益</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保护被征地需安置人员的合法社会权益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保护被征地群众合法权益，</w:t>
            </w:r>
            <w:r>
              <w:rPr>
                <w:rFonts w:hint="eastAsia" w:ascii="宋体" w:hAnsi="宋体" w:cs="宋体"/>
                <w:i w:val="0"/>
                <w:iCs w:val="0"/>
                <w:color w:val="000000"/>
                <w:kern w:val="0"/>
                <w:sz w:val="18"/>
                <w:szCs w:val="18"/>
                <w:u w:val="none"/>
                <w:lang w:val="en-US" w:eastAsia="zh-CN" w:bidi="ar"/>
              </w:rPr>
              <w:t>维护社会稳定</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政府满意、企业满意</w:t>
            </w:r>
            <w:r>
              <w:rPr>
                <w:rFonts w:hint="eastAsia" w:ascii="宋体" w:hAnsi="宋体" w:cs="宋体"/>
                <w:i w:val="0"/>
                <w:iCs w:val="0"/>
                <w:color w:val="000000"/>
                <w:kern w:val="0"/>
                <w:sz w:val="18"/>
                <w:szCs w:val="18"/>
                <w:u w:val="none"/>
                <w:lang w:val="en-US" w:eastAsia="zh-CN" w:bidi="ar"/>
              </w:rPr>
              <w:t>、群众满意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由于利州区涉及征地建设项目较多，被征地农民社保预存款金额大，利州区财政解缴该项费用压力较大，由于未及时缴纳预存款导致批次用地无法按时上报。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宋体" w:eastAsia="仿宋_GB2312"/>
          <w:sz w:val="32"/>
          <w:szCs w:val="32"/>
          <w:lang w:val="en-US" w:eastAsia="zh-CN"/>
        </w:rPr>
        <w:t>积极对接市、区级财政，适当增加预算以保障我区建设项目被征地农民社保资金预存款解缴工作，</w:t>
      </w:r>
      <w:r>
        <w:rPr>
          <w:rFonts w:hint="eastAsia" w:ascii="仿宋_GB2312" w:hAnsi="仿宋_GB2312" w:eastAsia="仿宋_GB2312" w:cs="仿宋_GB2312"/>
          <w:bCs/>
          <w:sz w:val="32"/>
          <w:szCs w:val="32"/>
        </w:rPr>
        <w:t>确保被征地需安置人员的合法</w:t>
      </w:r>
      <w:r>
        <w:rPr>
          <w:rFonts w:hint="eastAsia" w:ascii="仿宋_GB2312" w:hAnsi="仿宋_GB2312" w:eastAsia="仿宋_GB2312" w:cs="仿宋_GB2312"/>
          <w:bCs/>
          <w:sz w:val="32"/>
          <w:szCs w:val="32"/>
          <w:lang w:eastAsia="zh-CN"/>
        </w:rPr>
        <w:t>权益和全区经济可持续发展</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autoSpaceDN/>
        <w:bidi w:val="0"/>
        <w:spacing w:line="560" w:lineRule="exact"/>
        <w:ind w:firstLine="880" w:firstLineChars="200"/>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S301三堆羊盘至青川观音店段公路改建、宝轮环线道路（南线）建设用地耕占税及滞纳金支出绩效自评报告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S301三堆羊盘至青川观音店段公路改建、宝轮环线道路（南线）建设用地耕占税及滞纳金</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，主要用于</w:t>
      </w:r>
      <w:r>
        <w:rPr>
          <w:rFonts w:hint="eastAsia" w:ascii="Times New Roman" w:hAnsi="Times New Roman" w:eastAsia="仿宋_GB2312" w:cs="Times New Roman"/>
          <w:sz w:val="32"/>
          <w:szCs w:val="32"/>
          <w:lang w:eastAsia="zh-CN"/>
        </w:rPr>
        <w:t>涉及</w:t>
      </w:r>
      <w:r>
        <w:rPr>
          <w:rFonts w:hint="default" w:ascii="Times New Roman" w:hAnsi="Times New Roman" w:eastAsia="仿宋_GB2312" w:cs="Times New Roman"/>
          <w:sz w:val="32"/>
          <w:szCs w:val="32"/>
        </w:rPr>
        <w:t>土地征收征用管理工作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承担报国务院和省、市政府审批的各类土地用途转用的审核、报批</w:t>
      </w:r>
      <w:r>
        <w:rPr>
          <w:rFonts w:hint="eastAsia" w:ascii="Times New Roman" w:hAnsi="Times New Roman" w:eastAsia="仿宋_GB2312" w:cs="Times New Roman"/>
          <w:sz w:val="32"/>
          <w:szCs w:val="32"/>
          <w:lang w:eastAsia="zh-CN"/>
        </w:rPr>
        <w:t>任务</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Times New Roman" w:hAnsi="Times New Roman" w:eastAsia="仿宋_GB2312" w:cs="Times New Roman"/>
          <w:sz w:val="32"/>
          <w:szCs w:val="32"/>
          <w:lang w:val="en-US" w:eastAsia="zh-CN"/>
        </w:rPr>
        <w:t>经局党组研究，S301三堆羊盘至青川观音店段公路改建、宝轮环线道路（南线）建设用地耕占税及滞纳金</w:t>
      </w:r>
      <w:r>
        <w:rPr>
          <w:rFonts w:hint="eastAsia" w:ascii="仿宋" w:hAnsi="仿宋" w:eastAsia="仿宋" w:cs="仿宋"/>
          <w:b w:val="0"/>
          <w:bCs w:val="0"/>
          <w:sz w:val="32"/>
          <w:szCs w:val="32"/>
          <w:lang w:val="en-US" w:eastAsia="zh-CN"/>
        </w:rPr>
        <w:t>项目经费</w:t>
      </w:r>
      <w:r>
        <w:rPr>
          <w:rFonts w:hint="eastAsia" w:ascii="仿宋_GB2312" w:hAnsi="仿宋_GB2312" w:eastAsia="仿宋_GB2312" w:cs="仿宋_GB2312"/>
          <w:bCs/>
          <w:sz w:val="32"/>
          <w:szCs w:val="32"/>
          <w:lang w:val="en-US" w:eastAsia="zh-CN"/>
        </w:rPr>
        <w:t>用于S301三堆羊盘至青川观音店段公路改建、宝轮环线道路（南线）建设用地耕占税及滞纳金支出，共计使用</w:t>
      </w:r>
      <w:r>
        <w:rPr>
          <w:rFonts w:hint="eastAsia" w:ascii="Times New Roman" w:hAnsi="Times New Roman" w:eastAsia="仿宋_GB2312" w:cs="Times New Roman"/>
          <w:sz w:val="32"/>
          <w:szCs w:val="32"/>
          <w:lang w:val="en-US" w:eastAsia="zh-CN"/>
        </w:rPr>
        <w:t>财政专项资金</w:t>
      </w:r>
      <w:r>
        <w:rPr>
          <w:rFonts w:hint="eastAsia" w:ascii="仿宋_GB2312" w:hAnsi="仿宋_GB2312" w:eastAsia="仿宋_GB2312" w:cs="仿宋_GB2312"/>
          <w:bCs/>
          <w:sz w:val="32"/>
          <w:szCs w:val="32"/>
          <w:lang w:val="en-US" w:eastAsia="zh-CN"/>
        </w:rPr>
        <w:t>319.136521</w:t>
      </w:r>
      <w:r>
        <w:rPr>
          <w:rFonts w:hint="eastAsia" w:ascii="Times New Roman" w:hAnsi="Times New Roman" w:eastAsia="仿宋_GB2312" w:cs="Times New Roman"/>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sz w:val="32"/>
          <w:szCs w:val="32"/>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sz w:val="32"/>
          <w:szCs w:val="32"/>
          <w:lang w:val="en-US" w:eastAsia="zh-CN"/>
        </w:rPr>
        <w:t>S301三堆羊盘至青川观音店段公路改建、宝轮环线道路（南线）建设用地耕占税及滞纳金</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资金申报</w:t>
      </w:r>
      <w:r>
        <w:rPr>
          <w:rFonts w:hint="eastAsia" w:ascii="仿宋_GB2312" w:hAnsi="仿宋_GB2312" w:eastAsia="仿宋_GB2312" w:cs="仿宋_GB2312"/>
          <w:bCs/>
          <w:sz w:val="32"/>
          <w:szCs w:val="32"/>
          <w:lang w:val="en-US" w:eastAsia="zh-CN"/>
        </w:rPr>
        <w:t>319.136521</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sz w:val="32"/>
          <w:szCs w:val="32"/>
          <w:lang w:val="en-US" w:eastAsia="zh-CN"/>
        </w:rPr>
        <w:t>S301三堆羊盘至青川观音店段公路改建、宝轮环线道路（南线）建设用地耕占税及滞纳金</w:t>
      </w:r>
      <w:r>
        <w:rPr>
          <w:rFonts w:hint="eastAsia" w:ascii="仿宋" w:hAnsi="仿宋" w:eastAsia="仿宋" w:cs="仿宋"/>
          <w:b w:val="0"/>
          <w:bCs w:val="0"/>
          <w:sz w:val="32"/>
          <w:szCs w:val="32"/>
          <w:lang w:val="en-US" w:eastAsia="zh-CN"/>
        </w:rPr>
        <w:t>项目经费</w:t>
      </w:r>
      <w:r>
        <w:rPr>
          <w:rFonts w:hint="eastAsia" w:ascii="仿宋_GB2312" w:hAnsi="仿宋_GB2312" w:eastAsia="仿宋_GB2312" w:cs="仿宋_GB2312"/>
          <w:bCs/>
          <w:sz w:val="32"/>
          <w:szCs w:val="32"/>
          <w:lang w:val="en-US" w:eastAsia="zh-CN"/>
        </w:rPr>
        <w:t>用于S301三堆羊盘至青川观音店段公路改建、宝轮环线道路（南线）建设用地耕占税及滞纳金支出，共计使用</w:t>
      </w:r>
      <w:r>
        <w:rPr>
          <w:rFonts w:hint="eastAsia" w:ascii="Times New Roman" w:hAnsi="Times New Roman" w:eastAsia="仿宋_GB2312" w:cs="Times New Roman"/>
          <w:sz w:val="32"/>
          <w:szCs w:val="32"/>
          <w:lang w:val="en-US" w:eastAsia="zh-CN"/>
        </w:rPr>
        <w:t>财政专项资金</w:t>
      </w:r>
      <w:r>
        <w:rPr>
          <w:rFonts w:hint="eastAsia" w:ascii="仿宋_GB2312" w:hAnsi="仿宋_GB2312" w:eastAsia="仿宋_GB2312" w:cs="仿宋_GB2312"/>
          <w:bCs/>
          <w:sz w:val="32"/>
          <w:szCs w:val="32"/>
          <w:lang w:val="en-US" w:eastAsia="zh-CN"/>
        </w:rPr>
        <w:t>319.136521</w:t>
      </w:r>
      <w:r>
        <w:rPr>
          <w:rFonts w:hint="eastAsia" w:ascii="Times New Roman" w:hAnsi="Times New Roman" w:eastAsia="仿宋_GB2312" w:cs="Times New Roman"/>
          <w:sz w:val="32"/>
          <w:szCs w:val="32"/>
          <w:lang w:val="en-US" w:eastAsia="zh-CN"/>
        </w:rPr>
        <w:t>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于2021年6月完成支付，支付率100%，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Times New Roman" w:hAnsi="Times New Roman" w:eastAsia="仿宋_GB2312" w:cs="Times New Roman"/>
          <w:sz w:val="32"/>
          <w:szCs w:val="32"/>
          <w:lang w:val="en-US" w:eastAsia="zh-CN"/>
        </w:rPr>
        <w:t>S301三堆羊盘至青川观音店段公路改建、宝轮环线道路（南线）建设用地耕占税及滞纳金</w:t>
      </w:r>
      <w:r>
        <w:rPr>
          <w:rFonts w:hint="eastAsia" w:ascii="仿宋" w:hAnsi="仿宋" w:eastAsia="仿宋" w:cs="仿宋"/>
          <w:b w:val="0"/>
          <w:bCs w:val="0"/>
          <w:sz w:val="32"/>
          <w:szCs w:val="32"/>
          <w:lang w:val="en-US" w:eastAsia="zh-CN"/>
        </w:rPr>
        <w:t>项目</w:t>
      </w:r>
      <w:r>
        <w:rPr>
          <w:rFonts w:hint="eastAsia" w:ascii="仿宋_GB2312" w:hAnsi="宋体" w:eastAsia="仿宋_GB2312"/>
          <w:sz w:val="32"/>
          <w:szCs w:val="32"/>
          <w:lang w:val="en-US" w:eastAsia="zh-CN"/>
        </w:rPr>
        <w:t>由专门管理部门（耕地保护监督工作组）负责管理实施，资金按照省市和区财政专项资金使用要求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S301三堆羊盘至青川观音店段公路改建、宝轮环线道路（南线）建设用地耕占税及滞纳金</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全年预算数</w:t>
      </w:r>
      <w:r>
        <w:rPr>
          <w:rFonts w:hint="eastAsia" w:ascii="仿宋_GB2312" w:hAnsi="仿宋_GB2312" w:eastAsia="仿宋_GB2312" w:cs="仿宋_GB2312"/>
          <w:bCs/>
          <w:sz w:val="32"/>
          <w:szCs w:val="32"/>
          <w:lang w:val="en-US" w:eastAsia="zh-CN"/>
        </w:rPr>
        <w:t>319.136521</w:t>
      </w:r>
      <w:r>
        <w:rPr>
          <w:rFonts w:hint="eastAsia" w:ascii="Times New Roman" w:hAnsi="Times New Roman" w:eastAsia="仿宋_GB2312" w:cs="Times New Roman"/>
          <w:sz w:val="32"/>
          <w:szCs w:val="32"/>
          <w:lang w:val="en-US" w:eastAsia="zh-CN"/>
        </w:rPr>
        <w:t>万元，执行数</w:t>
      </w:r>
      <w:r>
        <w:rPr>
          <w:rFonts w:hint="eastAsia" w:ascii="仿宋_GB2312" w:hAnsi="仿宋_GB2312" w:eastAsia="仿宋_GB2312" w:cs="仿宋_GB2312"/>
          <w:bCs/>
          <w:sz w:val="32"/>
          <w:szCs w:val="32"/>
          <w:lang w:val="en-US" w:eastAsia="zh-CN"/>
        </w:rPr>
        <w:t>319.136521</w:t>
      </w:r>
      <w:r>
        <w:rPr>
          <w:rFonts w:hint="eastAsia" w:ascii="Times New Roman" w:hAnsi="Times New Roman" w:eastAsia="仿宋_GB2312" w:cs="Times New Roman"/>
          <w:sz w:val="32"/>
          <w:szCs w:val="32"/>
          <w:lang w:val="en-US" w:eastAsia="zh-CN"/>
        </w:rPr>
        <w:t>万元，完成预算的100%，本项目由耕地保护监督工作组负责实施，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宋体" w:eastAsia="仿宋_GB2312"/>
          <w:sz w:val="32"/>
          <w:szCs w:val="32"/>
          <w:lang w:val="en-US" w:eastAsia="zh-CN"/>
        </w:rPr>
        <w:t>该项目资金用于</w:t>
      </w:r>
      <w:r>
        <w:rPr>
          <w:rFonts w:hint="eastAsia" w:ascii="仿宋_GB2312" w:hAnsi="仿宋_GB2312" w:eastAsia="仿宋_GB2312" w:cs="仿宋_GB2312"/>
          <w:sz w:val="32"/>
          <w:szCs w:val="32"/>
          <w:lang w:val="zh-CN"/>
        </w:rPr>
        <w:t>S301三堆羊盘至青川观音店段公路改建、宝轮环线道路（南线）建设用地耕占税及滞纳金支</w:t>
      </w:r>
      <w:r>
        <w:rPr>
          <w:rFonts w:hint="eastAsia" w:ascii="仿宋_GB2312" w:hAnsi="仿宋_GB2312" w:eastAsia="仿宋_GB2312" w:cs="仿宋_GB2312"/>
          <w:sz w:val="32"/>
          <w:szCs w:val="32"/>
          <w:lang w:val="zh-CN" w:eastAsia="zh-CN"/>
        </w:rPr>
        <w:t>出方面，</w:t>
      </w:r>
      <w:r>
        <w:rPr>
          <w:rFonts w:hint="eastAsia" w:ascii="仿宋_GB2312" w:hAnsi="仿宋_GB2312" w:eastAsia="仿宋_GB2312" w:cs="仿宋_GB2312"/>
          <w:sz w:val="32"/>
          <w:szCs w:val="32"/>
          <w:lang w:val="en-US" w:eastAsia="zh-CN"/>
        </w:rPr>
        <w:t>实施流程为：广元市利州区S301三堆羊盘至青川观音店段公路改建工程、宝轮环线道路工程（南线）建设用地经省人民政府同意并发放批复后，区税务局向我局来函《关于将耕地占用税转入待缴库税款专户的函》（广利税函〔2021〕13号），要求我局于2021年6月25日将涉及的耕地占用税及滞纳金，转入区税务局的待缴库税款专户，我局于2021年6月16日请示区政府解决耕地占用税及滞纳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pStyle w:val="2"/>
        <w:keepNext w:val="0"/>
        <w:keepLines w:val="0"/>
        <w:pageBreakBefore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bCs/>
          <w:sz w:val="32"/>
          <w:szCs w:val="32"/>
        </w:rPr>
      </w:pPr>
      <w:r>
        <w:rPr>
          <w:rFonts w:hint="eastAsia" w:ascii="仿宋_GB2312" w:hAnsi="仿宋_GB2312" w:eastAsia="仿宋_GB2312" w:cs="仿宋_GB2312"/>
          <w:bCs/>
          <w:sz w:val="32"/>
          <w:szCs w:val="32"/>
        </w:rPr>
        <w:t>根据《中华人民共和国耕地占用税法》文件精</w:t>
      </w:r>
      <w:r>
        <w:rPr>
          <w:rFonts w:hint="eastAsia" w:ascii="仿宋_GB2312" w:hAnsi="仿宋_GB2312" w:eastAsia="仿宋_GB2312" w:cs="仿宋_GB2312"/>
          <w:bCs/>
          <w:sz w:val="32"/>
          <w:szCs w:val="32"/>
          <w:lang w:val="zh-CN"/>
        </w:rPr>
        <w:t>神</w:t>
      </w:r>
      <w:r>
        <w:rPr>
          <w:rFonts w:hint="eastAsia" w:ascii="仿宋_GB2312" w:hAnsi="仿宋_GB2312" w:eastAsia="仿宋_GB2312" w:cs="仿宋_GB2312"/>
          <w:bCs/>
          <w:sz w:val="32"/>
          <w:szCs w:val="32"/>
          <w:lang w:val="zh-CN" w:eastAsia="zh-CN"/>
        </w:rPr>
        <w:t>，为了合理利用土地资源，加强土地管理，保护耕地，</w:t>
      </w:r>
      <w:r>
        <w:rPr>
          <w:rFonts w:hint="eastAsia" w:ascii="仿宋_GB2312" w:hAnsi="仿宋_GB2312" w:eastAsia="仿宋_GB2312" w:cs="仿宋_GB2312"/>
          <w:bCs/>
          <w:sz w:val="32"/>
          <w:szCs w:val="32"/>
          <w:lang w:val="en-US" w:eastAsia="zh-CN"/>
        </w:rPr>
        <w:t>依法对S301三堆羊盘至青川观音店段公路改建、宝轮环线道路（南线）建设用地征收耕占税及滞纳金</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“S301三堆羊盘至青川观音店段公路改建、宝轮环线道路（南线）建设用地耕占税及滞纳金”项目预算申报时共设置4个完成指标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adjustRightInd w:val="0"/>
        <w:snapToGrid w:val="0"/>
        <w:spacing w:line="60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S301三堆羊盘至青川观音店段公路改建、宝轮环线道路（南线）建设用地耕占税及滞纳金支出绩效评价表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耕占税及滞纳金按要求支付</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319.136521万元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319.136521万元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none"/>
                <w:u w:val="none"/>
                <w:lang w:val="en-US" w:eastAsia="zh-CN"/>
              </w:rPr>
              <w:t>按税务部门要求足额缴纳耕占税</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highlight w:val="none"/>
                <w:u w:val="none"/>
                <w:lang w:val="en-US" w:eastAsia="zh-CN"/>
              </w:rPr>
              <w:t>根据缴费时限，按规定足额缴纳耕占税及滞纳金</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i w:val="0"/>
                <w:iCs w:val="0"/>
                <w:color w:val="000000"/>
                <w:sz w:val="18"/>
                <w:szCs w:val="18"/>
                <w:highlight w:val="none"/>
                <w:u w:val="none"/>
                <w:lang w:val="en-US" w:eastAsia="zh-CN"/>
              </w:rPr>
              <w:t>已按照规定足额缴纳耕占税</w:t>
            </w:r>
            <w:r>
              <w:rPr>
                <w:rFonts w:hint="eastAsia" w:ascii="宋体" w:hAnsi="宋体" w:cs="宋体"/>
                <w:i w:val="0"/>
                <w:iCs w:val="0"/>
                <w:color w:val="000000"/>
                <w:kern w:val="0"/>
                <w:sz w:val="18"/>
                <w:szCs w:val="18"/>
                <w:u w:val="none"/>
                <w:lang w:val="en-US" w:eastAsia="zh-CN" w:bidi="ar"/>
              </w:rPr>
              <w:t>319.136521万元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按时缴纳耕占税及滞纳金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2021年6月  25日前</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已在规定时间内缴纳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耕占税及滞纳金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319.136521万元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319.136521万元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促进土地资源的合理运用，增加地方财税收入</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50%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加强土地管理，保护农用耕地</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限制非农业建设占用耕地</w:t>
            </w:r>
            <w:r>
              <w:rPr>
                <w:rFonts w:hint="default" w:ascii="宋体" w:hAnsi="宋体" w:eastAsia="宋体" w:cs="宋体"/>
                <w:i w:val="0"/>
                <w:iCs w:val="0"/>
                <w:color w:val="000000"/>
                <w:kern w:val="0"/>
                <w:sz w:val="18"/>
                <w:szCs w:val="18"/>
                <w:u w:val="none"/>
                <w:lang w:val="en-US" w:eastAsia="zh-CN" w:bidi="ar"/>
              </w:rPr>
              <w:t>，促进农业生产的全面协调发展</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限制非农业建设占用耕地</w:t>
            </w:r>
            <w:r>
              <w:rPr>
                <w:rFonts w:hint="default" w:ascii="宋体" w:hAnsi="宋体" w:eastAsia="宋体" w:cs="宋体"/>
                <w:i w:val="0"/>
                <w:iCs w:val="0"/>
                <w:color w:val="000000"/>
                <w:kern w:val="0"/>
                <w:sz w:val="18"/>
                <w:szCs w:val="18"/>
                <w:u w:val="none"/>
                <w:lang w:val="en-US" w:eastAsia="zh-CN" w:bidi="ar"/>
              </w:rPr>
              <w:t>，促进农业生产的全面协调发展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征收的耕地占用税收入在地方建立农业发展基金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用于提高耕地质量</w:t>
            </w:r>
            <w:r>
              <w:rPr>
                <w:rFonts w:hint="eastAsia" w:ascii="宋体" w:hAnsi="宋体" w:eastAsia="宋体" w:cs="宋体"/>
                <w:i w:val="0"/>
                <w:iCs w:val="0"/>
                <w:color w:val="000000"/>
                <w:sz w:val="18"/>
                <w:szCs w:val="18"/>
                <w:u w:val="none"/>
                <w:lang w:val="en-US" w:eastAsia="zh-CN"/>
              </w:rPr>
              <w:t>，扩大耕地数量</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用于提高耕地质量</w:t>
            </w:r>
            <w:r>
              <w:rPr>
                <w:rFonts w:hint="eastAsia" w:ascii="宋体" w:hAnsi="宋体" w:eastAsia="宋体" w:cs="宋体"/>
                <w:i w:val="0"/>
                <w:iCs w:val="0"/>
                <w:color w:val="000000"/>
                <w:sz w:val="18"/>
                <w:szCs w:val="18"/>
                <w:u w:val="none"/>
                <w:lang w:val="en-US" w:eastAsia="zh-CN"/>
              </w:rPr>
              <w:t>，扩大耕地数量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保护耕地，</w:t>
            </w:r>
            <w:r>
              <w:rPr>
                <w:rFonts w:hint="eastAsia" w:ascii="宋体" w:hAnsi="宋体" w:cs="宋体"/>
                <w:i w:val="0"/>
                <w:iCs w:val="0"/>
                <w:color w:val="000000"/>
                <w:kern w:val="0"/>
                <w:sz w:val="18"/>
                <w:szCs w:val="18"/>
                <w:u w:val="none"/>
                <w:lang w:val="en-US" w:eastAsia="zh-CN" w:bidi="ar"/>
              </w:rPr>
              <w:t>维护社会稳定</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政府满意、企业满意</w:t>
            </w:r>
            <w:r>
              <w:rPr>
                <w:rFonts w:hint="eastAsia" w:ascii="宋体" w:hAnsi="宋体" w:cs="宋体"/>
                <w:i w:val="0"/>
                <w:iCs w:val="0"/>
                <w:color w:val="000000"/>
                <w:kern w:val="0"/>
                <w:sz w:val="18"/>
                <w:szCs w:val="18"/>
                <w:u w:val="none"/>
                <w:lang w:val="en-US" w:eastAsia="zh-CN" w:bidi="ar"/>
              </w:rPr>
              <w:t>、群众满意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在取得省人民政府建设用地批复后，税务部门通知缴纳耕占税滞后，造成迟缴现象发生，导致产生滞纳金。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highlight w:val="none"/>
          <w:lang w:val="en-US" w:eastAsia="zh-CN"/>
        </w:rPr>
        <w:t>加强与区税务局沟通，主动对接确保取得批复后及时通知我局耕占税金额，积极对接市、区财政，</w:t>
      </w:r>
      <w:r>
        <w:rPr>
          <w:rFonts w:hint="eastAsia" w:ascii="仿宋_GB2312" w:hAnsi="仿宋_GB2312" w:eastAsia="仿宋_GB2312" w:cs="仿宋_GB2312"/>
          <w:bCs/>
          <w:sz w:val="32"/>
          <w:szCs w:val="32"/>
          <w:highlight w:val="none"/>
        </w:rPr>
        <w:t>确保</w:t>
      </w:r>
      <w:r>
        <w:rPr>
          <w:rFonts w:hint="eastAsia" w:ascii="仿宋_GB2312" w:hAnsi="仿宋_GB2312" w:eastAsia="仿宋_GB2312" w:cs="仿宋_GB2312"/>
          <w:bCs/>
          <w:sz w:val="32"/>
          <w:szCs w:val="32"/>
          <w:highlight w:val="none"/>
          <w:lang w:val="en-US" w:eastAsia="zh-CN"/>
        </w:rPr>
        <w:t>及时缴纳耕占税，避免产生滞纳金</w:t>
      </w:r>
      <w:r>
        <w:rPr>
          <w:rFonts w:hint="eastAsia" w:ascii="仿宋_GB2312" w:hAnsi="仿宋_GB2312" w:eastAsia="仿宋_GB2312" w:cs="仿宋_GB2312"/>
          <w:bCs/>
          <w:sz w:val="32"/>
          <w:szCs w:val="32"/>
          <w:highlight w:val="none"/>
        </w:rPr>
        <w:t>。</w:t>
      </w: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关于龙潭旅游环线道路改建工程用地、2020年第2批建设用地、2018年第9批城市建设用地耕占税及滞纳金支出绩效</w:t>
      </w:r>
    </w:p>
    <w:p>
      <w:pPr>
        <w:pStyle w:val="34"/>
        <w:spacing w:line="560" w:lineRule="exact"/>
        <w:jc w:val="center"/>
        <w:rPr>
          <w:rFonts w:hint="eastAsia" w:ascii="仿宋_GB2312" w:hAnsi="仿宋_GB2312" w:eastAsia="仿宋_GB2312" w:cs="仿宋_GB2312"/>
          <w:sz w:val="32"/>
          <w:szCs w:val="32"/>
        </w:rPr>
      </w:pPr>
      <w:r>
        <w:rPr>
          <w:rFonts w:hint="eastAsia" w:ascii="宋体" w:hAnsi="宋体" w:eastAsia="宋体" w:cs="宋体"/>
          <w:bCs/>
          <w:sz w:val="44"/>
          <w:szCs w:val="44"/>
          <w:lang w:val="en-US" w:eastAsia="zh-CN"/>
        </w:rPr>
        <w:t>自评报告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32"/>
          <w:lang w:val="en-US" w:eastAsia="zh-CN" w:bidi="ar-SA"/>
        </w:rPr>
        <w:t>龙潭旅游环线道路改建工程用地、</w:t>
      </w:r>
      <w:r>
        <w:rPr>
          <w:rFonts w:hint="eastAsia" w:ascii="Times New Roman" w:hAnsi="Times New Roman" w:eastAsia="仿宋_GB2312" w:cs="Times New Roman"/>
          <w:color w:val="auto"/>
          <w:kern w:val="2"/>
          <w:sz w:val="32"/>
          <w:szCs w:val="32"/>
          <w:lang w:val="en-US" w:eastAsia="zh-CN" w:bidi="ar-SA"/>
        </w:rPr>
        <w:t>2020年第2批建设用地、2018年第9批城市建设用地耕占税及滞纳金</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，主要用于</w:t>
      </w:r>
      <w:r>
        <w:rPr>
          <w:rFonts w:hint="eastAsia" w:ascii="Times New Roman" w:hAnsi="Times New Roman" w:eastAsia="仿宋_GB2312" w:cs="Times New Roman"/>
          <w:sz w:val="32"/>
          <w:szCs w:val="32"/>
          <w:lang w:eastAsia="zh-CN"/>
        </w:rPr>
        <w:t>涉及</w:t>
      </w:r>
      <w:r>
        <w:rPr>
          <w:rFonts w:hint="default" w:ascii="Times New Roman" w:hAnsi="Times New Roman" w:eastAsia="仿宋_GB2312" w:cs="Times New Roman"/>
          <w:sz w:val="32"/>
          <w:szCs w:val="32"/>
        </w:rPr>
        <w:t>土地征收征用管理工作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承担报国务院和省、市政府审批的各类土地用途转用的审核、报批</w:t>
      </w:r>
      <w:r>
        <w:rPr>
          <w:rFonts w:hint="eastAsia" w:ascii="Times New Roman" w:hAnsi="Times New Roman" w:eastAsia="仿宋_GB2312" w:cs="Times New Roman"/>
          <w:sz w:val="32"/>
          <w:szCs w:val="32"/>
          <w:lang w:eastAsia="zh-CN"/>
        </w:rPr>
        <w:t>任务</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Times New Roman" w:hAnsi="Times New Roman" w:eastAsia="仿宋_GB2312" w:cs="Times New Roman"/>
          <w:sz w:val="32"/>
          <w:szCs w:val="32"/>
          <w:lang w:val="en-US" w:eastAsia="zh-CN"/>
        </w:rPr>
        <w:t>经局党组研究，</w:t>
      </w:r>
      <w:r>
        <w:rPr>
          <w:rFonts w:hint="eastAsia" w:ascii="Times New Roman" w:hAnsi="Times New Roman" w:eastAsia="仿宋_GB2312" w:cs="Times New Roman"/>
          <w:color w:val="auto"/>
          <w:kern w:val="2"/>
          <w:sz w:val="32"/>
          <w:szCs w:val="32"/>
          <w:lang w:val="en-US" w:eastAsia="zh-CN" w:bidi="ar-SA"/>
        </w:rPr>
        <w:t>龙潭旅游环线道路改建工程用地、2020年第2批建设用地、2018年第9批城市建设用地耕占税及滞纳金</w:t>
      </w:r>
      <w:r>
        <w:rPr>
          <w:rFonts w:hint="eastAsia" w:ascii="仿宋" w:hAnsi="仿宋" w:eastAsia="仿宋" w:cs="仿宋"/>
          <w:b w:val="0"/>
          <w:bCs w:val="0"/>
          <w:sz w:val="32"/>
          <w:szCs w:val="32"/>
          <w:lang w:val="en-US" w:eastAsia="zh-CN"/>
        </w:rPr>
        <w:t>项目经费</w:t>
      </w:r>
      <w:r>
        <w:rPr>
          <w:rFonts w:hint="eastAsia" w:ascii="仿宋_GB2312" w:hAnsi="仿宋_GB2312" w:eastAsia="仿宋_GB2312" w:cs="仿宋_GB2312"/>
          <w:bCs/>
          <w:sz w:val="32"/>
          <w:szCs w:val="32"/>
          <w:lang w:val="en-US" w:eastAsia="zh-CN"/>
        </w:rPr>
        <w:t>用于龙潭旅游环线道路改建工程用地、2020年第2批建设用地、2018年第9批城市建设用地耕占税及滞纳金支出，共计使用</w:t>
      </w:r>
      <w:r>
        <w:rPr>
          <w:rFonts w:hint="eastAsia" w:ascii="Times New Roman" w:hAnsi="Times New Roman" w:eastAsia="仿宋_GB2312" w:cs="Times New Roman"/>
          <w:sz w:val="32"/>
          <w:szCs w:val="32"/>
          <w:lang w:val="en-US" w:eastAsia="zh-CN"/>
        </w:rPr>
        <w:t>财政专项资金</w:t>
      </w:r>
      <w:r>
        <w:rPr>
          <w:rFonts w:hint="eastAsia" w:ascii="仿宋_GB2312" w:hAnsi="仿宋_GB2312" w:eastAsia="仿宋_GB2312" w:cs="仿宋_GB2312"/>
          <w:bCs/>
          <w:sz w:val="32"/>
          <w:szCs w:val="32"/>
          <w:lang w:val="en-US" w:eastAsia="zh-CN"/>
        </w:rPr>
        <w:t>174.677118</w:t>
      </w:r>
      <w:r>
        <w:rPr>
          <w:rFonts w:hint="eastAsia" w:ascii="Times New Roman" w:hAnsi="Times New Roman" w:eastAsia="仿宋_GB2312" w:cs="Times New Roman"/>
          <w:sz w:val="32"/>
          <w:szCs w:val="32"/>
          <w:lang w:val="en-US" w:eastAsia="zh-CN"/>
        </w:rPr>
        <w:t>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lang w:val="en-US" w:eastAsia="zh-CN" w:bidi="ar-SA"/>
        </w:rPr>
        <w:t>龙潭旅游环线道路改建工程用地、2020年第2批建设用地、2018年第9批城市建设用地耕占税及滞纳金</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资金申报</w:t>
      </w:r>
      <w:r>
        <w:rPr>
          <w:rFonts w:hint="eastAsia" w:ascii="仿宋_GB2312" w:hAnsi="仿宋_GB2312" w:eastAsia="仿宋_GB2312" w:cs="仿宋_GB2312"/>
          <w:bCs/>
          <w:sz w:val="32"/>
          <w:szCs w:val="32"/>
          <w:lang w:val="en-US" w:eastAsia="zh-CN"/>
        </w:rPr>
        <w:t>174.677118</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color w:val="auto"/>
          <w:kern w:val="2"/>
          <w:sz w:val="32"/>
          <w:szCs w:val="32"/>
          <w:lang w:val="en-US" w:eastAsia="zh-CN" w:bidi="ar-SA"/>
        </w:rPr>
        <w:t>龙潭旅游环线道路改建工程用地、2020年第2批建设用地、2018年第9批城市建设用地耕占税及滞纳金</w:t>
      </w:r>
      <w:r>
        <w:rPr>
          <w:rFonts w:hint="eastAsia" w:ascii="仿宋" w:hAnsi="仿宋" w:eastAsia="仿宋" w:cs="仿宋"/>
          <w:b w:val="0"/>
          <w:bCs w:val="0"/>
          <w:sz w:val="32"/>
          <w:szCs w:val="32"/>
          <w:lang w:val="en-US" w:eastAsia="zh-CN"/>
        </w:rPr>
        <w:t>项目经费</w:t>
      </w:r>
      <w:r>
        <w:rPr>
          <w:rFonts w:hint="eastAsia" w:ascii="仿宋_GB2312" w:hAnsi="仿宋_GB2312" w:eastAsia="仿宋_GB2312" w:cs="仿宋_GB2312"/>
          <w:bCs/>
          <w:sz w:val="32"/>
          <w:szCs w:val="32"/>
          <w:lang w:val="en-US" w:eastAsia="zh-CN"/>
        </w:rPr>
        <w:t>用于龙潭旅游环线道路改建工程用地、2020年第2批建设用地、2018年第9批城市建设用地耕占税及滞纳金支出，共计使用</w:t>
      </w:r>
      <w:r>
        <w:rPr>
          <w:rFonts w:hint="eastAsia" w:ascii="Times New Roman" w:hAnsi="Times New Roman" w:eastAsia="仿宋_GB2312" w:cs="Times New Roman"/>
          <w:sz w:val="32"/>
          <w:szCs w:val="32"/>
          <w:lang w:val="en-US" w:eastAsia="zh-CN"/>
        </w:rPr>
        <w:t>财政专项资金</w:t>
      </w:r>
      <w:r>
        <w:rPr>
          <w:rFonts w:hint="eastAsia" w:ascii="仿宋_GB2312" w:hAnsi="仿宋_GB2312" w:eastAsia="仿宋_GB2312" w:cs="仿宋_GB2312"/>
          <w:bCs/>
          <w:sz w:val="32"/>
          <w:szCs w:val="32"/>
          <w:lang w:val="en-US" w:eastAsia="zh-CN"/>
        </w:rPr>
        <w:t>174.677118</w:t>
      </w:r>
      <w:r>
        <w:rPr>
          <w:rFonts w:hint="eastAsia" w:ascii="Times New Roman" w:hAnsi="Times New Roman" w:eastAsia="仿宋_GB2312" w:cs="Times New Roman"/>
          <w:sz w:val="32"/>
          <w:szCs w:val="32"/>
          <w:lang w:val="en-US" w:eastAsia="zh-CN"/>
        </w:rPr>
        <w:t>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于2021年9月完成支付，支付率100%，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Times New Roman" w:hAnsi="Times New Roman" w:eastAsia="仿宋_GB2312" w:cs="Times New Roman"/>
          <w:color w:val="auto"/>
          <w:kern w:val="2"/>
          <w:sz w:val="32"/>
          <w:szCs w:val="32"/>
          <w:lang w:val="en-US" w:eastAsia="zh-CN" w:bidi="ar-SA"/>
        </w:rPr>
        <w:t>龙潭旅游环线道路改建工程用地、2020年第2批建设用地、2018年第9批城市建设用地耕占税及滞纳金</w:t>
      </w:r>
      <w:r>
        <w:rPr>
          <w:rFonts w:hint="eastAsia" w:ascii="仿宋" w:hAnsi="仿宋" w:eastAsia="仿宋" w:cs="仿宋"/>
          <w:b w:val="0"/>
          <w:bCs w:val="0"/>
          <w:sz w:val="32"/>
          <w:szCs w:val="32"/>
          <w:lang w:val="en-US" w:eastAsia="zh-CN"/>
        </w:rPr>
        <w:t>项目</w:t>
      </w:r>
      <w:r>
        <w:rPr>
          <w:rFonts w:hint="eastAsia" w:ascii="仿宋_GB2312" w:hAnsi="宋体" w:eastAsia="仿宋_GB2312"/>
          <w:sz w:val="32"/>
          <w:szCs w:val="32"/>
          <w:lang w:val="en-US" w:eastAsia="zh-CN"/>
        </w:rPr>
        <w:t>由专门管理部门（耕地保护监督工作组）负责管理实施，资金按照省市和区财政专项资金使用要求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color w:val="auto"/>
          <w:kern w:val="2"/>
          <w:sz w:val="32"/>
          <w:szCs w:val="32"/>
          <w:lang w:val="en-US" w:eastAsia="zh-CN" w:bidi="ar-SA"/>
        </w:rPr>
        <w:t>2020年第2批建设用地、2018年第9批城市建设用地耕占税及滞纳金</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全年预算数</w:t>
      </w:r>
      <w:r>
        <w:rPr>
          <w:rFonts w:hint="eastAsia" w:ascii="仿宋_GB2312" w:hAnsi="仿宋_GB2312" w:eastAsia="仿宋_GB2312" w:cs="仿宋_GB2312"/>
          <w:bCs/>
          <w:sz w:val="32"/>
          <w:szCs w:val="32"/>
          <w:lang w:val="en-US" w:eastAsia="zh-CN"/>
        </w:rPr>
        <w:t>174.677118</w:t>
      </w:r>
      <w:r>
        <w:rPr>
          <w:rFonts w:hint="eastAsia" w:ascii="Times New Roman" w:hAnsi="Times New Roman" w:eastAsia="仿宋_GB2312" w:cs="Times New Roman"/>
          <w:sz w:val="32"/>
          <w:szCs w:val="32"/>
          <w:lang w:val="en-US" w:eastAsia="zh-CN"/>
        </w:rPr>
        <w:t>万元，执行数</w:t>
      </w:r>
      <w:r>
        <w:rPr>
          <w:rFonts w:hint="eastAsia" w:ascii="仿宋_GB2312" w:hAnsi="仿宋_GB2312" w:eastAsia="仿宋_GB2312" w:cs="仿宋_GB2312"/>
          <w:bCs/>
          <w:sz w:val="32"/>
          <w:szCs w:val="32"/>
          <w:lang w:val="en-US" w:eastAsia="zh-CN"/>
        </w:rPr>
        <w:t>174.677118</w:t>
      </w:r>
      <w:r>
        <w:rPr>
          <w:rFonts w:hint="eastAsia" w:ascii="Times New Roman" w:hAnsi="Times New Roman" w:eastAsia="仿宋_GB2312" w:cs="Times New Roman"/>
          <w:sz w:val="32"/>
          <w:szCs w:val="32"/>
          <w:lang w:val="en-US" w:eastAsia="zh-CN"/>
        </w:rPr>
        <w:t>万元，完成预算的100%，本项目由耕地保护监督工作组负责实施，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该项目资金用于</w:t>
      </w:r>
      <w:r>
        <w:rPr>
          <w:rFonts w:hint="eastAsia" w:ascii="仿宋_GB2312" w:hAnsi="仿宋_GB2312" w:eastAsia="仿宋_GB2312" w:cs="仿宋_GB2312"/>
          <w:sz w:val="32"/>
          <w:szCs w:val="32"/>
          <w:lang w:val="zh-CN"/>
        </w:rPr>
        <w:t>龙潭旅游环线道路改建工程用地、2020年第2批建设用地、2018年第9批城市建设用地耕占税及滞纳金支出，</w:t>
      </w:r>
      <w:r>
        <w:rPr>
          <w:rFonts w:hint="eastAsia" w:ascii="仿宋_GB2312" w:hAnsi="宋体" w:eastAsia="仿宋_GB2312"/>
          <w:sz w:val="32"/>
          <w:szCs w:val="32"/>
          <w:lang w:val="en-US" w:eastAsia="zh-CN"/>
        </w:rPr>
        <w:t>实施流程为：</w:t>
      </w:r>
      <w:r>
        <w:rPr>
          <w:rFonts w:hint="eastAsia" w:ascii="仿宋_GB2312" w:hAnsi="仿宋_GB2312" w:eastAsia="仿宋_GB2312" w:cs="仿宋_GB2312"/>
          <w:sz w:val="32"/>
          <w:szCs w:val="32"/>
          <w:lang w:val="en-US" w:eastAsia="zh-CN"/>
        </w:rPr>
        <w:t>龙潭旅游环线道路改建工程用地、2020年第2批建设用地、2018年第9批城市建设用地经省人民政府同意并发放批复后，区税务局向我局来函《关于将耕地占用税转入待缴库税款专户的函》（广利税函〔2021〕14号），要求我局于2021年9月15日将涉及的耕地占用税及滞纳金，转入区税务局的待缴库税款专户，我局于2021年9月14日请示区政府解决耕地占用税及滞纳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pStyle w:val="2"/>
        <w:keepNext w:val="0"/>
        <w:keepLines w:val="0"/>
        <w:pageBreakBefore w:val="0"/>
        <w:kinsoku/>
        <w:wordWrap/>
        <w:overflowPunct/>
        <w:topLinePunct w:val="0"/>
        <w:autoSpaceDE/>
        <w:autoSpaceDN/>
        <w:bidi w:val="0"/>
        <w:spacing w:beforeLines="0"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bCs/>
          <w:sz w:val="32"/>
          <w:szCs w:val="32"/>
        </w:rPr>
        <w:t>根据《中华人民共和国耕地占用税法》文件精</w:t>
      </w:r>
      <w:r>
        <w:rPr>
          <w:rFonts w:hint="eastAsia" w:ascii="仿宋_GB2312" w:hAnsi="仿宋_GB2312" w:eastAsia="仿宋_GB2312" w:cs="仿宋_GB2312"/>
          <w:bCs/>
          <w:sz w:val="32"/>
          <w:szCs w:val="32"/>
          <w:lang w:val="zh-CN"/>
        </w:rPr>
        <w:t>神</w:t>
      </w:r>
      <w:r>
        <w:rPr>
          <w:rFonts w:hint="eastAsia" w:ascii="仿宋_GB2312" w:hAnsi="仿宋_GB2312" w:eastAsia="仿宋_GB2312" w:cs="仿宋_GB2312"/>
          <w:bCs/>
          <w:sz w:val="32"/>
          <w:szCs w:val="32"/>
          <w:lang w:val="zh-CN" w:eastAsia="zh-CN"/>
        </w:rPr>
        <w:t>，为了合理利用土地资源，加强土地管理，保护耕地，</w:t>
      </w:r>
      <w:r>
        <w:rPr>
          <w:rFonts w:hint="eastAsia" w:ascii="仿宋_GB2312" w:hAnsi="仿宋_GB2312" w:eastAsia="仿宋_GB2312" w:cs="仿宋_GB2312"/>
          <w:bCs/>
          <w:sz w:val="32"/>
          <w:szCs w:val="32"/>
          <w:lang w:val="en-US" w:eastAsia="zh-CN"/>
        </w:rPr>
        <w:t>依法对龙潭旅游环线道路改建工程用地、2020年第2批建设用地、2018年第9批城市建设用地征收耕占税及滞纳金</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“龙潭旅游环线道路改建工程用地、2020年第2批建设用地、2018年第9批城市建设用地耕占税及滞纳金”项目预算申报时共设置4个完成指标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adjustRightInd w:val="0"/>
        <w:snapToGrid w:val="0"/>
        <w:spacing w:line="60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龙潭旅游环线道路改建工程用地、2020年第2批建设用地、2018年第9批城市建设用地耕占税及滞纳金支出绩效评价表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耕占税及滞纳金按要求支付</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174.677118万元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174.677118万元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highlight w:val="none"/>
                <w:u w:val="none"/>
                <w:lang w:val="en-US" w:eastAsia="zh-CN"/>
              </w:rPr>
              <w:t>按税务部门要求足额缴纳耕占税</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highlight w:val="none"/>
                <w:u w:val="none"/>
                <w:lang w:val="en-US" w:eastAsia="zh-CN"/>
              </w:rPr>
              <w:t>根据缴费时限，按规定足额缴纳耕占税及滞纳金</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i w:val="0"/>
                <w:iCs w:val="0"/>
                <w:color w:val="000000"/>
                <w:sz w:val="18"/>
                <w:szCs w:val="18"/>
                <w:highlight w:val="none"/>
                <w:u w:val="none"/>
                <w:lang w:val="en-US" w:eastAsia="zh-CN"/>
              </w:rPr>
              <w:t>已按照规定足额缴纳耕占税</w:t>
            </w:r>
            <w:r>
              <w:rPr>
                <w:rFonts w:hint="eastAsia" w:ascii="宋体" w:hAnsi="宋体" w:cs="宋体"/>
                <w:i w:val="0"/>
                <w:iCs w:val="0"/>
                <w:color w:val="000000"/>
                <w:kern w:val="0"/>
                <w:sz w:val="18"/>
                <w:szCs w:val="18"/>
                <w:u w:val="none"/>
                <w:lang w:val="en-US" w:eastAsia="zh-CN" w:bidi="ar"/>
              </w:rPr>
              <w:t>174.677118万元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按时缴纳耕占税及滞纳金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2021年9月  15日前</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已在规定时间内缴纳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耕占税及滞纳金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174.677118万元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174.677118万元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促进土地资源的合理运用，增加地方财税收入</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50%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加强土地管理，保护农用耕地</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限制非农业建设占用耕地</w:t>
            </w:r>
            <w:r>
              <w:rPr>
                <w:rFonts w:hint="default" w:ascii="宋体" w:hAnsi="宋体" w:eastAsia="宋体" w:cs="宋体"/>
                <w:i w:val="0"/>
                <w:iCs w:val="0"/>
                <w:color w:val="000000"/>
                <w:kern w:val="0"/>
                <w:sz w:val="18"/>
                <w:szCs w:val="18"/>
                <w:u w:val="none"/>
                <w:lang w:val="en-US" w:eastAsia="zh-CN" w:bidi="ar"/>
              </w:rPr>
              <w:t>，促进农业生产的全面协调发展</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限制非农业建设占用耕地</w:t>
            </w:r>
            <w:r>
              <w:rPr>
                <w:rFonts w:hint="default" w:ascii="宋体" w:hAnsi="宋体" w:eastAsia="宋体" w:cs="宋体"/>
                <w:i w:val="0"/>
                <w:iCs w:val="0"/>
                <w:color w:val="000000"/>
                <w:kern w:val="0"/>
                <w:sz w:val="18"/>
                <w:szCs w:val="18"/>
                <w:u w:val="none"/>
                <w:lang w:val="en-US" w:eastAsia="zh-CN" w:bidi="ar"/>
              </w:rPr>
              <w:t>，促进农业生产的全面协调发展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征收的耕地占用税收入在地方建立农业发展基金</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用于提高耕地质量</w:t>
            </w:r>
            <w:r>
              <w:rPr>
                <w:rFonts w:hint="eastAsia" w:ascii="宋体" w:hAnsi="宋体" w:eastAsia="宋体" w:cs="宋体"/>
                <w:i w:val="0"/>
                <w:iCs w:val="0"/>
                <w:color w:val="000000"/>
                <w:sz w:val="18"/>
                <w:szCs w:val="18"/>
                <w:u w:val="none"/>
                <w:lang w:val="en-US" w:eastAsia="zh-CN"/>
              </w:rPr>
              <w:t>，扩大耕地数量</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用于提高耕地质量</w:t>
            </w:r>
            <w:r>
              <w:rPr>
                <w:rFonts w:hint="eastAsia" w:ascii="宋体" w:hAnsi="宋体" w:eastAsia="宋体" w:cs="宋体"/>
                <w:i w:val="0"/>
                <w:iCs w:val="0"/>
                <w:color w:val="000000"/>
                <w:sz w:val="18"/>
                <w:szCs w:val="18"/>
                <w:u w:val="none"/>
                <w:lang w:val="en-US" w:eastAsia="zh-CN"/>
              </w:rPr>
              <w:t>，扩大耕地数量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保护耕地，</w:t>
            </w:r>
            <w:r>
              <w:rPr>
                <w:rFonts w:hint="eastAsia" w:ascii="宋体" w:hAnsi="宋体" w:cs="宋体"/>
                <w:i w:val="0"/>
                <w:iCs w:val="0"/>
                <w:color w:val="000000"/>
                <w:kern w:val="0"/>
                <w:sz w:val="18"/>
                <w:szCs w:val="18"/>
                <w:u w:val="none"/>
                <w:lang w:val="en-US" w:eastAsia="zh-CN" w:bidi="ar"/>
              </w:rPr>
              <w:t>维护社会稳定</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政府满意、企业满意</w:t>
            </w:r>
            <w:r>
              <w:rPr>
                <w:rFonts w:hint="eastAsia" w:ascii="宋体" w:hAnsi="宋体" w:cs="宋体"/>
                <w:i w:val="0"/>
                <w:iCs w:val="0"/>
                <w:color w:val="000000"/>
                <w:kern w:val="0"/>
                <w:sz w:val="18"/>
                <w:szCs w:val="18"/>
                <w:u w:val="none"/>
                <w:lang w:val="en-US" w:eastAsia="zh-CN" w:bidi="ar"/>
              </w:rPr>
              <w:t>、群众满意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在取得省人民政府建设用地批复后，税务部门通知缴纳耕占税滞后，造成迟缴现象发生，导致产生滞纳金。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highlight w:val="none"/>
          <w:lang w:val="en-US" w:eastAsia="zh-CN"/>
        </w:rPr>
        <w:t>加强与区税务局沟通，主动对接确保取得批复后及时通知我局耕占税金额，积极对接市、区财政，</w:t>
      </w:r>
      <w:r>
        <w:rPr>
          <w:rFonts w:hint="eastAsia" w:ascii="仿宋_GB2312" w:hAnsi="仿宋_GB2312" w:eastAsia="仿宋_GB2312" w:cs="仿宋_GB2312"/>
          <w:bCs/>
          <w:sz w:val="32"/>
          <w:szCs w:val="32"/>
          <w:highlight w:val="none"/>
        </w:rPr>
        <w:t>确保</w:t>
      </w:r>
      <w:r>
        <w:rPr>
          <w:rFonts w:hint="eastAsia" w:ascii="仿宋_GB2312" w:hAnsi="仿宋_GB2312" w:eastAsia="仿宋_GB2312" w:cs="仿宋_GB2312"/>
          <w:bCs/>
          <w:sz w:val="32"/>
          <w:szCs w:val="32"/>
          <w:highlight w:val="none"/>
          <w:lang w:val="en-US" w:eastAsia="zh-CN"/>
        </w:rPr>
        <w:t>及时缴纳耕占税，避免产生滞纳金</w:t>
      </w:r>
      <w:r>
        <w:rPr>
          <w:rFonts w:hint="eastAsia" w:ascii="仿宋_GB2312" w:hAnsi="仿宋_GB2312" w:eastAsia="仿宋_GB2312" w:cs="仿宋_GB2312"/>
          <w:bCs/>
          <w:sz w:val="32"/>
          <w:szCs w:val="32"/>
          <w:highlight w:val="none"/>
        </w:rPr>
        <w:t>。</w:t>
      </w:r>
    </w:p>
    <w:p>
      <w:pPr>
        <w:rPr>
          <w:rFonts w:ascii="宋体" w:hAnsi="宋体" w:eastAsia="宋体"/>
          <w:sz w:val="44"/>
          <w:szCs w:val="44"/>
        </w:rPr>
      </w:pPr>
      <w:r>
        <w:rPr>
          <w:rFonts w:ascii="宋体" w:hAnsi="宋体" w:eastAsia="宋体"/>
          <w:sz w:val="44"/>
          <w:szCs w:val="44"/>
        </w:rPr>
        <w:br w:type="page"/>
      </w:r>
    </w:p>
    <w:p>
      <w:pPr>
        <w:keepNext w:val="0"/>
        <w:keepLines w:val="0"/>
        <w:pageBreakBefore w:val="0"/>
        <w:kinsoku/>
        <w:wordWrap/>
        <w:overflowPunct/>
        <w:topLinePunct w:val="0"/>
        <w:autoSpaceDE/>
        <w:autoSpaceDN/>
        <w:bidi w:val="0"/>
        <w:spacing w:line="560" w:lineRule="exact"/>
        <w:jc w:val="center"/>
        <w:rPr>
          <w:rFonts w:hint="eastAsia" w:eastAsia="宋体" w:asciiTheme="majorEastAsia" w:hAnsiTheme="majorEastAsia" w:cstheme="majorEastAsia"/>
          <w:sz w:val="44"/>
          <w:szCs w:val="44"/>
          <w:lang w:val="en-US" w:eastAsia="zh-CN"/>
        </w:rPr>
      </w:pPr>
      <w:r>
        <w:rPr>
          <w:rFonts w:ascii="宋体" w:hAnsi="宋体" w:eastAsia="宋体"/>
          <w:sz w:val="44"/>
          <w:szCs w:val="44"/>
        </w:rPr>
        <w:t>2021年度第</w:t>
      </w:r>
      <w:r>
        <w:rPr>
          <w:rFonts w:hint="eastAsia" w:ascii="宋体" w:hAnsi="宋体" w:eastAsia="宋体"/>
          <w:sz w:val="44"/>
          <w:szCs w:val="44"/>
        </w:rPr>
        <w:t>1批</w:t>
      </w:r>
      <w:r>
        <w:rPr>
          <w:rFonts w:ascii="宋体" w:hAnsi="宋体" w:eastAsia="宋体"/>
          <w:sz w:val="44"/>
          <w:szCs w:val="44"/>
        </w:rPr>
        <w:t>中央财政转移支付地质灾害防治专项资金</w:t>
      </w:r>
      <w:r>
        <w:rPr>
          <w:rFonts w:hint="eastAsia" w:ascii="宋体" w:hAnsi="宋体"/>
          <w:sz w:val="44"/>
          <w:szCs w:val="44"/>
          <w:lang w:val="en-US" w:eastAsia="zh-CN"/>
        </w:rPr>
        <w:t>支出</w:t>
      </w:r>
      <w:r>
        <w:rPr>
          <w:rFonts w:ascii="宋体" w:hAnsi="宋体" w:eastAsia="宋体"/>
          <w:sz w:val="44"/>
          <w:szCs w:val="44"/>
        </w:rPr>
        <w:t>绩效自评</w:t>
      </w:r>
      <w:r>
        <w:rPr>
          <w:rFonts w:hint="eastAsia" w:ascii="宋体" w:hAnsi="宋体"/>
          <w:sz w:val="44"/>
          <w:szCs w:val="44"/>
          <w:lang w:val="en-US" w:eastAsia="zh-CN"/>
        </w:rPr>
        <w:t>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华文仿宋" w:eastAsia="仿宋_GB2312" w:cs="Times New Roman"/>
          <w:color w:val="282828"/>
          <w:sz w:val="32"/>
          <w:szCs w:val="32"/>
          <w:lang w:val="en-US" w:eastAsia="zh-CN"/>
        </w:rPr>
        <w:t>广元市财政局于2021年2月批复2021年度第1批中央地质灾害防治补助资金、1349万元（广财资环〔2021〕3号），涉及地质灾害工程治理项目5个，项目名称和下达资金额度分别为南河街道接官亭社区白石坡滑坡治理工程64万元、万缘街道万缘社区水井湾滑坡治理工程760万元、大石镇冠山村刘家河滑坡治理工程152万元、宝轮镇红星村土地岭滑坡治理工程310万元、三堆镇821生活区楼后滑坡治理工程63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Times New Roman" w:hAnsi="Times New Roman" w:eastAsia="仿宋_GB2312" w:cs="Times New Roman"/>
          <w:sz w:val="32"/>
          <w:szCs w:val="32"/>
          <w:lang w:val="en-US" w:eastAsia="zh-CN"/>
        </w:rPr>
        <w:t>经</w:t>
      </w:r>
      <w:r>
        <w:rPr>
          <w:rFonts w:hint="eastAsia" w:ascii="仿宋" w:hAnsi="仿宋" w:eastAsia="仿宋" w:cs="仿宋"/>
          <w:b w:val="0"/>
          <w:bCs w:val="0"/>
          <w:sz w:val="32"/>
          <w:szCs w:val="32"/>
          <w:lang w:val="en-US" w:eastAsia="zh-CN"/>
        </w:rPr>
        <w:t>局党组研究，2021年度第1批中央财政转移支付地质灾害防治专项资金主要用于</w:t>
      </w:r>
      <w:r>
        <w:rPr>
          <w:rFonts w:hint="eastAsia" w:ascii="仿宋_GB2312" w:hAnsi="华文仿宋" w:eastAsia="仿宋_GB2312" w:cs="Times New Roman"/>
          <w:color w:val="282828"/>
          <w:sz w:val="32"/>
          <w:szCs w:val="32"/>
          <w:lang w:val="en-US" w:eastAsia="zh-CN"/>
        </w:rPr>
        <w:t>南河街道接官亭社区白石坡滑坡治理工程、万缘街道万缘社区水井湾滑坡治理工程、大石镇冠山村刘家河滑坡治理工程、宝轮镇红星村土地岭滑坡治理工程、三堆镇821生活区楼后滑坡治理工程等5个项目治理费用，</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财政专项资金1349万元。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 w:hAnsi="仿宋" w:eastAsia="仿宋" w:cs="仿宋"/>
          <w:b w:val="0"/>
          <w:bCs w:val="0"/>
          <w:sz w:val="32"/>
          <w:szCs w:val="32"/>
          <w:lang w:val="en-US" w:eastAsia="zh-CN"/>
        </w:rPr>
        <w:t>2021年度第1批中央财政转移支付地质灾害防治项目</w:t>
      </w:r>
      <w:r>
        <w:rPr>
          <w:rFonts w:hint="eastAsia" w:ascii="Times New Roman" w:hAnsi="Times New Roman" w:eastAsia="仿宋_GB2312" w:cs="Times New Roman"/>
          <w:sz w:val="32"/>
          <w:szCs w:val="32"/>
          <w:lang w:val="en-US" w:eastAsia="zh-CN"/>
        </w:rPr>
        <w:t>资金申报1349</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 w:hAnsi="仿宋" w:eastAsia="仿宋" w:cs="仿宋"/>
          <w:b w:val="0"/>
          <w:bCs w:val="0"/>
          <w:sz w:val="32"/>
          <w:szCs w:val="32"/>
          <w:lang w:val="en-US" w:eastAsia="zh-CN"/>
        </w:rPr>
        <w:t>2021年度第1批中央财政转移支付地质灾害防治专项资金主要用于</w:t>
      </w:r>
      <w:r>
        <w:rPr>
          <w:rFonts w:hint="eastAsia" w:ascii="仿宋_GB2312" w:hAnsi="华文仿宋" w:eastAsia="仿宋_GB2312" w:cs="Times New Roman"/>
          <w:color w:val="282828"/>
          <w:sz w:val="32"/>
          <w:szCs w:val="32"/>
          <w:lang w:val="en-US" w:eastAsia="zh-CN"/>
        </w:rPr>
        <w:t>南河街道接官亭社区白石坡滑坡治理工程、万缘街道万缘社区水井湾滑坡治理工程、大石镇冠山村刘家河滑坡治理工程、宝轮镇红星村土地岭滑坡治理工程、三堆镇821生活区楼后滑坡治理工程等5个项目治理费用，</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财政专项资金1349万元，</w:t>
      </w:r>
      <w:r>
        <w:rPr>
          <w:rFonts w:hint="eastAsia" w:ascii="仿宋_GB2312" w:hAnsi="宋体" w:eastAsia="仿宋_GB2312" w:cs="Times New Roman"/>
          <w:color w:val="auto"/>
          <w:sz w:val="32"/>
          <w:szCs w:val="32"/>
          <w:highlight w:val="none"/>
          <w:lang w:val="en-US" w:eastAsia="zh-CN"/>
        </w:rPr>
        <w:t>为上级专项资金，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2021年未发生支出</w:t>
      </w:r>
      <w:r>
        <w:rPr>
          <w:rFonts w:hint="eastAsia" w:ascii="仿宋_GB2312" w:hAnsi="宋体" w:eastAsia="仿宋_GB2312" w:cs="Times New Roman"/>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 w:hAnsi="仿宋" w:eastAsia="仿宋" w:cs="仿宋"/>
          <w:b w:val="0"/>
          <w:bCs w:val="0"/>
          <w:sz w:val="32"/>
          <w:szCs w:val="32"/>
          <w:lang w:val="en-US" w:eastAsia="zh-CN"/>
        </w:rPr>
        <w:t>2021年度第1批中央财政转移支付地质灾害防治项目</w:t>
      </w:r>
      <w:r>
        <w:rPr>
          <w:rFonts w:hint="eastAsia" w:ascii="仿宋_GB2312" w:hAnsi="宋体" w:eastAsia="仿宋_GB2312"/>
          <w:sz w:val="32"/>
          <w:szCs w:val="32"/>
          <w:lang w:val="en-US" w:eastAsia="zh-CN"/>
        </w:rPr>
        <w:t>由专门管理部门（地环站）负责管理实施，资金按照省市和区财政专项资金使用要求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仿宋" w:hAnsi="仿宋" w:eastAsia="仿宋" w:cs="仿宋"/>
          <w:b w:val="0"/>
          <w:bCs w:val="0"/>
          <w:sz w:val="32"/>
          <w:szCs w:val="32"/>
          <w:lang w:val="en-US" w:eastAsia="zh-CN"/>
        </w:rPr>
        <w:t>2021年度第1批中央财政转移支付地质灾害防治项目</w:t>
      </w:r>
      <w:r>
        <w:rPr>
          <w:rFonts w:hint="eastAsia" w:ascii="Times New Roman" w:hAnsi="Times New Roman" w:eastAsia="仿宋_GB2312" w:cs="Times New Roman"/>
          <w:sz w:val="32"/>
          <w:szCs w:val="32"/>
          <w:lang w:val="en-US" w:eastAsia="zh-CN"/>
        </w:rPr>
        <w:t>全年预算数1349万元，执行数0万元，完成预算的0%，本项目由地环站负责实施，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_GB2312" w:hAnsi="华文仿宋" w:eastAsia="仿宋_GB2312" w:cs="Times New Roman"/>
          <w:color w:val="282828"/>
          <w:sz w:val="32"/>
          <w:szCs w:val="32"/>
          <w:lang w:val="en-US" w:eastAsia="zh-CN"/>
        </w:rPr>
        <w:t>依据《广元市利州区国有资产监督管理局关于印发〈广元市利州区区属国有企业转型升级发展方案〉的通知》（广利国资〔2020〕30号）文件精神，经报区人民政府同意，目前5个地质灾害工程治理项目均由区属国有平台公司（广元市金土地投资开发有限公司）作为项目业主推动实施（由乡镇自行治理的4个地质灾害隐患除外），我局作为行业主管部门，主要负责对项目实施进行组织、协调、指导和监督，同时对中央和省级专项资金支出进行监管。所有工程建设项目均按照基本建设程序，严格按照招投标法和《四川省地质灾害防治项目管理办法》（川办发〔2020〕7号）等有关法律法规和政策进行建设，执行审批立项、预算评审、招标投标、竣工验收、竣工结算审计等系列基本工作流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楷体" w:hAnsi="楷体" w:eastAsia="楷体" w:cs="楷体"/>
          <w:sz w:val="32"/>
          <w:szCs w:val="32"/>
          <w:lang w:val="en-US" w:eastAsia="zh-CN"/>
        </w:rPr>
        <w:t>（二）项目效益情况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_GB2312" w:hAnsi="华文仿宋" w:eastAsia="仿宋_GB2312" w:cs="Times New Roman"/>
          <w:color w:val="282828"/>
          <w:sz w:val="32"/>
          <w:szCs w:val="32"/>
          <w:lang w:val="en-US" w:eastAsia="zh-CN"/>
        </w:rPr>
        <w:t>2021年度第1批中央地质灾害防治补助资金项目建设内容为锚杆、抗滑桩、截排水沟以及挡土墙等，共设置一级指标3个，分别为产出指标、效益指标、满意度指标；二级指标5个，分别为数量指标、时效指标、经济效益指标、社会效益指标、服务对象指标；三级指标11个，分别为开展地质灾害隐患点治理工程5处、开展地质灾害隐患点培训/演练覆盖率大于90%、规划任务在四川省地质环境管理信息系统填报率100%、按时编制并启动年度实施方案100%、项目实施后保护财产7070万元、地质灾害预警预报能力较过去五年提升、核销地质灾害隐患数量5处、项目实施后保护人数635人、监测预警区地质灾害防范能力提升、实施区域群众防灾减灾参与度大于或等于85%、实施区域受益人群满意度大于或等于90%。项目计划从2021年3月起至2023年3月，完成项目建设、初验、试运行监测、终验工作以及审计决算工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 xml:space="preserve"> “</w:t>
      </w:r>
      <w:r>
        <w:rPr>
          <w:rFonts w:hint="eastAsia" w:ascii="仿宋_GB2312" w:hAnsi="华文仿宋" w:eastAsia="仿宋_GB2312" w:cs="Times New Roman"/>
          <w:color w:val="282828"/>
          <w:sz w:val="32"/>
          <w:szCs w:val="32"/>
          <w:lang w:val="en-US" w:eastAsia="zh-CN"/>
        </w:rPr>
        <w:t>2021年度第1批中央地质灾害防治补助资金</w:t>
      </w:r>
      <w:r>
        <w:rPr>
          <w:rFonts w:hint="eastAsia" w:ascii="仿宋_GB2312" w:hAnsi="宋体" w:eastAsia="仿宋_GB2312"/>
          <w:sz w:val="32"/>
          <w:szCs w:val="32"/>
          <w:lang w:val="en-US" w:eastAsia="zh-CN"/>
        </w:rPr>
        <w:t>”项目预算申报时共设置2个完成指标</w:t>
      </w:r>
      <w:r>
        <w:rPr>
          <w:rFonts w:hint="eastAsia" w:ascii="仿宋_GB2312" w:hAnsi="宋体" w:eastAsia="仿宋_GB2312"/>
          <w:sz w:val="32"/>
          <w:szCs w:val="32"/>
          <w:lang w:val="zh-CN"/>
        </w:rPr>
        <w:t>（数量指标、时效指标）、</w:t>
      </w:r>
      <w:r>
        <w:rPr>
          <w:rFonts w:hint="eastAsia" w:ascii="仿宋_GB2312" w:hAnsi="宋体" w:eastAsia="仿宋_GB2312"/>
          <w:sz w:val="32"/>
          <w:szCs w:val="32"/>
          <w:lang w:val="en-US" w:eastAsia="zh-CN"/>
        </w:rPr>
        <w:t>2个效益指标（经济效益指标、社会效益指标）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adjustRightInd w:val="0"/>
        <w:snapToGrid w:val="0"/>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2021年度第1批中央地质灾害防治项目支出绩效评价表</w:t>
      </w:r>
    </w:p>
    <w:tbl>
      <w:tblPr>
        <w:tblStyle w:val="16"/>
        <w:tblW w:w="8967" w:type="dxa"/>
        <w:jc w:val="center"/>
        <w:tblLayout w:type="fixed"/>
        <w:tblCellMar>
          <w:top w:w="0" w:type="dxa"/>
          <w:left w:w="108" w:type="dxa"/>
          <w:bottom w:w="0" w:type="dxa"/>
          <w:right w:w="108" w:type="dxa"/>
        </w:tblCellMar>
      </w:tblPr>
      <w:tblGrid>
        <w:gridCol w:w="510"/>
        <w:gridCol w:w="600"/>
        <w:gridCol w:w="1423"/>
        <w:gridCol w:w="3096"/>
        <w:gridCol w:w="1669"/>
        <w:gridCol w:w="1669"/>
      </w:tblGrid>
      <w:tr>
        <w:tblPrEx>
          <w:tblCellMar>
            <w:top w:w="0" w:type="dxa"/>
            <w:left w:w="108" w:type="dxa"/>
            <w:bottom w:w="0" w:type="dxa"/>
            <w:right w:w="108" w:type="dxa"/>
          </w:tblCellMar>
        </w:tblPrEx>
        <w:trPr>
          <w:trHeight w:val="285" w:hRule="atLeast"/>
          <w:jc w:val="center"/>
        </w:trPr>
        <w:tc>
          <w:tcPr>
            <w:tcW w:w="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绩</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标</w:t>
            </w:r>
          </w:p>
        </w:tc>
        <w:tc>
          <w:tcPr>
            <w:tcW w:w="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一级指标</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二级指标</w:t>
            </w:r>
          </w:p>
        </w:tc>
        <w:tc>
          <w:tcPr>
            <w:tcW w:w="3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三级指标</w:t>
            </w:r>
          </w:p>
        </w:tc>
        <w:tc>
          <w:tcPr>
            <w:tcW w:w="16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6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593" w:hRule="atLeast"/>
          <w:jc w:val="center"/>
        </w:trPr>
        <w:tc>
          <w:tcPr>
            <w:tcW w:w="51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完成指标</w:t>
            </w:r>
          </w:p>
        </w:tc>
        <w:tc>
          <w:tcPr>
            <w:tcW w:w="14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数量指标</w:t>
            </w:r>
          </w:p>
        </w:tc>
        <w:tc>
          <w:tcPr>
            <w:tcW w:w="30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指标1：开展地质灾害隐患点治理工程</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5处</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5处</w:t>
            </w:r>
          </w:p>
        </w:tc>
      </w:tr>
      <w:tr>
        <w:tblPrEx>
          <w:tblCellMar>
            <w:top w:w="0" w:type="dxa"/>
            <w:left w:w="108" w:type="dxa"/>
            <w:bottom w:w="0" w:type="dxa"/>
            <w:right w:w="108" w:type="dxa"/>
          </w:tblCellMar>
        </w:tblPrEx>
        <w:trPr>
          <w:trHeight w:val="600"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指标2：开展地质灾害隐患点培训/演练覆盖率</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&gt;90%</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&gt;90%</w:t>
            </w:r>
          </w:p>
        </w:tc>
      </w:tr>
      <w:tr>
        <w:tblPrEx>
          <w:tblCellMar>
            <w:top w:w="0" w:type="dxa"/>
            <w:left w:w="108" w:type="dxa"/>
            <w:bottom w:w="0" w:type="dxa"/>
            <w:right w:w="108" w:type="dxa"/>
          </w:tblCellMar>
        </w:tblPrEx>
        <w:trPr>
          <w:trHeight w:val="600"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指标3：规划任务在四川省地质环境管理信息系统填报率</w:t>
            </w:r>
          </w:p>
        </w:tc>
        <w:tc>
          <w:tcPr>
            <w:tcW w:w="166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100%</w:t>
            </w:r>
          </w:p>
        </w:tc>
        <w:tc>
          <w:tcPr>
            <w:tcW w:w="166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100%</w:t>
            </w:r>
          </w:p>
        </w:tc>
      </w:tr>
      <w:tr>
        <w:tblPrEx>
          <w:tblCellMar>
            <w:top w:w="0" w:type="dxa"/>
            <w:left w:w="108" w:type="dxa"/>
            <w:bottom w:w="0" w:type="dxa"/>
            <w:right w:w="108" w:type="dxa"/>
          </w:tblCellMar>
        </w:tblPrEx>
        <w:trPr>
          <w:trHeight w:val="600"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42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时效指标</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指标1：按时编制并启动2022年度实施方案</w:t>
            </w:r>
          </w:p>
        </w:tc>
        <w:tc>
          <w:tcPr>
            <w:tcW w:w="166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100%</w:t>
            </w:r>
          </w:p>
        </w:tc>
        <w:tc>
          <w:tcPr>
            <w:tcW w:w="166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100%</w:t>
            </w:r>
          </w:p>
        </w:tc>
      </w:tr>
      <w:tr>
        <w:tblPrEx>
          <w:tblCellMar>
            <w:top w:w="0" w:type="dxa"/>
            <w:left w:w="108" w:type="dxa"/>
            <w:bottom w:w="0" w:type="dxa"/>
            <w:right w:w="108" w:type="dxa"/>
          </w:tblCellMar>
        </w:tblPrEx>
        <w:trPr>
          <w:trHeight w:val="600"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效益指标</w:t>
            </w:r>
          </w:p>
        </w:tc>
        <w:tc>
          <w:tcPr>
            <w:tcW w:w="14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经济效益指标</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指标1：项目实施后保护财产</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7070万</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7070万</w:t>
            </w:r>
          </w:p>
        </w:tc>
      </w:tr>
      <w:tr>
        <w:tblPrEx>
          <w:tblCellMar>
            <w:top w:w="0" w:type="dxa"/>
            <w:left w:w="108" w:type="dxa"/>
            <w:bottom w:w="0" w:type="dxa"/>
            <w:right w:w="108" w:type="dxa"/>
          </w:tblCellMar>
        </w:tblPrEx>
        <w:trPr>
          <w:trHeight w:val="600"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指标2：地质灾害预警预报能力较过去五年</w:t>
            </w:r>
          </w:p>
        </w:tc>
        <w:tc>
          <w:tcPr>
            <w:tcW w:w="166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提升</w:t>
            </w:r>
          </w:p>
        </w:tc>
        <w:tc>
          <w:tcPr>
            <w:tcW w:w="166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提升</w:t>
            </w:r>
          </w:p>
        </w:tc>
      </w:tr>
      <w:tr>
        <w:tblPrEx>
          <w:tblCellMar>
            <w:top w:w="0" w:type="dxa"/>
            <w:left w:w="108" w:type="dxa"/>
            <w:bottom w:w="0" w:type="dxa"/>
            <w:right w:w="108" w:type="dxa"/>
          </w:tblCellMar>
        </w:tblPrEx>
        <w:trPr>
          <w:trHeight w:val="600"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指标3：核销地质灾害隐患数量</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5处</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5处</w:t>
            </w:r>
          </w:p>
        </w:tc>
      </w:tr>
      <w:tr>
        <w:tblPrEx>
          <w:tblCellMar>
            <w:top w:w="0" w:type="dxa"/>
            <w:left w:w="108" w:type="dxa"/>
            <w:bottom w:w="0" w:type="dxa"/>
            <w:right w:w="108" w:type="dxa"/>
          </w:tblCellMar>
        </w:tblPrEx>
        <w:trPr>
          <w:trHeight w:val="600"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142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社会效益指标</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指标1：项目实施后保护人数</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635人</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635人</w:t>
            </w:r>
          </w:p>
        </w:tc>
      </w:tr>
      <w:tr>
        <w:tblPrEx>
          <w:tblCellMar>
            <w:top w:w="0" w:type="dxa"/>
            <w:left w:w="108" w:type="dxa"/>
            <w:bottom w:w="0" w:type="dxa"/>
            <w:right w:w="108" w:type="dxa"/>
          </w:tblCellMar>
        </w:tblPrEx>
        <w:trPr>
          <w:trHeight w:val="600"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142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指标2：监测预警区地质灾害防范能力</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提升</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提升</w:t>
            </w:r>
          </w:p>
        </w:tc>
      </w:tr>
      <w:tr>
        <w:tblPrEx>
          <w:tblCellMar>
            <w:top w:w="0" w:type="dxa"/>
            <w:left w:w="108" w:type="dxa"/>
            <w:bottom w:w="0" w:type="dxa"/>
            <w:right w:w="108" w:type="dxa"/>
          </w:tblCellMar>
        </w:tblPrEx>
        <w:trPr>
          <w:trHeight w:val="600"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满意度指标</w:t>
            </w:r>
          </w:p>
        </w:tc>
        <w:tc>
          <w:tcPr>
            <w:tcW w:w="14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服务对象指标</w:t>
            </w: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指标1：实施区域群众防灾减灾参与度</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≥85%</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≥85%</w:t>
            </w:r>
          </w:p>
        </w:tc>
      </w:tr>
      <w:tr>
        <w:tblPrEx>
          <w:tblCellMar>
            <w:top w:w="0" w:type="dxa"/>
            <w:left w:w="108" w:type="dxa"/>
            <w:bottom w:w="0" w:type="dxa"/>
            <w:right w:w="108" w:type="dxa"/>
          </w:tblCellMar>
        </w:tblPrEx>
        <w:trPr>
          <w:trHeight w:val="600" w:hRule="atLeast"/>
          <w:jc w:val="center"/>
        </w:trPr>
        <w:tc>
          <w:tcPr>
            <w:tcW w:w="5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1"/>
                <w:szCs w:val="21"/>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4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30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指标2：实施区域受益人群满意度</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≥90%</w:t>
            </w:r>
          </w:p>
        </w:tc>
        <w:tc>
          <w:tcPr>
            <w:tcW w:w="16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_GB2312" w:hAnsi="华文仿宋" w:eastAsia="仿宋_GB2312" w:cs="Times New Roman"/>
          <w:color w:val="282828"/>
          <w:sz w:val="32"/>
          <w:szCs w:val="32"/>
          <w:lang w:val="en-US" w:eastAsia="zh-CN"/>
        </w:rPr>
        <w:t>目前中央专项资金下达比例低于项目投资额的60%，区级财政资金配套压力较大，需要通过分配一般债券方式解决资金缺口。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_GB2312" w:hAnsi="华文仿宋" w:eastAsia="仿宋_GB2312" w:cs="Times New Roman"/>
          <w:color w:val="282828"/>
          <w:sz w:val="32"/>
          <w:szCs w:val="32"/>
          <w:lang w:val="en-US" w:eastAsia="zh-CN"/>
        </w:rPr>
        <w:t>2022年地质灾害防治领域已申报到位1281万元一般债务限额，建议按项目投资缺口数额分配一定债务资金，解决资金缺口。严格按照计划工期推进项目建设，提升资金使用效益。</w:t>
      </w: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Theme="majorEastAsia" w:hAnsiTheme="majorEastAsia" w:eastAsiaTheme="majorEastAsia" w:cstheme="majorEastAsia"/>
          <w:sz w:val="44"/>
          <w:szCs w:val="44"/>
          <w:lang w:val="en-US" w:eastAsia="zh-CN"/>
        </w:rPr>
      </w:pPr>
    </w:p>
    <w:p>
      <w:pPr>
        <w:rPr>
          <w:rFonts w:ascii="宋体" w:hAnsi="宋体" w:eastAsia="宋体"/>
          <w:sz w:val="44"/>
          <w:szCs w:val="44"/>
        </w:rPr>
      </w:pPr>
      <w:r>
        <w:rPr>
          <w:rFonts w:ascii="宋体" w:hAnsi="宋体" w:eastAsia="宋体"/>
          <w:sz w:val="44"/>
          <w:szCs w:val="44"/>
        </w:rPr>
        <w:br w:type="page"/>
      </w:r>
    </w:p>
    <w:p>
      <w:pPr>
        <w:keepNext w:val="0"/>
        <w:keepLines w:val="0"/>
        <w:pageBreakBefore w:val="0"/>
        <w:kinsoku/>
        <w:wordWrap/>
        <w:overflowPunct/>
        <w:topLinePunct w:val="0"/>
        <w:autoSpaceDE/>
        <w:autoSpaceDN/>
        <w:bidi w:val="0"/>
        <w:spacing w:line="560" w:lineRule="exact"/>
        <w:jc w:val="center"/>
        <w:rPr>
          <w:rFonts w:hint="eastAsia" w:eastAsia="宋体" w:asciiTheme="majorEastAsia" w:hAnsiTheme="majorEastAsia" w:cstheme="majorEastAsia"/>
          <w:sz w:val="44"/>
          <w:szCs w:val="44"/>
          <w:lang w:val="en-US" w:eastAsia="zh-CN"/>
        </w:rPr>
      </w:pPr>
      <w:r>
        <w:rPr>
          <w:rFonts w:ascii="宋体" w:hAnsi="宋体" w:eastAsia="宋体"/>
          <w:sz w:val="44"/>
          <w:szCs w:val="44"/>
        </w:rPr>
        <w:t>2021年度第</w:t>
      </w:r>
      <w:r>
        <w:rPr>
          <w:rFonts w:hint="eastAsia" w:ascii="宋体" w:hAnsi="宋体" w:eastAsia="宋体"/>
          <w:sz w:val="44"/>
          <w:szCs w:val="44"/>
        </w:rPr>
        <w:t>2批</w:t>
      </w:r>
      <w:r>
        <w:rPr>
          <w:rFonts w:ascii="宋体" w:hAnsi="宋体" w:eastAsia="宋体"/>
          <w:sz w:val="44"/>
          <w:szCs w:val="44"/>
        </w:rPr>
        <w:t>省级财政转移支付地质灾害防治专项资金</w:t>
      </w:r>
      <w:r>
        <w:rPr>
          <w:rFonts w:hint="eastAsia" w:ascii="宋体" w:hAnsi="宋体" w:eastAsia="宋体"/>
          <w:sz w:val="44"/>
          <w:szCs w:val="44"/>
          <w:lang w:val="en-US" w:eastAsia="zh-CN"/>
        </w:rPr>
        <w:t>支出</w:t>
      </w:r>
      <w:r>
        <w:rPr>
          <w:rFonts w:ascii="宋体" w:hAnsi="宋体" w:eastAsia="宋体"/>
          <w:sz w:val="44"/>
          <w:szCs w:val="44"/>
        </w:rPr>
        <w:t>绩效自评</w:t>
      </w:r>
      <w:r>
        <w:rPr>
          <w:rFonts w:hint="eastAsia" w:ascii="宋体" w:hAnsi="宋体" w:eastAsia="宋体"/>
          <w:sz w:val="44"/>
          <w:szCs w:val="44"/>
          <w:lang w:val="en-US" w:eastAsia="zh-CN"/>
        </w:rPr>
        <w:t>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cs="仿宋"/>
          <w:b w:val="0"/>
          <w:bCs w:val="0"/>
          <w:sz w:val="32"/>
          <w:szCs w:val="32"/>
          <w:lang w:val="en-US" w:eastAsia="zh-CN"/>
        </w:rPr>
        <w:t>广元市财政局于2021年7月批复2021年度第2批省级地质灾害防治专项补助资金668.88万元（广财资环〔2021〕42号），涉及工程治理项目4个、排危除险项目25个、专职监测项目1个。</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Times New Roman" w:hAnsi="Times New Roman" w:eastAsia="仿宋_GB2312" w:cs="Times New Roman"/>
          <w:sz w:val="32"/>
          <w:szCs w:val="32"/>
          <w:lang w:val="en-US" w:eastAsia="zh-CN"/>
        </w:rPr>
        <w:t>经局党组研究，</w:t>
      </w:r>
      <w:r>
        <w:rPr>
          <w:rFonts w:hint="eastAsia" w:ascii="仿宋_GB2312" w:hAnsi="仿宋_GB2312" w:eastAsia="仿宋_GB2312" w:cs="仿宋_GB2312"/>
          <w:bCs/>
          <w:sz w:val="32"/>
          <w:szCs w:val="32"/>
          <w:lang w:val="en-US" w:eastAsia="zh-CN"/>
        </w:rPr>
        <w:t>2021年度第2批省级财政转移支付地质灾害防治</w:t>
      </w:r>
      <w:r>
        <w:rPr>
          <w:rFonts w:hint="eastAsia" w:ascii="仿宋" w:hAnsi="仿宋" w:eastAsia="仿宋" w:cs="仿宋"/>
          <w:b w:val="0"/>
          <w:bCs w:val="0"/>
          <w:sz w:val="32"/>
          <w:szCs w:val="32"/>
          <w:lang w:val="en-US" w:eastAsia="zh-CN"/>
        </w:rPr>
        <w:t>项目经费用于工程治理项目4个、排危除险项目25个、专职监测项目1个经费支出</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财政专项资金668.88万元。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仿宋_GB2312" w:eastAsia="仿宋_GB2312" w:cs="仿宋_GB2312"/>
          <w:bCs/>
          <w:sz w:val="32"/>
          <w:szCs w:val="32"/>
          <w:lang w:val="en-US" w:eastAsia="zh-CN"/>
        </w:rPr>
        <w:t>2021年度第2批省级财政转移支付地质灾害防治</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资金申报668.88</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_GB2312" w:hAnsi="仿宋_GB2312" w:eastAsia="仿宋_GB2312" w:cs="仿宋_GB2312"/>
          <w:bCs/>
          <w:sz w:val="32"/>
          <w:szCs w:val="32"/>
          <w:lang w:val="en-US" w:eastAsia="zh-CN"/>
        </w:rPr>
        <w:t>2021年度第2批省级财政转移支付地质灾害防治</w:t>
      </w:r>
      <w:r>
        <w:rPr>
          <w:rFonts w:hint="eastAsia" w:ascii="仿宋" w:hAnsi="仿宋" w:eastAsia="仿宋" w:cs="仿宋"/>
          <w:b w:val="0"/>
          <w:bCs w:val="0"/>
          <w:sz w:val="32"/>
          <w:szCs w:val="32"/>
          <w:lang w:val="en-US" w:eastAsia="zh-CN"/>
        </w:rPr>
        <w:t>项目经费用于工程治理项目4个、排危除险项目25个、专职监测项目1个经费支出</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财政专项资金668.88万元，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2021年尚未发生支付</w:t>
      </w:r>
      <w:r>
        <w:rPr>
          <w:rFonts w:hint="eastAsia" w:ascii="仿宋_GB2312" w:hAnsi="宋体" w:eastAsia="仿宋_GB2312" w:cs="Times New Roman"/>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bCs/>
          <w:sz w:val="32"/>
          <w:szCs w:val="32"/>
          <w:lang w:val="en-US" w:eastAsia="zh-CN"/>
        </w:rPr>
        <w:t>2021年度第2批省级财政转移支付地质灾害防治</w:t>
      </w:r>
      <w:r>
        <w:rPr>
          <w:rFonts w:hint="eastAsia" w:ascii="仿宋" w:hAnsi="仿宋" w:eastAsia="仿宋" w:cs="仿宋"/>
          <w:b w:val="0"/>
          <w:bCs w:val="0"/>
          <w:sz w:val="32"/>
          <w:szCs w:val="32"/>
          <w:lang w:val="en-US" w:eastAsia="zh-CN"/>
        </w:rPr>
        <w:t>项目</w:t>
      </w:r>
      <w:r>
        <w:rPr>
          <w:rFonts w:hint="eastAsia" w:ascii="仿宋_GB2312" w:hAnsi="宋体" w:eastAsia="仿宋_GB2312"/>
          <w:sz w:val="32"/>
          <w:szCs w:val="32"/>
          <w:lang w:val="en-US" w:eastAsia="zh-CN"/>
        </w:rPr>
        <w:t>由专门管理部门（地环站）负责管理实施，资金按照省市和区财政专项资金使用要求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仿宋_GB2312" w:hAnsi="仿宋_GB2312" w:eastAsia="仿宋_GB2312" w:cs="仿宋_GB2312"/>
          <w:bCs/>
          <w:sz w:val="32"/>
          <w:szCs w:val="32"/>
          <w:lang w:val="en-US" w:eastAsia="zh-CN"/>
        </w:rPr>
        <w:t>2021年度第2批省级财政转移支付地质灾害防治</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全年预算数668.88万元，执行数0万元，完成预算的0%，本项目由地环站负责实施，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 w:hAnsi="仿宋" w:eastAsia="仿宋" w:cs="仿宋"/>
          <w:b w:val="0"/>
          <w:bCs w:val="0"/>
          <w:sz w:val="32"/>
          <w:szCs w:val="32"/>
          <w:lang w:val="en-US" w:eastAsia="zh-CN"/>
        </w:rPr>
        <w:t>依据《广元市利州区国有资产监督管理局关于印发〈广元市利州区区属国有企业转型升级发展方案〉的通知》（广利国资〔2020〕30号）文件精神，经报区人民政府同意，目前4个工程治理项目、19个排危除险项目均由区属国有平台公司（广元市金土地投资开发有限公司）作为项目业主推动实施（6个排危除险项目已由基层组织治理），我局作为行业主管部门，主要负责对项目实施进行组织、协调、指导和监督，同时对中央和省级专项资金支出进行监管。所有工程建设项目均按照基本建设程序，严格按照招投标法和《四川省地质灾害防治项目管理办法》（川办发〔2020〕7号）等有关法律法规和政策进行建设，执行审批立项、预算评审、招标投标、竣工验收、竣工结算审计等系列基本工作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pStyle w:val="2"/>
        <w:keepNext w:val="0"/>
        <w:keepLines w:val="0"/>
        <w:pageBreakBefore w:val="0"/>
        <w:kinsoku/>
        <w:wordWrap/>
        <w:overflowPunct/>
        <w:topLinePunct w:val="0"/>
        <w:autoSpaceDE/>
        <w:autoSpaceDN/>
        <w:bidi w:val="0"/>
        <w:spacing w:beforeLines="0"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 w:hAnsi="仿宋" w:eastAsia="仿宋" w:cs="仿宋"/>
          <w:b w:val="0"/>
          <w:bCs w:val="0"/>
          <w:sz w:val="32"/>
          <w:szCs w:val="32"/>
          <w:lang w:val="en-US" w:eastAsia="zh-CN"/>
        </w:rPr>
        <w:t>2021年度第2批省级地质灾害防治补助资金项目建设内容为抗滑桩、锚杆、挡土墙、截排水沟、危石清除、道路修复、裂缝封填以及被动防护网等，共设置一级指标3个，分别为产出指标、效益指标、满意度指标；二级指标5个，分别为数量指标、时效指标、经济效益指标、社会效益指标、服务对象指标；三级指标13个，分别为开展群测群防专职监测133处、开展地质灾害隐患点治理工程4处、开展地质灾害隐患点排危除险25处、开展地质灾害隐患点培训/演练覆盖率大于90%、规划任务在四川省地质环境管理信息系统填报率100%、按时编制并启动年度实施方案100%、项目实施后保护财产3954万元、地质灾害预警预报能力较过去五年提升、核销地质灾害隐患数量29处、项目实施后保护人数479人、监测预警区地质灾害防范能力提升、实施区域群众防灾减灾参与度大于或等于85%、实施区域受益人群满意度大于或等于90%。项目计划从2021年7月起至2023年7月，完成项目建设、初验、试运行监测、终验工作以及审计决算工作。</w:t>
      </w:r>
    </w:p>
    <w:p>
      <w:pPr>
        <w:pStyle w:val="2"/>
        <w:keepNext w:val="0"/>
        <w:keepLines w:val="0"/>
        <w:pageBreakBefore w:val="0"/>
        <w:kinsoku/>
        <w:wordWrap/>
        <w:overflowPunct/>
        <w:topLinePunct w:val="0"/>
        <w:autoSpaceDE/>
        <w:autoSpaceDN/>
        <w:bidi w:val="0"/>
        <w:spacing w:beforeLines="0" w:line="560" w:lineRule="exact"/>
        <w:ind w:firstLine="640" w:firstLineChars="200"/>
        <w:jc w:val="both"/>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w:t>
      </w:r>
      <w:r>
        <w:rPr>
          <w:rFonts w:hint="eastAsia" w:ascii="仿宋_GB2312" w:hAnsi="华文仿宋" w:eastAsia="仿宋_GB2312" w:cs="Times New Roman"/>
          <w:color w:val="282828"/>
          <w:sz w:val="32"/>
          <w:szCs w:val="32"/>
          <w:lang w:val="en-US" w:eastAsia="zh-CN"/>
        </w:rPr>
        <w:t>2021年度第2批中央地质灾害防治补助资金</w:t>
      </w:r>
      <w:r>
        <w:rPr>
          <w:rFonts w:hint="eastAsia" w:ascii="仿宋_GB2312" w:hAnsi="宋体" w:eastAsia="仿宋_GB2312"/>
          <w:sz w:val="32"/>
          <w:szCs w:val="32"/>
          <w:lang w:val="en-US" w:eastAsia="zh-CN"/>
        </w:rPr>
        <w:t>”项目预算申报时共设置2个完成指标</w:t>
      </w:r>
      <w:r>
        <w:rPr>
          <w:rFonts w:hint="eastAsia" w:ascii="仿宋_GB2312" w:hAnsi="宋体" w:eastAsia="仿宋_GB2312"/>
          <w:sz w:val="32"/>
          <w:szCs w:val="32"/>
          <w:lang w:val="zh-CN"/>
        </w:rPr>
        <w:t>（数量指标、时效指标）、</w:t>
      </w:r>
      <w:r>
        <w:rPr>
          <w:rFonts w:hint="eastAsia" w:ascii="仿宋_GB2312" w:hAnsi="宋体" w:eastAsia="仿宋_GB2312"/>
          <w:sz w:val="32"/>
          <w:szCs w:val="32"/>
          <w:lang w:val="en-US" w:eastAsia="zh-CN"/>
        </w:rPr>
        <w:t>2个效益指标（经济效益指标、社会效益指标）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adjustRightInd w:val="0"/>
        <w:snapToGrid w:val="0"/>
        <w:spacing w:line="6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2021年度第2批中央地质灾害防治项目支出绩效评价表</w:t>
      </w:r>
    </w:p>
    <w:tbl>
      <w:tblPr>
        <w:tblStyle w:val="16"/>
        <w:tblW w:w="0" w:type="auto"/>
        <w:tblInd w:w="93" w:type="dxa"/>
        <w:tblLayout w:type="autofit"/>
        <w:tblCellMar>
          <w:top w:w="0" w:type="dxa"/>
          <w:left w:w="108" w:type="dxa"/>
          <w:bottom w:w="0" w:type="dxa"/>
          <w:right w:w="108" w:type="dxa"/>
        </w:tblCellMar>
      </w:tblPr>
      <w:tblGrid>
        <w:gridCol w:w="426"/>
        <w:gridCol w:w="621"/>
        <w:gridCol w:w="1299"/>
        <w:gridCol w:w="2924"/>
        <w:gridCol w:w="1580"/>
        <w:gridCol w:w="1579"/>
      </w:tblGrid>
      <w:tr>
        <w:tblPrEx>
          <w:tblCellMar>
            <w:top w:w="0" w:type="dxa"/>
            <w:left w:w="108" w:type="dxa"/>
            <w:bottom w:w="0" w:type="dxa"/>
            <w:right w:w="108" w:type="dxa"/>
          </w:tblCellMar>
        </w:tblPrEx>
        <w:trPr>
          <w:trHeight w:val="57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p>
          <w:p>
            <w:pPr>
              <w:widowControl/>
              <w:jc w:val="center"/>
              <w:rPr>
                <w:rFonts w:hint="eastAsia" w:ascii="宋体" w:hAnsi="宋体" w:eastAsia="宋体" w:cs="宋体"/>
                <w:kern w:val="0"/>
                <w:sz w:val="21"/>
                <w:szCs w:val="21"/>
              </w:rPr>
            </w:pPr>
          </w:p>
          <w:p>
            <w:pPr>
              <w:widowControl/>
              <w:jc w:val="center"/>
              <w:rPr>
                <w:rFonts w:ascii="宋体" w:hAnsi="宋体" w:eastAsia="宋体" w:cs="宋体"/>
                <w:kern w:val="0"/>
                <w:sz w:val="21"/>
                <w:szCs w:val="21"/>
              </w:rPr>
            </w:pPr>
            <w:r>
              <w:rPr>
                <w:rFonts w:hint="eastAsia" w:ascii="宋体" w:hAnsi="宋体" w:eastAsia="宋体" w:cs="宋体"/>
                <w:kern w:val="0"/>
                <w:sz w:val="21"/>
                <w:szCs w:val="21"/>
              </w:rPr>
              <w:t>绩</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标</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一级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指标</w:t>
            </w:r>
          </w:p>
        </w:tc>
        <w:tc>
          <w:tcPr>
            <w:tcW w:w="12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二级指标</w:t>
            </w:r>
          </w:p>
        </w:tc>
        <w:tc>
          <w:tcPr>
            <w:tcW w:w="29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三级指标</w:t>
            </w:r>
          </w:p>
        </w:tc>
        <w:tc>
          <w:tcPr>
            <w:tcW w:w="15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5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52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cs="宋体"/>
                <w:kern w:val="0"/>
                <w:sz w:val="21"/>
                <w:szCs w:val="21"/>
                <w:lang w:val="en-US" w:eastAsia="zh-CN"/>
              </w:rPr>
              <w:t>完成</w:t>
            </w:r>
            <w:r>
              <w:rPr>
                <w:rFonts w:hint="eastAsia" w:ascii="宋体" w:hAnsi="宋体" w:eastAsia="宋体" w:cs="宋体"/>
                <w:kern w:val="0"/>
                <w:sz w:val="21"/>
                <w:szCs w:val="21"/>
              </w:rPr>
              <w:t>指标</w:t>
            </w:r>
          </w:p>
        </w:tc>
        <w:tc>
          <w:tcPr>
            <w:tcW w:w="1299"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数量指标</w:t>
            </w:r>
          </w:p>
        </w:tc>
        <w:tc>
          <w:tcPr>
            <w:tcW w:w="29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指标1：开展群测群防专职监测</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133处</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133处</w:t>
            </w:r>
          </w:p>
        </w:tc>
      </w:tr>
      <w:tr>
        <w:tblPrEx>
          <w:tblCellMar>
            <w:top w:w="0" w:type="dxa"/>
            <w:left w:w="108" w:type="dxa"/>
            <w:bottom w:w="0" w:type="dxa"/>
            <w:right w:w="108" w:type="dxa"/>
          </w:tblCellMar>
        </w:tblPrEx>
        <w:trPr>
          <w:trHeight w:val="28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9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9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指标2：开展地质灾害隐患点治理工程</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4处</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4处</w:t>
            </w:r>
          </w:p>
        </w:tc>
      </w:tr>
      <w:tr>
        <w:tblPrEx>
          <w:tblCellMar>
            <w:top w:w="0" w:type="dxa"/>
            <w:left w:w="108" w:type="dxa"/>
            <w:bottom w:w="0" w:type="dxa"/>
            <w:right w:w="108" w:type="dxa"/>
          </w:tblCellMar>
        </w:tblPrEx>
        <w:trPr>
          <w:trHeight w:val="28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9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9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指标3：开展地质灾害隐患点排危除险</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25处</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25处</w:t>
            </w:r>
          </w:p>
        </w:tc>
      </w:tr>
      <w:tr>
        <w:tblPrEx>
          <w:tblCellMar>
            <w:top w:w="0" w:type="dxa"/>
            <w:left w:w="108" w:type="dxa"/>
            <w:bottom w:w="0" w:type="dxa"/>
            <w:right w:w="108" w:type="dxa"/>
          </w:tblCellMar>
        </w:tblPrEx>
        <w:trPr>
          <w:trHeight w:val="28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99" w:type="dxa"/>
            <w:vMerge w:val="continue"/>
            <w:tcBorders>
              <w:left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924"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kern w:val="0"/>
                <w:sz w:val="21"/>
                <w:szCs w:val="21"/>
              </w:rPr>
            </w:pPr>
            <w:r>
              <w:rPr>
                <w:rFonts w:hint="eastAsia" w:ascii="宋体" w:hAnsi="宋体" w:eastAsia="宋体" w:cs="宋体"/>
                <w:kern w:val="0"/>
                <w:sz w:val="21"/>
                <w:szCs w:val="21"/>
              </w:rPr>
              <w:t>指标4：开展地质灾害隐患点培训/演练覆盖率</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hAnsi="仿宋" w:cs="宋体"/>
                <w:kern w:val="0"/>
                <w:sz w:val="21"/>
                <w:szCs w:val="21"/>
              </w:rPr>
              <w:t>&gt;</w:t>
            </w:r>
            <w:r>
              <w:rPr>
                <w:rFonts w:hint="eastAsia" w:ascii="宋体" w:hAnsi="宋体" w:eastAsia="宋体" w:cs="宋体"/>
                <w:kern w:val="0"/>
                <w:sz w:val="21"/>
                <w:szCs w:val="21"/>
              </w:rPr>
              <w:t>90%</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hAnsi="仿宋" w:cs="宋体"/>
                <w:kern w:val="0"/>
                <w:sz w:val="21"/>
                <w:szCs w:val="21"/>
              </w:rPr>
              <w:t>&gt;</w:t>
            </w:r>
            <w:r>
              <w:rPr>
                <w:rFonts w:hint="eastAsia" w:ascii="宋体" w:hAnsi="宋体" w:eastAsia="宋体" w:cs="宋体"/>
                <w:kern w:val="0"/>
                <w:sz w:val="21"/>
                <w:szCs w:val="21"/>
              </w:rPr>
              <w:t>90%</w:t>
            </w:r>
          </w:p>
        </w:tc>
      </w:tr>
      <w:tr>
        <w:tblPrEx>
          <w:tblCellMar>
            <w:top w:w="0" w:type="dxa"/>
            <w:left w:w="108" w:type="dxa"/>
            <w:bottom w:w="0" w:type="dxa"/>
            <w:right w:w="108" w:type="dxa"/>
          </w:tblCellMar>
        </w:tblPrEx>
        <w:trPr>
          <w:trHeight w:val="28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924"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ascii="宋体" w:hAnsi="宋体" w:eastAsia="宋体" w:cs="宋体"/>
                <w:kern w:val="0"/>
                <w:sz w:val="21"/>
                <w:szCs w:val="21"/>
              </w:rPr>
            </w:pPr>
            <w:r>
              <w:rPr>
                <w:rFonts w:hint="eastAsia" w:ascii="宋体" w:hAnsi="宋体" w:eastAsia="宋体" w:cs="宋体"/>
                <w:kern w:val="0"/>
                <w:sz w:val="21"/>
                <w:szCs w:val="21"/>
              </w:rPr>
              <w:t>指标5：规划任务在四川省地质环境管理信息系统填报率</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hAnsi="仿宋" w:cs="宋体"/>
                <w:kern w:val="0"/>
                <w:sz w:val="21"/>
                <w:szCs w:val="21"/>
              </w:rPr>
            </w:pPr>
            <w:r>
              <w:rPr>
                <w:rFonts w:hint="eastAsia" w:hAnsi="仿宋" w:cs="宋体"/>
                <w:kern w:val="0"/>
                <w:sz w:val="21"/>
                <w:szCs w:val="21"/>
              </w:rPr>
              <w:t>100%</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仿宋" w:eastAsia="宋体" w:cs="宋体"/>
                <w:kern w:val="0"/>
                <w:sz w:val="21"/>
                <w:szCs w:val="21"/>
                <w:lang w:val="en-US" w:eastAsia="zh-CN" w:bidi="ar-SA"/>
              </w:rPr>
            </w:pPr>
            <w:r>
              <w:rPr>
                <w:rFonts w:hint="eastAsia" w:hAnsi="仿宋" w:cs="宋体"/>
                <w:kern w:val="0"/>
                <w:sz w:val="21"/>
                <w:szCs w:val="21"/>
              </w:rPr>
              <w:t>100%</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ascii="宋体" w:hAnsi="宋体" w:eastAsia="宋体" w:cs="宋体"/>
                <w:kern w:val="0"/>
                <w:sz w:val="21"/>
                <w:szCs w:val="21"/>
              </w:rPr>
              <w:t>时效指标</w:t>
            </w:r>
          </w:p>
        </w:tc>
        <w:tc>
          <w:tcPr>
            <w:tcW w:w="29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指标1：按时编制并启动2021年度实施方案</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100%</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100%</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效益指标</w:t>
            </w:r>
          </w:p>
        </w:tc>
        <w:tc>
          <w:tcPr>
            <w:tcW w:w="12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经济效益指标</w:t>
            </w:r>
          </w:p>
        </w:tc>
        <w:tc>
          <w:tcPr>
            <w:tcW w:w="29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指标1：项目实施后保护财产</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3954万元</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3954万元</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9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指标2：地质灾害预警预报能力较过去五年</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提升</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提升</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9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指标3：核销地质灾害隐患数量</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29</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29</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社会效益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指标</w:t>
            </w:r>
          </w:p>
        </w:tc>
        <w:tc>
          <w:tcPr>
            <w:tcW w:w="29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指标1：项目实施保护人数</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479</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479</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9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指标2：监测预警区地质灾害防范能力</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提升</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提升</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满意度指标</w:t>
            </w:r>
          </w:p>
        </w:tc>
        <w:tc>
          <w:tcPr>
            <w:tcW w:w="12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服务对象指标</w:t>
            </w:r>
          </w:p>
        </w:tc>
        <w:tc>
          <w:tcPr>
            <w:tcW w:w="29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指标1：实施区域群众防灾减灾参与度</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≥85%</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≥85%</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12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9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指标2：实施区域受益人群满意度</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≥90%</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楷体" w:hAnsi="楷体" w:eastAsia="楷体" w:cs="楷体"/>
          <w:sz w:val="32"/>
          <w:szCs w:val="32"/>
          <w:lang w:val="en-US" w:eastAsia="zh-CN"/>
        </w:rPr>
        <w:t>（二）存在的问题</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sz w:val="32"/>
          <w:szCs w:val="32"/>
          <w:lang w:val="en-US" w:eastAsia="zh-CN"/>
        </w:rPr>
        <w:t>目前中央专项资金下达比例低于项目投资额的60%，区级财政资金配套压力较大，需要通过分配一般债券方式解决资金缺口。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2022年地质灾害防治领域已申报到位1281万元一般债务限额，建议按项目投资缺口数额分配一定债务资金，解决资金缺口。严格按照计划工期推进项目建设，提升资金使用效益。</w:t>
      </w: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rPr>
          <w:rFonts w:ascii="宋体" w:hAnsi="宋体" w:eastAsia="宋体"/>
          <w:sz w:val="44"/>
          <w:szCs w:val="44"/>
        </w:rPr>
      </w:pPr>
      <w:r>
        <w:rPr>
          <w:rFonts w:ascii="宋体" w:hAnsi="宋体" w:eastAsia="宋体"/>
          <w:sz w:val="44"/>
          <w:szCs w:val="44"/>
        </w:rPr>
        <w:br w:type="page"/>
      </w:r>
    </w:p>
    <w:p>
      <w:pPr>
        <w:keepNext w:val="0"/>
        <w:keepLines w:val="0"/>
        <w:pageBreakBefore w:val="0"/>
        <w:kinsoku/>
        <w:wordWrap/>
        <w:overflowPunct/>
        <w:topLinePunct w:val="0"/>
        <w:autoSpaceDE/>
        <w:autoSpaceDN/>
        <w:bidi w:val="0"/>
        <w:spacing w:line="560" w:lineRule="exact"/>
        <w:jc w:val="center"/>
        <w:rPr>
          <w:rFonts w:hint="eastAsia" w:eastAsia="宋体" w:asciiTheme="majorEastAsia" w:hAnsiTheme="majorEastAsia" w:cstheme="majorEastAsia"/>
          <w:sz w:val="44"/>
          <w:szCs w:val="44"/>
          <w:lang w:val="en-US" w:eastAsia="zh-CN"/>
        </w:rPr>
      </w:pPr>
      <w:r>
        <w:rPr>
          <w:rFonts w:ascii="宋体" w:hAnsi="宋体" w:eastAsia="宋体"/>
          <w:sz w:val="44"/>
          <w:szCs w:val="44"/>
        </w:rPr>
        <w:t>2021年度第</w:t>
      </w:r>
      <w:r>
        <w:rPr>
          <w:rFonts w:hint="eastAsia" w:ascii="宋体" w:hAnsi="宋体"/>
          <w:sz w:val="44"/>
          <w:szCs w:val="44"/>
          <w:lang w:val="en-US" w:eastAsia="zh-CN"/>
        </w:rPr>
        <w:t>4</w:t>
      </w:r>
      <w:r>
        <w:rPr>
          <w:rFonts w:hint="eastAsia" w:ascii="宋体" w:hAnsi="宋体" w:eastAsia="宋体"/>
          <w:sz w:val="44"/>
          <w:szCs w:val="44"/>
        </w:rPr>
        <w:t>批</w:t>
      </w:r>
      <w:r>
        <w:rPr>
          <w:rFonts w:ascii="宋体" w:hAnsi="宋体" w:eastAsia="宋体"/>
          <w:sz w:val="44"/>
          <w:szCs w:val="44"/>
        </w:rPr>
        <w:t>省级财政转移支付地质灾害防治专项资金</w:t>
      </w:r>
      <w:r>
        <w:rPr>
          <w:rFonts w:hint="eastAsia" w:ascii="宋体" w:hAnsi="宋体" w:eastAsia="宋体"/>
          <w:sz w:val="44"/>
          <w:szCs w:val="44"/>
          <w:lang w:val="en-US" w:eastAsia="zh-CN"/>
        </w:rPr>
        <w:t>支出</w:t>
      </w:r>
      <w:r>
        <w:rPr>
          <w:rFonts w:ascii="宋体" w:hAnsi="宋体" w:eastAsia="宋体"/>
          <w:sz w:val="44"/>
          <w:szCs w:val="44"/>
        </w:rPr>
        <w:t>绩效自评</w:t>
      </w:r>
      <w:r>
        <w:rPr>
          <w:rFonts w:hint="eastAsia" w:ascii="宋体" w:hAnsi="宋体" w:eastAsia="宋体"/>
          <w:sz w:val="44"/>
          <w:szCs w:val="44"/>
          <w:lang w:val="en-US" w:eastAsia="zh-CN"/>
        </w:rPr>
        <w:t>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cs="仿宋"/>
          <w:b w:val="0"/>
          <w:bCs w:val="0"/>
          <w:sz w:val="32"/>
          <w:szCs w:val="32"/>
          <w:lang w:val="en-US" w:eastAsia="zh-CN"/>
        </w:rPr>
        <w:t>广元市财政局于2021年12月批复2021年度第4批省级地质灾害防治专项补助资金、339万元（广财资环〔2021〕96号），涉及工程治理项目1个，为荣山镇中口村4组赵家山滑坡治理工程。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Times New Roman" w:hAnsi="Times New Roman" w:eastAsia="仿宋_GB2312" w:cs="Times New Roman"/>
          <w:sz w:val="32"/>
          <w:szCs w:val="32"/>
          <w:lang w:val="en-US" w:eastAsia="zh-CN"/>
        </w:rPr>
        <w:t>经局党组研究，</w:t>
      </w:r>
      <w:r>
        <w:rPr>
          <w:rFonts w:hint="eastAsia" w:ascii="仿宋_GB2312" w:hAnsi="仿宋_GB2312" w:eastAsia="仿宋_GB2312" w:cs="仿宋_GB2312"/>
          <w:bCs/>
          <w:sz w:val="32"/>
          <w:szCs w:val="32"/>
          <w:lang w:val="en-US" w:eastAsia="zh-CN"/>
        </w:rPr>
        <w:t>2021年度第4批省级财政转移支付地质灾害防治</w:t>
      </w:r>
      <w:r>
        <w:rPr>
          <w:rFonts w:hint="eastAsia" w:ascii="仿宋" w:hAnsi="仿宋" w:eastAsia="仿宋" w:cs="仿宋"/>
          <w:b w:val="0"/>
          <w:bCs w:val="0"/>
          <w:sz w:val="32"/>
          <w:szCs w:val="32"/>
          <w:lang w:val="en-US" w:eastAsia="zh-CN"/>
        </w:rPr>
        <w:t>项目经费用于荣山镇中口村4组赵家山滑坡治理工程治理支出</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财政专项资金339万元。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仿宋_GB2312" w:eastAsia="仿宋_GB2312" w:cs="仿宋_GB2312"/>
          <w:bCs/>
          <w:sz w:val="32"/>
          <w:szCs w:val="32"/>
          <w:lang w:val="en-US" w:eastAsia="zh-CN"/>
        </w:rPr>
        <w:t>2021年度第4批省级财政转移支付地质灾害防治</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资金申报339</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_GB2312" w:hAnsi="仿宋_GB2312" w:eastAsia="仿宋_GB2312" w:cs="仿宋_GB2312"/>
          <w:bCs/>
          <w:sz w:val="32"/>
          <w:szCs w:val="32"/>
          <w:lang w:val="en-US" w:eastAsia="zh-CN"/>
        </w:rPr>
        <w:t>22021年度第4批省级财政转移支付地质灾害防治</w:t>
      </w:r>
      <w:r>
        <w:rPr>
          <w:rFonts w:hint="eastAsia" w:ascii="仿宋" w:hAnsi="仿宋" w:eastAsia="仿宋" w:cs="仿宋"/>
          <w:b w:val="0"/>
          <w:bCs w:val="0"/>
          <w:sz w:val="32"/>
          <w:szCs w:val="32"/>
          <w:lang w:val="en-US" w:eastAsia="zh-CN"/>
        </w:rPr>
        <w:t>项目经费用于荣山镇中口村4组赵家山滑坡治理工程治理支出</w:t>
      </w:r>
      <w:r>
        <w:rPr>
          <w:rFonts w:hint="eastAsia" w:ascii="仿宋_GB2312" w:hAnsi="仿宋_GB2312" w:eastAsia="仿宋_GB2312" w:cs="仿宋_GB2312"/>
          <w:bCs/>
          <w:sz w:val="32"/>
          <w:szCs w:val="32"/>
          <w:lang w:val="en-US" w:eastAsia="zh-CN"/>
        </w:rPr>
        <w:t>，共计使用</w:t>
      </w:r>
      <w:r>
        <w:rPr>
          <w:rFonts w:hint="eastAsia" w:ascii="Times New Roman" w:hAnsi="Times New Roman" w:eastAsia="仿宋_GB2312" w:cs="Times New Roman"/>
          <w:sz w:val="32"/>
          <w:szCs w:val="32"/>
          <w:lang w:val="en-US" w:eastAsia="zh-CN"/>
        </w:rPr>
        <w:t>财政专项资金339万元，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2021年尚未发生支付</w:t>
      </w:r>
      <w:r>
        <w:rPr>
          <w:rFonts w:hint="eastAsia" w:ascii="仿宋_GB2312" w:hAnsi="宋体" w:eastAsia="仿宋_GB2312" w:cs="Times New Roman"/>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仿宋_GB2312" w:eastAsia="仿宋_GB2312" w:cs="仿宋_GB2312"/>
          <w:bCs/>
          <w:sz w:val="32"/>
          <w:szCs w:val="32"/>
          <w:lang w:val="en-US" w:eastAsia="zh-CN"/>
        </w:rPr>
        <w:t>2021年度第4批省级财政转移支付地质灾害防治</w:t>
      </w:r>
      <w:r>
        <w:rPr>
          <w:rFonts w:hint="eastAsia" w:ascii="仿宋" w:hAnsi="仿宋" w:eastAsia="仿宋" w:cs="仿宋"/>
          <w:b w:val="0"/>
          <w:bCs w:val="0"/>
          <w:sz w:val="32"/>
          <w:szCs w:val="32"/>
          <w:lang w:val="en-US" w:eastAsia="zh-CN"/>
        </w:rPr>
        <w:t>项目</w:t>
      </w:r>
      <w:r>
        <w:rPr>
          <w:rFonts w:hint="eastAsia" w:ascii="仿宋_GB2312" w:hAnsi="宋体" w:eastAsia="仿宋_GB2312"/>
          <w:sz w:val="32"/>
          <w:szCs w:val="32"/>
          <w:lang w:val="en-US" w:eastAsia="zh-CN"/>
        </w:rPr>
        <w:t>由专门管理部门（地环站）负责管理实施，资金按照省市和区财政专项资金使用要求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仿宋_GB2312" w:hAnsi="仿宋_GB2312" w:eastAsia="仿宋_GB2312" w:cs="仿宋_GB2312"/>
          <w:bCs/>
          <w:sz w:val="32"/>
          <w:szCs w:val="32"/>
          <w:lang w:val="en-US" w:eastAsia="zh-CN"/>
        </w:rPr>
        <w:t>2021年度第4批省级财政转移支付地质灾害防治</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全年预算数339万元，执行数0万元，完成预算的0%，本项目由地环站负责实施，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 w:hAnsi="仿宋" w:eastAsia="仿宋" w:cs="仿宋"/>
          <w:b w:val="0"/>
          <w:bCs w:val="0"/>
          <w:sz w:val="32"/>
          <w:szCs w:val="32"/>
          <w:lang w:val="en-US" w:eastAsia="zh-CN"/>
        </w:rPr>
        <w:t>依据《广元市利州区国有资产监督管理局关于印发〈广元市利州区区属国有企业转型升级发展方案〉的通知》（广利国资〔2020〕30号）文件精神，经报区人民政府同意，目前地质灾害工程治理项目均由区属国有平台公司（广元市金土地投资开发有限公司）作为项目业主推动实施，我局作为行业主管部门，主要负责对项目实施进行组织、协调、指导和监督，同时对中央和省级专项资金支出进行监管。所有工程建设项目均按照基本建设程序，严格按照招投标法和《四川省地质灾害防治项目管理办法》（川办发〔2020〕7号）等有关法律法规和政策进行建设，执行审批立项、预算评审、招标投标、竣工验收、竣工结算审计等系列基本工作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pStyle w:val="2"/>
        <w:keepNext w:val="0"/>
        <w:keepLines w:val="0"/>
        <w:pageBreakBefore w:val="0"/>
        <w:kinsoku/>
        <w:wordWrap/>
        <w:overflowPunct/>
        <w:topLinePunct w:val="0"/>
        <w:autoSpaceDE/>
        <w:autoSpaceDN/>
        <w:bidi w:val="0"/>
        <w:spacing w:beforeLines="0"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度第4批省级地质灾害防治补助资金项目建设内容为抗滑桩、挡土板、路面恢复以及裂缝封填，共设置一级指标3个，分别为产出指标、效益指标、满意度指标；二级指标4个，分别为数量指标、经济效益指标、社会效益指标、服务对象指标；三级指标8个，分别为开展地质灾害隐患点治理工程1处、规划任务在四川省地质环境管理信息系统填报率100%、项目实施后保护财产1300万元、核销地质灾害隐患数量1处、项目实施后保护人数65人、监测预警区地质灾害防范能力提升、实施区域群众防灾减灾参与度大于或等于85%、实施区域受益人群满意度大于或等于90%。项目计划从2021年12月起至2023年12月，完成项目建设、初验、试运行监测、终验工作以及审计决算工作。</w:t>
      </w:r>
    </w:p>
    <w:p>
      <w:pPr>
        <w:pStyle w:val="2"/>
        <w:keepNext w:val="0"/>
        <w:keepLines w:val="0"/>
        <w:pageBreakBefore w:val="0"/>
        <w:kinsoku/>
        <w:wordWrap/>
        <w:overflowPunct/>
        <w:topLinePunct w:val="0"/>
        <w:autoSpaceDE/>
        <w:autoSpaceDN/>
        <w:bidi w:val="0"/>
        <w:spacing w:beforeLines="0" w:line="560" w:lineRule="exact"/>
        <w:ind w:firstLine="640" w:firstLineChars="200"/>
        <w:jc w:val="both"/>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w:t>
      </w:r>
      <w:r>
        <w:rPr>
          <w:rFonts w:hint="eastAsia" w:ascii="仿宋_GB2312" w:hAnsi="华文仿宋" w:eastAsia="仿宋_GB2312" w:cs="Times New Roman"/>
          <w:color w:val="282828"/>
          <w:sz w:val="32"/>
          <w:szCs w:val="32"/>
          <w:lang w:val="en-US" w:eastAsia="zh-CN"/>
        </w:rPr>
        <w:t>2021年度第4批中央地质灾害防治补助资金</w:t>
      </w:r>
      <w:r>
        <w:rPr>
          <w:rFonts w:hint="eastAsia" w:ascii="仿宋_GB2312" w:hAnsi="宋体" w:eastAsia="仿宋_GB2312"/>
          <w:sz w:val="32"/>
          <w:szCs w:val="32"/>
          <w:lang w:val="en-US" w:eastAsia="zh-CN"/>
        </w:rPr>
        <w:t>”项目预算申报时共设置2个完成指标</w:t>
      </w:r>
      <w:r>
        <w:rPr>
          <w:rFonts w:hint="eastAsia" w:ascii="仿宋_GB2312" w:hAnsi="宋体" w:eastAsia="仿宋_GB2312"/>
          <w:sz w:val="32"/>
          <w:szCs w:val="32"/>
          <w:lang w:val="zh-CN"/>
        </w:rPr>
        <w:t>（数量指标、时效指标）、</w:t>
      </w:r>
      <w:r>
        <w:rPr>
          <w:rFonts w:hint="eastAsia" w:ascii="仿宋_GB2312" w:hAnsi="宋体" w:eastAsia="仿宋_GB2312"/>
          <w:sz w:val="32"/>
          <w:szCs w:val="32"/>
          <w:lang w:val="en-US" w:eastAsia="zh-CN"/>
        </w:rPr>
        <w:t>2个效益指标（经济效益指标、社会效益指标）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Style w:val="2"/>
        <w:ind w:left="0" w:leftChars="0" w:firstLine="320" w:firstLineChars="100"/>
        <w:jc w:val="both"/>
        <w:rPr>
          <w:rFonts w:hint="eastAsia" w:ascii="仿宋_GB2312" w:hAnsi="宋体" w:eastAsia="仿宋_GB2312"/>
          <w:sz w:val="32"/>
          <w:szCs w:val="32"/>
          <w:lang w:val="en-US" w:eastAsia="zh-CN"/>
        </w:rPr>
      </w:pPr>
      <w:r>
        <w:rPr>
          <w:rFonts w:hint="eastAsia" w:ascii="黑体" w:hAnsi="黑体" w:eastAsia="黑体" w:cs="黑体"/>
          <w:sz w:val="32"/>
          <w:szCs w:val="32"/>
          <w:lang w:val="en-US" w:eastAsia="zh-CN"/>
        </w:rPr>
        <w:t>2021年度第4批中央地质灾害防治项目支出绩效评价表</w:t>
      </w:r>
    </w:p>
    <w:tbl>
      <w:tblPr>
        <w:tblStyle w:val="16"/>
        <w:tblW w:w="0" w:type="auto"/>
        <w:tblInd w:w="93" w:type="dxa"/>
        <w:tblLayout w:type="autofit"/>
        <w:tblCellMar>
          <w:top w:w="0" w:type="dxa"/>
          <w:left w:w="108" w:type="dxa"/>
          <w:bottom w:w="0" w:type="dxa"/>
          <w:right w:w="108" w:type="dxa"/>
        </w:tblCellMar>
      </w:tblPr>
      <w:tblGrid>
        <w:gridCol w:w="426"/>
        <w:gridCol w:w="727"/>
        <w:gridCol w:w="808"/>
        <w:gridCol w:w="2621"/>
        <w:gridCol w:w="1924"/>
        <w:gridCol w:w="1923"/>
      </w:tblGrid>
      <w:tr>
        <w:tblPrEx>
          <w:tblCellMar>
            <w:top w:w="0" w:type="dxa"/>
            <w:left w:w="108" w:type="dxa"/>
            <w:bottom w:w="0" w:type="dxa"/>
            <w:right w:w="108" w:type="dxa"/>
          </w:tblCellMar>
        </w:tblPrEx>
        <w:trPr>
          <w:trHeight w:val="57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绩</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标</w:t>
            </w:r>
          </w:p>
        </w:tc>
        <w:tc>
          <w:tcPr>
            <w:tcW w:w="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一级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指标</w:t>
            </w:r>
          </w:p>
        </w:tc>
        <w:tc>
          <w:tcPr>
            <w:tcW w:w="8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二级指标</w:t>
            </w:r>
          </w:p>
        </w:tc>
        <w:tc>
          <w:tcPr>
            <w:tcW w:w="2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三级指标</w:t>
            </w:r>
          </w:p>
        </w:tc>
        <w:tc>
          <w:tcPr>
            <w:tcW w:w="192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宋体" w:hAnsi="宋体" w:eastAsia="宋体" w:cs="宋体"/>
                <w:kern w:val="0"/>
                <w:sz w:val="21"/>
                <w:szCs w:val="21"/>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92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CellMar>
            <w:top w:w="0" w:type="dxa"/>
            <w:left w:w="108" w:type="dxa"/>
            <w:bottom w:w="0" w:type="dxa"/>
            <w:right w:w="108" w:type="dxa"/>
          </w:tblCellMar>
        </w:tblPrEx>
        <w:trPr>
          <w:trHeight w:val="525"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cs="宋体"/>
                <w:kern w:val="0"/>
                <w:sz w:val="21"/>
                <w:szCs w:val="21"/>
                <w:lang w:val="en-US" w:eastAsia="zh-CN"/>
              </w:rPr>
              <w:t>完成</w:t>
            </w:r>
            <w:r>
              <w:rPr>
                <w:rFonts w:hint="eastAsia" w:ascii="宋体" w:hAnsi="宋体" w:eastAsia="宋体" w:cs="宋体"/>
                <w:kern w:val="0"/>
                <w:sz w:val="21"/>
                <w:szCs w:val="21"/>
              </w:rPr>
              <w:t>指标</w:t>
            </w:r>
          </w:p>
        </w:tc>
        <w:tc>
          <w:tcPr>
            <w:tcW w:w="8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数量指标</w:t>
            </w: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指标1：开展地质灾害隐患点治理工程</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1处</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1处</w:t>
            </w:r>
          </w:p>
        </w:tc>
      </w:tr>
      <w:tr>
        <w:tblPrEx>
          <w:tblCellMar>
            <w:top w:w="0" w:type="dxa"/>
            <w:left w:w="108" w:type="dxa"/>
            <w:bottom w:w="0" w:type="dxa"/>
            <w:right w:w="108" w:type="dxa"/>
          </w:tblCellMar>
        </w:tblPrEx>
        <w:trPr>
          <w:trHeight w:val="57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指标2：规划任务在四川省地质环境管理信息系统填报率</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100%</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100%</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效益指标</w:t>
            </w:r>
          </w:p>
        </w:tc>
        <w:tc>
          <w:tcPr>
            <w:tcW w:w="8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经济效益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指标</w:t>
            </w: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指标1：项目实施后保护财产</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1300万元</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1300万元</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指标2：核销地质灾害隐患数量</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1</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8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社会效益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指标</w:t>
            </w: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指标1：项目实施保护人数</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65</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65</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指标2：监测预警区地质灾害防范能力</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提升</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提升</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7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满意度指标</w:t>
            </w:r>
          </w:p>
        </w:tc>
        <w:tc>
          <w:tcPr>
            <w:tcW w:w="8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服务对象指标</w:t>
            </w: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指标1：实施区域群众防灾减灾参与度</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≥85%</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≥85%</w:t>
            </w:r>
          </w:p>
        </w:tc>
      </w:tr>
      <w:tr>
        <w:tblPrEx>
          <w:tblCellMar>
            <w:top w:w="0" w:type="dxa"/>
            <w:left w:w="108" w:type="dxa"/>
            <w:bottom w:w="0" w:type="dxa"/>
            <w:right w:w="108" w:type="dxa"/>
          </w:tblCellMar>
        </w:tblPrEx>
        <w:trPr>
          <w:trHeight w:val="439"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8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1"/>
                <w:szCs w:val="21"/>
              </w:rPr>
            </w:pPr>
          </w:p>
        </w:tc>
        <w:tc>
          <w:tcPr>
            <w:tcW w:w="26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1"/>
                <w:szCs w:val="21"/>
              </w:rPr>
            </w:pPr>
            <w:r>
              <w:rPr>
                <w:rFonts w:hint="eastAsia" w:ascii="宋体" w:hAnsi="宋体" w:eastAsia="宋体" w:cs="宋体"/>
                <w:kern w:val="0"/>
                <w:sz w:val="21"/>
                <w:szCs w:val="21"/>
              </w:rPr>
              <w:t xml:space="preserve"> 指标2：实施区域受益人群满意度</w:t>
            </w:r>
          </w:p>
        </w:tc>
        <w:tc>
          <w:tcPr>
            <w:tcW w:w="19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1"/>
                <w:szCs w:val="21"/>
              </w:rPr>
            </w:pPr>
            <w:r>
              <w:rPr>
                <w:rFonts w:hint="eastAsia" w:ascii="宋体" w:hAnsi="宋体" w:eastAsia="宋体" w:cs="宋体"/>
                <w:kern w:val="0"/>
                <w:sz w:val="21"/>
                <w:szCs w:val="21"/>
              </w:rPr>
              <w:t>≥90%</w:t>
            </w:r>
          </w:p>
        </w:tc>
        <w:tc>
          <w:tcPr>
            <w:tcW w:w="192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仿宋_GB2312" w:hAnsi="宋体" w:eastAsia="仿宋_GB2312" w:cs="Times New Roman"/>
          <w:color w:val="auto"/>
          <w:sz w:val="32"/>
          <w:szCs w:val="32"/>
          <w:highlight w:val="none"/>
          <w:lang w:val="zh-CN"/>
        </w:rPr>
        <w:t>目前中央专项资金下达比例低于项目投资额的60%，区级财政资金配套压力较大，需要通过分配一般债券方式解决资金缺口。</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jc w:val="both"/>
        <w:textAlignment w:val="auto"/>
        <w:rPr>
          <w:rFonts w:hint="eastAsia" w:asciiTheme="majorEastAsia" w:hAnsiTheme="majorEastAsia" w:eastAsiaTheme="majorEastAsia" w:cstheme="majorEastAsia"/>
          <w:sz w:val="44"/>
          <w:szCs w:val="44"/>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2022年地质灾害防治领域已申报到位1281万元一般债务限额，建议按项目投资缺口数额分配一定债务资金，解决资金缺口。严格按照计划工期推进项目建设，提升资金使用效益。</w:t>
      </w: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jc w:val="both"/>
        <w:rPr>
          <w:rFonts w:hint="eastAsia" w:asciiTheme="majorEastAsia" w:hAnsiTheme="majorEastAsia" w:eastAsiaTheme="majorEastAsia" w:cstheme="majorEastAsia"/>
          <w:sz w:val="44"/>
          <w:szCs w:val="44"/>
          <w:lang w:val="en-US" w:eastAsia="zh-CN"/>
        </w:rPr>
      </w:pPr>
    </w:p>
    <w:p>
      <w:pPr>
        <w:pStyle w:val="2"/>
        <w:rPr>
          <w:rFonts w:hint="eastAsia" w:asciiTheme="majorEastAsia" w:hAnsiTheme="majorEastAsia" w:eastAsiaTheme="majorEastAsia" w:cstheme="majorEastAsia"/>
          <w:sz w:val="44"/>
          <w:szCs w:val="44"/>
          <w:lang w:val="en-US" w:eastAsia="zh-CN"/>
        </w:rPr>
      </w:pPr>
    </w:p>
    <w:p>
      <w:pPr>
        <w:pStyle w:val="2"/>
        <w:rPr>
          <w:rFonts w:hint="eastAsia" w:asciiTheme="majorEastAsia" w:hAnsiTheme="majorEastAsia" w:eastAsiaTheme="majorEastAsia" w:cstheme="majorEastAsia"/>
          <w:sz w:val="44"/>
          <w:szCs w:val="44"/>
          <w:lang w:val="en-US" w:eastAsia="zh-CN"/>
        </w:rPr>
      </w:pPr>
    </w:p>
    <w:p>
      <w:pPr>
        <w:pStyle w:val="2"/>
        <w:rPr>
          <w:rFonts w:hint="eastAsia" w:asciiTheme="majorEastAsia" w:hAnsiTheme="majorEastAsia" w:eastAsiaTheme="majorEastAsia" w:cstheme="majorEastAsia"/>
          <w:sz w:val="44"/>
          <w:szCs w:val="44"/>
          <w:lang w:val="en-US" w:eastAsia="zh-CN"/>
        </w:rPr>
      </w:pPr>
    </w:p>
    <w:p>
      <w:pPr>
        <w:pStyle w:val="2"/>
        <w:rPr>
          <w:rFonts w:hint="eastAsia" w:asciiTheme="majorEastAsia" w:hAnsiTheme="majorEastAsia" w:eastAsiaTheme="majorEastAsia" w:cstheme="majorEastAsia"/>
          <w:sz w:val="44"/>
          <w:szCs w:val="44"/>
          <w:lang w:val="en-US" w:eastAsia="zh-CN"/>
        </w:rPr>
      </w:pPr>
    </w:p>
    <w:p>
      <w:pPr>
        <w:pStyle w:val="2"/>
        <w:rPr>
          <w:rFonts w:hint="eastAsia" w:asciiTheme="majorEastAsia" w:hAnsiTheme="majorEastAsia" w:eastAsiaTheme="majorEastAsia" w:cstheme="majorEastAsia"/>
          <w:sz w:val="44"/>
          <w:szCs w:val="44"/>
          <w:lang w:val="en-US" w:eastAsia="zh-CN"/>
        </w:rPr>
      </w:pPr>
    </w:p>
    <w:p>
      <w:pP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br w:type="page"/>
      </w:r>
    </w:p>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bCs/>
          <w:sz w:val="44"/>
          <w:szCs w:val="44"/>
          <w:lang w:eastAsia="zh-CN"/>
        </w:rPr>
      </w:pPr>
      <w:r>
        <w:rPr>
          <w:rFonts w:hint="eastAsia" w:asciiTheme="majorEastAsia" w:hAnsiTheme="majorEastAsia" w:eastAsiaTheme="majorEastAsia" w:cstheme="majorEastAsia"/>
          <w:sz w:val="44"/>
          <w:szCs w:val="44"/>
          <w:lang w:val="en-US" w:eastAsia="zh-CN"/>
        </w:rPr>
        <w:t>2021年项目申报和土地报征项目支出绩效自  评  报  告</w:t>
      </w:r>
    </w:p>
    <w:p>
      <w:pPr>
        <w:keepNext w:val="0"/>
        <w:keepLines w:val="0"/>
        <w:pageBreakBefore w:val="0"/>
        <w:kinsoku/>
        <w:wordWrap/>
        <w:overflowPunct/>
        <w:topLinePunct w:val="0"/>
        <w:autoSpaceDE/>
        <w:autoSpaceDN/>
        <w:bidi w:val="0"/>
        <w:spacing w:line="560" w:lineRule="exact"/>
        <w:ind w:firstLine="640" w:firstLineChars="200"/>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财政预算的项目申报和土地报征项目经费，主要用于项目和土地报征过程中产生的工作经费，资金可以用于委托业务、工业务费等。</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经局党组研究，我局2021年项目申报和土地报征项目资金用于项目和土地报征过程中产生的工作经费，共计使用财政专项资金10万元。</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sz w:val="32"/>
          <w:szCs w:val="32"/>
          <w:lang w:val="en-US" w:eastAsia="zh-CN"/>
        </w:rPr>
        <w:t>项目申报和土地报征项目资金申报10</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1.2017年度土地变更调查测绘项目委托业务费支出，共计65825元，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于2021年12月完成支付，支付率100%，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2.各项工作经费支出，共计34175元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于2021年12月支付完毕，支付率100%，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宋体" w:eastAsia="仿宋_GB2312"/>
          <w:sz w:val="32"/>
          <w:szCs w:val="32"/>
          <w:lang w:val="en-US" w:eastAsia="zh-CN"/>
        </w:rPr>
        <w:t>项目申报和土地报征项目由专门管理部门（耕地保护监督工作组）负责管理实施，该项</w:t>
      </w:r>
      <w:r>
        <w:rPr>
          <w:rFonts w:hint="eastAsia" w:ascii="仿宋_GB2312" w:hAnsi="宋体" w:eastAsia="仿宋_GB2312" w:cs="Times New Roman"/>
          <w:sz w:val="32"/>
          <w:szCs w:val="32"/>
          <w:lang w:val="en-US" w:eastAsia="zh-CN"/>
        </w:rPr>
        <w:t>目属于政策性项目，资金按照省市和区财政专项资金使用要求，经局党</w:t>
      </w:r>
      <w:r>
        <w:rPr>
          <w:rFonts w:hint="eastAsia" w:ascii="仿宋_GB2312" w:eastAsia="仿宋_GB2312"/>
          <w:sz w:val="32"/>
          <w:szCs w:val="32"/>
          <w:lang w:val="en-US" w:eastAsia="zh-CN"/>
        </w:rPr>
        <w:t>组</w:t>
      </w:r>
      <w:r>
        <w:rPr>
          <w:rFonts w:hint="eastAsia" w:ascii="仿宋_GB2312" w:eastAsia="仿宋_GB2312"/>
          <w:sz w:val="32"/>
          <w:szCs w:val="32"/>
          <w:lang w:eastAsia="zh-CN"/>
        </w:rPr>
        <w:t>复核、审核通过予以执行。</w:t>
      </w:r>
    </w:p>
    <w:p>
      <w:pPr>
        <w:keepNext w:val="0"/>
        <w:keepLines w:val="0"/>
        <w:pageBreakBefore w:val="0"/>
        <w:kinsoku/>
        <w:wordWrap/>
        <w:overflowPunct/>
        <w:topLinePunct w:val="0"/>
        <w:autoSpaceDE/>
        <w:autoSpaceDN/>
        <w:bidi w:val="0"/>
        <w:adjustRightInd w:val="0"/>
        <w:snapToGrid w:val="0"/>
        <w:spacing w:line="560" w:lineRule="exact"/>
        <w:ind w:firstLine="720"/>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zh-CN" w:eastAsia="zh-CN"/>
        </w:rPr>
        <w:t>项目管理情况。</w:t>
      </w:r>
    </w:p>
    <w:p>
      <w:pPr>
        <w:pStyle w:val="2"/>
        <w:keepNext w:val="0"/>
        <w:keepLines w:val="0"/>
        <w:pageBreakBefore w:val="0"/>
        <w:kinsoku/>
        <w:wordWrap/>
        <w:overflowPunct/>
        <w:topLinePunct w:val="0"/>
        <w:autoSpaceDE/>
        <w:autoSpaceDN/>
        <w:bidi w:val="0"/>
        <w:spacing w:beforeLines="0" w:line="560" w:lineRule="exact"/>
        <w:rPr>
          <w:rFonts w:hint="default" w:ascii="Times New Roman" w:hAnsi="Times New Roman" w:eastAsia="仿宋_GB2312" w:cs="Times New Roman"/>
          <w:sz w:val="32"/>
          <w:szCs w:val="32"/>
          <w:lang w:val="en-US"/>
        </w:rPr>
      </w:pPr>
      <w:r>
        <w:rPr>
          <w:rFonts w:hint="eastAsia" w:ascii="仿宋_GB2312" w:hAnsi="宋体" w:eastAsia="仿宋_GB2312"/>
          <w:sz w:val="32"/>
          <w:szCs w:val="32"/>
          <w:lang w:val="en-US" w:eastAsia="zh-CN"/>
        </w:rPr>
        <w:t>项目申报和土地报征项目全年预算数10万元，执行数10万元，完成预算的100%，本项目由耕地保护监督工作组负责实施，财务与资金监督工作组负责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pStyle w:val="2"/>
        <w:keepNext w:val="0"/>
        <w:keepLines w:val="0"/>
        <w:pageBreakBefore w:val="0"/>
        <w:kinsoku/>
        <w:wordWrap/>
        <w:overflowPunct/>
        <w:topLinePunct w:val="0"/>
        <w:autoSpaceDE/>
        <w:autoSpaceDN/>
        <w:bidi w:val="0"/>
        <w:spacing w:beforeLines="0" w:line="560" w:lineRule="exact"/>
        <w:rPr>
          <w:rFonts w:hint="eastAsia" w:ascii="仿宋_GB2312" w:hAnsi="仿宋_GB2312" w:eastAsia="仿宋_GB2312" w:cs="仿宋_GB2312"/>
          <w:sz w:val="32"/>
          <w:szCs w:val="32"/>
          <w:lang w:val="zh-CN"/>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kinsoku/>
        <w:wordWrap/>
        <w:overflowPunct/>
        <w:topLinePunct w:val="0"/>
        <w:autoSpaceDE/>
        <w:autoSpaceDN/>
        <w:bidi w:val="0"/>
        <w:spacing w:beforeLines="0" w:line="560" w:lineRule="exact"/>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pStyle w:val="2"/>
        <w:keepNext w:val="0"/>
        <w:keepLines w:val="0"/>
        <w:pageBreakBefore w:val="0"/>
        <w:kinsoku/>
        <w:wordWrap/>
        <w:overflowPunct/>
        <w:topLinePunct w:val="0"/>
        <w:autoSpaceDE/>
        <w:autoSpaceDN/>
        <w:bidi w:val="0"/>
        <w:spacing w:beforeLines="0" w:line="56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该项目资金用于2017年度土地变更调查测绘项目和项目申报和土地报征过程中产生的工作经费。全年预算数10万，资金无结余，</w:t>
      </w:r>
      <w:r>
        <w:rPr>
          <w:rFonts w:hint="eastAsia" w:ascii="仿宋_GB2312" w:hAnsi="宋体" w:eastAsia="仿宋_GB2312" w:cs="Times New Roman"/>
          <w:color w:val="auto"/>
          <w:sz w:val="32"/>
          <w:szCs w:val="32"/>
          <w:highlight w:val="none"/>
          <w:lang w:val="en-US" w:eastAsia="zh-CN"/>
        </w:rPr>
        <w:t>无违规现象，</w:t>
      </w:r>
      <w:r>
        <w:rPr>
          <w:rFonts w:hint="eastAsia" w:ascii="仿宋_GB2312" w:hAnsi="宋体" w:eastAsia="仿宋_GB2312" w:cs="Times New Roman"/>
          <w:color w:val="auto"/>
          <w:sz w:val="32"/>
          <w:szCs w:val="32"/>
          <w:highlight w:val="none"/>
          <w:lang w:val="zh-CN" w:eastAsia="zh-CN"/>
        </w:rPr>
        <w:t>项目整体实施规范合理，</w:t>
      </w:r>
      <w:r>
        <w:rPr>
          <w:rFonts w:hint="eastAsia" w:ascii="仿宋_GB2312" w:hAnsi="宋体" w:eastAsia="仿宋_GB2312" w:cs="Times New Roman"/>
          <w:color w:val="auto"/>
          <w:sz w:val="32"/>
          <w:szCs w:val="32"/>
          <w:highlight w:val="none"/>
          <w:lang w:val="en-US" w:eastAsia="zh-CN"/>
        </w:rPr>
        <w:t>任务基本完成，服务质量和群众满意度较好。</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pStyle w:val="2"/>
        <w:keepNext w:val="0"/>
        <w:keepLines w:val="0"/>
        <w:pageBreakBefore w:val="0"/>
        <w:kinsoku/>
        <w:wordWrap/>
        <w:overflowPunct/>
        <w:topLinePunct w:val="0"/>
        <w:autoSpaceDE/>
        <w:autoSpaceDN/>
        <w:bidi w:val="0"/>
        <w:spacing w:beforeLines="0" w:line="56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通过项目实施，保证了我区项目申报和土地报征工作有序进行，为全区的经济社会发展提供了基础保障。</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“项目申报和土地报征”项目预算申报时共设置4个完成指标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keepNext w:val="0"/>
        <w:keepLines w:val="0"/>
        <w:pageBreakBefore w:val="0"/>
        <w:kinsoku/>
        <w:wordWrap/>
        <w:overflowPunct/>
        <w:topLinePunct w:val="0"/>
        <w:autoSpaceDE/>
        <w:autoSpaceDN/>
        <w:bidi w:val="0"/>
        <w:adjustRightInd w:val="0"/>
        <w:snapToGrid w:val="0"/>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项目申报和土地报征绩效评价表</w:t>
      </w:r>
    </w:p>
    <w:tbl>
      <w:tblPr>
        <w:tblStyle w:val="16"/>
        <w:tblW w:w="81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报征土地</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1000亩</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2437亩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指报征合格率</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2021年4月-12月</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9个月</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资料编制和报征费用</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保障项目用地，创造</w:t>
            </w:r>
            <w:r>
              <w:rPr>
                <w:rFonts w:hint="eastAsia" w:ascii="宋体" w:hAnsi="宋体" w:cs="宋体"/>
                <w:i w:val="0"/>
                <w:iCs w:val="0"/>
                <w:color w:val="000000"/>
                <w:kern w:val="0"/>
                <w:sz w:val="18"/>
                <w:szCs w:val="18"/>
                <w:u w:val="none"/>
                <w:lang w:val="en-US" w:eastAsia="zh-CN" w:bidi="ar"/>
              </w:rPr>
              <w:t>利润。</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≥80%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≥80%，</w:t>
            </w:r>
            <w:r>
              <w:rPr>
                <w:rFonts w:hint="eastAsia" w:ascii="宋体" w:hAnsi="宋体" w:eastAsia="宋体" w:cs="宋体"/>
                <w:sz w:val="18"/>
                <w:szCs w:val="18"/>
                <w:vertAlign w:val="baseline"/>
                <w:lang w:val="en-US" w:eastAsia="zh-CN"/>
              </w:rPr>
              <w:t>保障项目用地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保障项目依法用地</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1000亩</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2437亩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保障项目依法合理用地，保障生态效益</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≥95</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保障项目依法合理用地，创造</w:t>
            </w:r>
            <w:r>
              <w:rPr>
                <w:rFonts w:hint="eastAsia" w:ascii="宋体" w:hAnsi="宋体" w:cs="宋体"/>
                <w:i w:val="0"/>
                <w:iCs w:val="0"/>
                <w:color w:val="000000"/>
                <w:kern w:val="0"/>
                <w:sz w:val="18"/>
                <w:szCs w:val="18"/>
                <w:u w:val="none"/>
                <w:lang w:val="en-US" w:eastAsia="zh-CN" w:bidi="ar"/>
              </w:rPr>
              <w:t>利润</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政府满意、企业满意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eastAsia" w:ascii="宋体" w:hAnsi="宋体" w:eastAsia="宋体" w:cs="宋体"/>
                <w:i w:val="0"/>
                <w:iCs w:val="0"/>
                <w:color w:val="000000"/>
                <w:sz w:val="18"/>
                <w:szCs w:val="18"/>
                <w:u w:val="none"/>
              </w:rPr>
            </w:pPr>
          </w:p>
        </w:tc>
      </w:tr>
    </w:tbl>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kinsoku/>
        <w:wordWrap/>
        <w:overflowPunct/>
        <w:topLinePunct w:val="0"/>
        <w:autoSpaceDE/>
        <w:autoSpaceDN/>
        <w:bidi w:val="0"/>
        <w:adjustRightInd w:val="0"/>
        <w:snapToGrid w:val="0"/>
        <w:spacing w:line="560" w:lineRule="exact"/>
        <w:ind w:firstLine="720"/>
        <w:textAlignment w:val="auto"/>
        <w:rPr>
          <w:rFonts w:hint="eastAsia" w:ascii="仿宋_GB2312" w:hAnsi="仿宋_GB2312" w:eastAsia="仿宋_GB2312" w:cs="仿宋_GB2312"/>
          <w:spacing w:val="-17"/>
          <w:sz w:val="32"/>
          <w:szCs w:val="32"/>
          <w:lang w:val="en-US" w:eastAsia="zh-CN"/>
        </w:rPr>
      </w:pPr>
      <w:r>
        <w:rPr>
          <w:rFonts w:hint="eastAsia" w:ascii="仿宋_GB2312" w:hAnsi="宋体" w:eastAsia="仿宋_GB2312"/>
          <w:sz w:val="32"/>
          <w:szCs w:val="32"/>
          <w:lang w:val="en-US" w:eastAsia="zh-CN"/>
        </w:rPr>
        <w:t>一是因省厅土地报征组卷资料要求日益完善，在报征前需由技术服务单位完成土地征收成片开发方案、项目“双方案”编制等前置工作，报征成本有所增加。二是</w:t>
      </w:r>
      <w:r>
        <w:rPr>
          <w:rFonts w:hint="eastAsia" w:ascii="仿宋_GB2312" w:hAnsi="仿宋_GB2312" w:eastAsia="仿宋_GB2312" w:cs="仿宋_GB2312"/>
          <w:spacing w:val="-17"/>
          <w:sz w:val="32"/>
          <w:szCs w:val="32"/>
          <w:lang w:val="en-US" w:eastAsia="zh-CN"/>
        </w:rPr>
        <w:t>因土地申报程序较多，项目申报周期较长。</w:t>
      </w:r>
    </w:p>
    <w:p>
      <w:pPr>
        <w:keepNext w:val="0"/>
        <w:keepLines w:val="0"/>
        <w:pageBreakBefore w:val="0"/>
        <w:kinsoku/>
        <w:wordWrap/>
        <w:overflowPunct/>
        <w:topLinePunct w:val="0"/>
        <w:autoSpaceDE/>
        <w:autoSpaceDN/>
        <w:bidi w:val="0"/>
        <w:adjustRightInd w:val="0"/>
        <w:snapToGrid w:val="0"/>
        <w:spacing w:line="560" w:lineRule="exact"/>
        <w:ind w:firstLine="72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积极对接省、市、区三级财政，适当增加预算以保障我区土地报征工作。同时，主动对接省自然资源厅和市自然资源局，加快项目申报进度</w:t>
      </w:r>
    </w:p>
    <w:p>
      <w:pPr>
        <w:keepNext w:val="0"/>
        <w:keepLines w:val="0"/>
        <w:pageBreakBefore w:val="0"/>
        <w:kinsoku/>
        <w:wordWrap/>
        <w:overflowPunct/>
        <w:topLinePunct w:val="0"/>
        <w:autoSpaceDE/>
        <w:autoSpaceDN/>
        <w:bidi w:val="0"/>
        <w:spacing w:line="560" w:lineRule="exact"/>
        <w:jc w:val="center"/>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spacing w:line="560" w:lineRule="exact"/>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宋体" w:hAnsi="宋体" w:eastAsia="宋体" w:cs="宋体"/>
          <w:bCs/>
          <w:sz w:val="44"/>
          <w:szCs w:val="44"/>
        </w:rPr>
      </w:pPr>
      <w:r>
        <w:rPr>
          <w:rFonts w:hint="eastAsia" w:ascii="宋体" w:hAnsi="宋体" w:eastAsia="宋体" w:cs="宋体"/>
          <w:bCs/>
          <w:sz w:val="44"/>
          <w:szCs w:val="44"/>
        </w:rPr>
        <w:br w:type="page"/>
      </w:r>
    </w:p>
    <w:p>
      <w:pPr>
        <w:pStyle w:val="34"/>
        <w:pageBreakBefore w:val="0"/>
        <w:kinsoku/>
        <w:wordWrap/>
        <w:overflowPunct/>
        <w:topLinePunct w:val="0"/>
        <w:bidi w:val="0"/>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 xml:space="preserve"> 2021</w:t>
      </w:r>
      <w:r>
        <w:rPr>
          <w:rFonts w:hint="eastAsia" w:ascii="宋体" w:hAnsi="宋体" w:eastAsia="宋体" w:cs="宋体"/>
          <w:bCs/>
          <w:sz w:val="44"/>
          <w:szCs w:val="44"/>
          <w:lang w:val="en-US" w:eastAsia="zh-CN"/>
        </w:rPr>
        <w:t>年</w:t>
      </w:r>
      <w:r>
        <w:rPr>
          <w:rFonts w:hint="eastAsia" w:ascii="宋体" w:hAnsi="宋体" w:eastAsia="宋体" w:cs="宋体"/>
          <w:bCs/>
          <w:sz w:val="44"/>
          <w:szCs w:val="44"/>
        </w:rPr>
        <w:t>土地例行</w:t>
      </w:r>
      <w:r>
        <w:rPr>
          <w:rFonts w:hint="eastAsia" w:ascii="宋体" w:hAnsi="宋体" w:eastAsia="宋体" w:cs="宋体"/>
          <w:bCs/>
          <w:sz w:val="44"/>
          <w:szCs w:val="44"/>
          <w:lang w:val="en-US" w:eastAsia="zh-CN"/>
        </w:rPr>
        <w:t>督察</w:t>
      </w:r>
      <w:r>
        <w:rPr>
          <w:rFonts w:hint="eastAsia" w:ascii="宋体" w:hAnsi="宋体" w:eastAsia="宋体" w:cs="宋体"/>
          <w:bCs/>
          <w:sz w:val="44"/>
          <w:szCs w:val="44"/>
        </w:rPr>
        <w:t>项目支出绩效</w:t>
      </w:r>
    </w:p>
    <w:p>
      <w:pPr>
        <w:pStyle w:val="34"/>
        <w:pageBreakBefore w:val="0"/>
        <w:kinsoku/>
        <w:wordWrap/>
        <w:overflowPunct/>
        <w:topLinePunct w:val="0"/>
        <w:bidi w:val="0"/>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自  评  报  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2021年土地例行督察项目经费，主要用于</w:t>
      </w:r>
      <w:r>
        <w:rPr>
          <w:rFonts w:hint="eastAsia" w:ascii="仿宋_GB2312" w:hAnsi="宋体" w:eastAsia="仿宋_GB2312"/>
          <w:sz w:val="32"/>
          <w:szCs w:val="32"/>
        </w:rPr>
        <w:t>对涉及违法用地的图斑进行执法检查，发现和查处土地违法行为，评估我区年度国土资源管理秩序和日常执法监管情况，结合土地例行督察，促进地方政府加强土地执法监督检查，维护健康有序的土地管理秩序。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（二）项目绩效目标</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经局党组研究，我局2021年土地例行督察项目经费，用于</w:t>
      </w:r>
      <w:r>
        <w:rPr>
          <w:rFonts w:hint="eastAsia" w:ascii="仿宋_GB2312" w:hAnsi="宋体" w:eastAsia="仿宋_GB2312"/>
          <w:sz w:val="32"/>
          <w:szCs w:val="32"/>
        </w:rPr>
        <w:t>对涉及违法用地的图斑进行执法检查，</w:t>
      </w:r>
      <w:r>
        <w:rPr>
          <w:rFonts w:hint="eastAsia" w:ascii="仿宋_GB2312" w:hAnsi="宋体" w:eastAsia="仿宋_GB2312"/>
          <w:sz w:val="32"/>
          <w:szCs w:val="32"/>
          <w:lang w:val="en-US" w:eastAsia="zh-CN"/>
        </w:rPr>
        <w:t>共计</w:t>
      </w:r>
      <w:r>
        <w:rPr>
          <w:rFonts w:hint="eastAsia" w:ascii="Times New Roman" w:hAnsi="Times New Roman" w:eastAsia="仿宋_GB2312" w:cs="Times New Roman"/>
          <w:sz w:val="32"/>
          <w:szCs w:val="32"/>
          <w:lang w:val="en-US" w:eastAsia="zh-CN"/>
        </w:rPr>
        <w:t>使用财政专项资金3万元。</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0" w:afterAutospacing="0" w:line="560" w:lineRule="exact"/>
        <w:ind w:right="0"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sz w:val="32"/>
          <w:szCs w:val="32"/>
          <w:lang w:val="en-US" w:eastAsia="zh-CN"/>
        </w:rPr>
        <w:t>2021年</w:t>
      </w:r>
      <w:r>
        <w:rPr>
          <w:rFonts w:hint="eastAsia" w:ascii="仿宋_GB2312" w:hAnsi="宋体" w:eastAsia="仿宋_GB2312"/>
          <w:sz w:val="32"/>
          <w:szCs w:val="32"/>
          <w:lang w:val="en-US" w:eastAsia="zh-CN"/>
        </w:rPr>
        <w:t>土地例行督察项目</w:t>
      </w:r>
      <w:r>
        <w:rPr>
          <w:rFonts w:hint="eastAsia" w:ascii="Times New Roman" w:hAnsi="Times New Roman" w:eastAsia="仿宋_GB2312" w:cs="Times New Roman"/>
          <w:sz w:val="32"/>
          <w:szCs w:val="32"/>
          <w:lang w:val="en-US" w:eastAsia="zh-CN"/>
        </w:rPr>
        <w:t>资金申报10</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该项目资金主要用于2021年卫片执法技术服务费支出，共计3万元，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于2021年10月完成支付，支付率100%，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2021年土地例行督察项目由专门管理部门（执法监察）负责管理实施，该项</w:t>
      </w:r>
      <w:r>
        <w:rPr>
          <w:rFonts w:hint="eastAsia" w:ascii="仿宋_GB2312" w:hAnsi="宋体" w:eastAsia="仿宋_GB2312" w:cs="Times New Roman"/>
          <w:color w:val="auto"/>
          <w:kern w:val="2"/>
          <w:sz w:val="32"/>
          <w:szCs w:val="32"/>
          <w:highlight w:val="none"/>
          <w:lang w:val="en-US" w:eastAsia="zh-CN" w:bidi="ar-SA"/>
        </w:rPr>
        <w:t>目属于政策性项目，资金按照省市和区财政专项资金使用要求</w:t>
      </w:r>
      <w:r>
        <w:rPr>
          <w:rFonts w:hint="eastAsia" w:ascii="仿宋_GB2312" w:hAnsi="宋体" w:eastAsia="仿宋_GB2312" w:cs="Times New Roman"/>
          <w:color w:val="auto"/>
          <w:kern w:val="2"/>
          <w:sz w:val="32"/>
          <w:szCs w:val="32"/>
          <w:highlight w:val="none"/>
          <w:lang w:val="zh-CN" w:eastAsia="zh-CN" w:bidi="ar-SA"/>
        </w:rPr>
        <w:t>，经</w:t>
      </w:r>
      <w:r>
        <w:rPr>
          <w:rFonts w:hint="eastAsia" w:ascii="仿宋_GB2312" w:hAnsi="宋体" w:eastAsia="仿宋_GB2312" w:cs="Times New Roman"/>
          <w:color w:val="auto"/>
          <w:kern w:val="2"/>
          <w:sz w:val="32"/>
          <w:szCs w:val="32"/>
          <w:highlight w:val="none"/>
          <w:lang w:val="en-US" w:eastAsia="zh-CN" w:bidi="ar-SA"/>
        </w:rPr>
        <w:t>局党</w:t>
      </w:r>
      <w:r>
        <w:rPr>
          <w:rFonts w:hint="eastAsia" w:ascii="仿宋_GB2312" w:eastAsia="仿宋_GB2312"/>
          <w:sz w:val="32"/>
          <w:szCs w:val="32"/>
          <w:lang w:val="en-US" w:eastAsia="zh-CN"/>
        </w:rPr>
        <w:t>组</w:t>
      </w:r>
      <w:r>
        <w:rPr>
          <w:rFonts w:hint="eastAsia" w:ascii="仿宋_GB2312" w:eastAsia="仿宋_GB2312"/>
          <w:sz w:val="32"/>
          <w:szCs w:val="32"/>
          <w:lang w:eastAsia="zh-CN"/>
        </w:rPr>
        <w:t>复核、审核通过予以执行。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zh-CN" w:eastAsia="zh-CN"/>
        </w:rPr>
        <w:t>项目管理情况。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2021年土地例行督察项目全年预算数3万元，执行数3万元，完成预算的100%，本项目由执法监察大队负责实施，财务与资金监督工作组负责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（三）项目监管情况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en-US" w:eastAsia="zh-CN"/>
        </w:rPr>
      </w:pPr>
      <w:r>
        <w:rPr>
          <w:rFonts w:hint="eastAsia" w:ascii="Times New Roman" w:hAnsi="Times New Roman" w:eastAsia="仿宋_GB2312" w:cs="Times New Roman"/>
          <w:sz w:val="32"/>
          <w:szCs w:val="32"/>
          <w:lang w:val="en-US" w:eastAsia="zh-CN"/>
        </w:rPr>
        <w:t>该项目资金用于</w:t>
      </w:r>
      <w:r>
        <w:rPr>
          <w:rFonts w:hint="eastAsia" w:ascii="仿宋_GB2312" w:hAnsi="宋体" w:eastAsia="仿宋_GB2312"/>
          <w:sz w:val="32"/>
          <w:szCs w:val="32"/>
          <w:lang w:val="en-US" w:eastAsia="zh-CN"/>
        </w:rPr>
        <w:t>2021年卫片执法技术服务费支出，</w:t>
      </w:r>
      <w:r>
        <w:rPr>
          <w:rFonts w:hint="eastAsia" w:ascii="Times New Roman" w:hAnsi="Times New Roman" w:eastAsia="仿宋_GB2312" w:cs="Times New Roman"/>
          <w:sz w:val="32"/>
          <w:szCs w:val="32"/>
          <w:lang w:val="en-US" w:eastAsia="zh-CN"/>
        </w:rPr>
        <w:t>全年预算数3万，资金无结余，</w:t>
      </w:r>
      <w:r>
        <w:rPr>
          <w:rFonts w:hint="eastAsia" w:ascii="仿宋_GB2312" w:hAnsi="宋体" w:eastAsia="仿宋_GB2312" w:cs="Times New Roman"/>
          <w:color w:val="auto"/>
          <w:sz w:val="32"/>
          <w:szCs w:val="32"/>
          <w:highlight w:val="none"/>
          <w:lang w:val="en-US" w:eastAsia="zh-CN"/>
        </w:rPr>
        <w:t>无违规现象，</w:t>
      </w:r>
      <w:r>
        <w:rPr>
          <w:rFonts w:hint="eastAsia" w:ascii="仿宋_GB2312" w:hAnsi="宋体" w:eastAsia="仿宋_GB2312" w:cs="Times New Roman"/>
          <w:color w:val="auto"/>
          <w:sz w:val="32"/>
          <w:szCs w:val="32"/>
          <w:highlight w:val="none"/>
          <w:lang w:val="zh-CN" w:eastAsia="zh-CN"/>
        </w:rPr>
        <w:t>项目整体实施规范合理，</w:t>
      </w:r>
      <w:r>
        <w:rPr>
          <w:rFonts w:hint="eastAsia" w:ascii="仿宋_GB2312" w:hAnsi="宋体" w:eastAsia="仿宋_GB2312" w:cs="Times New Roman"/>
          <w:color w:val="auto"/>
          <w:sz w:val="32"/>
          <w:szCs w:val="32"/>
          <w:highlight w:val="none"/>
          <w:lang w:val="en-US" w:eastAsia="zh-CN"/>
        </w:rPr>
        <w:t>任务基本完成，服务质量和群众满意度较好。</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ascii="楷体" w:hAnsi="楷体" w:eastAsia="楷体" w:cs="楷体"/>
          <w:sz w:val="32"/>
          <w:szCs w:val="32"/>
          <w:lang w:val="en-US" w:eastAsia="zh-CN"/>
        </w:rPr>
        <w:t>（二）项目效益情况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结合土地例行督察，促进地方政府加强土地执法监督检查，维护健康有序的土地管理秩序。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土地例行督察</w:t>
      </w:r>
      <w:r>
        <w:rPr>
          <w:rFonts w:hint="eastAsia" w:ascii="仿宋_GB2312" w:hAnsi="宋体" w:eastAsia="仿宋_GB2312"/>
          <w:sz w:val="32"/>
          <w:szCs w:val="32"/>
        </w:rPr>
        <w:t>”项目预算申报时共设置4个完成指标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w:t>
      </w:r>
      <w:r>
        <w:rPr>
          <w:rFonts w:hint="eastAsia" w:ascii="仿宋_GB2312" w:hAnsi="宋体" w:eastAsia="仿宋_GB2312"/>
          <w:sz w:val="32"/>
          <w:szCs w:val="32"/>
        </w:rPr>
        <w:t>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rPr>
        <w:t>和完成</w:t>
      </w:r>
      <w:r>
        <w:rPr>
          <w:rFonts w:hint="eastAsia" w:ascii="仿宋_GB2312" w:hAnsi="宋体" w:eastAsia="仿宋_GB2312"/>
          <w:sz w:val="32"/>
          <w:szCs w:val="32"/>
          <w:lang w:val="zh-CN"/>
        </w:rPr>
        <w:t>情况见下表：</w:t>
      </w:r>
    </w:p>
    <w:p>
      <w:pPr>
        <w:pageBreakBefore w:val="0"/>
        <w:kinsoku/>
        <w:wordWrap/>
        <w:overflowPunct/>
        <w:topLinePunct w:val="0"/>
        <w:bidi w:val="0"/>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土地例行督察</w:t>
      </w:r>
      <w:r>
        <w:rPr>
          <w:rFonts w:hint="eastAsia" w:ascii="黑体" w:hAnsi="黑体" w:eastAsia="黑体" w:cs="黑体"/>
          <w:sz w:val="32"/>
          <w:szCs w:val="32"/>
        </w:rPr>
        <w:t>绩效评价表</w:t>
      </w:r>
    </w:p>
    <w:tbl>
      <w:tblPr>
        <w:tblStyle w:val="16"/>
        <w:tblW w:w="8196" w:type="dxa"/>
        <w:tblInd w:w="93" w:type="dxa"/>
        <w:tblLayout w:type="fixed"/>
        <w:tblCellMar>
          <w:top w:w="0" w:type="dxa"/>
          <w:left w:w="108" w:type="dxa"/>
          <w:bottom w:w="0" w:type="dxa"/>
          <w:right w:w="108" w:type="dxa"/>
        </w:tblCellMar>
      </w:tblPr>
      <w:tblGrid>
        <w:gridCol w:w="546"/>
        <w:gridCol w:w="1080"/>
        <w:gridCol w:w="1251"/>
        <w:gridCol w:w="1717"/>
        <w:gridCol w:w="1776"/>
        <w:gridCol w:w="1826"/>
      </w:tblGrid>
      <w:tr>
        <w:tblPrEx>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2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1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预期指标值</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包含数字及文字描述</w:t>
            </w:r>
            <w:r>
              <w:rPr>
                <w:rFonts w:hint="eastAsia" w:ascii="宋体" w:hAnsi="宋体" w:cs="宋体"/>
                <w:color w:val="000000"/>
                <w:kern w:val="0"/>
                <w:sz w:val="18"/>
                <w:szCs w:val="18"/>
                <w:lang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实际完成指标值</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包含数字及文字描述</w:t>
            </w:r>
            <w:r>
              <w:rPr>
                <w:rFonts w:hint="eastAsia" w:ascii="宋体" w:hAnsi="宋体" w:cs="宋体"/>
                <w:color w:val="000000"/>
                <w:kern w:val="0"/>
                <w:sz w:val="18"/>
                <w:szCs w:val="18"/>
                <w:lang w:eastAsia="zh-CN" w:bidi="ar"/>
              </w:rPr>
              <w:t>）</w:t>
            </w:r>
          </w:p>
        </w:tc>
      </w:tr>
      <w:tr>
        <w:tblPrEx>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25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完成指标</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1533.85平方公里</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根据上级下发遥感监测图斑数据，开展利州区范围内需要督察的图斑工作。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ascii="宋体" w:hAnsi="宋体" w:cs="宋体"/>
                <w:color w:val="000000"/>
                <w:sz w:val="18"/>
                <w:szCs w:val="18"/>
              </w:rPr>
              <w:t>100</w:t>
            </w:r>
            <w:r>
              <w:rPr>
                <w:rFonts w:hint="eastAsia" w:ascii="宋体" w:hAnsi="宋体" w:cs="宋体"/>
                <w:color w:val="000000"/>
                <w:sz w:val="18"/>
                <w:szCs w:val="18"/>
              </w:rPr>
              <w:t>%</w:t>
            </w:r>
          </w:p>
        </w:tc>
      </w:tr>
      <w:tr>
        <w:tblPrEx>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通过省、市核查</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依据土地例行督察实施方案或工作要求完成此项工作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通过省、市核查</w:t>
            </w:r>
          </w:p>
        </w:tc>
      </w:tr>
      <w:tr>
        <w:tblPrEx>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2021年12月31日前完成</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依据上级文件并结合往年惯例</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2021年12月31日前完成</w:t>
            </w:r>
          </w:p>
        </w:tc>
      </w:tr>
      <w:tr>
        <w:tblPrEx>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含直接成本（劳动力消耗、仪器设备消耗、材料消耗等），间接成本（增值税、劳动保护费、投标费等）、期间费用（管理费用、销售费用、财务费用等）</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县级土地例行督察生产成本定额（2019）</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3</w:t>
            </w:r>
            <w:r>
              <w:rPr>
                <w:rFonts w:hint="eastAsia" w:ascii="宋体" w:hAnsi="宋体" w:cs="宋体"/>
                <w:color w:val="000000"/>
                <w:kern w:val="0"/>
                <w:sz w:val="18"/>
                <w:szCs w:val="18"/>
                <w:lang w:bidi="ar"/>
              </w:rPr>
              <w:t>万元</w:t>
            </w:r>
          </w:p>
        </w:tc>
      </w:tr>
      <w:tr>
        <w:tblPrEx>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经济效益指标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间接经济效益，为社会生产经济发展提供基础支撑数据</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r>
              <w:rPr>
                <w:rFonts w:ascii="宋体" w:hAnsi="宋体" w:cs="宋体"/>
                <w:sz w:val="18"/>
                <w:szCs w:val="18"/>
                <w:lang w:val="zh-CN"/>
              </w:rPr>
              <w:t>99%</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18"/>
                <w:szCs w:val="18"/>
              </w:rPr>
            </w:pPr>
            <w:r>
              <w:rPr>
                <w:rFonts w:ascii="宋体" w:hAnsi="宋体" w:cs="宋体"/>
                <w:sz w:val="18"/>
                <w:szCs w:val="18"/>
                <w:lang w:val="zh-CN"/>
              </w:rPr>
              <w:t>100%</w:t>
            </w:r>
          </w:p>
        </w:tc>
      </w:tr>
      <w:tr>
        <w:tblPrEx>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有利于提升土地管理工作的合理性、是地区规划的重要参考依据，有利于对土地充分开发和利用，促进地区经济发展，促进土地节约集约利用</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98%</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生态效益指标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土地例行督察监督，保障生态效益</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r>
              <w:rPr>
                <w:rFonts w:hint="eastAsia" w:ascii="宋体" w:hAnsi="宋体" w:cs="宋体"/>
                <w:sz w:val="18"/>
                <w:szCs w:val="18"/>
                <w:lang w:val="zh-CN"/>
              </w:rPr>
              <w:t>≥95%</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r>
              <w:rPr>
                <w:rFonts w:hint="eastAsia" w:ascii="宋体" w:hAnsi="宋体" w:cs="宋体"/>
                <w:sz w:val="18"/>
                <w:szCs w:val="18"/>
                <w:lang w:val="zh-CN"/>
              </w:rPr>
              <w:t>≥95%</w:t>
            </w:r>
          </w:p>
        </w:tc>
      </w:tr>
      <w:tr>
        <w:tblPrEx>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17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提升土地管理工作的合理性、是地区规划的重要参考依据</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ascii="宋体" w:hAnsi="宋体" w:cs="宋体"/>
                <w:color w:val="000000"/>
                <w:sz w:val="18"/>
                <w:szCs w:val="18"/>
              </w:rPr>
            </w:pPr>
            <w:r>
              <w:rPr>
                <w:rFonts w:ascii="宋体" w:hAnsi="宋体" w:cs="宋体"/>
                <w:color w:val="000000"/>
                <w:sz w:val="18"/>
                <w:szCs w:val="18"/>
              </w:rPr>
              <w:t>98%</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r>
              <w:rPr>
                <w:rFonts w:ascii="宋体" w:hAnsi="宋体" w:cs="宋体"/>
                <w:color w:val="000000"/>
                <w:sz w:val="18"/>
                <w:szCs w:val="18"/>
              </w:rPr>
              <w:t>100%</w:t>
            </w:r>
          </w:p>
        </w:tc>
      </w:tr>
      <w:tr>
        <w:tblPrEx>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cs="宋体"/>
                <w:color w:val="000000"/>
                <w:sz w:val="18"/>
                <w:szCs w:val="18"/>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25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7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提升土地管理工作的合理性、是地区规划的重要参考依据</w:t>
            </w:r>
          </w:p>
        </w:tc>
        <w:tc>
          <w:tcPr>
            <w:tcW w:w="17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sz w:val="18"/>
                <w:szCs w:val="18"/>
              </w:rPr>
            </w:pPr>
          </w:p>
        </w:tc>
        <w:tc>
          <w:tcPr>
            <w:tcW w:w="1251"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sz w:val="18"/>
                <w:szCs w:val="18"/>
              </w:rPr>
            </w:pPr>
          </w:p>
        </w:tc>
        <w:tc>
          <w:tcPr>
            <w:tcW w:w="1717"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sz w:val="18"/>
                <w:szCs w:val="18"/>
              </w:rPr>
            </w:pPr>
          </w:p>
        </w:tc>
        <w:tc>
          <w:tcPr>
            <w:tcW w:w="177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sz w:val="18"/>
                <w:szCs w:val="18"/>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cs="宋体"/>
                <w:color w:val="000000"/>
                <w:sz w:val="18"/>
                <w:szCs w:val="18"/>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国家下发图斑数量具有不确定性，导致经费难以及时确认。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通过历年</w:t>
      </w:r>
      <w:r>
        <w:rPr>
          <w:rFonts w:hint="eastAsia" w:ascii="仿宋_GB2312" w:hAnsi="仿宋_GB2312" w:eastAsia="仿宋_GB2312" w:cs="仿宋_GB2312"/>
          <w:spacing w:val="-17"/>
          <w:sz w:val="32"/>
          <w:szCs w:val="32"/>
        </w:rPr>
        <w:t>国家下发图斑数量编制下一年度预算，通过政府采购确定全年图斑核实、整改作业单位。</w:t>
      </w: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pStyle w:val="2"/>
        <w:pageBreakBefore w:val="0"/>
        <w:kinsoku/>
        <w:wordWrap/>
        <w:overflowPunct/>
        <w:topLinePunct w:val="0"/>
        <w:bidi w:val="0"/>
        <w:spacing w:before="312" w:line="560" w:lineRule="exact"/>
        <w:ind w:right="530"/>
        <w:jc w:val="right"/>
        <w:rPr>
          <w:rFonts w:ascii="仿宋_GB2312" w:hAnsi="宋体" w:eastAsia="仿宋_GB2312"/>
          <w:sz w:val="32"/>
          <w:szCs w:val="32"/>
        </w:rPr>
      </w:pP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pageBreakBefore w:val="0"/>
        <w:kinsoku/>
        <w:wordWrap/>
        <w:overflowPunct/>
        <w:topLinePunct w:val="0"/>
        <w:bidi w:val="0"/>
        <w:spacing w:line="560" w:lineRule="exact"/>
        <w:jc w:val="center"/>
        <w:rPr>
          <w:rFonts w:hint="eastAsia" w:ascii="宋体" w:hAnsi="宋体" w:eastAsia="宋体" w:cs="宋体"/>
          <w:bCs/>
          <w:sz w:val="44"/>
          <w:szCs w:val="44"/>
        </w:rPr>
      </w:pPr>
      <w:r>
        <w:rPr>
          <w:rFonts w:hint="eastAsia" w:ascii="宋体" w:hAnsi="宋体" w:eastAsia="宋体" w:cs="宋体"/>
          <w:bCs/>
          <w:sz w:val="44"/>
          <w:szCs w:val="44"/>
          <w:lang w:val="en-US" w:eastAsia="zh-CN"/>
        </w:rPr>
        <w:t xml:space="preserve"> 2021年</w:t>
      </w:r>
      <w:r>
        <w:rPr>
          <w:rFonts w:hint="eastAsia" w:ascii="宋体" w:hAnsi="宋体" w:eastAsia="宋体" w:cs="宋体"/>
          <w:bCs/>
          <w:sz w:val="44"/>
          <w:szCs w:val="44"/>
        </w:rPr>
        <w:t>视频会议系统建设支出绩效</w:t>
      </w: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eastAsia="zh-CN"/>
        </w:rPr>
      </w:pPr>
      <w:r>
        <w:rPr>
          <w:rFonts w:hint="eastAsia" w:ascii="宋体" w:hAnsi="宋体" w:eastAsia="宋体" w:cs="宋体"/>
          <w:bCs/>
          <w:sz w:val="44"/>
          <w:szCs w:val="44"/>
        </w:rPr>
        <w:t>自</w:t>
      </w:r>
      <w:r>
        <w:rPr>
          <w:rFonts w:hint="eastAsia" w:ascii="宋体" w:hAnsi="宋体" w:eastAsia="宋体" w:cs="宋体"/>
          <w:bCs/>
          <w:sz w:val="44"/>
          <w:szCs w:val="44"/>
          <w:lang w:val="en-US" w:eastAsia="zh-CN"/>
        </w:rPr>
        <w:t xml:space="preserve"> </w:t>
      </w:r>
      <w:r>
        <w:rPr>
          <w:rFonts w:hint="eastAsia" w:ascii="宋体" w:hAnsi="宋体" w:eastAsia="宋体" w:cs="宋体"/>
          <w:bCs/>
          <w:sz w:val="44"/>
          <w:szCs w:val="44"/>
        </w:rPr>
        <w:t>评</w:t>
      </w:r>
      <w:r>
        <w:rPr>
          <w:rFonts w:hint="eastAsia" w:ascii="宋体" w:hAnsi="宋体" w:eastAsia="宋体" w:cs="宋体"/>
          <w:bCs/>
          <w:sz w:val="44"/>
          <w:szCs w:val="44"/>
          <w:lang w:val="en-US" w:eastAsia="zh-CN"/>
        </w:rPr>
        <w:t xml:space="preserve"> </w:t>
      </w:r>
      <w:r>
        <w:rPr>
          <w:rFonts w:hint="eastAsia" w:ascii="宋体" w:hAnsi="宋体" w:eastAsia="宋体" w:cs="宋体"/>
          <w:bCs/>
          <w:sz w:val="44"/>
          <w:szCs w:val="44"/>
        </w:rPr>
        <w:t>报</w:t>
      </w:r>
      <w:r>
        <w:rPr>
          <w:rFonts w:hint="eastAsia" w:ascii="宋体" w:hAnsi="宋体" w:eastAsia="宋体" w:cs="宋体"/>
          <w:bCs/>
          <w:sz w:val="44"/>
          <w:szCs w:val="44"/>
          <w:lang w:val="en-US" w:eastAsia="zh-CN"/>
        </w:rPr>
        <w:t xml:space="preserve"> </w:t>
      </w:r>
      <w:r>
        <w:rPr>
          <w:rFonts w:hint="eastAsia" w:ascii="宋体" w:hAnsi="宋体" w:eastAsia="宋体" w:cs="宋体"/>
          <w:bCs/>
          <w:sz w:val="44"/>
          <w:szCs w:val="44"/>
        </w:rPr>
        <w:t>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视频会议系统建设项目经费，主要用于视频会议建设。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经局党组研究，我局视频会议系统建设项目经费主要用于全局视频会议系统建设，共计使用经费0.96万元。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视频会议系统建设项目资金申报0.96万元，</w:t>
      </w:r>
      <w:r>
        <w:rPr>
          <w:rFonts w:hint="eastAsia" w:ascii="仿宋_GB2312" w:hAnsi="宋体" w:eastAsia="仿宋_GB2312" w:cs="Times New Roman"/>
          <w:color w:val="auto"/>
          <w:kern w:val="2"/>
          <w:sz w:val="32"/>
          <w:szCs w:val="32"/>
          <w:highlight w:val="none"/>
          <w:lang w:val="zh-CN" w:eastAsia="zh-CN" w:bidi="ar-SA"/>
        </w:rPr>
        <w:t>与批复、预算、实际下达金额一致。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视频会议系统建设项目经费主要用于视频会议系统建设支出，共计0.96万元，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于2021年7月完成支付，支付率100%，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仿宋_GB2312" w:hAnsi="宋体" w:eastAsia="仿宋_GB2312"/>
          <w:sz w:val="32"/>
          <w:szCs w:val="32"/>
          <w:lang w:val="en-US" w:eastAsia="zh-CN"/>
        </w:rPr>
        <w:t>项目申报和土地报征项目由专门管理部门（办公室）负责管理实施，资金按照省市和区财政专项资金使用要求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视频会议系统建设项目全年预算数0.96万元，执行数0.96万元，完成预算的100%，本项目由办公室负责实施，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宋体" w:eastAsia="仿宋_GB2312"/>
          <w:sz w:val="32"/>
          <w:szCs w:val="32"/>
          <w:lang w:val="en-US" w:eastAsia="zh-CN"/>
        </w:rPr>
        <w:t>该项目用于2021年度视频会议系统建设，有力</w:t>
      </w:r>
      <w:r>
        <w:rPr>
          <w:rFonts w:hint="eastAsia" w:ascii="仿宋_GB2312" w:hAnsi="宋体" w:eastAsia="仿宋_GB2312"/>
          <w:sz w:val="32"/>
          <w:szCs w:val="32"/>
          <w:lang w:val="zh-CN" w:eastAsia="zh-CN"/>
        </w:rPr>
        <w:t>保障</w:t>
      </w:r>
      <w:r>
        <w:rPr>
          <w:rFonts w:hint="eastAsia" w:ascii="仿宋_GB2312" w:hAnsi="宋体" w:eastAsia="仿宋_GB2312"/>
          <w:sz w:val="32"/>
          <w:szCs w:val="32"/>
          <w:lang w:val="en-US" w:eastAsia="zh-CN"/>
        </w:rPr>
        <w:t>了</w:t>
      </w:r>
      <w:r>
        <w:rPr>
          <w:rFonts w:hint="eastAsia" w:ascii="仿宋_GB2312" w:hAnsi="宋体" w:eastAsia="仿宋_GB2312"/>
          <w:sz w:val="32"/>
          <w:szCs w:val="32"/>
          <w:lang w:val="zh-CN" w:eastAsia="zh-CN"/>
        </w:rPr>
        <w:t>各级政府及上级主管部门安排部署的会议顺利召开，确保政令畅通，节约会议成本</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通过项目实施，</w:t>
      </w:r>
      <w:r>
        <w:rPr>
          <w:rFonts w:hint="eastAsia" w:ascii="仿宋_GB2312" w:hAnsi="宋体" w:eastAsia="仿宋_GB2312"/>
          <w:sz w:val="32"/>
          <w:szCs w:val="32"/>
          <w:lang w:val="en-US" w:eastAsia="zh-CN"/>
        </w:rPr>
        <w:t>有力</w:t>
      </w:r>
      <w:r>
        <w:rPr>
          <w:rFonts w:hint="eastAsia" w:ascii="仿宋_GB2312" w:hAnsi="宋体" w:eastAsia="仿宋_GB2312"/>
          <w:sz w:val="32"/>
          <w:szCs w:val="32"/>
          <w:lang w:val="zh-CN" w:eastAsia="zh-CN"/>
        </w:rPr>
        <w:t>保障</w:t>
      </w:r>
      <w:r>
        <w:rPr>
          <w:rFonts w:hint="eastAsia" w:ascii="仿宋_GB2312" w:hAnsi="宋体" w:eastAsia="仿宋_GB2312"/>
          <w:sz w:val="32"/>
          <w:szCs w:val="32"/>
          <w:lang w:val="en-US" w:eastAsia="zh-CN"/>
        </w:rPr>
        <w:t>了</w:t>
      </w:r>
      <w:r>
        <w:rPr>
          <w:rFonts w:hint="eastAsia" w:ascii="仿宋_GB2312" w:hAnsi="宋体" w:eastAsia="仿宋_GB2312"/>
          <w:sz w:val="32"/>
          <w:szCs w:val="32"/>
          <w:lang w:val="zh-CN" w:eastAsia="zh-CN"/>
        </w:rPr>
        <w:t>各级政府及上级主管部门安排部署的会议顺利召开，确保政令畅通，节约会议成本</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w:t>
      </w:r>
      <w:r>
        <w:rPr>
          <w:rFonts w:hint="eastAsia" w:ascii="仿宋" w:hAnsi="仿宋" w:eastAsia="仿宋" w:cs="仿宋"/>
          <w:b w:val="0"/>
          <w:bCs w:val="0"/>
          <w:sz w:val="32"/>
          <w:szCs w:val="32"/>
          <w:lang w:val="en-US" w:eastAsia="zh-CN"/>
        </w:rPr>
        <w:t>视频会议系统建设</w:t>
      </w:r>
      <w:r>
        <w:rPr>
          <w:rFonts w:hint="eastAsia" w:ascii="仿宋_GB2312" w:hAnsi="宋体" w:eastAsia="仿宋_GB2312"/>
          <w:sz w:val="32"/>
          <w:szCs w:val="32"/>
          <w:lang w:val="en-US" w:eastAsia="zh-CN"/>
        </w:rPr>
        <w:t>”项目预算申报时共设置4个完成指标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2个效益指标（社会效益指标、可持续影响指标）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ageBreakBefore w:val="0"/>
        <w:kinsoku/>
        <w:wordWrap/>
        <w:overflowPunct/>
        <w:topLinePunct w:val="0"/>
        <w:bidi w:val="0"/>
        <w:adjustRightInd w:val="0"/>
        <w:snapToGrid w:val="0"/>
        <w:spacing w:line="56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视频会议系统建设绩效评价表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按时组织召开会议。</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根据区委、区政府安排按时组织召开全区各类会议</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100%，全部召开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支持视频会议</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清晰接收信号，具有良好的稳定性，确保视频会议政策召开。</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100%，稳定无差错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月-12月</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个月</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0.96万元</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sz w:val="18"/>
                <w:szCs w:val="18"/>
                <w:vertAlign w:val="baseline"/>
                <w:lang w:val="zh-CN"/>
              </w:rPr>
            </w:pPr>
            <w:r>
              <w:rPr>
                <w:rFonts w:hint="eastAsia"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我局市、区视频会议顺利开展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cs="宋体"/>
                <w:i w:val="0"/>
                <w:iCs w:val="0"/>
                <w:color w:val="000000"/>
                <w:kern w:val="0"/>
                <w:sz w:val="18"/>
                <w:szCs w:val="18"/>
                <w:u w:val="none"/>
                <w:lang w:val="zh-CN" w:eastAsia="zh-CN" w:bidi="ar"/>
              </w:rPr>
            </w:pPr>
            <w:r>
              <w:rPr>
                <w:rFonts w:hint="eastAsia" w:ascii="宋体" w:hAnsi="宋体" w:cs="宋体"/>
                <w:i w:val="0"/>
                <w:iCs w:val="0"/>
                <w:color w:val="000000"/>
                <w:kern w:val="0"/>
                <w:sz w:val="18"/>
                <w:szCs w:val="18"/>
                <w:u w:val="none"/>
                <w:lang w:val="en-US" w:eastAsia="zh-CN" w:bidi="ar"/>
              </w:rPr>
              <w:t>召开全区各类会议</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提高行政效率，及时掌握区委区政府各项工作部署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工作顺利开展</w:t>
            </w:r>
            <w:r>
              <w:rPr>
                <w:rFonts w:hint="eastAsia" w:ascii="宋体" w:hAnsi="宋体" w:eastAsia="宋体" w:cs="宋体"/>
                <w:i w:val="0"/>
                <w:iCs w:val="0"/>
                <w:color w:val="000000"/>
                <w:kern w:val="0"/>
                <w:sz w:val="18"/>
                <w:szCs w:val="18"/>
                <w:u w:val="none"/>
                <w:lang w:val="en-US" w:eastAsia="zh-CN" w:bidi="ar"/>
              </w:rPr>
              <w:t>，创造</w:t>
            </w:r>
            <w:r>
              <w:rPr>
                <w:rFonts w:hint="eastAsia" w:ascii="宋体" w:hAnsi="宋体" w:cs="宋体"/>
                <w:i w:val="0"/>
                <w:iCs w:val="0"/>
                <w:color w:val="000000"/>
                <w:kern w:val="0"/>
                <w:sz w:val="18"/>
                <w:szCs w:val="18"/>
                <w:u w:val="none"/>
                <w:lang w:val="en-US" w:eastAsia="zh-CN" w:bidi="ar"/>
              </w:rPr>
              <w:t>利润</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政府满意、企业满意</w:t>
            </w:r>
          </w:p>
        </w:tc>
        <w:tc>
          <w:tcPr>
            <w:tcW w:w="127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72" w:firstLineChars="200"/>
        <w:textAlignment w:val="auto"/>
        <w:rPr>
          <w:rFonts w:hint="eastAsia" w:ascii="仿宋_GB2312" w:hAnsi="仿宋_GB2312" w:eastAsia="仿宋_GB2312" w:cs="仿宋_GB2312"/>
          <w:spacing w:val="-17"/>
          <w:sz w:val="32"/>
          <w:szCs w:val="32"/>
          <w:lang w:val="en-US" w:eastAsia="zh-CN"/>
        </w:rPr>
      </w:pPr>
      <w:r>
        <w:rPr>
          <w:rFonts w:hint="eastAsia" w:ascii="仿宋_GB2312" w:hAnsi="仿宋_GB2312" w:eastAsia="仿宋_GB2312" w:cs="仿宋_GB2312"/>
          <w:spacing w:val="-17"/>
          <w:sz w:val="32"/>
          <w:szCs w:val="32"/>
          <w:lang w:val="en-US" w:eastAsia="zh-CN"/>
        </w:rPr>
        <w:t>因目前我局信息化建设较落后，需购置摄像头、电视等会议设备，项目经费难以保障目前的会议需求。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积极对接区财政，适当增加预算以保障我局视频设备建设需求。</w:t>
      </w: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2021年矿产资源开发利用前期工作项目支</w:t>
      </w:r>
      <w:r>
        <w:rPr>
          <w:rFonts w:hint="eastAsia" w:ascii="宋体" w:hAnsi="宋体" w:eastAsia="宋体" w:cs="宋体"/>
          <w:bCs/>
          <w:sz w:val="44"/>
          <w:szCs w:val="44"/>
        </w:rPr>
        <w:t>出绩效自评报告</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财政预算的矿产资源开发利用前期工作经费，主要用于矿产资源开发利用过程中产生的工作经费，资金可以用于委托业务、工业务费等。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经局党组研究，我局2021年矿产资源开发利用前期工作经费用于矿产资源开发利用过程中产生的工作经费，共计使用财政专项资金3万元。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（一）项目资金申报及批复情况。</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05" w:beforeAutospacing="0" w:after="0" w:afterAutospacing="0" w:line="560" w:lineRule="exact"/>
        <w:ind w:right="0"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sz w:val="32"/>
          <w:szCs w:val="32"/>
          <w:lang w:val="en-US" w:eastAsia="zh-CN"/>
        </w:rPr>
        <w:t>矿产资源开发利用前期工作经费申报3</w:t>
      </w:r>
      <w:r>
        <w:rPr>
          <w:rFonts w:hint="eastAsia" w:ascii="仿宋_GB2312" w:hAnsi="宋体" w:eastAsia="仿宋_GB2312" w:cs="Times New Roman"/>
          <w:color w:val="auto"/>
          <w:kern w:val="2"/>
          <w:sz w:val="32"/>
          <w:szCs w:val="32"/>
          <w:highlight w:val="none"/>
          <w:lang w:val="zh-CN" w:eastAsia="zh-CN" w:bidi="ar-SA"/>
        </w:rPr>
        <w:t>万元，与批复、预算、实际下达金额一致。</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矿产资源开发利用前期工作经费主要</w:t>
      </w:r>
      <w:r>
        <w:rPr>
          <w:rFonts w:hint="eastAsia" w:ascii="Times New Roman" w:hAnsi="Times New Roman" w:eastAsia="仿宋_GB2312" w:cs="Times New Roman"/>
          <w:sz w:val="32"/>
          <w:szCs w:val="32"/>
          <w:lang w:val="en-US" w:eastAsia="zh-CN"/>
        </w:rPr>
        <w:t>用于矿产资源开发利用过程中产生的工作经费，共计3万元，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于2021年8月完成支付，支付率100%，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_GB2312" w:hAnsi="宋体" w:eastAsia="仿宋_GB2312"/>
          <w:sz w:val="32"/>
          <w:szCs w:val="32"/>
          <w:lang w:val="en-US" w:eastAsia="zh-CN"/>
        </w:rPr>
        <w:t>项目申报和土地报征项目由专门管理部门（矿产资源管理工作组）负责管理实施，资金按照省市和区财政专项资金使用要求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矿产资源开发利用前期工作经费</w:t>
      </w:r>
      <w:r>
        <w:rPr>
          <w:rFonts w:hint="eastAsia" w:ascii="仿宋_GB2312" w:hAnsi="宋体" w:eastAsia="仿宋_GB2312"/>
          <w:sz w:val="32"/>
          <w:szCs w:val="32"/>
          <w:lang w:val="en-US" w:eastAsia="zh-CN"/>
        </w:rPr>
        <w:t>全年预算数3万元，执行数3万元，完成预算的100%，本项目由矿产资源管理工作组负责实施，财务与资金监督工作组负责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（三）项目监管情况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宋体" w:eastAsia="仿宋_GB2312"/>
          <w:sz w:val="32"/>
          <w:szCs w:val="32"/>
          <w:lang w:val="en-US" w:eastAsia="zh-CN"/>
        </w:rPr>
        <w:t>该项目</w:t>
      </w:r>
      <w:r>
        <w:rPr>
          <w:rFonts w:hint="eastAsia" w:ascii="仿宋" w:hAnsi="仿宋" w:eastAsia="仿宋" w:cs="仿宋"/>
          <w:b w:val="0"/>
          <w:bCs w:val="0"/>
          <w:sz w:val="32"/>
          <w:szCs w:val="32"/>
          <w:lang w:val="en-US" w:eastAsia="zh-CN"/>
        </w:rPr>
        <w:t>聘请专业技术单位对拟投放市场的矿业权开展前期现场踏勘、地质勘查以及矿业权人勘查开采信息公示进行实地核查</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通过项目实施，</w:t>
      </w:r>
      <w:r>
        <w:rPr>
          <w:rFonts w:hint="eastAsia" w:ascii="仿宋" w:hAnsi="仿宋" w:eastAsia="仿宋" w:cs="仿宋"/>
          <w:b w:val="0"/>
          <w:bCs w:val="0"/>
          <w:sz w:val="32"/>
          <w:szCs w:val="32"/>
          <w:lang w:val="en-US" w:eastAsia="zh-CN"/>
        </w:rPr>
        <w:t>加强了我区矿产资源勘查，为社会经济发展提供更加有力的资源保障和基础支撑</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rPr>
      </w:pPr>
      <w:r>
        <w:rPr>
          <w:rFonts w:hint="eastAsia" w:ascii="仿宋" w:hAnsi="仿宋" w:eastAsia="仿宋" w:cs="仿宋"/>
          <w:b w:val="0"/>
          <w:bCs w:val="0"/>
          <w:sz w:val="32"/>
          <w:szCs w:val="32"/>
          <w:lang w:val="zh-CN" w:eastAsia="zh-CN"/>
        </w:rPr>
        <w:t>“</w:t>
      </w:r>
      <w:r>
        <w:rPr>
          <w:rFonts w:hint="eastAsia" w:ascii="仿宋" w:hAnsi="仿宋" w:eastAsia="仿宋" w:cs="仿宋"/>
          <w:b w:val="0"/>
          <w:bCs w:val="0"/>
          <w:sz w:val="32"/>
          <w:szCs w:val="32"/>
          <w:lang w:val="en-US" w:eastAsia="zh-CN"/>
        </w:rPr>
        <w:t>矿产资源开发利用前期工作</w:t>
      </w:r>
      <w:r>
        <w:rPr>
          <w:rFonts w:hint="eastAsia" w:ascii="仿宋" w:hAnsi="仿宋" w:eastAsia="仿宋" w:cs="仿宋"/>
          <w:b w:val="0"/>
          <w:bCs w:val="0"/>
          <w:sz w:val="32"/>
          <w:szCs w:val="32"/>
          <w:lang w:val="zh-CN" w:eastAsia="zh-CN"/>
        </w:rPr>
        <w:t>”</w:t>
      </w:r>
      <w:r>
        <w:rPr>
          <w:rFonts w:hint="eastAsia" w:ascii="仿宋_GB2312" w:hAnsi="仿宋_GB2312" w:eastAsia="仿宋_GB2312" w:cs="仿宋_GB2312"/>
          <w:color w:val="000000"/>
          <w:sz w:val="32"/>
          <w:szCs w:val="32"/>
        </w:rPr>
        <w:t>项目</w:t>
      </w:r>
      <w:r>
        <w:rPr>
          <w:rFonts w:hint="eastAsia" w:ascii="仿宋_GB2312" w:hAnsi="宋体" w:eastAsia="仿宋_GB2312"/>
          <w:sz w:val="32"/>
          <w:szCs w:val="32"/>
          <w:lang w:val="zh-CN"/>
        </w:rPr>
        <w:t>预算申报时共设置</w:t>
      </w:r>
      <w:r>
        <w:rPr>
          <w:rFonts w:hint="eastAsia" w:ascii="仿宋_GB2312" w:hAnsi="宋体" w:eastAsia="仿宋_GB2312"/>
          <w:sz w:val="32"/>
          <w:szCs w:val="32"/>
          <w:lang w:val="en-US" w:eastAsia="zh-CN"/>
        </w:rPr>
        <w:t>4</w:t>
      </w:r>
      <w:r>
        <w:rPr>
          <w:rFonts w:hint="eastAsia" w:ascii="仿宋_GB2312" w:hAnsi="宋体" w:eastAsia="仿宋_GB2312"/>
          <w:sz w:val="32"/>
          <w:szCs w:val="32"/>
          <w:lang w:val="zh-CN"/>
        </w:rPr>
        <w:t>个</w:t>
      </w:r>
      <w:r>
        <w:rPr>
          <w:rFonts w:hint="eastAsia" w:ascii="仿宋_GB2312" w:hAnsi="宋体" w:eastAsia="仿宋_GB2312"/>
          <w:sz w:val="32"/>
          <w:szCs w:val="32"/>
          <w:lang w:val="en-US" w:eastAsia="zh-CN"/>
        </w:rPr>
        <w:t>完成</w:t>
      </w:r>
      <w:r>
        <w:rPr>
          <w:rFonts w:hint="eastAsia" w:ascii="仿宋_GB2312" w:hAnsi="宋体" w:eastAsia="仿宋_GB2312"/>
          <w:sz w:val="32"/>
          <w:szCs w:val="32"/>
          <w:lang w:val="zh-CN"/>
        </w:rPr>
        <w:t>指标（数量指标、质量指标、时效指标、成本指标）、</w:t>
      </w:r>
      <w:r>
        <w:rPr>
          <w:rFonts w:hint="eastAsia" w:ascii="仿宋_GB2312" w:hAnsi="宋体" w:eastAsia="仿宋_GB2312"/>
          <w:sz w:val="32"/>
          <w:szCs w:val="32"/>
          <w:lang w:val="en-US" w:eastAsia="zh-CN"/>
        </w:rPr>
        <w:t>2个</w:t>
      </w:r>
      <w:r>
        <w:rPr>
          <w:rFonts w:hint="eastAsia" w:ascii="仿宋_GB2312" w:hAnsi="宋体" w:eastAsia="仿宋_GB2312"/>
          <w:sz w:val="32"/>
          <w:szCs w:val="32"/>
          <w:lang w:val="zh-CN"/>
        </w:rPr>
        <w:t>效益指标（</w:t>
      </w:r>
      <w:r>
        <w:rPr>
          <w:rFonts w:hint="eastAsia" w:ascii="仿宋_GB2312" w:hAnsi="宋体" w:eastAsia="仿宋_GB2312"/>
          <w:sz w:val="32"/>
          <w:szCs w:val="32"/>
          <w:lang w:val="en-US" w:eastAsia="zh-CN"/>
        </w:rPr>
        <w:t>社会效益</w:t>
      </w:r>
      <w:r>
        <w:rPr>
          <w:rFonts w:hint="eastAsia" w:ascii="仿宋_GB2312" w:hAnsi="宋体" w:eastAsia="仿宋_GB2312"/>
          <w:sz w:val="32"/>
          <w:szCs w:val="32"/>
          <w:lang w:val="zh-CN"/>
        </w:rPr>
        <w:t>指标、</w:t>
      </w:r>
      <w:r>
        <w:rPr>
          <w:rFonts w:hint="eastAsia" w:ascii="仿宋_GB2312" w:hAnsi="宋体" w:eastAsia="仿宋_GB2312"/>
          <w:sz w:val="32"/>
          <w:szCs w:val="32"/>
          <w:lang w:val="en-US" w:eastAsia="zh-CN"/>
        </w:rPr>
        <w:t>可持续影响</w:t>
      </w:r>
      <w:r>
        <w:rPr>
          <w:rFonts w:hint="eastAsia" w:ascii="仿宋_GB2312" w:hAnsi="宋体" w:eastAsia="仿宋_GB2312"/>
          <w:sz w:val="32"/>
          <w:szCs w:val="32"/>
          <w:lang w:val="zh-CN"/>
        </w:rPr>
        <w:t>指标）和1个满意度指标，指标设置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2"/>
          <w:szCs w:val="32"/>
          <w:lang w:val="en-US" w:eastAsia="zh-CN"/>
        </w:rPr>
      </w:pPr>
      <w:bookmarkStart w:id="82" w:name="_Toc4354"/>
      <w:bookmarkStart w:id="83" w:name="_Toc26596"/>
      <w:bookmarkStart w:id="84" w:name="_Toc22711"/>
      <w:bookmarkStart w:id="85" w:name="_Toc21895"/>
      <w:r>
        <w:rPr>
          <w:rFonts w:hint="eastAsia" w:ascii="黑体" w:hAnsi="黑体" w:eastAsia="黑体" w:cs="黑体"/>
          <w:sz w:val="32"/>
          <w:szCs w:val="32"/>
          <w:lang w:val="en-US" w:eastAsia="zh-CN"/>
        </w:rPr>
        <w:t>矿产资源开发利用前期工作绩效评价分析表</w:t>
      </w:r>
    </w:p>
    <w:bookmarkEnd w:id="82"/>
    <w:bookmarkEnd w:id="83"/>
    <w:bookmarkEnd w:id="84"/>
    <w:bookmarkEnd w:id="85"/>
    <w:tbl>
      <w:tblPr>
        <w:tblStyle w:val="16"/>
        <w:tblpPr w:leftFromText="180" w:rightFromText="180" w:vertAnchor="text" w:horzAnchor="page" w:tblpXSpec="center" w:tblpY="447"/>
        <w:tblOverlap w:val="never"/>
        <w:tblW w:w="9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320"/>
        <w:gridCol w:w="1725"/>
        <w:gridCol w:w="1724"/>
        <w:gridCol w:w="2032"/>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对拟投放市场的矿业权开展前期现场踏勘、地质勘查以及矿业权人勘查开采信息公示进行实地核查</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完成拟设矿业权地理位置、周边环境、资源储量核实和矿业权人勘查开采信息公示进行实地核查工作</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已完成拟设矿业权地理位置、周边环境、资源储量核实和矿业权人勘查开采信息公示进行实地核查工作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对拟投放市场的矿业权开展前期现场踏勘、地质勘查以及矿业权人勘查开采信息公示进行实地核查</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完成拟设矿业权地理位置、周边环境、资源储量核实和矿业权人勘查开采信息公示进行实地核查工作</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已完成拟设矿业权地理位置、周边环境、资源储量核实和矿业权人勘查开采信息公示进行实地核查工作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项目完成时间</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2021/12/31</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聘请专业技术单位费用</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  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加强资源保障能力及对矿山企业监督管理</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对全区资源进行摸底并根据</w:t>
            </w:r>
            <w:r>
              <w:rPr>
                <w:rFonts w:hint="eastAsia" w:ascii="宋体" w:hAnsi="宋体" w:cs="宋体"/>
                <w:i w:val="0"/>
                <w:iCs w:val="0"/>
                <w:color w:val="000000"/>
                <w:kern w:val="0"/>
                <w:sz w:val="18"/>
                <w:szCs w:val="18"/>
                <w:u w:val="none"/>
                <w:lang w:val="en-US" w:eastAsia="zh-CN" w:bidi="ar"/>
              </w:rPr>
              <w:t>资源</w:t>
            </w:r>
            <w:r>
              <w:rPr>
                <w:rFonts w:hint="eastAsia" w:ascii="宋体" w:hAnsi="宋体" w:eastAsia="宋体" w:cs="宋体"/>
                <w:i w:val="0"/>
                <w:iCs w:val="0"/>
                <w:color w:val="000000"/>
                <w:kern w:val="0"/>
                <w:sz w:val="18"/>
                <w:szCs w:val="18"/>
                <w:u w:val="none"/>
                <w:lang w:val="en-US" w:eastAsia="zh-CN" w:bidi="ar"/>
              </w:rPr>
              <w:t>赋存情况规划矿业权，增强资源保障能力，同时将矿业权出让收益最大化</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  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增加就业</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756"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 指标</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保证矿业权出让工作有序开展</w:t>
            </w:r>
          </w:p>
        </w:tc>
        <w:tc>
          <w:tcPr>
            <w:tcW w:w="2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持续保障矿区附近老百姓就业问题</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持续保障矿区附近老百姓就业问题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2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7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20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bidi w:val="0"/>
              <w:spacing w:line="560" w:lineRule="exact"/>
              <w:jc w:val="right"/>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35"/>
          <w:rFonts w:hint="eastAsia" w:ascii="仿宋" w:hAnsi="仿宋" w:eastAsia="仿宋" w:cs="仿宋"/>
          <w:b w:val="0"/>
          <w:bCs w:val="0"/>
          <w:sz w:val="32"/>
          <w:szCs w:val="32"/>
          <w:lang w:val="en-US" w:eastAsia="zh-CN"/>
        </w:rPr>
      </w:pPr>
      <w:bookmarkStart w:id="86" w:name="_Toc18691"/>
      <w:bookmarkStart w:id="87" w:name="_Toc31990"/>
      <w:r>
        <w:rPr>
          <w:rStyle w:val="35"/>
          <w:rFonts w:hint="eastAsia" w:ascii="仿宋" w:hAnsi="仿宋" w:eastAsia="仿宋" w:cs="仿宋"/>
          <w:b w:val="0"/>
          <w:bCs w:val="0"/>
          <w:sz w:val="32"/>
          <w:szCs w:val="32"/>
          <w:lang w:val="en-US" w:eastAsia="zh-CN"/>
        </w:rPr>
        <w:t>用于矿产资源开发利用的现场勘察费用不足，缺口较大。</w:t>
      </w:r>
      <w:bookmarkEnd w:id="86"/>
      <w:bookmarkEnd w:id="8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rPr>
        <w:t>加大向上争取资金</w:t>
      </w:r>
      <w:r>
        <w:rPr>
          <w:rFonts w:hint="eastAsia" w:ascii="仿宋_GB2312" w:hAnsi="仿宋_GB2312" w:eastAsia="仿宋_GB2312" w:cs="仿宋_GB2312"/>
          <w:sz w:val="32"/>
          <w:szCs w:val="32"/>
          <w:lang w:val="en-US" w:eastAsia="zh-CN"/>
        </w:rPr>
        <w:t>和配套</w:t>
      </w:r>
      <w:r>
        <w:rPr>
          <w:rFonts w:hint="eastAsia" w:ascii="仿宋_GB2312" w:hAnsi="仿宋_GB2312" w:eastAsia="仿宋_GB2312" w:cs="仿宋_GB2312"/>
          <w:sz w:val="32"/>
          <w:szCs w:val="32"/>
        </w:rPr>
        <w:t>力度，逐渐缩小经费缺口</w:t>
      </w:r>
      <w:r>
        <w:rPr>
          <w:rFonts w:hint="eastAsia" w:ascii="仿宋_GB2312" w:hAnsi="仿宋_GB2312" w:eastAsia="仿宋_GB2312" w:cs="仿宋_GB2312"/>
          <w:sz w:val="32"/>
          <w:szCs w:val="32"/>
          <w:lang w:eastAsia="zh-CN"/>
        </w:rPr>
        <w:t>。</w:t>
      </w:r>
    </w:p>
    <w:p>
      <w:pPr>
        <w:pageBreakBefore w:val="0"/>
        <w:kinsoku/>
        <w:wordWrap/>
        <w:overflowPunct/>
        <w:topLinePunct w:val="0"/>
        <w:bidi w:val="0"/>
        <w:spacing w:line="560" w:lineRule="exact"/>
        <w:jc w:val="center"/>
        <w:rPr>
          <w:rFonts w:hint="eastAsia" w:ascii="仿宋_GB2312" w:hAnsi="仿宋_GB2312" w:eastAsia="仿宋_GB2312" w:cs="仿宋_GB2312"/>
          <w:sz w:val="32"/>
          <w:szCs w:val="32"/>
          <w:lang w:val="en-US" w:eastAsia="zh-CN"/>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 xml:space="preserve"> </w:t>
      </w: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eastAsia="zh-CN"/>
        </w:rPr>
      </w:pPr>
      <w:r>
        <w:rPr>
          <w:rFonts w:hint="eastAsia" w:ascii="宋体" w:hAnsi="宋体" w:eastAsia="宋体" w:cs="宋体"/>
          <w:bCs/>
          <w:sz w:val="44"/>
          <w:szCs w:val="44"/>
          <w:lang w:val="en-US" w:eastAsia="zh-CN"/>
        </w:rPr>
        <w:t>2021年非贫困村第一书记</w:t>
      </w:r>
      <w:r>
        <w:rPr>
          <w:rFonts w:hint="eastAsia" w:ascii="宋体" w:hAnsi="宋体" w:eastAsia="宋体" w:cs="宋体"/>
          <w:bCs/>
          <w:sz w:val="44"/>
          <w:szCs w:val="44"/>
        </w:rPr>
        <w:t>绩效自评报告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财政预算的非贫困村第一书记资金，主要给予利州区非贫困村第一书记生活补助和工作经费。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经局党组研究，我局2021年非贫困村第一书记资金用于我局荣山镇田湾村、大石镇光荣村两个非贫困村第一书记生活补助，共计使用财政资金1万元。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非贫困村第一书记资金申报1万元，</w:t>
      </w:r>
      <w:r>
        <w:rPr>
          <w:rFonts w:hint="eastAsia" w:ascii="仿宋_GB2312" w:hAnsi="宋体" w:eastAsia="仿宋_GB2312" w:cs="Times New Roman"/>
          <w:color w:val="auto"/>
          <w:kern w:val="2"/>
          <w:sz w:val="32"/>
          <w:szCs w:val="32"/>
          <w:highlight w:val="none"/>
          <w:lang w:val="zh-CN" w:eastAsia="zh-CN" w:bidi="ar-SA"/>
        </w:rPr>
        <w:t>与批复、预算、实际下达金额一致。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非贫困村第一书记经费主要用于我局2021年非贫困村第一书记资金用于我局荣山镇田湾村、大石镇光荣村两个非贫困村第一书记生活补助，共计1万元，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于2021年8月完成支付，支付率100%，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Times New Roman" w:hAnsi="Times New Roman" w:eastAsia="仿宋_GB2312" w:cs="Times New Roman"/>
          <w:sz w:val="32"/>
          <w:szCs w:val="32"/>
          <w:lang w:val="en-US" w:eastAsia="zh-CN"/>
        </w:rPr>
        <w:t>非贫困村第一书记</w:t>
      </w:r>
      <w:r>
        <w:rPr>
          <w:rFonts w:hint="eastAsia" w:ascii="仿宋_GB2312" w:hAnsi="宋体" w:eastAsia="仿宋_GB2312"/>
          <w:sz w:val="32"/>
          <w:szCs w:val="32"/>
          <w:lang w:val="en-US" w:eastAsia="zh-CN"/>
        </w:rPr>
        <w:t>项目由专门管理部门（办公室）负责管理实施，资金按照省市和区财政专项资金使用要求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非贫困村第一书记项目全年预算数1万元，执行数1万元，完成预算的100%，本项目由办公室负责实施，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仿宋_GB2312" w:eastAsia="仿宋_GB2312" w:cs="仿宋_GB2312"/>
          <w:sz w:val="32"/>
          <w:szCs w:val="32"/>
          <w:lang w:val="en-US" w:eastAsia="zh-CN"/>
        </w:rPr>
        <w:t>随着脱贫攻坚与乡村振兴有效衔接工作的深入开展，对非贫困选派第一书记是党和政府乡村振兴工作的重中之重，按照区委区政府要求，我局选派两名干部职工任我局联系的两个非贫困村第一书记，并按照5000/人标准给予生活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免去非贫困村第一书记开展各项工作的后顾之忧，使非贫困村第一书记的获得感、幸福感、安全感进一步提升。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“非贫困村第一书记”项目预算申报时共设置4个完成指标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2个效益指标（社会效益指标、可持续影响指标）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ageBreakBefore w:val="0"/>
        <w:kinsoku/>
        <w:wordWrap/>
        <w:overflowPunct/>
        <w:topLinePunct w:val="0"/>
        <w:bidi w:val="0"/>
        <w:adjustRightInd w:val="0"/>
        <w:snapToGrid w:val="0"/>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非贫困村第一书记绩效评价表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补助非贫困村第一书记</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2人</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资金发放率</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打卡发放</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打卡发放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补助发放时间</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2021年12月底</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2021年8月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补助标准</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0.5</w:t>
            </w:r>
            <w:r>
              <w:rPr>
                <w:rFonts w:hint="eastAsia" w:ascii="宋体" w:hAnsi="宋体" w:eastAsia="宋体" w:cs="宋体"/>
                <w:i w:val="0"/>
                <w:iCs w:val="0"/>
                <w:color w:val="000000"/>
                <w:kern w:val="0"/>
                <w:sz w:val="18"/>
                <w:szCs w:val="18"/>
                <w:u w:val="none"/>
                <w:lang w:val="en-US" w:eastAsia="zh-CN" w:bidi="ar"/>
              </w:rPr>
              <w:t>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0.5</w:t>
            </w: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非贫困村第一书记补助覆盖率</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en-US" w:eastAsia="zh-CN"/>
              </w:rPr>
              <w:t>100</w:t>
            </w:r>
            <w:r>
              <w:rPr>
                <w:rFonts w:hint="eastAsia" w:ascii="宋体" w:hAnsi="宋体" w:eastAsia="宋体" w:cs="宋体"/>
                <w:sz w:val="18"/>
                <w:szCs w:val="18"/>
                <w:vertAlign w:val="baseline"/>
                <w:lang w:val="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en-US" w:eastAsia="zh-CN"/>
              </w:rPr>
              <w:t>10</w:t>
            </w:r>
            <w:r>
              <w:rPr>
                <w:rFonts w:hint="eastAsia" w:ascii="宋体" w:hAnsi="宋体" w:eastAsia="宋体" w:cs="宋体"/>
                <w:sz w:val="18"/>
                <w:szCs w:val="18"/>
                <w:vertAlign w:val="baseline"/>
                <w:lang w:val="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加强队伍建设，助力乡村振兴</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95%</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非贫困村第一书记满意度</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虽然我局</w:t>
      </w:r>
      <w:r>
        <w:rPr>
          <w:rFonts w:hint="eastAsia" w:ascii="仿宋_GB2312" w:hAnsi="仿宋_GB2312" w:eastAsia="仿宋_GB2312" w:cs="仿宋_GB2312"/>
          <w:sz w:val="32"/>
          <w:szCs w:val="32"/>
        </w:rPr>
        <w:t>通过严格监管，发挥了专项经费的作用，产生了良好的效果，但是也还存在不足之处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val="en-US" w:eastAsia="zh-CN"/>
        </w:rPr>
        <w:t>项目资金</w:t>
      </w:r>
      <w:r>
        <w:rPr>
          <w:rFonts w:hint="eastAsia" w:ascii="仿宋_GB2312" w:hAnsi="仿宋_GB2312" w:eastAsia="仿宋_GB2312" w:cs="仿宋_GB2312"/>
          <w:sz w:val="32"/>
          <w:szCs w:val="32"/>
        </w:rPr>
        <w:t>与基层需求仍有差距。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积极对接财政部门，适当增加预算以保障非贫困第一书记各项工作经费，同时进一步加强财政资金监管，转变基层干部作风，管好用好专项资金。</w:t>
      </w: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2021年土地评估、土地权属调查项目支出绩效自评报告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土地评估、土地权属调查项目经费，</w:t>
      </w:r>
      <w:r>
        <w:rPr>
          <w:rFonts w:hint="eastAsia" w:eastAsia="仿宋_GB2312" w:cs="Times New Roman"/>
          <w:sz w:val="32"/>
          <w:szCs w:val="32"/>
          <w:lang w:val="en-US" w:eastAsia="zh-CN"/>
        </w:rPr>
        <w:t>主要用于土地供应</w:t>
      </w:r>
      <w:r>
        <w:rPr>
          <w:rFonts w:hint="eastAsia" w:ascii="仿宋_GB2312" w:hAnsi="宋体" w:eastAsia="仿宋_GB2312"/>
          <w:sz w:val="32"/>
          <w:szCs w:val="32"/>
          <w:lang w:val="en-US" w:eastAsia="zh-CN"/>
        </w:rPr>
        <w:t>前土地评估及土地勘界等工作。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经局党组研究，我局土地评估、土地权属调查项目经费主要</w:t>
      </w:r>
      <w:r>
        <w:rPr>
          <w:rFonts w:hint="eastAsia" w:eastAsia="仿宋_GB2312" w:cs="Times New Roman"/>
          <w:sz w:val="32"/>
          <w:szCs w:val="32"/>
          <w:lang w:val="en-US" w:eastAsia="zh-CN"/>
        </w:rPr>
        <w:t>用于土地供应</w:t>
      </w:r>
      <w:r>
        <w:rPr>
          <w:rFonts w:hint="eastAsia" w:ascii="仿宋_GB2312" w:hAnsi="宋体" w:eastAsia="仿宋_GB2312"/>
          <w:sz w:val="32"/>
          <w:szCs w:val="32"/>
          <w:lang w:val="en-US" w:eastAsia="zh-CN"/>
        </w:rPr>
        <w:t>前土地评估及土地勘界等工作，共计使用经费0.58万元。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土地评估、土地权属调查项目资金申报3万元，</w:t>
      </w:r>
      <w:r>
        <w:rPr>
          <w:rFonts w:hint="eastAsia" w:ascii="仿宋_GB2312" w:hAnsi="宋体" w:eastAsia="仿宋_GB2312" w:cs="Times New Roman"/>
          <w:color w:val="auto"/>
          <w:kern w:val="2"/>
          <w:sz w:val="32"/>
          <w:szCs w:val="32"/>
          <w:highlight w:val="none"/>
          <w:lang w:val="zh-CN" w:eastAsia="zh-CN" w:bidi="ar-SA"/>
        </w:rPr>
        <w:t>与批复、预算、实际下达金额一致。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土地评估、土地权属调查项目经费主要用于视频会议系统建设支出，共计3万元，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于2021年6月支付5791.95元，支付率20%，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Times New Roman" w:hAnsi="Times New Roman" w:eastAsia="仿宋_GB2312" w:cs="Times New Roman"/>
          <w:sz w:val="32"/>
          <w:szCs w:val="32"/>
          <w:lang w:val="en-US" w:eastAsia="zh-CN"/>
        </w:rPr>
        <w:t>土地评估、土地权属调查</w:t>
      </w:r>
      <w:r>
        <w:rPr>
          <w:rFonts w:hint="eastAsia" w:ascii="仿宋_GB2312" w:hAnsi="宋体" w:eastAsia="仿宋_GB2312"/>
          <w:sz w:val="32"/>
          <w:szCs w:val="32"/>
          <w:lang w:val="en-US" w:eastAsia="zh-CN"/>
        </w:rPr>
        <w:t>项目由专门管理部门（自然资源利用开发工作组）负责管理实施，资金按照省市和区财政专项资金使用要求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土地评估、土地权属调查</w:t>
      </w:r>
      <w:r>
        <w:rPr>
          <w:rFonts w:hint="eastAsia" w:ascii="仿宋_GB2312" w:hAnsi="宋体" w:eastAsia="仿宋_GB2312"/>
          <w:sz w:val="32"/>
          <w:szCs w:val="32"/>
          <w:lang w:val="en-US" w:eastAsia="zh-CN"/>
        </w:rPr>
        <w:t>项目</w:t>
      </w:r>
      <w:r>
        <w:rPr>
          <w:rFonts w:hint="eastAsia" w:ascii="Times New Roman" w:hAnsi="Times New Roman" w:eastAsia="仿宋_GB2312" w:cs="Times New Roman"/>
          <w:sz w:val="32"/>
          <w:szCs w:val="32"/>
          <w:lang w:val="en-US" w:eastAsia="zh-CN"/>
        </w:rPr>
        <w:t>全年预算数3万元，执行数0.58万元，完成预算的20%，本项目由办公室负责实施，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sz w:val="32"/>
          <w:szCs w:val="32"/>
          <w:lang w:val="en-US" w:eastAsia="zh-CN"/>
        </w:rPr>
        <w:t>市、县国土资源行政主管部门应当根据土地估价结果和政府产业政策综合确定标底或者底价。为保障我区土地供应工作有序推进，计划财政经费3万元，已支付0.58万元。</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仿宋_GB2312" w:hAnsi="仿宋_GB2312" w:eastAsia="仿宋_GB2312" w:cs="仿宋_GB2312"/>
          <w:bCs/>
          <w:color w:val="auto"/>
          <w:kern w:val="2"/>
          <w:sz w:val="32"/>
          <w:szCs w:val="32"/>
          <w:lang w:val="en-US" w:eastAsia="zh-CN" w:bidi="ar-SA"/>
        </w:rPr>
      </w:pPr>
      <w:r>
        <w:rPr>
          <w:rFonts w:hint="eastAsia" w:ascii="楷体" w:hAnsi="楷体" w:eastAsia="楷体" w:cs="楷体"/>
          <w:sz w:val="32"/>
          <w:szCs w:val="32"/>
          <w:lang w:val="en-US" w:eastAsia="zh-CN"/>
        </w:rPr>
        <w:t>（二）项目效益情况</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default" w:ascii="仿宋_GB2312" w:hAnsi="仿宋_GB2312" w:eastAsia="仿宋_GB2312" w:cs="仿宋_GB2312"/>
          <w:bCs/>
          <w:color w:val="auto"/>
          <w:kern w:val="2"/>
          <w:sz w:val="32"/>
          <w:szCs w:val="32"/>
          <w:lang w:val="en-US" w:eastAsia="zh-CN" w:bidi="ar-SA"/>
        </w:rPr>
      </w:pPr>
      <w:r>
        <w:rPr>
          <w:rFonts w:hint="eastAsia" w:ascii="仿宋_GB2312" w:hAnsi="宋体" w:eastAsia="仿宋_GB2312"/>
          <w:sz w:val="32"/>
          <w:szCs w:val="32"/>
          <w:lang w:val="en-US" w:eastAsia="zh-CN"/>
        </w:rPr>
        <w:t>该项目资金用于土地供应前土地评估及土地勘界等工作，为下一步土地供应工作有序开展奠定基础。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“土地评估、土地权属调查”项目预算申报时共设置4个完成指标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3个效益指标（经济效益指标、社会效益指标、生态效益指标、可持续影响指标）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Style w:val="2"/>
        <w:keepNext w:val="0"/>
        <w:keepLines w:val="0"/>
        <w:pageBreakBefore w:val="0"/>
        <w:widowControl w:val="0"/>
        <w:kinsoku/>
        <w:wordWrap/>
        <w:overflowPunct/>
        <w:topLinePunct w:val="0"/>
        <w:autoSpaceDE/>
        <w:autoSpaceDN/>
        <w:bidi w:val="0"/>
        <w:spacing w:beforeLines="0" w:line="560" w:lineRule="exact"/>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土地评估、土地权属调查绩效评价表</w:t>
      </w:r>
    </w:p>
    <w:tbl>
      <w:tblPr>
        <w:tblStyle w:val="16"/>
        <w:tblW w:w="853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200"/>
        <w:gridCol w:w="1432"/>
        <w:gridCol w:w="3009"/>
        <w:gridCol w:w="2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exact"/>
        </w:trPr>
        <w:tc>
          <w:tcPr>
            <w:tcW w:w="4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绩</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效</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指</w:t>
            </w:r>
            <w:r>
              <w:rPr>
                <w:rFonts w:hint="eastAsia" w:ascii="宋体" w:hAnsi="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一级指标</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二级指标</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三级指标</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项目完成</w:t>
            </w:r>
          </w:p>
        </w:tc>
        <w:tc>
          <w:tcPr>
            <w:tcW w:w="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数量指标</w:t>
            </w:r>
          </w:p>
        </w:tc>
        <w:tc>
          <w:tcPr>
            <w:tcW w:w="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完成土地评估</w:t>
            </w:r>
          </w:p>
        </w:tc>
        <w:tc>
          <w:tcPr>
            <w:tcW w:w="5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完成土地评估30宗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质量指标</w:t>
            </w:r>
          </w:p>
        </w:tc>
        <w:tc>
          <w:tcPr>
            <w:tcW w:w="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完成土地评估</w:t>
            </w:r>
          </w:p>
        </w:tc>
        <w:tc>
          <w:tcPr>
            <w:tcW w:w="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保障2021全区土地供应工作顺利进行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时效指标</w:t>
            </w:r>
          </w:p>
        </w:tc>
        <w:tc>
          <w:tcPr>
            <w:tcW w:w="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2021年12月31日前完成全部任务</w:t>
            </w:r>
          </w:p>
        </w:tc>
        <w:tc>
          <w:tcPr>
            <w:tcW w:w="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成本指标</w:t>
            </w:r>
          </w:p>
        </w:tc>
        <w:tc>
          <w:tcPr>
            <w:tcW w:w="3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预计成本10万元</w:t>
            </w: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100%用于该项目的业务、技术服务等支出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项目效益</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经济效益指标</w:t>
            </w:r>
          </w:p>
        </w:tc>
        <w:tc>
          <w:tcPr>
            <w:tcW w:w="3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 xml:space="preserve"> 保障全区土地供应工作，增加土地出让收益</w:t>
            </w: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社会效益指标</w:t>
            </w:r>
          </w:p>
        </w:tc>
        <w:tc>
          <w:tcPr>
            <w:tcW w:w="3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保障全区重点项目落地</w:t>
            </w: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100%完成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可持续影响指标</w:t>
            </w:r>
          </w:p>
        </w:tc>
        <w:tc>
          <w:tcPr>
            <w:tcW w:w="3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保障项目依法合理用地，创造利税，促进可持续发展</w:t>
            </w: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满意度指标</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满意度指标</w:t>
            </w:r>
          </w:p>
        </w:tc>
        <w:tc>
          <w:tcPr>
            <w:tcW w:w="3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政府满意、企业满意</w:t>
            </w:r>
          </w:p>
        </w:tc>
        <w:tc>
          <w:tcPr>
            <w:tcW w:w="2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rPr>
                <w:rFonts w:hint="eastAsia" w:ascii="宋体" w:hAnsi="宋体" w:eastAsia="宋体" w:cs="宋体"/>
                <w:i w:val="0"/>
                <w:iCs w:val="0"/>
                <w:color w:val="000000"/>
                <w:sz w:val="22"/>
                <w:szCs w:val="22"/>
                <w:u w:val="none"/>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4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22"/>
                <w:szCs w:val="22"/>
                <w:u w:val="none"/>
              </w:rPr>
            </w:pPr>
          </w:p>
        </w:tc>
        <w:tc>
          <w:tcPr>
            <w:tcW w:w="3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rPr>
                <w:rFonts w:hint="eastAsia" w:ascii="宋体" w:hAnsi="宋体" w:eastAsia="宋体" w:cs="宋体"/>
                <w:i w:val="0"/>
                <w:iCs w:val="0"/>
                <w:color w:val="000000"/>
                <w:sz w:val="22"/>
                <w:szCs w:val="22"/>
                <w:u w:val="none"/>
              </w:rPr>
            </w:pPr>
          </w:p>
        </w:tc>
        <w:tc>
          <w:tcPr>
            <w:tcW w:w="2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rPr>
      </w:pPr>
      <w:r>
        <w:rPr>
          <w:rFonts w:hint="eastAsia" w:ascii="仿宋_GB2312" w:hAnsi="仿宋_GB2312" w:eastAsia="仿宋_GB2312" w:cs="仿宋_GB2312"/>
          <w:sz w:val="32"/>
          <w:szCs w:val="32"/>
          <w:lang w:val="en-US" w:eastAsia="zh-CN"/>
        </w:rPr>
        <w:t>预算经费与实际需求存在较大差距，目前仍欠付部分土地评估费用</w:t>
      </w:r>
      <w:r>
        <w:rPr>
          <w:rFonts w:hint="eastAsia" w:asci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积极对接省、市、区三级财政，适当增加预算以保障我区土地供应工作。</w:t>
      </w: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 xml:space="preserve"> </w:t>
      </w: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eastAsia="zh-CN"/>
        </w:rPr>
      </w:pPr>
      <w:r>
        <w:rPr>
          <w:rFonts w:hint="eastAsia" w:ascii="宋体" w:hAnsi="宋体" w:eastAsia="宋体" w:cs="宋体"/>
          <w:bCs/>
          <w:sz w:val="44"/>
          <w:szCs w:val="44"/>
          <w:lang w:val="en-US" w:eastAsia="zh-CN"/>
        </w:rPr>
        <w:t>2021年测量标志保护</w:t>
      </w:r>
      <w:r>
        <w:rPr>
          <w:rFonts w:hint="eastAsia" w:ascii="宋体" w:hAnsi="宋体" w:eastAsia="宋体" w:cs="宋体"/>
          <w:bCs/>
          <w:sz w:val="44"/>
          <w:szCs w:val="44"/>
        </w:rPr>
        <w:t>支出绩效自评报告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sz w:val="32"/>
          <w:szCs w:val="32"/>
          <w:lang w:val="en-US" w:eastAsia="zh-CN"/>
        </w:rPr>
        <w:t>2021年测量标志保护项目经费，主要用于</w:t>
      </w:r>
      <w:r>
        <w:rPr>
          <w:rFonts w:hint="eastAsia" w:ascii="Times New Roman" w:hAnsi="Times New Roman" w:eastAsia="仿宋_GB2312" w:cs="Times New Roman"/>
          <w:color w:val="auto"/>
          <w:kern w:val="2"/>
          <w:sz w:val="32"/>
          <w:szCs w:val="32"/>
          <w:lang w:val="en-US" w:eastAsia="zh-CN" w:bidi="ar-SA"/>
        </w:rPr>
        <w:t>全区基础测绘、测量标志保护、卫星当行定位基准站、不动产测绘、行政区域界线测绘、应急测绘保障和地图管理等工作经费。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经局党组研究，2021年测量标志保护项目经费，主要用于</w:t>
      </w:r>
      <w:r>
        <w:rPr>
          <w:rFonts w:hint="eastAsia" w:ascii="Times New Roman" w:hAnsi="Times New Roman" w:eastAsia="仿宋_GB2312" w:cs="Times New Roman"/>
          <w:color w:val="auto"/>
          <w:kern w:val="2"/>
          <w:sz w:val="32"/>
          <w:szCs w:val="32"/>
          <w:lang w:val="en-US" w:eastAsia="zh-CN" w:bidi="ar-SA"/>
        </w:rPr>
        <w:t>全区基础测绘、测量标志保护、卫星当行定位基准站、不动产测绘、行政区域界线测绘、应急测绘保障和地图管理等工作经费。</w:t>
      </w:r>
      <w:r>
        <w:rPr>
          <w:rFonts w:hint="eastAsia" w:ascii="Times New Roman" w:hAnsi="Times New Roman" w:eastAsia="仿宋_GB2312" w:cs="Times New Roman"/>
          <w:sz w:val="32"/>
          <w:szCs w:val="32"/>
          <w:lang w:val="en-US" w:eastAsia="zh-CN"/>
        </w:rPr>
        <w:t>共计使用经费0元。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2021年测量标志保护项目资金申报1.5万元，</w:t>
      </w:r>
      <w:r>
        <w:rPr>
          <w:rFonts w:hint="eastAsia" w:ascii="仿宋_GB2312" w:hAnsi="宋体" w:eastAsia="仿宋_GB2312" w:cs="Times New Roman"/>
          <w:color w:val="auto"/>
          <w:kern w:val="2"/>
          <w:sz w:val="32"/>
          <w:szCs w:val="32"/>
          <w:highlight w:val="none"/>
          <w:lang w:val="zh-CN" w:eastAsia="zh-CN" w:bidi="ar-SA"/>
        </w:rPr>
        <w:t>与批复、预算、实际下达金额一致。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Times New Roman" w:hAnsi="Times New Roman" w:eastAsia="仿宋_GB2312" w:cs="Times New Roman"/>
          <w:sz w:val="32"/>
          <w:szCs w:val="32"/>
          <w:lang w:val="en-US" w:eastAsia="zh-CN"/>
        </w:rPr>
        <w:t>2021年测量标志保护项目，主要用于</w:t>
      </w:r>
      <w:r>
        <w:rPr>
          <w:rFonts w:hint="eastAsia" w:ascii="Times New Roman" w:hAnsi="Times New Roman" w:eastAsia="仿宋_GB2312" w:cs="Times New Roman"/>
          <w:color w:val="auto"/>
          <w:kern w:val="2"/>
          <w:sz w:val="32"/>
          <w:szCs w:val="32"/>
          <w:lang w:val="en-US" w:eastAsia="zh-CN" w:bidi="ar-SA"/>
        </w:rPr>
        <w:t>全区基础测绘、测量标志保护、卫星当行定位基准站、不动产测绘、行政区域界线测绘、应急测绘保障和地图管理等工作经费，目前尚无发生支出。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Times New Roman" w:hAnsi="Times New Roman" w:eastAsia="仿宋_GB2312" w:cs="Times New Roman"/>
          <w:sz w:val="32"/>
          <w:szCs w:val="32"/>
          <w:lang w:val="en-US" w:eastAsia="zh-CN"/>
        </w:rPr>
        <w:t>2021年测量标志保护项目</w:t>
      </w:r>
      <w:r>
        <w:rPr>
          <w:rFonts w:hint="eastAsia" w:ascii="仿宋_GB2312" w:hAnsi="宋体" w:eastAsia="仿宋_GB2312"/>
          <w:sz w:val="32"/>
          <w:szCs w:val="32"/>
          <w:lang w:val="en-US" w:eastAsia="zh-CN"/>
        </w:rPr>
        <w:t>由专门管理部门（测绘地理信息组）负责管理实施，资金按照省市和区财政专项资金使用要求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pStyle w:val="2"/>
        <w:keepNext w:val="0"/>
        <w:keepLines w:val="0"/>
        <w:pageBreakBefore w:val="0"/>
        <w:widowControl w:val="0"/>
        <w:kinsoku/>
        <w:wordWrap/>
        <w:overflowPunct/>
        <w:topLinePunct w:val="0"/>
        <w:autoSpaceDE/>
        <w:autoSpaceDN/>
        <w:bidi w:val="0"/>
        <w:spacing w:beforeLines="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2021年测量标志保护项目全年预算数1.5万元，执行数0万元，完成预算的0%，本项目由测绘地理信息组负责实施，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pStyle w:val="2"/>
        <w:keepNext w:val="0"/>
        <w:keepLines w:val="0"/>
        <w:pageBreakBefore w:val="0"/>
        <w:widowControl w:val="0"/>
        <w:kinsoku/>
        <w:wordWrap/>
        <w:overflowPunct/>
        <w:topLinePunct w:val="0"/>
        <w:autoSpaceDE/>
        <w:autoSpaceDN/>
        <w:bidi w:val="0"/>
        <w:spacing w:beforeLines="0" w:line="560" w:lineRule="exact"/>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pStyle w:val="2"/>
        <w:keepNext w:val="0"/>
        <w:keepLines w:val="0"/>
        <w:pageBreakBefore w:val="0"/>
        <w:widowControl w:val="0"/>
        <w:kinsoku/>
        <w:wordWrap/>
        <w:overflowPunct/>
        <w:topLinePunct w:val="0"/>
        <w:autoSpaceDE/>
        <w:autoSpaceDN/>
        <w:bidi w:val="0"/>
        <w:spacing w:beforeLines="0" w:line="56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测量标志是国家重要的基础设施，在维护国家测绘基准安全，服务经济建设、国防建设、生态文明建设等方面发挥着重要作用，测量标志保护工作意义重大，项目资金申报符合预算申报内容。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通过</w:t>
      </w:r>
      <w:r>
        <w:rPr>
          <w:rFonts w:hint="eastAsia" w:ascii="Times New Roman" w:hAnsi="Times New Roman" w:eastAsia="仿宋_GB2312" w:cs="Times New Roman"/>
          <w:sz w:val="32"/>
          <w:szCs w:val="32"/>
          <w:lang w:val="en-US" w:eastAsia="zh-CN"/>
        </w:rPr>
        <w:t>委托有测绘资质许可的测绘公司，开展测量标志巡查普查，并建立有关测量标志管理保护数据库，为下一步测量标志保护和维护奠定基础。</w:t>
      </w:r>
    </w:p>
    <w:p>
      <w:pPr>
        <w:pageBreakBefore w:val="0"/>
        <w:kinsoku/>
        <w:wordWrap/>
        <w:overflowPunct/>
        <w:topLinePunct w:val="0"/>
        <w:bidi w:val="0"/>
        <w:adjustRightInd w:val="0"/>
        <w:snapToGrid w:val="0"/>
        <w:spacing w:line="56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“测量标志保护”项目预算申报时共设置4个完成指标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3个效益指标（经济效益指标、社会效益指标、生态效益指标、可持续影响指标）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ageBreakBefore w:val="0"/>
        <w:kinsoku/>
        <w:wordWrap/>
        <w:overflowPunct/>
        <w:topLinePunct w:val="0"/>
        <w:bidi w:val="0"/>
        <w:adjustRightInd w:val="0"/>
        <w:snapToGrid w:val="0"/>
        <w:spacing w:line="560" w:lineRule="exact"/>
        <w:jc w:val="center"/>
        <w:rPr>
          <w:rFonts w:hint="eastAsia" w:ascii="黑体" w:hAnsi="黑体" w:eastAsia="黑体" w:cs="黑体"/>
          <w:sz w:val="32"/>
          <w:szCs w:val="32"/>
          <w:lang w:val="en-US" w:eastAsia="zh-CN"/>
        </w:rPr>
      </w:pPr>
    </w:p>
    <w:p>
      <w:pPr>
        <w:pageBreakBefore w:val="0"/>
        <w:kinsoku/>
        <w:wordWrap/>
        <w:overflowPunct/>
        <w:topLinePunct w:val="0"/>
        <w:bidi w:val="0"/>
        <w:adjustRightInd w:val="0"/>
        <w:snapToGrid w:val="0"/>
        <w:spacing w:line="56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测量标志保护绩效评价表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全区测量标志</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测量标志46个点</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测量标志普查率</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2021年4月-</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月</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个月</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技术委托、车辆租赁、标志维护等</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1.5</w:t>
            </w: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确保测量标志未被破坏</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95</w:t>
            </w:r>
            <w:r>
              <w:rPr>
                <w:rFonts w:hint="eastAsia" w:ascii="宋体" w:hAnsi="宋体" w:eastAsia="宋体" w:cs="宋体"/>
                <w:sz w:val="18"/>
                <w:szCs w:val="18"/>
                <w:vertAlign w:val="baseline"/>
                <w:lang w:val="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95</w:t>
            </w:r>
            <w:r>
              <w:rPr>
                <w:rFonts w:hint="eastAsia" w:ascii="宋体" w:hAnsi="宋体" w:eastAsia="宋体" w:cs="宋体"/>
                <w:sz w:val="18"/>
                <w:szCs w:val="18"/>
                <w:vertAlign w:val="baseline"/>
                <w:lang w:val="zh-CN"/>
              </w:rPr>
              <w:t>%，</w:t>
            </w:r>
            <w:r>
              <w:rPr>
                <w:rFonts w:hint="eastAsia" w:ascii="宋体" w:hAnsi="宋体" w:eastAsia="宋体" w:cs="宋体"/>
                <w:sz w:val="18"/>
                <w:szCs w:val="18"/>
                <w:vertAlign w:val="baseline"/>
                <w:lang w:val="en-US" w:eastAsia="zh-CN"/>
              </w:rPr>
              <w:t>测量标志可用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维护国家测绘基准安全、国防建设</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保障生态文明建设</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为经济建设持续发展奠定测绘基准</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政府满意、企业满意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每年测量标志保护项目工作经费较少，仅仅能够用于支付标志普查和巡查，对于受损测量标志无法委托开展修缮工作。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pageBreakBefore w:val="0"/>
        <w:kinsoku/>
        <w:wordWrap/>
        <w:overflowPunct/>
        <w:topLinePunct w:val="0"/>
        <w:bidi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积极对接省、市、区三级财政，适当增加预算以保障我区测量标志的可靠性。</w:t>
      </w: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Style w:val="2"/>
        <w:pageBreakBefore w:val="0"/>
        <w:kinsoku/>
        <w:wordWrap/>
        <w:overflowPunct/>
        <w:topLinePunct w:val="0"/>
        <w:bidi w:val="0"/>
        <w:spacing w:line="560" w:lineRule="exact"/>
        <w:rPr>
          <w:rFonts w:hint="eastAsia" w:ascii="仿宋_GB2312" w:hAnsi="仿宋_GB2312" w:eastAsia="仿宋_GB2312" w:cs="仿宋_GB2312"/>
          <w:sz w:val="32"/>
          <w:szCs w:val="32"/>
          <w:lang w:val="en-US" w:eastAsia="zh-CN"/>
        </w:rPr>
      </w:pPr>
    </w:p>
    <w:p>
      <w:pPr>
        <w:pageBreakBefore w:val="0"/>
        <w:kinsoku/>
        <w:wordWrap/>
        <w:overflowPunct/>
        <w:topLinePunct w:val="0"/>
        <w:bidi w:val="0"/>
        <w:spacing w:line="560" w:lineRule="exact"/>
        <w:jc w:val="center"/>
        <w:rPr>
          <w:rFonts w:hint="eastAsia" w:ascii="仿宋_GB2312" w:hAnsi="仿宋_GB2312" w:eastAsia="仿宋_GB2312" w:cs="仿宋_GB2312"/>
          <w:sz w:val="32"/>
          <w:szCs w:val="32"/>
        </w:rPr>
      </w:pPr>
    </w:p>
    <w:p>
      <w:pPr>
        <w:pStyle w:val="2"/>
        <w:pageBreakBefore w:val="0"/>
        <w:kinsoku/>
        <w:wordWrap/>
        <w:overflowPunct/>
        <w:topLinePunct w:val="0"/>
        <w:bidi w:val="0"/>
        <w:spacing w:line="560" w:lineRule="exact"/>
        <w:rPr>
          <w:rFonts w:hint="eastAsia"/>
        </w:rPr>
      </w:pPr>
    </w:p>
    <w:p>
      <w:pPr>
        <w:pageBreakBefore w:val="0"/>
        <w:kinsoku/>
        <w:wordWrap/>
        <w:overflowPunct/>
        <w:topLinePunct w:val="0"/>
        <w:autoSpaceDE w:val="0"/>
        <w:autoSpaceDN w:val="0"/>
        <w:bidi w:val="0"/>
        <w:adjustRightInd w:val="0"/>
        <w:spacing w:line="560" w:lineRule="exact"/>
        <w:ind w:firstLine="643" w:firstLineChars="200"/>
        <w:jc w:val="both"/>
        <w:rPr>
          <w:rFonts w:hint="eastAsia" w:ascii="仿宋" w:hAnsi="仿宋" w:eastAsia="仿宋"/>
          <w:b/>
          <w:bCs w:val="0"/>
          <w:color w:val="auto"/>
          <w:sz w:val="32"/>
          <w:szCs w:val="32"/>
          <w:highlight w:val="none"/>
        </w:rPr>
      </w:pPr>
    </w:p>
    <w:p>
      <w:pPr>
        <w:pageBreakBefore w:val="0"/>
        <w:kinsoku/>
        <w:wordWrap/>
        <w:overflowPunct/>
        <w:topLinePunct w:val="0"/>
        <w:autoSpaceDE w:val="0"/>
        <w:autoSpaceDN w:val="0"/>
        <w:bidi w:val="0"/>
        <w:adjustRightInd w:val="0"/>
        <w:spacing w:line="560" w:lineRule="exact"/>
        <w:ind w:firstLine="643" w:firstLineChars="200"/>
        <w:jc w:val="both"/>
        <w:rPr>
          <w:rFonts w:hint="eastAsia" w:ascii="仿宋" w:hAnsi="仿宋" w:eastAsia="仿宋"/>
          <w:b/>
          <w:bCs w:val="0"/>
          <w:color w:val="auto"/>
          <w:sz w:val="32"/>
          <w:szCs w:val="32"/>
          <w:highlight w:val="none"/>
        </w:rPr>
      </w:pPr>
    </w:p>
    <w:p>
      <w:pPr>
        <w:pStyle w:val="2"/>
        <w:rPr>
          <w:rFonts w:hint="eastAsia" w:ascii="仿宋" w:hAnsi="仿宋" w:eastAsia="仿宋"/>
          <w:b/>
          <w:bCs w:val="0"/>
          <w:color w:val="auto"/>
          <w:sz w:val="32"/>
          <w:szCs w:val="32"/>
          <w:highlight w:val="none"/>
        </w:rPr>
      </w:pPr>
    </w:p>
    <w:p>
      <w:pPr>
        <w:pStyle w:val="2"/>
        <w:rPr>
          <w:rFonts w:hint="eastAsia" w:ascii="仿宋" w:hAnsi="仿宋" w:eastAsia="仿宋"/>
          <w:b/>
          <w:bCs w:val="0"/>
          <w:color w:val="auto"/>
          <w:sz w:val="32"/>
          <w:szCs w:val="32"/>
          <w:highlight w:val="none"/>
        </w:rPr>
      </w:pPr>
    </w:p>
    <w:p>
      <w:pPr>
        <w:pStyle w:val="2"/>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 xml:space="preserve"> 2021年不动产产权证书、证明工本费项目支出绩效自评报告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2021年不动产产权证书、证明工本费主要用于不动产登记中心为不动产权利人制证、发证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经局党组研究，2021年不动产产权证书、证明工本费主要用于不动产登记中心为不动产权利人制证、发证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共计使用经费0元。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2021年不动产产权证书、证明工本费项目资金申报8万元，</w:t>
      </w:r>
      <w:r>
        <w:rPr>
          <w:rFonts w:hint="eastAsia" w:ascii="仿宋_GB2312" w:hAnsi="宋体" w:eastAsia="仿宋_GB2312" w:cs="Times New Roman"/>
          <w:color w:val="auto"/>
          <w:kern w:val="2"/>
          <w:sz w:val="32"/>
          <w:szCs w:val="32"/>
          <w:highlight w:val="none"/>
          <w:lang w:val="zh-CN" w:eastAsia="zh-CN" w:bidi="ar-SA"/>
        </w:rPr>
        <w:t>与批复、预算、实际下达金额一致。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Times New Roman" w:hAnsi="Times New Roman" w:eastAsia="仿宋_GB2312" w:cs="Times New Roman"/>
          <w:sz w:val="32"/>
          <w:szCs w:val="32"/>
          <w:lang w:val="en-US" w:eastAsia="zh-CN"/>
        </w:rPr>
        <w:t>2021年不动产产权证书、证明工本费项目，主要用于不动产登记中心为不动产权利人制证、发证，目前尚无支出发生</w:t>
      </w:r>
      <w:r>
        <w:rPr>
          <w:rFonts w:hint="eastAsia"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sz w:val="32"/>
          <w:szCs w:val="32"/>
          <w:lang w:val="en-US" w:eastAsia="zh-CN"/>
        </w:rPr>
        <w:t>2021年不动产产权证书、证明工本费项目由</w:t>
      </w:r>
      <w:r>
        <w:rPr>
          <w:rFonts w:hint="eastAsia" w:ascii="仿宋_GB2312" w:hAnsi="宋体" w:eastAsia="仿宋_GB2312"/>
          <w:sz w:val="32"/>
          <w:szCs w:val="32"/>
          <w:lang w:val="en-US" w:eastAsia="zh-CN"/>
        </w:rPr>
        <w:t>专门管理部门（不动产登记中心）负责管理实施，资金按照省市和区财政专项资金使用要求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2021年不动产产权证书、证明工本费项目全年预算数8万元，执行数0万元，完成预算的0%，本项目由不动产登记中心负责实施，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Times New Roman" w:hAnsi="Times New Roman" w:eastAsia="仿宋_GB2312" w:cs="Times New Roman"/>
          <w:sz w:val="32"/>
          <w:szCs w:val="32"/>
          <w:lang w:val="en-US" w:eastAsia="zh-CN"/>
        </w:rPr>
        <w:t>2021年不动产产权证书、证明工本费主要用于不动产登记中心为不动产权利人制证、发证</w:t>
      </w:r>
      <w:r>
        <w:rPr>
          <w:rFonts w:hint="eastAsia" w:ascii="Times New Roman" w:hAnsi="Times New Roman" w:eastAsia="仿宋_GB2312" w:cs="Times New Roman"/>
          <w:sz w:val="32"/>
          <w:szCs w:val="32"/>
          <w:lang w:eastAsia="zh-CN"/>
        </w:rPr>
        <w:t>，</w:t>
      </w:r>
      <w:r>
        <w:rPr>
          <w:rFonts w:hint="eastAsia" w:ascii="仿宋_GB2312" w:hAnsi="宋体" w:eastAsia="仿宋_GB2312"/>
          <w:sz w:val="32"/>
          <w:szCs w:val="32"/>
          <w:lang w:val="en-US" w:eastAsia="zh-CN"/>
        </w:rPr>
        <w:t>是开展全区不动产登记工作的必要支出</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通过项目实施，</w:t>
      </w:r>
      <w:r>
        <w:rPr>
          <w:rFonts w:hint="eastAsia" w:ascii="仿宋_GB2312" w:hAnsi="宋体" w:eastAsia="仿宋_GB2312"/>
          <w:sz w:val="32"/>
          <w:szCs w:val="32"/>
          <w:lang w:val="en-US" w:eastAsia="zh-CN"/>
        </w:rPr>
        <w:t>有力推进了全区不动产登记工作的有序开展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w:t>
      </w:r>
      <w:r>
        <w:rPr>
          <w:rFonts w:hint="eastAsia" w:ascii="仿宋_GB2312" w:hAnsi="仿宋_GB2312" w:eastAsia="仿宋_GB2312" w:cs="仿宋_GB2312"/>
          <w:bCs/>
          <w:sz w:val="32"/>
          <w:szCs w:val="32"/>
          <w:lang w:val="en-US" w:eastAsia="zh-CN"/>
        </w:rPr>
        <w:t>不动产产权证书、证明工本费</w:t>
      </w:r>
      <w:r>
        <w:rPr>
          <w:rFonts w:hint="eastAsia" w:ascii="仿宋_GB2312" w:hAnsi="宋体" w:eastAsia="仿宋_GB2312"/>
          <w:sz w:val="32"/>
          <w:szCs w:val="32"/>
          <w:lang w:val="en-US" w:eastAsia="zh-CN"/>
        </w:rPr>
        <w:t>”项目预算申报时共设置4个完成指标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ageBreakBefore w:val="0"/>
        <w:kinsoku/>
        <w:wordWrap/>
        <w:overflowPunct/>
        <w:topLinePunct w:val="0"/>
        <w:bidi w:val="0"/>
        <w:adjustRightInd w:val="0"/>
        <w:snapToGrid w:val="0"/>
        <w:spacing w:line="560" w:lineRule="exact"/>
        <w:jc w:val="center"/>
        <w:rPr>
          <w:rFonts w:hint="default" w:ascii="仿宋_GB2312" w:hAnsi="宋体" w:eastAsia="仿宋_GB2312"/>
          <w:sz w:val="32"/>
          <w:szCs w:val="32"/>
          <w:lang w:val="en-US" w:eastAsia="zh-CN"/>
        </w:rPr>
      </w:pPr>
      <w:r>
        <w:rPr>
          <w:rFonts w:hint="eastAsia" w:ascii="黑体" w:hAnsi="黑体" w:eastAsia="黑体" w:cs="黑体"/>
          <w:sz w:val="32"/>
          <w:szCs w:val="32"/>
          <w:lang w:val="en-US" w:eastAsia="zh-CN"/>
        </w:rPr>
        <w:t>不动产产权证书、证明工本费绩效评价表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1个年度不动产登记购买不动产产权证书、证明工本</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发放不动产登记证书、证明</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月-12月</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个月</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证书、证明工本费</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确保不动产登记日常工作有序开展，发放不动产登记证书、证明</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确保不动产登记工作有序开展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不动产登记工作有序推进</w:t>
            </w:r>
            <w:r>
              <w:rPr>
                <w:rFonts w:hint="eastAsia" w:ascii="宋体" w:hAnsi="宋体" w:eastAsia="宋体" w:cs="宋体"/>
                <w:i w:val="0"/>
                <w:iCs w:val="0"/>
                <w:color w:val="000000"/>
                <w:kern w:val="0"/>
                <w:sz w:val="18"/>
                <w:szCs w:val="18"/>
                <w:u w:val="none"/>
                <w:lang w:val="en-US" w:eastAsia="zh-CN" w:bidi="ar"/>
              </w:rPr>
              <w:t>，保障生态效益</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不动产登记工作有序推进</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保护群众权益，维护社会稳定，推进经济发展，</w:t>
            </w:r>
            <w:r>
              <w:rPr>
                <w:rFonts w:hint="eastAsia" w:ascii="宋体" w:hAnsi="宋体" w:eastAsia="宋体" w:cs="宋体"/>
                <w:i w:val="0"/>
                <w:iCs w:val="0"/>
                <w:color w:val="000000"/>
                <w:kern w:val="0"/>
                <w:sz w:val="18"/>
                <w:szCs w:val="18"/>
                <w:u w:val="none"/>
                <w:lang w:val="en-US" w:eastAsia="zh-CN" w:bidi="ar"/>
              </w:rPr>
              <w:t>创造</w:t>
            </w:r>
            <w:r>
              <w:rPr>
                <w:rFonts w:hint="eastAsia" w:ascii="宋体" w:hAnsi="宋体" w:cs="宋体"/>
                <w:i w:val="0"/>
                <w:iCs w:val="0"/>
                <w:color w:val="000000"/>
                <w:kern w:val="0"/>
                <w:sz w:val="18"/>
                <w:szCs w:val="18"/>
                <w:u w:val="none"/>
                <w:lang w:val="en-US" w:eastAsia="zh-CN" w:bidi="ar"/>
              </w:rPr>
              <w:t>利润</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w:t>
            </w:r>
            <w:r>
              <w:rPr>
                <w:rFonts w:hint="eastAsia" w:ascii="宋体" w:hAnsi="宋体" w:cs="宋体"/>
                <w:i w:val="0"/>
                <w:iCs w:val="0"/>
                <w:color w:val="000000"/>
                <w:sz w:val="18"/>
                <w:szCs w:val="18"/>
                <w:u w:val="none"/>
                <w:lang w:val="en-US" w:eastAsia="zh-CN"/>
              </w:rPr>
              <w:t>社会文化等</w:t>
            </w:r>
            <w:r>
              <w:rPr>
                <w:rFonts w:hint="eastAsia" w:ascii="宋体" w:hAnsi="宋体" w:eastAsia="宋体" w:cs="宋体"/>
                <w:i w:val="0"/>
                <w:iCs w:val="0"/>
                <w:color w:val="000000"/>
                <w:sz w:val="18"/>
                <w:szCs w:val="18"/>
                <w:u w:val="none"/>
                <w:lang w:val="en-US" w:eastAsia="zh-CN"/>
              </w:rPr>
              <w:t>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w:t>
            </w:r>
            <w:r>
              <w:rPr>
                <w:rFonts w:hint="eastAsia" w:ascii="宋体" w:hAnsi="宋体" w:cs="宋体"/>
                <w:i w:val="0"/>
                <w:iCs w:val="0"/>
                <w:color w:val="000000"/>
                <w:sz w:val="18"/>
                <w:szCs w:val="18"/>
                <w:u w:val="none"/>
                <w:lang w:val="en-US" w:eastAsia="zh-CN"/>
              </w:rPr>
              <w:t>社会文化等</w:t>
            </w:r>
            <w:r>
              <w:rPr>
                <w:rFonts w:hint="eastAsia" w:ascii="宋体" w:hAnsi="宋体" w:eastAsia="宋体" w:cs="宋体"/>
                <w:i w:val="0"/>
                <w:iCs w:val="0"/>
                <w:color w:val="000000"/>
                <w:sz w:val="18"/>
                <w:szCs w:val="18"/>
                <w:u w:val="none"/>
                <w:lang w:val="en-US" w:eastAsia="zh-CN"/>
              </w:rPr>
              <w:t>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政府满意、企业满意</w:t>
            </w:r>
            <w:r>
              <w:rPr>
                <w:rFonts w:hint="eastAsia" w:ascii="宋体" w:hAnsi="宋体" w:cs="宋体"/>
                <w:i w:val="0"/>
                <w:iCs w:val="0"/>
                <w:color w:val="000000"/>
                <w:kern w:val="0"/>
                <w:sz w:val="18"/>
                <w:szCs w:val="18"/>
                <w:u w:val="none"/>
                <w:lang w:val="en-US" w:eastAsia="zh-CN" w:bidi="ar"/>
              </w:rPr>
              <w:t>、群众满意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17"/>
          <w:sz w:val="32"/>
          <w:szCs w:val="32"/>
          <w:lang w:val="en-US" w:eastAsia="zh-CN"/>
        </w:rPr>
      </w:pPr>
      <w:r>
        <w:rPr>
          <w:rFonts w:hint="eastAsia" w:ascii="仿宋_GB2312" w:hAnsi="宋体" w:eastAsia="仿宋_GB2312"/>
          <w:sz w:val="32"/>
          <w:szCs w:val="32"/>
          <w:lang w:val="en-US" w:eastAsia="zh-CN"/>
        </w:rPr>
        <w:t>存在预算经费不足的问题，部分工本费不能及时向印刷公司支付。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积极对接省、市、区三级财政，适当提高运维预算资金支付速度。</w:t>
      </w: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 xml:space="preserve"> 2021年不动产登记日常工作项目支出绩效</w:t>
      </w: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自  评  报  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2021年不动产登记日常工作项目</w:t>
      </w:r>
      <w:r>
        <w:rPr>
          <w:rFonts w:hint="eastAsia" w:ascii="Times New Roman" w:hAnsi="Times New Roman" w:eastAsia="仿宋_GB2312" w:cs="Times New Roman"/>
          <w:sz w:val="32"/>
          <w:szCs w:val="32"/>
          <w:lang w:val="en-US" w:eastAsia="zh-CN"/>
        </w:rPr>
        <w:t>经费主要用于不动产登记中心日常工作开支，主要涉及办公用品（打印纸、订书针、签字笔、印泥等）、电费、水费、物管费、电脑等设备维修维护等</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经局党组研究，</w:t>
      </w:r>
      <w:r>
        <w:rPr>
          <w:rFonts w:hint="eastAsia" w:ascii="Times New Roman" w:hAnsi="Times New Roman" w:eastAsia="仿宋_GB2312" w:cs="Times New Roman"/>
          <w:sz w:val="32"/>
          <w:szCs w:val="32"/>
          <w:lang w:eastAsia="zh-CN"/>
        </w:rPr>
        <w:t>2021年不动产登记日常工作项目</w:t>
      </w:r>
      <w:r>
        <w:rPr>
          <w:rFonts w:hint="eastAsia" w:ascii="Times New Roman" w:hAnsi="Times New Roman" w:eastAsia="仿宋_GB2312" w:cs="Times New Roman"/>
          <w:sz w:val="32"/>
          <w:szCs w:val="32"/>
          <w:lang w:val="en-US" w:eastAsia="zh-CN"/>
        </w:rPr>
        <w:t>经费主要用于不动产登记中心日常工作开支，主要涉及办公用品（打印纸、订书针、签字笔、印泥等）、电费、水费、物管费、电脑等设备维修维护等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共计使用经费8.78万元。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2021年不动产登记日常工作项目</w:t>
      </w:r>
      <w:r>
        <w:rPr>
          <w:rFonts w:hint="eastAsia" w:ascii="Times New Roman" w:hAnsi="Times New Roman" w:eastAsia="仿宋_GB2312" w:cs="Times New Roman"/>
          <w:sz w:val="32"/>
          <w:szCs w:val="32"/>
          <w:lang w:val="en-US" w:eastAsia="zh-CN"/>
        </w:rPr>
        <w:t>资金申报10万元，</w:t>
      </w:r>
      <w:r>
        <w:rPr>
          <w:rFonts w:hint="eastAsia" w:ascii="仿宋_GB2312" w:hAnsi="宋体" w:eastAsia="仿宋_GB2312" w:cs="Times New Roman"/>
          <w:color w:val="auto"/>
          <w:kern w:val="2"/>
          <w:sz w:val="32"/>
          <w:szCs w:val="32"/>
          <w:highlight w:val="none"/>
          <w:lang w:val="zh-CN" w:eastAsia="zh-CN" w:bidi="ar-SA"/>
        </w:rPr>
        <w:t>与批复、预算、实际下达金额一致。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2021年不动产登记日常工作项目</w:t>
      </w:r>
      <w:r>
        <w:rPr>
          <w:rFonts w:hint="eastAsia" w:ascii="Times New Roman" w:hAnsi="Times New Roman" w:eastAsia="仿宋_GB2312" w:cs="Times New Roman"/>
          <w:sz w:val="32"/>
          <w:szCs w:val="32"/>
          <w:lang w:val="en-US" w:eastAsia="zh-CN"/>
        </w:rPr>
        <w:t>经费主要用于不动产登记中心日常工作开支，主要涉及办公用品（打印纸、订书针、签字笔、印泥等）、电费、水费、物管费、电脑等设备维修维护等支出，共计8.78万元，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于2021年12月完成支付，支付率87.8%，</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Times New Roman" w:hAnsi="Times New Roman" w:eastAsia="仿宋_GB2312" w:cs="Times New Roman"/>
          <w:sz w:val="32"/>
          <w:szCs w:val="32"/>
          <w:lang w:eastAsia="zh-CN"/>
        </w:rPr>
        <w:t>2021年不动产登记日常工作项目</w:t>
      </w:r>
      <w:r>
        <w:rPr>
          <w:rFonts w:hint="eastAsia" w:ascii="仿宋_GB2312" w:hAnsi="宋体" w:eastAsia="仿宋_GB2312"/>
          <w:sz w:val="32"/>
          <w:szCs w:val="32"/>
          <w:lang w:val="en-US" w:eastAsia="zh-CN"/>
        </w:rPr>
        <w:t>由专门管理部门（不动产登记中心）负责管理实施，资金按照省市和区财政专项资金使用要求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eastAsia="zh-CN"/>
        </w:rPr>
        <w:t>2021年不动产登记日常工作项目</w:t>
      </w:r>
      <w:r>
        <w:rPr>
          <w:rFonts w:hint="eastAsia" w:ascii="Times New Roman" w:hAnsi="Times New Roman" w:eastAsia="仿宋_GB2312" w:cs="Times New Roman"/>
          <w:sz w:val="32"/>
          <w:szCs w:val="32"/>
          <w:lang w:val="en-US" w:eastAsia="zh-CN"/>
        </w:rPr>
        <w:t>全年预算数10万元，执行数8.78万元，完成预算的87.8%，本项目由不动产登记中心负责实施，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Times New Roman" w:hAnsi="Times New Roman" w:eastAsia="仿宋_GB2312" w:cs="Times New Roman"/>
          <w:sz w:val="32"/>
          <w:szCs w:val="32"/>
          <w:lang w:eastAsia="zh-CN"/>
        </w:rPr>
        <w:t>2021年不动产登记日常工作项目</w:t>
      </w:r>
      <w:r>
        <w:rPr>
          <w:rFonts w:hint="eastAsia" w:ascii="Times New Roman" w:hAnsi="Times New Roman" w:eastAsia="仿宋_GB2312" w:cs="Times New Roman"/>
          <w:sz w:val="32"/>
          <w:szCs w:val="32"/>
          <w:lang w:val="en-US" w:eastAsia="zh-CN"/>
        </w:rPr>
        <w:t>经费主要用于不动产登记中心日常工作开支，主要涉及办公用品（打印纸、订书针、签字笔、印泥等）、电费、水费、物管费、电脑等设备维修维护等支出，用于不动产登记中心的日常办公经费。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通过项目实施，保障了不动产登记工作各项日常工作的有序开展</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“不动产登记日常工作”项目预算申报时共设置4个完成指标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ageBreakBefore w:val="0"/>
        <w:kinsoku/>
        <w:wordWrap/>
        <w:overflowPunct/>
        <w:topLinePunct w:val="0"/>
        <w:bidi w:val="0"/>
        <w:adjustRightInd w:val="0"/>
        <w:snapToGrid w:val="0"/>
        <w:spacing w:line="56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不动产登记日常工作绩效评价表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1个年度不动产登记日常工作</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为不动产登记日常工作服务</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月-12月</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个月</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日常经费开支</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确保不动产登记日常工作有序开展，为其提供经费保障</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确保不动产登记工作有序开展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不动产登记工作有序推进</w:t>
            </w:r>
            <w:r>
              <w:rPr>
                <w:rFonts w:hint="eastAsia" w:ascii="宋体" w:hAnsi="宋体" w:eastAsia="宋体" w:cs="宋体"/>
                <w:i w:val="0"/>
                <w:iCs w:val="0"/>
                <w:color w:val="000000"/>
                <w:kern w:val="0"/>
                <w:sz w:val="18"/>
                <w:szCs w:val="18"/>
                <w:u w:val="none"/>
                <w:lang w:val="en-US" w:eastAsia="zh-CN" w:bidi="ar"/>
              </w:rPr>
              <w:t>，保障生态效益</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不动产登记工作有序推进</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保护群众权益，维护社会稳定，推进经济发展，</w:t>
            </w:r>
            <w:r>
              <w:rPr>
                <w:rFonts w:hint="eastAsia" w:ascii="宋体" w:hAnsi="宋体" w:eastAsia="宋体" w:cs="宋体"/>
                <w:i w:val="0"/>
                <w:iCs w:val="0"/>
                <w:color w:val="000000"/>
                <w:kern w:val="0"/>
                <w:sz w:val="18"/>
                <w:szCs w:val="18"/>
                <w:u w:val="none"/>
                <w:lang w:val="en-US" w:eastAsia="zh-CN" w:bidi="ar"/>
              </w:rPr>
              <w:t>创造</w:t>
            </w:r>
            <w:r>
              <w:rPr>
                <w:rFonts w:hint="eastAsia" w:ascii="宋体" w:hAnsi="宋体" w:cs="宋体"/>
                <w:i w:val="0"/>
                <w:iCs w:val="0"/>
                <w:color w:val="000000"/>
                <w:kern w:val="0"/>
                <w:sz w:val="18"/>
                <w:szCs w:val="18"/>
                <w:u w:val="none"/>
                <w:lang w:val="en-US" w:eastAsia="zh-CN" w:bidi="ar"/>
              </w:rPr>
              <w:t>利润</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w:t>
            </w:r>
            <w:r>
              <w:rPr>
                <w:rFonts w:hint="eastAsia" w:ascii="宋体" w:hAnsi="宋体" w:cs="宋体"/>
                <w:i w:val="0"/>
                <w:iCs w:val="0"/>
                <w:color w:val="000000"/>
                <w:sz w:val="18"/>
                <w:szCs w:val="18"/>
                <w:u w:val="none"/>
                <w:lang w:val="en-US" w:eastAsia="zh-CN"/>
              </w:rPr>
              <w:t>社会文化等</w:t>
            </w:r>
            <w:r>
              <w:rPr>
                <w:rFonts w:hint="eastAsia" w:ascii="宋体" w:hAnsi="宋体" w:eastAsia="宋体" w:cs="宋体"/>
                <w:i w:val="0"/>
                <w:iCs w:val="0"/>
                <w:color w:val="000000"/>
                <w:sz w:val="18"/>
                <w:szCs w:val="18"/>
                <w:u w:val="none"/>
                <w:lang w:val="en-US" w:eastAsia="zh-CN"/>
              </w:rPr>
              <w:t>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w:t>
            </w:r>
            <w:r>
              <w:rPr>
                <w:rFonts w:hint="eastAsia" w:ascii="宋体" w:hAnsi="宋体" w:cs="宋体"/>
                <w:i w:val="0"/>
                <w:iCs w:val="0"/>
                <w:color w:val="000000"/>
                <w:sz w:val="18"/>
                <w:szCs w:val="18"/>
                <w:u w:val="none"/>
                <w:lang w:val="en-US" w:eastAsia="zh-CN"/>
              </w:rPr>
              <w:t>社会文化等</w:t>
            </w:r>
            <w:r>
              <w:rPr>
                <w:rFonts w:hint="eastAsia" w:ascii="宋体" w:hAnsi="宋体" w:eastAsia="宋体" w:cs="宋体"/>
                <w:i w:val="0"/>
                <w:iCs w:val="0"/>
                <w:color w:val="000000"/>
                <w:sz w:val="18"/>
                <w:szCs w:val="18"/>
                <w:u w:val="none"/>
                <w:lang w:val="en-US" w:eastAsia="zh-CN"/>
              </w:rPr>
              <w:t>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政府满意、企业满意</w:t>
            </w:r>
            <w:r>
              <w:rPr>
                <w:rFonts w:hint="eastAsia" w:ascii="宋体" w:hAnsi="宋体" w:cs="宋体"/>
                <w:i w:val="0"/>
                <w:iCs w:val="0"/>
                <w:color w:val="000000"/>
                <w:kern w:val="0"/>
                <w:sz w:val="18"/>
                <w:szCs w:val="18"/>
                <w:u w:val="none"/>
                <w:lang w:val="en-US" w:eastAsia="zh-CN" w:bidi="ar"/>
              </w:rPr>
              <w:t>、群众满意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17"/>
          <w:sz w:val="32"/>
          <w:szCs w:val="32"/>
          <w:lang w:val="en-US" w:eastAsia="zh-CN"/>
        </w:rPr>
      </w:pPr>
      <w:r>
        <w:rPr>
          <w:rFonts w:hint="eastAsia" w:ascii="仿宋_GB2312" w:hAnsi="宋体" w:eastAsia="仿宋_GB2312"/>
          <w:sz w:val="32"/>
          <w:szCs w:val="32"/>
          <w:lang w:val="en-US" w:eastAsia="zh-CN"/>
        </w:rPr>
        <w:t>经费不太充足，导致日常工作经费开支只能严格控制，导致很多工作开展不力。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积极对接省、市、区三级财政，适当提高预算资金，以确保不动产登记日常工作有序开展。</w:t>
      </w: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pStyle w:val="2"/>
        <w:pageBreakBefore w:val="0"/>
        <w:kinsoku/>
        <w:wordWrap/>
        <w:overflowPunct/>
        <w:topLinePunct w:val="0"/>
        <w:bidi w:val="0"/>
        <w:spacing w:line="560" w:lineRule="exact"/>
        <w:rPr>
          <w:rFonts w:hint="eastAsia" w:ascii="仿宋" w:hAnsi="仿宋" w:eastAsia="仿宋"/>
          <w:b/>
          <w:bCs w:val="0"/>
          <w:color w:val="auto"/>
          <w:sz w:val="32"/>
          <w:szCs w:val="32"/>
          <w:highlight w:val="none"/>
        </w:rPr>
      </w:pP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pageBreakBefore w:val="0"/>
        <w:kinsoku/>
        <w:wordWrap/>
        <w:overflowPunct/>
        <w:topLinePunct w:val="0"/>
        <w:bidi w:val="0"/>
        <w:spacing w:line="560" w:lineRule="exact"/>
        <w:jc w:val="center"/>
        <w:rPr>
          <w:rFonts w:hint="eastAsia" w:ascii="宋体" w:hAnsi="宋体" w:eastAsia="宋体" w:cs="宋体"/>
          <w:b/>
          <w:bCs w:val="0"/>
          <w:sz w:val="44"/>
          <w:szCs w:val="44"/>
          <w:lang w:eastAsia="zh-CN"/>
        </w:rPr>
      </w:pPr>
      <w:r>
        <w:rPr>
          <w:rFonts w:hint="eastAsia" w:ascii="宋体" w:hAnsi="宋体" w:eastAsia="宋体" w:cs="宋体"/>
          <w:bCs/>
          <w:sz w:val="44"/>
          <w:szCs w:val="44"/>
          <w:lang w:val="en-US" w:eastAsia="zh-CN"/>
        </w:rPr>
        <w:t xml:space="preserve"> 2021年不动产登记系统进行维护费项目支出绩效自评报告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eastAsia="zh-CN"/>
        </w:rPr>
        <w:t>不动产登记系统进行维护费</w:t>
      </w:r>
      <w:r>
        <w:rPr>
          <w:rFonts w:hint="eastAsia" w:ascii="Times New Roman" w:hAnsi="Times New Roman" w:eastAsia="仿宋_GB2312" w:cs="Times New Roman"/>
          <w:sz w:val="32"/>
          <w:szCs w:val="32"/>
          <w:lang w:val="en-US" w:eastAsia="zh-CN"/>
        </w:rPr>
        <w:t>主要用于不动产登记中心登记系统日常技术服务运行维护</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经局党组研究，2021年</w:t>
      </w:r>
      <w:r>
        <w:rPr>
          <w:rFonts w:hint="eastAsia" w:ascii="Times New Roman" w:hAnsi="Times New Roman" w:eastAsia="仿宋_GB2312" w:cs="Times New Roman"/>
          <w:sz w:val="32"/>
          <w:szCs w:val="32"/>
          <w:lang w:eastAsia="zh-CN"/>
        </w:rPr>
        <w:t>不动产登记系统进行维护费</w:t>
      </w:r>
      <w:r>
        <w:rPr>
          <w:rFonts w:hint="eastAsia" w:ascii="Times New Roman" w:hAnsi="Times New Roman" w:eastAsia="仿宋_GB2312" w:cs="Times New Roman"/>
          <w:sz w:val="32"/>
          <w:szCs w:val="32"/>
          <w:lang w:val="en-US" w:eastAsia="zh-CN"/>
        </w:rPr>
        <w:t>主要用于不动产登记中心登记系统日常技术服务运行维护，共计使用经费5万元。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不动产登记系统维护项目资金申报5万元，</w:t>
      </w:r>
      <w:r>
        <w:rPr>
          <w:rFonts w:hint="eastAsia" w:ascii="仿宋_GB2312" w:hAnsi="宋体" w:eastAsia="仿宋_GB2312" w:cs="Times New Roman"/>
          <w:color w:val="auto"/>
          <w:kern w:val="2"/>
          <w:sz w:val="32"/>
          <w:szCs w:val="32"/>
          <w:highlight w:val="none"/>
          <w:lang w:val="zh-CN" w:eastAsia="zh-CN" w:bidi="ar-SA"/>
        </w:rPr>
        <w:t>与批复、预算、实际下达金额一致。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eastAsia="zh-CN"/>
        </w:rPr>
        <w:t>不动产登记系统进行维护费</w:t>
      </w:r>
      <w:r>
        <w:rPr>
          <w:rFonts w:hint="eastAsia" w:ascii="Times New Roman" w:hAnsi="Times New Roman" w:eastAsia="仿宋_GB2312" w:cs="Times New Roman"/>
          <w:sz w:val="32"/>
          <w:szCs w:val="32"/>
          <w:lang w:val="en-US" w:eastAsia="zh-CN"/>
        </w:rPr>
        <w:t>主要用于不动产登记中心登记系统日常技术服务运行维护支出，共计5万元，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于2021年12月完成支付，支付率100%，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Times New Roman" w:hAnsi="Times New Roman" w:eastAsia="仿宋_GB2312" w:cs="Times New Roman"/>
          <w:sz w:val="32"/>
          <w:szCs w:val="32"/>
          <w:lang w:val="en-US" w:eastAsia="zh-CN"/>
        </w:rPr>
        <w:t>不动产登记系统维护项目</w:t>
      </w:r>
      <w:r>
        <w:rPr>
          <w:rFonts w:hint="eastAsia" w:ascii="仿宋_GB2312" w:hAnsi="宋体" w:eastAsia="仿宋_GB2312"/>
          <w:sz w:val="32"/>
          <w:szCs w:val="32"/>
          <w:lang w:val="en-US" w:eastAsia="zh-CN"/>
        </w:rPr>
        <w:t>由专门管理部门（不动产登记中心）负责管理实施，资金按照省市和区财政专项资金使用要求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不动产登记系统维护项目全年预算数5万元，执行数5万元，完成预算的100%，本项目由不动产登记中心负责实施，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仿宋_GB2312" w:hAnsi="宋体" w:eastAsia="仿宋_GB2312"/>
          <w:sz w:val="32"/>
          <w:szCs w:val="32"/>
          <w:lang w:val="en-US" w:eastAsia="zh-CN"/>
        </w:rPr>
        <w:t>该项目用于</w:t>
      </w:r>
      <w:r>
        <w:rPr>
          <w:rFonts w:hint="eastAsia"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eastAsia="zh-CN"/>
        </w:rPr>
        <w:t>不动产登记系统进行维护费</w:t>
      </w:r>
      <w:r>
        <w:rPr>
          <w:rFonts w:hint="eastAsia" w:ascii="Times New Roman" w:hAnsi="Times New Roman" w:eastAsia="仿宋_GB2312" w:cs="Times New Roman"/>
          <w:sz w:val="32"/>
          <w:szCs w:val="32"/>
          <w:lang w:val="en-US" w:eastAsia="zh-CN"/>
        </w:rPr>
        <w:t>主要用于不动产登记中心登记系统日常技术服务运行维护。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不动产登记系统是开展全区不动产登记工作的基础，通过项目实施，使不动产登记系统正常运行，为全区不动产登记工作提供了可操作性和安全性。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“不动产登记系统进行维护”项目预算申报时共设置4个完成指标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ageBreakBefore w:val="0"/>
        <w:kinsoku/>
        <w:wordWrap/>
        <w:overflowPunct/>
        <w:topLinePunct w:val="0"/>
        <w:bidi w:val="0"/>
        <w:adjustRightInd w:val="0"/>
        <w:snapToGrid w:val="0"/>
        <w:spacing w:line="560" w:lineRule="exact"/>
        <w:jc w:val="center"/>
        <w:rPr>
          <w:rFonts w:hint="default" w:ascii="仿宋_GB2312" w:hAnsi="宋体" w:eastAsia="仿宋_GB2312"/>
          <w:sz w:val="32"/>
          <w:szCs w:val="32"/>
          <w:lang w:val="en-US" w:eastAsia="zh-CN"/>
        </w:rPr>
      </w:pPr>
      <w:r>
        <w:rPr>
          <w:rFonts w:hint="eastAsia" w:ascii="黑体" w:hAnsi="黑体" w:eastAsia="黑体" w:cs="黑体"/>
          <w:sz w:val="32"/>
          <w:szCs w:val="32"/>
          <w:lang w:val="en-US" w:eastAsia="zh-CN"/>
        </w:rPr>
        <w:t>不动产登记系统进行维护绩效评价表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1个年度不动产登记系统运行维护</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为不动产登记系统提供运行维护</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月-12月</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个月</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年度系统运行维护</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确保不动产登记日常工作有序开展，为其系统运行维护提供经费保障</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确保不动产登记工作有序开展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不动产登记工作有序推进</w:t>
            </w:r>
            <w:r>
              <w:rPr>
                <w:rFonts w:hint="eastAsia" w:ascii="宋体" w:hAnsi="宋体" w:eastAsia="宋体" w:cs="宋体"/>
                <w:i w:val="0"/>
                <w:iCs w:val="0"/>
                <w:color w:val="000000"/>
                <w:kern w:val="0"/>
                <w:sz w:val="18"/>
                <w:szCs w:val="18"/>
                <w:u w:val="none"/>
                <w:lang w:val="en-US" w:eastAsia="zh-CN" w:bidi="ar"/>
              </w:rPr>
              <w:t>，保障生态效益</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不动产登记工作有序推进</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保护群众权益，维护社会稳定，推进经济发展，</w:t>
            </w:r>
            <w:r>
              <w:rPr>
                <w:rFonts w:hint="eastAsia" w:ascii="宋体" w:hAnsi="宋体" w:eastAsia="宋体" w:cs="宋体"/>
                <w:i w:val="0"/>
                <w:iCs w:val="0"/>
                <w:color w:val="000000"/>
                <w:kern w:val="0"/>
                <w:sz w:val="18"/>
                <w:szCs w:val="18"/>
                <w:u w:val="none"/>
                <w:lang w:val="en-US" w:eastAsia="zh-CN" w:bidi="ar"/>
              </w:rPr>
              <w:t>创造</w:t>
            </w:r>
            <w:r>
              <w:rPr>
                <w:rFonts w:hint="eastAsia" w:ascii="宋体" w:hAnsi="宋体" w:cs="宋体"/>
                <w:i w:val="0"/>
                <w:iCs w:val="0"/>
                <w:color w:val="000000"/>
                <w:kern w:val="0"/>
                <w:sz w:val="18"/>
                <w:szCs w:val="18"/>
                <w:u w:val="none"/>
                <w:lang w:val="en-US" w:eastAsia="zh-CN" w:bidi="ar"/>
              </w:rPr>
              <w:t>利润</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w:t>
            </w:r>
            <w:r>
              <w:rPr>
                <w:rFonts w:hint="eastAsia" w:ascii="宋体" w:hAnsi="宋体" w:cs="宋体"/>
                <w:i w:val="0"/>
                <w:iCs w:val="0"/>
                <w:color w:val="000000"/>
                <w:sz w:val="18"/>
                <w:szCs w:val="18"/>
                <w:u w:val="none"/>
                <w:lang w:val="en-US" w:eastAsia="zh-CN"/>
              </w:rPr>
              <w:t>社会文化等</w:t>
            </w:r>
            <w:r>
              <w:rPr>
                <w:rFonts w:hint="eastAsia" w:ascii="宋体" w:hAnsi="宋体" w:eastAsia="宋体" w:cs="宋体"/>
                <w:i w:val="0"/>
                <w:iCs w:val="0"/>
                <w:color w:val="000000"/>
                <w:sz w:val="18"/>
                <w:szCs w:val="18"/>
                <w:u w:val="none"/>
                <w:lang w:val="en-US" w:eastAsia="zh-CN"/>
              </w:rPr>
              <w:t>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w:t>
            </w:r>
            <w:r>
              <w:rPr>
                <w:rFonts w:hint="eastAsia" w:ascii="宋体" w:hAnsi="宋体" w:cs="宋体"/>
                <w:i w:val="0"/>
                <w:iCs w:val="0"/>
                <w:color w:val="000000"/>
                <w:sz w:val="18"/>
                <w:szCs w:val="18"/>
                <w:u w:val="none"/>
                <w:lang w:val="en-US" w:eastAsia="zh-CN"/>
              </w:rPr>
              <w:t>社会文化等</w:t>
            </w:r>
            <w:r>
              <w:rPr>
                <w:rFonts w:hint="eastAsia" w:ascii="宋体" w:hAnsi="宋体" w:eastAsia="宋体" w:cs="宋体"/>
                <w:i w:val="0"/>
                <w:iCs w:val="0"/>
                <w:color w:val="000000"/>
                <w:sz w:val="18"/>
                <w:szCs w:val="18"/>
                <w:u w:val="none"/>
                <w:lang w:val="en-US" w:eastAsia="zh-CN"/>
              </w:rPr>
              <w:t>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政府满意、企业满意</w:t>
            </w:r>
            <w:r>
              <w:rPr>
                <w:rFonts w:hint="eastAsia" w:ascii="宋体" w:hAnsi="宋体" w:cs="宋体"/>
                <w:i w:val="0"/>
                <w:iCs w:val="0"/>
                <w:color w:val="000000"/>
                <w:kern w:val="0"/>
                <w:sz w:val="18"/>
                <w:szCs w:val="18"/>
                <w:u w:val="none"/>
                <w:lang w:val="en-US" w:eastAsia="zh-CN" w:bidi="ar"/>
              </w:rPr>
              <w:t>、群众满意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17"/>
          <w:sz w:val="32"/>
          <w:szCs w:val="32"/>
          <w:lang w:val="en-US" w:eastAsia="zh-CN"/>
        </w:rPr>
      </w:pPr>
      <w:r>
        <w:rPr>
          <w:rFonts w:hint="eastAsia" w:ascii="仿宋_GB2312" w:hAnsi="宋体" w:eastAsia="仿宋_GB2312"/>
          <w:sz w:val="32"/>
          <w:szCs w:val="32"/>
          <w:lang w:val="en-US" w:eastAsia="zh-CN"/>
        </w:rPr>
        <w:t>经费不足，系统运行维护费预算已到达下限极限，导致运维公司存在不满和工作不积极情况。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积极对接省、市、区三级财政，适当提高运维预算资金。</w:t>
      </w:r>
    </w:p>
    <w:p>
      <w:pP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br w:type="page"/>
      </w: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r>
        <w:rPr>
          <w:rFonts w:hint="eastAsia" w:ascii="宋体" w:hAnsi="宋体" w:eastAsia="宋体" w:cs="宋体"/>
          <w:bCs/>
          <w:sz w:val="44"/>
          <w:szCs w:val="44"/>
          <w:lang w:val="en-US" w:eastAsia="zh-CN"/>
        </w:rPr>
        <w:t xml:space="preserve"> 2021年不动产责任保险费项目支出绩效</w:t>
      </w:r>
    </w:p>
    <w:p>
      <w:pPr>
        <w:pStyle w:val="34"/>
        <w:pageBreakBefore w:val="0"/>
        <w:kinsoku/>
        <w:wordWrap/>
        <w:overflowPunct/>
        <w:topLinePunct w:val="0"/>
        <w:bidi w:val="0"/>
        <w:spacing w:line="560" w:lineRule="exact"/>
        <w:jc w:val="center"/>
        <w:rPr>
          <w:rFonts w:hint="eastAsia" w:ascii="宋体" w:hAnsi="宋体" w:eastAsia="宋体" w:cs="宋体"/>
          <w:b/>
          <w:bCs w:val="0"/>
          <w:sz w:val="44"/>
          <w:szCs w:val="44"/>
          <w:lang w:eastAsia="zh-CN"/>
        </w:rPr>
      </w:pPr>
      <w:r>
        <w:rPr>
          <w:rFonts w:hint="eastAsia" w:ascii="宋体" w:hAnsi="宋体" w:eastAsia="宋体" w:cs="宋体"/>
          <w:bCs/>
          <w:sz w:val="44"/>
          <w:szCs w:val="44"/>
          <w:lang w:val="en-US" w:eastAsia="zh-CN"/>
        </w:rPr>
        <w:t>自  评  报  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2021年不动产责任保险项目，主要用于为不动产登记中心工作人员购买不动产责任保险。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经局党组研究，2021年不动产责任保险项目主要用于为不动产登记中心工作人员购买不动产责任保险，共计使用经费7.8万元。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2021年不动产责任保险项目资金申报7.8万元，</w:t>
      </w:r>
      <w:r>
        <w:rPr>
          <w:rFonts w:hint="eastAsia" w:ascii="仿宋_GB2312" w:hAnsi="宋体" w:eastAsia="仿宋_GB2312" w:cs="Times New Roman"/>
          <w:color w:val="auto"/>
          <w:kern w:val="2"/>
          <w:sz w:val="32"/>
          <w:szCs w:val="32"/>
          <w:highlight w:val="none"/>
          <w:lang w:val="zh-CN" w:eastAsia="zh-CN" w:bidi="ar-SA"/>
        </w:rPr>
        <w:t>与批复、预算、实际下达金额一致。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2021年不动产责任保险项目经费主要用于为不动产登记中心工作人员购买不动产责任保险支出，共计7.8万元，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于2021年5月完成支付，支付率100%，</w:t>
      </w:r>
      <w:r>
        <w:rPr>
          <w:rFonts w:hint="eastAsia" w:ascii="仿宋_GB2312" w:hAnsi="宋体" w:eastAsia="仿宋_GB2312" w:cs="Times New Roman"/>
          <w:color w:val="auto"/>
          <w:sz w:val="32"/>
          <w:szCs w:val="32"/>
          <w:highlight w:val="none"/>
          <w:lang w:val="zh-CN"/>
        </w:rPr>
        <w:t>支付依据合法合规，资金支付与预算相符。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项目主要涉及在不动产登记工作开展过程中，由于不动产登记中心工作人员工作失职、登记申请人提交虚假材料等导致不动产错误登记，给相关利害关系人造成了一定经济损失，为降低不动产登记职业风险，保障群众合法权益，我局不动产登记参照市局购买了不动产登记责任保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仿宋_GB2312" w:hAnsi="宋体" w:eastAsia="仿宋_GB2312" w:cs="Times New Roman"/>
          <w:color w:val="auto"/>
          <w:sz w:val="32"/>
          <w:szCs w:val="32"/>
          <w:highlight w:val="none"/>
          <w:lang w:val="zh-CN"/>
        </w:rPr>
      </w:pPr>
      <w:r>
        <w:rPr>
          <w:rFonts w:hint="eastAsia" w:ascii="仿宋_GB2312" w:hAnsi="仿宋_GB2312" w:eastAsia="仿宋_GB2312" w:cs="仿宋_GB2312"/>
          <w:bCs/>
          <w:sz w:val="32"/>
          <w:szCs w:val="32"/>
          <w:lang w:val="en-US" w:eastAsia="zh-CN"/>
        </w:rPr>
        <w:t>通过项目实施，降低了我局不动产登记中心的职业风险，保障了人民群众的合法权益</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“不动产责任保险费”项目预算申报时共设置4个完成指标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4个效益指标（经济效益指标、社会效益指标、生态效益指标、可持续影响指标）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p>
      <w:pPr>
        <w:pageBreakBefore w:val="0"/>
        <w:kinsoku/>
        <w:wordWrap/>
        <w:overflowPunct/>
        <w:topLinePunct w:val="0"/>
        <w:bidi w:val="0"/>
        <w:adjustRightInd w:val="0"/>
        <w:snapToGrid w:val="0"/>
        <w:spacing w:line="560" w:lineRule="exact"/>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不动产责任保险费绩效评价表</w:t>
      </w:r>
    </w:p>
    <w:tbl>
      <w:tblPr>
        <w:tblStyle w:val="16"/>
        <w:tblW w:w="8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080"/>
        <w:gridCol w:w="1800"/>
        <w:gridCol w:w="1665"/>
        <w:gridCol w:w="1279"/>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绩效指标情况</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实际完成指标值</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包含数字及文字描述</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1个年度不动产登记责任保险</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提供不动产登记责任保险</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年</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月-12月</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个月</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12</w:t>
            </w:r>
            <w:r>
              <w:rPr>
                <w:rFonts w:hint="eastAsia" w:ascii="宋体" w:hAnsi="宋体" w:eastAsia="宋体" w:cs="宋体"/>
                <w:i w:val="0"/>
                <w:iCs w:val="0"/>
                <w:color w:val="000000"/>
                <w:kern w:val="0"/>
                <w:sz w:val="18"/>
                <w:szCs w:val="18"/>
                <w:u w:val="none"/>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投保费</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7.8</w:t>
            </w:r>
            <w:r>
              <w:rPr>
                <w:rFonts w:hint="eastAsia" w:ascii="宋体" w:hAnsi="宋体" w:eastAsia="宋体" w:cs="宋体"/>
                <w:i w:val="0"/>
                <w:iCs w:val="0"/>
                <w:color w:val="000000"/>
                <w:kern w:val="0"/>
                <w:sz w:val="18"/>
                <w:szCs w:val="18"/>
                <w:u w:val="none"/>
                <w:lang w:val="en-US" w:eastAsia="zh-CN" w:bidi="ar"/>
              </w:rPr>
              <w:t>万元</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7.8</w:t>
            </w:r>
            <w:r>
              <w:rPr>
                <w:rFonts w:hint="eastAsia" w:ascii="宋体" w:hAnsi="宋体" w:eastAsia="宋体" w:cs="宋体"/>
                <w:i w:val="0"/>
                <w:iCs w:val="0"/>
                <w:color w:val="000000"/>
                <w:kern w:val="0"/>
                <w:sz w:val="18"/>
                <w:szCs w:val="18"/>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避免造成不动产登记责任损失，</w:t>
            </w:r>
            <w:r>
              <w:rPr>
                <w:rFonts w:hint="eastAsia" w:ascii="宋体" w:hAnsi="宋体" w:eastAsia="宋体" w:cs="宋体"/>
                <w:sz w:val="18"/>
                <w:szCs w:val="18"/>
                <w:vertAlign w:val="baseline"/>
                <w:lang w:val="zh-CN"/>
              </w:rPr>
              <w:t>如造成损失，保险公司进行赔付，</w:t>
            </w:r>
            <w:r>
              <w:rPr>
                <w:rFonts w:hint="eastAsia" w:ascii="宋体" w:hAnsi="宋体" w:cs="宋体"/>
                <w:i w:val="0"/>
                <w:iCs w:val="0"/>
                <w:color w:val="000000"/>
                <w:kern w:val="0"/>
                <w:sz w:val="18"/>
                <w:szCs w:val="18"/>
                <w:u w:val="none"/>
                <w:lang w:val="en-US" w:eastAsia="zh-CN" w:bidi="ar"/>
              </w:rPr>
              <w:t>累计1000万元，每次100万元，每次法律事务费10万元</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合理化解或降低不动产登记责任风险</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不动产登记工作有序推进</w:t>
            </w:r>
            <w:r>
              <w:rPr>
                <w:rFonts w:hint="eastAsia" w:ascii="宋体" w:hAnsi="宋体" w:eastAsia="宋体" w:cs="宋体"/>
                <w:i w:val="0"/>
                <w:iCs w:val="0"/>
                <w:color w:val="000000"/>
                <w:kern w:val="0"/>
                <w:sz w:val="18"/>
                <w:szCs w:val="18"/>
                <w:u w:val="none"/>
                <w:lang w:val="en-US" w:eastAsia="zh-CN" w:bidi="ar"/>
              </w:rPr>
              <w:t>，保障生态效益</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sz w:val="18"/>
                <w:szCs w:val="18"/>
                <w:vertAlign w:val="baseline"/>
                <w:lang w:val="zh-CN"/>
              </w:rPr>
              <w:t>≥95</w:t>
            </w:r>
            <w:r>
              <w:rPr>
                <w:rFonts w:hint="eastAsia" w:ascii="宋体" w:hAnsi="宋体" w:eastAsia="宋体" w:cs="宋体"/>
                <w:sz w:val="18"/>
                <w:szCs w:val="18"/>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r>
              <w:rPr>
                <w:rFonts w:hint="eastAsia" w:ascii="宋体" w:hAnsi="宋体" w:cs="宋体"/>
                <w:i w:val="0"/>
                <w:iCs w:val="0"/>
                <w:color w:val="000000"/>
                <w:kern w:val="0"/>
                <w:sz w:val="18"/>
                <w:szCs w:val="18"/>
                <w:u w:val="none"/>
                <w:lang w:val="en-US" w:eastAsia="zh-CN" w:bidi="ar"/>
              </w:rPr>
              <w:t>不动产登记工作有序推进</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保护群众权益，维护社会稳定，推进经济发展，</w:t>
            </w:r>
            <w:r>
              <w:rPr>
                <w:rFonts w:hint="eastAsia" w:ascii="宋体" w:hAnsi="宋体" w:eastAsia="宋体" w:cs="宋体"/>
                <w:i w:val="0"/>
                <w:iCs w:val="0"/>
                <w:color w:val="000000"/>
                <w:kern w:val="0"/>
                <w:sz w:val="18"/>
                <w:szCs w:val="18"/>
                <w:u w:val="none"/>
                <w:lang w:val="en-US" w:eastAsia="zh-CN" w:bidi="ar"/>
              </w:rPr>
              <w:t>创造</w:t>
            </w:r>
            <w:r>
              <w:rPr>
                <w:rFonts w:hint="eastAsia" w:ascii="宋体" w:hAnsi="宋体" w:cs="宋体"/>
                <w:i w:val="0"/>
                <w:iCs w:val="0"/>
                <w:color w:val="000000"/>
                <w:kern w:val="0"/>
                <w:sz w:val="18"/>
                <w:szCs w:val="18"/>
                <w:u w:val="none"/>
                <w:lang w:val="en-US" w:eastAsia="zh-CN" w:bidi="ar"/>
              </w:rPr>
              <w:t>利润</w:t>
            </w:r>
            <w:r>
              <w:rPr>
                <w:rFonts w:hint="eastAsia" w:ascii="宋体" w:hAnsi="宋体" w:eastAsia="宋体" w:cs="宋体"/>
                <w:i w:val="0"/>
                <w:iCs w:val="0"/>
                <w:color w:val="000000"/>
                <w:kern w:val="0"/>
                <w:sz w:val="18"/>
                <w:szCs w:val="18"/>
                <w:u w:val="none"/>
                <w:lang w:val="en-US" w:eastAsia="zh-CN" w:bidi="ar"/>
              </w:rPr>
              <w:t>，促进可持续发展</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为全区经济</w:t>
            </w:r>
            <w:r>
              <w:rPr>
                <w:rFonts w:hint="eastAsia" w:ascii="宋体" w:hAnsi="宋体" w:cs="宋体"/>
                <w:i w:val="0"/>
                <w:iCs w:val="0"/>
                <w:color w:val="000000"/>
                <w:sz w:val="18"/>
                <w:szCs w:val="18"/>
                <w:u w:val="none"/>
                <w:lang w:val="en-US" w:eastAsia="zh-CN"/>
              </w:rPr>
              <w:t>社会文化等</w:t>
            </w:r>
            <w:r>
              <w:rPr>
                <w:rFonts w:hint="eastAsia" w:ascii="宋体" w:hAnsi="宋体" w:eastAsia="宋体" w:cs="宋体"/>
                <w:i w:val="0"/>
                <w:iCs w:val="0"/>
                <w:color w:val="000000"/>
                <w:sz w:val="18"/>
                <w:szCs w:val="18"/>
                <w:u w:val="none"/>
                <w:lang w:val="en-US" w:eastAsia="zh-CN"/>
              </w:rPr>
              <w:t>可持续发展提供保障</w:t>
            </w:r>
          </w:p>
        </w:tc>
        <w:tc>
          <w:tcPr>
            <w:tcW w:w="18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为全区经济</w:t>
            </w:r>
            <w:r>
              <w:rPr>
                <w:rFonts w:hint="eastAsia" w:ascii="宋体" w:hAnsi="宋体" w:cs="宋体"/>
                <w:i w:val="0"/>
                <w:iCs w:val="0"/>
                <w:color w:val="000000"/>
                <w:sz w:val="18"/>
                <w:szCs w:val="18"/>
                <w:u w:val="none"/>
                <w:lang w:val="en-US" w:eastAsia="zh-CN"/>
              </w:rPr>
              <w:t>社会文化等</w:t>
            </w:r>
            <w:r>
              <w:rPr>
                <w:rFonts w:hint="eastAsia" w:ascii="宋体" w:hAnsi="宋体" w:eastAsia="宋体" w:cs="宋体"/>
                <w:i w:val="0"/>
                <w:iCs w:val="0"/>
                <w:color w:val="000000"/>
                <w:sz w:val="18"/>
                <w:szCs w:val="18"/>
                <w:u w:val="none"/>
                <w:lang w:val="en-US" w:eastAsia="zh-CN"/>
              </w:rPr>
              <w:t>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政府满意、企业满意</w:t>
            </w:r>
            <w:r>
              <w:rPr>
                <w:rFonts w:hint="eastAsia" w:ascii="宋体" w:hAnsi="宋体" w:cs="宋体"/>
                <w:i w:val="0"/>
                <w:iCs w:val="0"/>
                <w:color w:val="000000"/>
                <w:kern w:val="0"/>
                <w:sz w:val="18"/>
                <w:szCs w:val="18"/>
                <w:u w:val="none"/>
                <w:lang w:val="en-US" w:eastAsia="zh-CN" w:bidi="ar"/>
              </w:rPr>
              <w:t>、群众满意</w:t>
            </w:r>
          </w:p>
        </w:tc>
        <w:tc>
          <w:tcPr>
            <w:tcW w:w="12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665"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279"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c>
          <w:tcPr>
            <w:tcW w:w="1826" w:type="dxa"/>
            <w:vMerge w:val="continue"/>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bidi w:val="0"/>
              <w:spacing w:line="560" w:lineRule="exact"/>
              <w:jc w:val="center"/>
              <w:rPr>
                <w:rFonts w:hint="eastAsia" w:ascii="宋体" w:hAnsi="宋体" w:eastAsia="宋体" w:cs="宋体"/>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pacing w:val="-17"/>
          <w:sz w:val="32"/>
          <w:szCs w:val="32"/>
          <w:lang w:val="en-US" w:eastAsia="zh-CN"/>
        </w:rPr>
      </w:pPr>
      <w:r>
        <w:rPr>
          <w:rFonts w:hint="eastAsia" w:ascii="仿宋_GB2312" w:hAnsi="宋体" w:eastAsia="仿宋_GB2312"/>
          <w:sz w:val="32"/>
          <w:szCs w:val="32"/>
          <w:lang w:val="en-US" w:eastAsia="zh-CN"/>
        </w:rPr>
        <w:t>因向资金申报需要一定的时限，导致投保资金无法及时到位，及时投保，存在一个空档期，如在空档期出现登记失误或错误问题需要对受害人进行赔付时，保险公司将会不予赔付。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积极对接省、市、区三级财政，适当提高预算资金拨付速度，以保障我区“不动产登记责任保险”工作有序衔接，避免脱保造成损失。</w:t>
      </w:r>
    </w:p>
    <w:p>
      <w:pPr>
        <w:pStyle w:val="2"/>
        <w:keepNext w:val="0"/>
        <w:keepLines w:val="0"/>
        <w:pageBreakBefore w:val="0"/>
        <w:widowControl w:val="0"/>
        <w:kinsoku/>
        <w:wordWrap/>
        <w:overflowPunct/>
        <w:topLinePunct w:val="0"/>
        <w:autoSpaceDE/>
        <w:autoSpaceDN/>
        <w:bidi w:val="0"/>
        <w:adjustRightInd/>
        <w:snapToGrid/>
        <w:spacing w:beforeLines="0" w:line="560" w:lineRule="exact"/>
        <w:jc w:val="right"/>
        <w:textAlignment w:val="auto"/>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jc w:val="right"/>
        <w:textAlignment w:val="auto"/>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jc w:val="right"/>
        <w:textAlignment w:val="auto"/>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jc w:val="right"/>
        <w:textAlignment w:val="auto"/>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jc w:val="right"/>
        <w:textAlignment w:val="auto"/>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jc w:val="right"/>
        <w:textAlignment w:val="auto"/>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jc w:val="right"/>
        <w:textAlignment w:val="auto"/>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jc w:val="right"/>
        <w:textAlignment w:val="auto"/>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jc w:val="right"/>
        <w:textAlignment w:val="auto"/>
        <w:rPr>
          <w:rFonts w:hint="eastAsia" w:ascii="仿宋_GB2312" w:hAnsi="宋体"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Lines="0" w:line="560" w:lineRule="exact"/>
        <w:jc w:val="right"/>
        <w:textAlignment w:val="auto"/>
        <w:rPr>
          <w:rFonts w:hint="eastAsia" w:ascii="仿宋_GB2312" w:hAnsi="宋体" w:eastAsia="仿宋_GB2312"/>
          <w:sz w:val="32"/>
          <w:szCs w:val="32"/>
          <w:lang w:val="en-US" w:eastAsia="zh-CN"/>
        </w:rPr>
      </w:pPr>
    </w:p>
    <w:p>
      <w:pPr>
        <w:rPr>
          <w:rFonts w:hint="eastAsia" w:ascii="宋体" w:hAnsi="宋体" w:eastAsia="宋体" w:cs="宋体"/>
          <w:bCs/>
          <w:sz w:val="44"/>
          <w:szCs w:val="44"/>
        </w:rPr>
      </w:pPr>
      <w:r>
        <w:rPr>
          <w:rFonts w:hint="eastAsia" w:ascii="宋体" w:hAnsi="宋体" w:eastAsia="宋体" w:cs="宋体"/>
          <w:bCs/>
          <w:sz w:val="44"/>
          <w:szCs w:val="44"/>
        </w:rPr>
        <w:br w:type="page"/>
      </w:r>
    </w:p>
    <w:p>
      <w:pPr>
        <w:pStyle w:val="34"/>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 xml:space="preserve"> 2021年地质灾害治理项目前期申报工作</w:t>
      </w:r>
    </w:p>
    <w:p>
      <w:pPr>
        <w:pStyle w:val="34"/>
        <w:spacing w:line="560" w:lineRule="exact"/>
        <w:jc w:val="center"/>
        <w:rPr>
          <w:rFonts w:hint="eastAsia" w:ascii="宋体" w:hAnsi="宋体" w:eastAsia="宋体" w:cs="宋体"/>
          <w:bCs/>
          <w:sz w:val="44"/>
          <w:szCs w:val="44"/>
        </w:rPr>
      </w:pPr>
      <w:r>
        <w:rPr>
          <w:rFonts w:hint="eastAsia" w:ascii="宋体" w:hAnsi="宋体" w:eastAsia="宋体" w:cs="宋体"/>
          <w:bCs/>
          <w:sz w:val="44"/>
          <w:szCs w:val="44"/>
        </w:rPr>
        <w:t>支出绩效自评报告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项目基本情况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32"/>
          <w:lang w:val="en-US" w:eastAsia="zh-CN" w:bidi="ar-SA"/>
        </w:rPr>
        <w:t>2021年地质灾害治理项目前期申报工作</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经费，主要用于</w:t>
      </w:r>
      <w:r>
        <w:rPr>
          <w:rFonts w:hint="eastAsia" w:ascii="Times New Roman" w:hAnsi="Times New Roman" w:eastAsia="仿宋_GB2312"/>
          <w:sz w:val="32"/>
          <w:szCs w:val="32"/>
        </w:rPr>
        <w:t>向上争取地质灾害治理项目专项资金必须完成前期现场踏勘、勘察设计、实施方案编制等规定工作</w:t>
      </w:r>
      <w:r>
        <w:rPr>
          <w:rFonts w:hint="eastAsia" w:ascii="Times New Roman" w:hAnsi="Times New Roman" w:eastAsia="仿宋_GB2312"/>
          <w:sz w:val="32"/>
          <w:szCs w:val="32"/>
          <w:lang w:val="en-US" w:eastAsia="zh-CN"/>
        </w:rPr>
        <w:t>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项目绩效目标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经局党组研究，</w:t>
      </w:r>
      <w:r>
        <w:rPr>
          <w:rFonts w:hint="eastAsia" w:ascii="Times New Roman" w:hAnsi="Times New Roman" w:eastAsia="仿宋_GB2312" w:cs="Times New Roman"/>
          <w:color w:val="auto"/>
          <w:kern w:val="2"/>
          <w:sz w:val="32"/>
          <w:szCs w:val="32"/>
          <w:lang w:val="en-US" w:eastAsia="zh-CN" w:bidi="ar-SA"/>
        </w:rPr>
        <w:t>2021年地质灾害治理项目前期申报工作</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经费，主要用于</w:t>
      </w:r>
      <w:r>
        <w:rPr>
          <w:rFonts w:hint="eastAsia" w:ascii="Times New Roman" w:hAnsi="Times New Roman" w:eastAsia="仿宋_GB2312"/>
          <w:sz w:val="32"/>
          <w:szCs w:val="32"/>
        </w:rPr>
        <w:t>向上争取地质灾害治理项目专项资金必须完成前期现场踏勘、勘察设计、实施方案编制等规定工作</w:t>
      </w:r>
      <w:r>
        <w:rPr>
          <w:rFonts w:hint="eastAsia" w:ascii="Times New Roman" w:hAnsi="Times New Roman" w:eastAsia="仿宋_GB2312"/>
          <w:sz w:val="32"/>
          <w:szCs w:val="32"/>
          <w:lang w:val="en-US" w:eastAsia="zh-CN"/>
        </w:rPr>
        <w:t>支出，</w:t>
      </w:r>
      <w:r>
        <w:rPr>
          <w:rFonts w:hint="eastAsia" w:ascii="Times New Roman" w:hAnsi="Times New Roman" w:eastAsia="仿宋_GB2312" w:cs="Times New Roman"/>
          <w:sz w:val="32"/>
          <w:szCs w:val="32"/>
          <w:lang w:val="en-US" w:eastAsia="zh-CN"/>
        </w:rPr>
        <w:t>共计使用经费0万元。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宋体" w:eastAsia="仿宋_GB2312" w:cs="Times New Roman"/>
          <w:color w:val="auto"/>
          <w:sz w:val="32"/>
          <w:szCs w:val="32"/>
          <w:highlight w:val="none"/>
          <w:lang w:val="en-US" w:eastAsia="zh-CN"/>
        </w:rPr>
        <w:t>所有资金专款专用，</w:t>
      </w:r>
      <w:r>
        <w:rPr>
          <w:rFonts w:hint="eastAsia" w:ascii="仿宋_GB2312" w:hAnsi="宋体" w:eastAsia="仿宋_GB2312" w:cs="Times New Roman"/>
          <w:color w:val="auto"/>
          <w:sz w:val="32"/>
          <w:szCs w:val="32"/>
          <w:highlight w:val="none"/>
          <w:lang w:val="zh-CN" w:eastAsia="zh-CN"/>
        </w:rPr>
        <w:t>申报内容与实际相符、合理可行。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项目自评步骤及方法</w:t>
      </w:r>
    </w:p>
    <w:p>
      <w:pPr>
        <w:pStyle w:val="2"/>
        <w:keepNext w:val="0"/>
        <w:keepLines w:val="0"/>
        <w:pageBreakBefore w:val="0"/>
        <w:widowControl w:val="0"/>
        <w:kinsoku/>
        <w:wordWrap/>
        <w:overflowPunct/>
        <w:topLinePunct w:val="0"/>
        <w:autoSpaceDE/>
        <w:autoSpaceDN/>
        <w:bidi w:val="0"/>
        <w:spacing w:beforeLines="0"/>
        <w:textAlignment w:val="auto"/>
        <w:rPr>
          <w:rFonts w:hint="eastAsia" w:ascii="仿宋" w:hAnsi="仿宋" w:eastAsia="仿宋" w:cs="仿宋"/>
          <w:b w:val="0"/>
          <w:bCs w:val="0"/>
          <w:sz w:val="32"/>
          <w:szCs w:val="32"/>
          <w:lang w:val="en-US" w:eastAsia="zh-CN"/>
        </w:rPr>
      </w:pPr>
      <w:r>
        <w:rPr>
          <w:rFonts w:hint="eastAsia" w:ascii="仿宋_GB2312" w:hAnsi="宋体" w:eastAsia="仿宋_GB2312" w:cs="Times New Roman"/>
          <w:color w:val="auto"/>
          <w:sz w:val="32"/>
          <w:szCs w:val="32"/>
          <w:highlight w:val="none"/>
          <w:lang w:val="zh-CN"/>
        </w:rPr>
        <w:t>项目绩效自评通过资金到位情况、资金下达情况、经济性、可行性、生态性、社会效益等方面进行自评。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宋体" w:eastAsia="黑体" w:cs="Times New Roman"/>
          <w:color w:val="auto"/>
          <w:sz w:val="32"/>
          <w:szCs w:val="32"/>
          <w:highlight w:val="none"/>
        </w:rPr>
      </w:pPr>
      <w:r>
        <w:rPr>
          <w:rFonts w:hint="eastAsia" w:ascii="黑体" w:hAnsi="宋体" w:eastAsia="黑体" w:cs="Times New Roman"/>
          <w:color w:val="auto"/>
          <w:sz w:val="32"/>
          <w:szCs w:val="32"/>
          <w:highlight w:val="none"/>
        </w:rPr>
        <w:t>二、项目资金申报及使用情况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val="zh-CN" w:eastAsia="zh-CN"/>
        </w:rPr>
        <w:t>（一）项目资金申报及批复情况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color w:val="auto"/>
          <w:kern w:val="2"/>
          <w:sz w:val="32"/>
          <w:szCs w:val="32"/>
          <w:lang w:val="en-US" w:eastAsia="zh-CN" w:bidi="ar-SA"/>
        </w:rPr>
        <w:t>2021年地质灾害治理项目前期申报工作</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资金申报5万元，</w:t>
      </w:r>
      <w:r>
        <w:rPr>
          <w:rFonts w:hint="eastAsia" w:ascii="仿宋_GB2312" w:hAnsi="宋体" w:eastAsia="仿宋_GB2312" w:cs="Times New Roman"/>
          <w:color w:val="auto"/>
          <w:kern w:val="2"/>
          <w:sz w:val="32"/>
          <w:szCs w:val="32"/>
          <w:highlight w:val="none"/>
          <w:lang w:val="zh-CN" w:eastAsia="zh-CN" w:bidi="ar-SA"/>
        </w:rPr>
        <w:t>与批复、预算、实际下达金额一致。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zh-CN" w:eastAsia="zh-CN"/>
        </w:rPr>
        <w:t>（二）资金计划、到位及使用情况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kern w:val="2"/>
          <w:sz w:val="32"/>
          <w:szCs w:val="32"/>
          <w:lang w:val="en-US" w:eastAsia="zh-CN" w:bidi="ar-SA"/>
        </w:rPr>
        <w:t>2021年地质灾害治理项目前期申报工作</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经费主要用于</w:t>
      </w:r>
      <w:r>
        <w:rPr>
          <w:rFonts w:hint="eastAsia" w:ascii="Times New Roman" w:hAnsi="Times New Roman" w:eastAsia="仿宋_GB2312"/>
          <w:sz w:val="32"/>
          <w:szCs w:val="32"/>
        </w:rPr>
        <w:t>向上争取地质灾害治理项目专项资金必须完成前期现场踏勘、勘察设计、实施方案编制等规定工作</w:t>
      </w:r>
      <w:r>
        <w:rPr>
          <w:rFonts w:hint="eastAsia" w:ascii="Times New Roman" w:hAnsi="Times New Roman" w:eastAsia="仿宋_GB2312"/>
          <w:sz w:val="32"/>
          <w:szCs w:val="32"/>
          <w:lang w:val="en-US" w:eastAsia="zh-CN"/>
        </w:rPr>
        <w:t>支出</w:t>
      </w:r>
      <w:r>
        <w:rPr>
          <w:rFonts w:hint="eastAsia" w:ascii="Times New Roman" w:hAnsi="Times New Roman" w:eastAsia="仿宋_GB2312" w:cs="Times New Roman"/>
          <w:sz w:val="32"/>
          <w:szCs w:val="32"/>
          <w:lang w:val="en-US" w:eastAsia="zh-CN"/>
        </w:rPr>
        <w:t>，共计5万元，</w:t>
      </w:r>
      <w:r>
        <w:rPr>
          <w:rFonts w:hint="eastAsia" w:ascii="仿宋_GB2312" w:hAnsi="宋体" w:eastAsia="仿宋_GB2312" w:cs="Times New Roman"/>
          <w:color w:val="auto"/>
          <w:sz w:val="32"/>
          <w:szCs w:val="32"/>
          <w:highlight w:val="none"/>
          <w:lang w:val="en-US" w:eastAsia="zh-CN"/>
        </w:rPr>
        <w:t>为财政资金，</w:t>
      </w:r>
      <w:r>
        <w:rPr>
          <w:rFonts w:hint="eastAsia" w:ascii="仿宋_GB2312" w:hAnsi="宋体" w:eastAsia="仿宋_GB2312" w:cs="Times New Roman"/>
          <w:color w:val="auto"/>
          <w:sz w:val="32"/>
          <w:szCs w:val="32"/>
          <w:highlight w:val="none"/>
          <w:lang w:val="zh-CN"/>
        </w:rPr>
        <w:t>资金到位情况与资金计划相匹配，资金到位率100%，</w:t>
      </w:r>
      <w:r>
        <w:rPr>
          <w:rFonts w:hint="eastAsia" w:ascii="仿宋_GB2312" w:hAnsi="宋体" w:eastAsia="仿宋_GB2312" w:cs="Times New Roman"/>
          <w:color w:val="auto"/>
          <w:sz w:val="32"/>
          <w:szCs w:val="32"/>
          <w:highlight w:val="none"/>
          <w:lang w:val="en-US" w:eastAsia="zh-CN"/>
        </w:rPr>
        <w:t>到</w:t>
      </w:r>
      <w:r>
        <w:rPr>
          <w:rFonts w:hint="eastAsia" w:ascii="仿宋_GB2312" w:hAnsi="宋体" w:eastAsia="仿宋_GB2312" w:cs="Times New Roman"/>
          <w:color w:val="auto"/>
          <w:sz w:val="32"/>
          <w:szCs w:val="32"/>
          <w:highlight w:val="none"/>
          <w:lang w:val="zh-CN"/>
        </w:rPr>
        <w:t>位及时，</w:t>
      </w:r>
      <w:r>
        <w:rPr>
          <w:rFonts w:hint="eastAsia" w:ascii="仿宋_GB2312" w:hAnsi="宋体" w:eastAsia="仿宋_GB2312" w:cs="Times New Roman"/>
          <w:color w:val="auto"/>
          <w:sz w:val="32"/>
          <w:szCs w:val="32"/>
          <w:highlight w:val="none"/>
          <w:lang w:val="en-US" w:eastAsia="zh-CN"/>
        </w:rPr>
        <w:t>目前尚未发生支出</w:t>
      </w:r>
      <w:r>
        <w:rPr>
          <w:rFonts w:hint="eastAsia" w:ascii="仿宋_GB2312" w:hAnsi="宋体" w:eastAsia="仿宋_GB2312" w:cs="Times New Roman"/>
          <w:color w:val="auto"/>
          <w:sz w:val="32"/>
          <w:szCs w:val="32"/>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（三）项目财务管理情况。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宋体" w:eastAsia="仿宋_GB2312" w:cs="Times New Roman"/>
          <w:color w:val="auto"/>
          <w:kern w:val="2"/>
          <w:sz w:val="32"/>
          <w:szCs w:val="32"/>
          <w:highlight w:val="none"/>
          <w:lang w:val="zh-CN" w:eastAsia="zh-CN" w:bidi="ar-SA"/>
        </w:rPr>
        <w:t>在资金的管理方面严格按照《会计法》和相关的法律法规的要求，设立账簿和会计核算科目，对专项资金坚持“专款专用，专户管理，决不挪用，及时足额”的原则，在工作中严格按照专项资金的要求发放，做到发放手续齐全，做到账、表、档、证相符，绝无随意分配、优亲厚友、损失浪费、弄虚作假、截留挪用、贪污私分等严重违纪违规操作，切实做好资金的管理、使用工作。对照项目资金管理办法，评价项目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三、项目实施及管理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仿宋_GB2312" w:hAnsi="宋体" w:eastAsia="仿宋_GB2312" w:cs="Times New Roman"/>
          <w:color w:val="auto"/>
          <w:sz w:val="32"/>
          <w:szCs w:val="32"/>
          <w:highlight w:val="none"/>
          <w:lang w:val="zh-CN"/>
        </w:rPr>
        <w:t>结合项目组织实施管理办法，重点围绕以下内容进行分析评价，并对自评中发现的问题分析说明。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（一）项目组织架构及实施流程。</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eastAsia="仿宋_GB2312"/>
          <w:sz w:val="32"/>
          <w:szCs w:val="32"/>
          <w:lang w:eastAsia="zh-CN"/>
        </w:rPr>
      </w:pPr>
      <w:r>
        <w:rPr>
          <w:rFonts w:hint="eastAsia" w:ascii="Times New Roman" w:hAnsi="Times New Roman" w:eastAsia="仿宋_GB2312" w:cs="Times New Roman"/>
          <w:color w:val="auto"/>
          <w:kern w:val="2"/>
          <w:sz w:val="32"/>
          <w:szCs w:val="32"/>
          <w:lang w:val="en-US" w:eastAsia="zh-CN" w:bidi="ar-SA"/>
        </w:rPr>
        <w:t>2021年地质灾害治理项目前期申报工作</w:t>
      </w:r>
      <w:r>
        <w:rPr>
          <w:rFonts w:hint="eastAsia" w:ascii="仿宋" w:hAnsi="仿宋" w:eastAsia="仿宋" w:cs="仿宋"/>
          <w:b w:val="0"/>
          <w:bCs w:val="0"/>
          <w:sz w:val="32"/>
          <w:szCs w:val="32"/>
          <w:lang w:val="en-US" w:eastAsia="zh-CN"/>
        </w:rPr>
        <w:t>项目</w:t>
      </w:r>
      <w:r>
        <w:rPr>
          <w:rFonts w:hint="eastAsia" w:ascii="仿宋_GB2312" w:hAnsi="宋体" w:eastAsia="仿宋_GB2312"/>
          <w:sz w:val="32"/>
          <w:szCs w:val="32"/>
          <w:lang w:val="en-US" w:eastAsia="zh-CN"/>
        </w:rPr>
        <w:t>由专门管理部门（地环站）负责管理实施，资金按照省市和区财政专项资金使用要求</w:t>
      </w:r>
      <w:r>
        <w:rPr>
          <w:rFonts w:hint="eastAsia" w:ascii="仿宋_GB2312" w:eastAsia="仿宋_GB2312"/>
          <w:sz w:val="32"/>
          <w:szCs w:val="32"/>
          <w:lang w:eastAsia="zh-CN"/>
        </w:rPr>
        <w:t>，经</w:t>
      </w:r>
      <w:r>
        <w:rPr>
          <w:rFonts w:hint="eastAsia" w:ascii="仿宋_GB2312" w:eastAsia="仿宋_GB2312"/>
          <w:sz w:val="32"/>
          <w:szCs w:val="32"/>
          <w:lang w:val="en-US" w:eastAsia="zh-CN"/>
        </w:rPr>
        <w:t>局党组</w:t>
      </w:r>
      <w:r>
        <w:rPr>
          <w:rFonts w:hint="eastAsia" w:ascii="仿宋_GB2312" w:eastAsia="仿宋_GB2312"/>
          <w:sz w:val="32"/>
          <w:szCs w:val="32"/>
          <w:lang w:eastAsia="zh-CN"/>
        </w:rPr>
        <w:t>复核、审核通过予以执行。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val="zh-CN" w:eastAsia="zh-CN"/>
        </w:rPr>
      </w:pP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val="zh-CN" w:eastAsia="zh-CN"/>
        </w:rPr>
        <w:t>）项目管理情况。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rPr>
      </w:pPr>
      <w:r>
        <w:rPr>
          <w:rFonts w:hint="eastAsia" w:ascii="Times New Roman" w:hAnsi="Times New Roman" w:eastAsia="仿宋_GB2312" w:cs="Times New Roman"/>
          <w:color w:val="auto"/>
          <w:kern w:val="2"/>
          <w:sz w:val="32"/>
          <w:szCs w:val="32"/>
          <w:lang w:val="en-US" w:eastAsia="zh-CN" w:bidi="ar-SA"/>
        </w:rPr>
        <w:t>2021年地质灾害治理项目前期申报工作</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全年预算数5万元，执行数0万元，完成预算的0%，本项目由地环站负责实施，</w:t>
      </w:r>
      <w:r>
        <w:rPr>
          <w:rFonts w:hint="eastAsia" w:ascii="仿宋_GB2312" w:hAnsi="宋体" w:eastAsia="仿宋_GB2312"/>
          <w:sz w:val="32"/>
          <w:szCs w:val="32"/>
          <w:lang w:val="en-US" w:eastAsia="zh-CN"/>
        </w:rPr>
        <w:t>财务与资金监督工作组负责</w:t>
      </w:r>
      <w:r>
        <w:rPr>
          <w:rFonts w:hint="eastAsia" w:ascii="仿宋_GB2312" w:hAnsi="仿宋_GB2312" w:eastAsia="仿宋_GB2312" w:cs="仿宋_GB2312"/>
          <w:sz w:val="32"/>
          <w:szCs w:val="32"/>
          <w:lang w:val="zh-CN"/>
        </w:rPr>
        <w:t>相关票据及资金管理。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项目由</w:t>
      </w:r>
      <w:r>
        <w:rPr>
          <w:rFonts w:hint="eastAsia" w:ascii="仿宋_GB2312" w:hAnsi="宋体" w:eastAsia="仿宋_GB2312"/>
          <w:sz w:val="32"/>
          <w:szCs w:val="32"/>
          <w:lang w:val="en-US" w:eastAsia="zh-CN"/>
        </w:rPr>
        <w:t>广元市自然资源局利州区分局（财务与资金运用工作组）具体管理，制定</w:t>
      </w:r>
      <w:r>
        <w:rPr>
          <w:rFonts w:hint="eastAsia" w:ascii="仿宋_GB2312" w:hAnsi="仿宋_GB2312" w:eastAsia="仿宋_GB2312" w:cs="仿宋_GB2312"/>
          <w:sz w:val="32"/>
          <w:szCs w:val="32"/>
          <w:lang w:val="zh-CN"/>
        </w:rPr>
        <w:t>管理制度，对项目资金按项目单独核算，实行“专款专用、专人管理”，不得挤占挪用项目资金。强化监督，项目的政策实施监督检查是保障。对项目的实施定期或不定期进行现场检查和监督，及时协调解决困难和问题，保证项目质量。</w:t>
      </w:r>
    </w:p>
    <w:p>
      <w:pPr>
        <w:pStyle w:val="2"/>
        <w:keepNext w:val="0"/>
        <w:keepLines w:val="0"/>
        <w:pageBreakBefore w:val="0"/>
        <w:widowControl w:val="0"/>
        <w:kinsoku/>
        <w:wordWrap/>
        <w:overflowPunct/>
        <w:topLinePunct w:val="0"/>
        <w:autoSpaceDE/>
        <w:autoSpaceDN/>
        <w:bidi w:val="0"/>
        <w:spacing w:beforeLines="0" w:line="560" w:lineRule="exact"/>
        <w:ind w:firstLine="640" w:firstLineChars="200"/>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四、项目绩效情况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zh-CN"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项目完成情况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32"/>
          <w:lang w:val="en-US" w:eastAsia="zh-CN" w:bidi="ar-SA"/>
        </w:rPr>
        <w:t>2021年地质灾害治理项目前期申报工作</w:t>
      </w:r>
      <w:r>
        <w:rPr>
          <w:rFonts w:hint="eastAsia" w:ascii="仿宋" w:hAnsi="仿宋" w:eastAsia="仿宋" w:cs="仿宋"/>
          <w:b w:val="0"/>
          <w:bCs w:val="0"/>
          <w:sz w:val="32"/>
          <w:szCs w:val="32"/>
          <w:lang w:val="en-US" w:eastAsia="zh-CN"/>
        </w:rPr>
        <w:t>项目</w:t>
      </w:r>
      <w:r>
        <w:rPr>
          <w:rFonts w:hint="eastAsia" w:ascii="Times New Roman" w:hAnsi="Times New Roman" w:eastAsia="仿宋_GB2312" w:cs="Times New Roman"/>
          <w:sz w:val="32"/>
          <w:szCs w:val="32"/>
          <w:lang w:val="en-US" w:eastAsia="zh-CN"/>
        </w:rPr>
        <w:t>经费，主要用于</w:t>
      </w:r>
      <w:r>
        <w:rPr>
          <w:rFonts w:hint="eastAsia" w:ascii="Times New Roman" w:hAnsi="Times New Roman" w:eastAsia="仿宋_GB2312"/>
          <w:sz w:val="32"/>
          <w:szCs w:val="32"/>
        </w:rPr>
        <w:t>向上争取地质灾害治理项目专项资金必须完成前期现场踏勘、勘察设计、实施方案编制等规定工作</w:t>
      </w:r>
      <w:r>
        <w:rPr>
          <w:rFonts w:hint="eastAsia" w:ascii="Times New Roman" w:hAnsi="Times New Roman" w:eastAsia="仿宋_GB2312"/>
          <w:sz w:val="32"/>
          <w:szCs w:val="32"/>
          <w:lang w:val="en-US" w:eastAsia="zh-CN"/>
        </w:rPr>
        <w:t>支出，用于我局争取项目的前期工作经费。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（二）项目效益情况</w:t>
      </w:r>
    </w:p>
    <w:p>
      <w:pPr>
        <w:pStyle w:val="2"/>
        <w:keepNext w:val="0"/>
        <w:keepLines w:val="0"/>
        <w:pageBreakBefore w:val="0"/>
        <w:widowControl w:val="0"/>
        <w:kinsoku/>
        <w:wordWrap/>
        <w:overflowPunct/>
        <w:topLinePunct w:val="0"/>
        <w:autoSpaceDE/>
        <w:autoSpaceDN/>
        <w:bidi w:val="0"/>
        <w:spacing w:beforeLines="0" w:line="560" w:lineRule="exact"/>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Cs/>
          <w:sz w:val="32"/>
          <w:szCs w:val="32"/>
          <w:lang w:val="en-US" w:eastAsia="zh-CN"/>
        </w:rPr>
        <w:t>通过项目实施，有利于我局及时开展地灾项目的前期</w:t>
      </w:r>
      <w:r>
        <w:rPr>
          <w:rFonts w:hint="eastAsia" w:ascii="Times New Roman" w:hAnsi="Times New Roman" w:eastAsia="仿宋_GB2312"/>
          <w:sz w:val="32"/>
          <w:szCs w:val="32"/>
        </w:rPr>
        <w:t>现场踏勘、勘察设计、实施方案编制等规定工作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为下一步向上争取专项资金奠定前期基础</w:t>
      </w:r>
      <w:r>
        <w:rPr>
          <w:rFonts w:hint="eastAsia" w:ascii="Times New Roman" w:hAnsi="Times New Roman" w:eastAsia="仿宋_GB2312" w:cs="Times New Roman"/>
          <w:sz w:val="32"/>
          <w:szCs w:val="32"/>
          <w:lang w:val="en-US" w:eastAsia="zh-CN"/>
        </w:rPr>
        <w:t>。</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w:t>
      </w:r>
      <w:r>
        <w:rPr>
          <w:rFonts w:hint="eastAsia" w:ascii="Times New Roman" w:hAnsi="Times New Roman" w:eastAsia="仿宋_GB2312" w:cs="Times New Roman"/>
          <w:color w:val="auto"/>
          <w:kern w:val="2"/>
          <w:sz w:val="32"/>
          <w:szCs w:val="32"/>
          <w:lang w:val="en-US" w:eastAsia="zh-CN" w:bidi="ar-SA"/>
        </w:rPr>
        <w:t>2021年地质灾害治理项目前期申报工作</w:t>
      </w:r>
      <w:r>
        <w:rPr>
          <w:rFonts w:hint="eastAsia" w:ascii="仿宋_GB2312" w:hAnsi="宋体" w:eastAsia="仿宋_GB2312"/>
          <w:sz w:val="32"/>
          <w:szCs w:val="32"/>
          <w:lang w:val="en-US" w:eastAsia="zh-CN"/>
        </w:rPr>
        <w:t>”项目预算申报时共设置5个完成指标</w:t>
      </w:r>
      <w:r>
        <w:rPr>
          <w:rFonts w:hint="eastAsia" w:ascii="仿宋_GB2312" w:hAnsi="宋体" w:eastAsia="仿宋_GB2312"/>
          <w:sz w:val="32"/>
          <w:szCs w:val="32"/>
          <w:lang w:val="zh-CN"/>
        </w:rPr>
        <w:t>（数量指标、质量指标、时效指标、成本指标、</w:t>
      </w:r>
      <w:r>
        <w:rPr>
          <w:rFonts w:hint="eastAsia" w:ascii="仿宋_GB2312" w:hAnsi="宋体" w:eastAsia="仿宋_GB2312"/>
          <w:sz w:val="32"/>
          <w:szCs w:val="32"/>
          <w:lang w:val="en-US" w:eastAsia="zh-CN"/>
        </w:rPr>
        <w:t>效果指标</w:t>
      </w:r>
      <w:r>
        <w:rPr>
          <w:rFonts w:hint="eastAsia" w:ascii="仿宋_GB2312" w:hAnsi="宋体" w:eastAsia="仿宋_GB2312"/>
          <w:sz w:val="32"/>
          <w:szCs w:val="32"/>
          <w:lang w:val="zh-CN"/>
        </w:rPr>
        <w:t>）、</w:t>
      </w:r>
      <w:r>
        <w:rPr>
          <w:rFonts w:hint="eastAsia" w:ascii="仿宋_GB2312" w:hAnsi="宋体" w:eastAsia="仿宋_GB2312"/>
          <w:sz w:val="32"/>
          <w:szCs w:val="32"/>
          <w:lang w:val="en-US" w:eastAsia="zh-CN"/>
        </w:rPr>
        <w:t>5个效益指标（经济效益指标、社会效益指标、生态效益指标、可持续影响指标、可持续发展指标）</w:t>
      </w:r>
      <w:r>
        <w:rPr>
          <w:rFonts w:hint="eastAsia" w:ascii="仿宋_GB2312" w:hAnsi="宋体" w:eastAsia="仿宋_GB2312"/>
          <w:sz w:val="32"/>
          <w:szCs w:val="32"/>
          <w:lang w:val="zh-CN"/>
        </w:rPr>
        <w:t>和1个满意度指标，指标设置</w:t>
      </w:r>
      <w:r>
        <w:rPr>
          <w:rFonts w:hint="eastAsia" w:ascii="仿宋_GB2312" w:hAnsi="宋体" w:eastAsia="仿宋_GB2312"/>
          <w:sz w:val="32"/>
          <w:szCs w:val="32"/>
          <w:lang w:val="en-US" w:eastAsia="zh-CN"/>
        </w:rPr>
        <w:t>和完成</w:t>
      </w:r>
      <w:r>
        <w:rPr>
          <w:rFonts w:hint="eastAsia" w:ascii="仿宋_GB2312" w:hAnsi="宋体" w:eastAsia="仿宋_GB2312"/>
          <w:sz w:val="32"/>
          <w:szCs w:val="32"/>
          <w:lang w:val="zh-CN"/>
        </w:rPr>
        <w:t>情况见下表：</w:t>
      </w:r>
    </w:p>
    <w:tbl>
      <w:tblPr>
        <w:tblStyle w:val="16"/>
        <w:tblW w:w="8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200"/>
        <w:gridCol w:w="1534"/>
        <w:gridCol w:w="2355"/>
        <w:gridCol w:w="156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445"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2021年地质灾害治理项目前期申报工作绩效评价表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绩效指标情况</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包含数字及文字描述</w:t>
            </w:r>
            <w:r>
              <w:rPr>
                <w:rFonts w:hint="eastAsia" w:ascii="宋体" w:hAnsi="宋体" w:cs="宋体"/>
                <w:i w:val="0"/>
                <w:iCs w:val="0"/>
                <w:color w:val="000000"/>
                <w:kern w:val="0"/>
                <w:sz w:val="20"/>
                <w:szCs w:val="20"/>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包含数字及文字描述</w:t>
            </w:r>
            <w:r>
              <w:rPr>
                <w:rFonts w:hint="eastAsia" w:ascii="宋体" w:hAnsi="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指标1：专家踏勘</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不少于1次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指标2：专家人数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不少于2人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指标1：成功申报次数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不少于1次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指标1：符合项目申报年度计划及时间要求（月）</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指标1：专家咨询、差旅、应急交通及物资保障费用支出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不低于1万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指标1：成功申报项目数量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不少于1个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指标1：向上争取项目资金额度</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不低于1000万元</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不低于1000万元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0"/>
                <w:szCs w:val="20"/>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社会效益指标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指标1：确保人民群众生命安全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不少于50人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不少于50人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指标2：确保人民群众财产安全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不低于500万元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不低于500万元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指标1：消除灾害体风险隐患</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指标2：确保岩土体结构稳定和维持地表地貌正常生态</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指标1：确保受地质灾害威胁群众正常生活居住</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可持续发展指标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指标1：确保受地质灾害威胁群众正常从事生产劳动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指标1：服务对象满意度</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大于或等于95%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大于或等于95%</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黑体" w:hAnsi="宋体" w:eastAsia="黑体" w:cs="Times New Roman"/>
          <w:color w:val="auto"/>
          <w:sz w:val="32"/>
          <w:szCs w:val="32"/>
          <w:highlight w:val="none"/>
          <w:lang w:val="en-US" w:eastAsia="zh-CN"/>
        </w:rPr>
      </w:pPr>
      <w:r>
        <w:rPr>
          <w:rFonts w:hint="eastAsia" w:ascii="黑体" w:hAnsi="宋体" w:eastAsia="黑体" w:cs="Times New Roman"/>
          <w:color w:val="auto"/>
          <w:sz w:val="32"/>
          <w:szCs w:val="32"/>
          <w:highlight w:val="none"/>
          <w:lang w:val="en-US" w:eastAsia="zh-CN"/>
        </w:rPr>
        <w:t>五、评价结论及建议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（一）评价结论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华文仿宋" w:eastAsia="仿宋_GB2312" w:cs="Times New Roman"/>
          <w:color w:val="282828"/>
          <w:sz w:val="32"/>
          <w:szCs w:val="32"/>
          <w:lang w:eastAsia="zh-CN"/>
        </w:rPr>
        <w:t>2021年我</w:t>
      </w:r>
      <w:r>
        <w:rPr>
          <w:rFonts w:hint="eastAsia" w:ascii="仿宋_GB2312" w:hAnsi="华文仿宋" w:eastAsia="仿宋_GB2312" w:cs="Times New Roman"/>
          <w:color w:val="282828"/>
          <w:sz w:val="32"/>
          <w:szCs w:val="32"/>
          <w:lang w:val="en-US" w:eastAsia="zh-CN"/>
        </w:rPr>
        <w:t>局</w:t>
      </w:r>
      <w:r>
        <w:rPr>
          <w:rFonts w:hint="eastAsia" w:ascii="仿宋_GB2312" w:hAnsi="华文仿宋" w:eastAsia="仿宋_GB2312" w:cs="Times New Roman"/>
          <w:color w:val="282828"/>
          <w:sz w:val="32"/>
          <w:szCs w:val="32"/>
          <w:lang w:eastAsia="zh-CN"/>
        </w:rPr>
        <w:t>强化预算执行监管和执行结果评价，将绩效管理渗透到预算管理的事前、事中、事后各个环节，有力地促进了预算绩效管理工作，圆满地完成了2021年绩效管理各项目工作。</w:t>
      </w:r>
    </w:p>
    <w:p>
      <w:pPr>
        <w:adjustRightInd w:val="0"/>
        <w:snapToGrid w:val="0"/>
        <w:spacing w:line="580" w:lineRule="exact"/>
        <w:ind w:firstLine="720"/>
        <w:rPr>
          <w:rFonts w:ascii="黑体" w:hAnsi="黑体" w:eastAsia="黑体" w:cs="黑体"/>
          <w:bCs/>
          <w:sz w:val="32"/>
          <w:szCs w:val="32"/>
        </w:rPr>
      </w:pPr>
      <w:r>
        <w:rPr>
          <w:rFonts w:hint="eastAsia" w:ascii="楷体" w:hAnsi="楷体" w:eastAsia="楷体" w:cs="楷体"/>
          <w:sz w:val="32"/>
          <w:szCs w:val="32"/>
          <w:lang w:val="en-US" w:eastAsia="zh-CN"/>
        </w:rPr>
        <w:t>（二）存在的问题</w:t>
      </w:r>
    </w:p>
    <w:p>
      <w:pPr>
        <w:adjustRightInd w:val="0"/>
        <w:snapToGrid w:val="0"/>
        <w:spacing w:line="580" w:lineRule="exact"/>
        <w:ind w:firstLine="720"/>
        <w:rPr>
          <w:rFonts w:hint="eastAsia" w:ascii="仿宋_GB2312" w:hAnsi="仿宋_GB2312" w:eastAsia="仿宋_GB2312" w:cs="仿宋_GB2312"/>
          <w:spacing w:val="-17"/>
          <w:sz w:val="32"/>
          <w:szCs w:val="32"/>
        </w:rPr>
      </w:pPr>
      <w:r>
        <w:rPr>
          <w:rFonts w:hint="eastAsia" w:ascii="仿宋_GB2312" w:hAnsi="宋体" w:eastAsia="仿宋_GB2312"/>
          <w:sz w:val="32"/>
          <w:szCs w:val="32"/>
        </w:rPr>
        <w:t>项目申报前期费用较低，只能满足专家踏勘等基本费用支出需求，项目勘察设计等前期费用无法保障</w:t>
      </w:r>
      <w:r>
        <w:rPr>
          <w:rFonts w:hint="eastAsia" w:ascii="仿宋_GB2312" w:hAnsi="仿宋_GB2312" w:eastAsia="仿宋_GB2312" w:cs="仿宋_GB2312"/>
          <w:spacing w:val="-17"/>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（三）相关建议</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主动对接省自然资源厅和市自然资源局，加快项目申报进度。</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2"/>
        <w:rPr>
          <w:rFonts w:hint="eastAsia" w:ascii="仿宋" w:hAnsi="仿宋" w:eastAsia="仿宋" w:cs="仿宋"/>
          <w:kern w:val="2"/>
          <w:sz w:val="32"/>
          <w:szCs w:val="32"/>
          <w:lang w:val="en-US" w:eastAsia="zh-CN" w:bidi="ar-SA"/>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p>
    <w:p>
      <w:pPr>
        <w:pStyle w:val="34"/>
        <w:pageBreakBefore w:val="0"/>
        <w:kinsoku/>
        <w:wordWrap/>
        <w:overflowPunct/>
        <w:topLinePunct w:val="0"/>
        <w:bidi w:val="0"/>
        <w:spacing w:line="560" w:lineRule="exact"/>
        <w:jc w:val="center"/>
        <w:rPr>
          <w:rFonts w:hint="eastAsia" w:ascii="宋体" w:hAnsi="宋体" w:eastAsia="宋体" w:cs="宋体"/>
          <w:bCs/>
          <w:sz w:val="44"/>
          <w:szCs w:val="44"/>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w:t>
      </w:r>
    </w:p>
    <w:tbl>
      <w:tblPr>
        <w:tblStyle w:val="16"/>
        <w:tblW w:w="96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590"/>
        <w:gridCol w:w="1755"/>
        <w:gridCol w:w="1515"/>
        <w:gridCol w:w="238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963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2020年第1、2批建设用地耕占税及滞纳金项目绩效目标自评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330301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广元市自然资源局利州区分局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372.33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372.33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19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执行情况（万元）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372.33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372.33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19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2190" w:type="dxa"/>
            <w:gridSpan w:val="2"/>
            <w:vMerge w:val="continue"/>
            <w:tcBorders>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年度总体目标完成情况</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6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资金用于广元市利州区2020年第1、2批建设用地耕占税及滞纳金支出，拨付372.332608万元用于广元市利州区2020年第1、2批建设用地耕占税及滞纳金支出。</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资金用于广元市利州区2020年第1、2批建设用地耕占税及滞纳金支出，拨付372.332608万元用于广元市利州区2020年第1、2批建设用地耕占税及滞纳金支出。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耕占税及滞纳金按要求缴纳</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372.332608万元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372.332608万元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按税务部门要求足额缴纳耕占税</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根据缴费时限，按规定足额缴纳耕占税及滞纳金</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已按照规定足额缴纳耕占税372.332608万元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按时缴纳耕占税及滞纳金</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  31日前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已在规定时间内缴纳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耕占税及滞纳金金额</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372.332608万元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372.332608万元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促进土地资源的合理运用，增加地方财税收入</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加强土地管理，保护农用耕地</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限制非农业建设占用耕地，促进农业生产的全面协调发展</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限制非农业建设占用耕地，促进农业生产的全面协调发展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征收的耕地占用税收入在地方建立农业发展基金</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用于提高耕地质量，扩大耕地数量</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用于提高耕地质量，扩大耕地数量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保护耕地，维护社会稳定，促进可持续发展</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政府满意、企业满意、群众满意</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bidi w:val="0"/>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tbl>
      <w:tblPr>
        <w:tblStyle w:val="16"/>
        <w:tblW w:w="8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0"/>
        <w:gridCol w:w="1260"/>
        <w:gridCol w:w="1455"/>
        <w:gridCol w:w="1860"/>
        <w:gridCol w:w="201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98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2021年第2批次建设用地耕占税及滞纳金项目绩效目标自评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广元市自然资源局利州区分局</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广元市自然资源局利州区分局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315.94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执行情况（万元）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315.94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jc w:val="center"/>
        </w:trPr>
        <w:tc>
          <w:tcPr>
            <w:tcW w:w="4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项目目标设定依据充分、明确、合理，项目申报内容与具体实施内容相符，资金用于广元市利州区2020年第1、2批建设用地耕占税及滞纳金支出。</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项目目标设定依据充分、明确、合理，项目申报内容与具体实施内容相符，资金用于广元市利州区2020年第1、2批建设用地耕占税及滞纳金支出。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耕占税及滞纳金按要求支付</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315.939592万元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315.939592万元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按税务部门要求足额缴纳耕占税</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根据缴费时限，按规定足额缴纳耕占税及滞纳金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已按照规定足额缴纳耕占税315.939592万元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按时缴纳耕占税及滞纳金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2021年11月25日前</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已在规定时间内缴纳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耕占税及滞纳金金额</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315.939592万元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315.939592万元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促进土地资源的合理运用，增加地方财税收入</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加强土地管理，保护农用耕地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限制非农业建设占用耕地，促进农业生产的全面协调发展</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限制非农业建设占用耕地，促进农业生产的全面协调发展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征收的耕地占用税收入在地方建立农业发展基金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用于提高耕地质量，扩大耕地数量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用于提高耕地质量，扩大耕地数量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保护耕地，维护社会稳定，促进可持续发展</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政府满意、企业满意、群众满意</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tbl>
      <w:tblPr>
        <w:tblStyle w:val="16"/>
        <w:tblW w:w="8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968"/>
        <w:gridCol w:w="1533"/>
        <w:gridCol w:w="1854"/>
        <w:gridCol w:w="1717"/>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856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2021年第5批建设用地耕占税项目绩效目标自评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3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广元市自然资源局利州区分局</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广元市自然资源局利州区分局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337.12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执行情况（万元）</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337.12</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2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337.12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4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项目目标设定依据充分、明确、合理，项目申报内容与具体实施内容相符，资金用于广元市利州区2021年第5批建设用地耕占税支出。</w:t>
            </w:r>
          </w:p>
        </w:tc>
        <w:tc>
          <w:tcPr>
            <w:tcW w:w="37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项目目标设定依据充分、明确、合理，项目申报内容与具体实施内容相符，资金用于广元市利州区2021年第5批建设用地耕占税支出。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年度绩效指标完成情况</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一级指标</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二级指标</w:t>
            </w:r>
          </w:p>
        </w:tc>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三级指标</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预期指标值</w:t>
            </w:r>
          </w:p>
        </w:tc>
        <w:tc>
          <w:tcPr>
            <w:tcW w:w="2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数量指标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耕占税及滞纳金按要求支付</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337.12375万元</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337.12375万元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质量指标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按税务部门要求足额缴纳耕占税</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根据缴费时限，按规定足额缴纳耕占税及滞纳金</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已按照规定足额缴纳耕占税315.939592万元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时效指标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按时缴纳耕占税及滞纳金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2021年12月  25日前</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已在规定时间内缴纳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成本指标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耕占税及滞纳金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337.12375万元</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337.12375万元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效益指标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经济效益指标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促进土地资源的合理运用，增加地方财税收入</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社会效益指标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加强土地管理，保护农用耕地</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限制非农业建设占用耕地，促进农业生产的全面协调发展</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限制非农业建设占用耕地，促进农业生产的全面协调发展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0"/>
                <w:szCs w:val="20"/>
                <w:u w:val="none"/>
                <w:lang w:val="en-US" w:eastAsia="zh-CN" w:bidi="ar"/>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生态效益指标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征收的耕地占用税收入在地方建立农业发展基金</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用于提高耕地质量，扩大耕地数量</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用于提高耕地质量，扩大耕地数量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可持续影响指标</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保护耕地，维护社会稳定，促进可持续发展</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c>
          <w:tcPr>
            <w:tcW w:w="2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满意度指标</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满意度指标</w:t>
            </w:r>
          </w:p>
        </w:tc>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政府满意、企业满意、群众满意</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br w:type="page"/>
      </w:r>
    </w:p>
    <w:tbl>
      <w:tblPr>
        <w:tblStyle w:val="16"/>
        <w:tblW w:w="87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125"/>
        <w:gridCol w:w="1308"/>
        <w:gridCol w:w="1987"/>
        <w:gridCol w:w="1849"/>
        <w:gridCol w:w="2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73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龙潭旅游环线道路改建工程用地、2020年第2批建设用地、2018年第9批城市建设用地耕占税及滞纳金项目绩效目标自评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广元市自然资源局利州区分局</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广元市自然资源局利州区分局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174.68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lang w:val="en-US"/>
              </w:rPr>
            </w:pPr>
            <w:r>
              <w:rPr>
                <w:rFonts w:hint="eastAsia" w:ascii="Arial" w:hAnsi="Arial" w:eastAsia="宋体" w:cs="Arial"/>
                <w:i w:val="0"/>
                <w:iCs w:val="0"/>
                <w:color w:val="000000"/>
                <w:kern w:val="0"/>
                <w:sz w:val="20"/>
                <w:szCs w:val="20"/>
                <w:u w:val="none"/>
                <w:lang w:val="en-US" w:eastAsia="zh-CN" w:bidi="ar"/>
              </w:rPr>
              <w:t>174.68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执行情况（万元）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174.68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1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41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42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为了合理利用土地资源，加强土地管理，保护耕地，依法对龙潭旅游环线道路改建工程用地、2020年第2批建设用地、2018年第9批城市建设用地征收耕占税及滞纳金。</w:t>
            </w:r>
          </w:p>
        </w:tc>
        <w:tc>
          <w:tcPr>
            <w:tcW w:w="389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为了合理利用土地资源，加强土地管理，保护耕地，依法对龙潭旅游环线道路改建工程用地、2020年第2批建设用地、2018年第9批城市建设用地征收耕占税及滞纳金。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完成指标</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耕占税及滞纳金按要求支付</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174.677118万元</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174.677118万元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按税务部门要求足额缴纳耕占税</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根据缴费时限，按规定足额缴纳耕占税及滞纳金</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已按照规定足额缴纳耕占税174.677118万元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按时缴纳耕占税及滞纳金</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2021年9月  15日前</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已在规定时间内缴纳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耕占税及滞纳金</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174.677118万元</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174.677118万元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促进土地资源的合理运用，增加地方财税收入</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加强土地管理，保护农用耕地</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限制非农业建设占用耕地，促进农业生产的全面协调发展</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限制非农业建设占用耕地，促进农业生产的全面协调发展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征收的耕地占用税收入在地方建立农业发展基金</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用于提高耕地质量，扩大耕地数量</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用于提高耕地质量，扩大耕地数量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保护耕地，维护社会稳定，促进可持续发展</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政府满意、企业满意、群众满意</w:t>
            </w:r>
          </w:p>
        </w:tc>
        <w:tc>
          <w:tcPr>
            <w:tcW w:w="1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tbl>
      <w:tblPr>
        <w:tblStyle w:val="16"/>
        <w:tblW w:w="8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0"/>
        <w:gridCol w:w="1005"/>
        <w:gridCol w:w="1350"/>
        <w:gridCol w:w="1770"/>
        <w:gridCol w:w="1770"/>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35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S301三堆羊盘至青川观音店段公路改建、宝轮环线道路（南线）建设用地耕占税及滞纳金项目绩效目标自评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广元市自然资源局利州区分局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广元市自然资源局利州区分局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319.14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执行情况（万元）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319.14</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319.14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1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为了合理利用土地资源，加强土地管理，保护耕地，依法对S301三堆羊盘至青川观音店段公路改建、宝轮环线道路（南线）建设用地征收耕占税及滞纳金。</w:t>
            </w:r>
          </w:p>
        </w:tc>
        <w:tc>
          <w:tcPr>
            <w:tcW w:w="3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为了合理利用土地资源，加强土地管理，保护耕地，依法对S301三堆羊盘至青川观音店段公路改建、宝轮环线道路（南线）建设用地征收耕占税及滞纳金。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耕占税及滞纳金按要求支付</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319.136521万元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319.136521万元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按税务部门要求足额缴纳耕占税</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根据缴费时限，按规定足额缴纳耕占税及滞纳金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已按照规定足额缴纳耕占税319.136521万元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按时缴纳耕占税及滞纳金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2021年6月25日前</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已在规定时间内缴纳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耕占税及滞纳金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319.136521万元</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319.136521万元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促进土地资源的合理运用，增加地方财税收入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加强土地管理，保护农用耕地</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限制非农业建设占用耕地，促进农业生产的全面协调发展</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限制非农业建设占用耕地，促进农业生产的全面协调发展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征收的耕地占用税收入在地方建立农业发展基金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用于提高耕地质量，扩大耕地数量</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用于提高耕地质量，扩大耕地数量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保护耕地，维护社会稳定，促进可持续发展</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政府满意、企业满意、群众满意</w:t>
            </w: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ind w:left="0" w:leftChars="0" w:firstLine="0" w:firstLineChars="0"/>
        <w:rPr>
          <w:rFonts w:hint="eastAsia" w:ascii="黑体" w:hAnsi="黑体" w:eastAsia="黑体" w:cs="黑体"/>
          <w:sz w:val="32"/>
          <w:szCs w:val="32"/>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tbl>
      <w:tblPr>
        <w:tblStyle w:val="16"/>
        <w:tblpPr w:leftFromText="180" w:rightFromText="180" w:vertAnchor="text" w:horzAnchor="page" w:tblpXSpec="center" w:tblpY="576"/>
        <w:tblOverlap w:val="never"/>
        <w:tblW w:w="9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3"/>
        <w:gridCol w:w="1138"/>
        <w:gridCol w:w="1300"/>
        <w:gridCol w:w="1666"/>
        <w:gridCol w:w="1384"/>
        <w:gridCol w:w="3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2" w:hRule="atLeast"/>
          <w:jc w:val="center"/>
        </w:trPr>
        <w:tc>
          <w:tcPr>
            <w:tcW w:w="916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2021年第23批次建设用地被征地农民社保资金预存款项目绩效目标自评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广元市自然资源局利州区分局</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广元市自然资源局利州区分局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1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301.02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16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执行情况（万元）</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301.02</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3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16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3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16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4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4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jc w:val="center"/>
        </w:trPr>
        <w:tc>
          <w:tcPr>
            <w:tcW w:w="4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拨付301.01968万元用于2021年第23批次建设用地等被征地农民社保资金预存款支出。</w:t>
            </w:r>
          </w:p>
        </w:tc>
        <w:tc>
          <w:tcPr>
            <w:tcW w:w="4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拨付301.01968万元用于2021年第23批次建设用地等被征地农民社保资金预存款支出。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3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社保预存款按要求支付</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301.01968万元</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301.01968万元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按照区社保中心测算结果全额缴纳</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按时缴纳社保预存款</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组卷上报省厅前完成缴纳</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已按照规定时间缴纳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社保资金预存款金额</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301.01968万元</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301.01968万元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保障项目用地，创造利润</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保护被征地需安置人员的合法权益</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确保安置人员社保资金落实到位</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确保安置人员社保资金落实到位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保护被征地需安置人员的合法社会权益，保障生态效益</w:t>
            </w: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保护被征地需安置人员的合法社会权益</w:t>
            </w:r>
          </w:p>
        </w:tc>
        <w:tc>
          <w:tcPr>
            <w:tcW w:w="31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保护被征地需安置人员的合法社会权益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1"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保护被征地群众合法权益，维护社会稳定，促进可持续发展</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c>
          <w:tcPr>
            <w:tcW w:w="3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为全区经济可持续发展提供保障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政府满意、企业满意、群众满意</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br w:type="page"/>
      </w:r>
    </w:p>
    <w:tbl>
      <w:tblPr>
        <w:tblStyle w:val="16"/>
        <w:tblW w:w="85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3"/>
        <w:gridCol w:w="665"/>
        <w:gridCol w:w="756"/>
        <w:gridCol w:w="4066"/>
        <w:gridCol w:w="1215"/>
        <w:gridCol w:w="1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5" w:hRule="atLeast"/>
          <w:jc w:val="center"/>
        </w:trPr>
        <w:tc>
          <w:tcPr>
            <w:tcW w:w="8565"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21年度第1批中央财政转移支付地质灾害防治专项资金项目绩效目标自评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广元市自然资源局利州区分局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广元市金土地投资开发有限公司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4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执行情况（万元）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4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2021年3月5日至2022年3月5日，完成项目实施工作。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2022年3月5日至2023年3月5日，完成项目初验、试运行监测、终验工作。</w:t>
            </w:r>
          </w:p>
        </w:tc>
        <w:tc>
          <w:tcPr>
            <w:tcW w:w="3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受疫情等因素影响，资金启动较晚，进度较为滞后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完成指标</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指标1：开展地质灾害隐患点治理工程</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指标2：开展地质灾害隐患点培训/演练覆盖率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指标3：规划任务在四川省地质环境管理信息系统填报率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指标1：按时编制并启动2022年度实施方案</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指标1：地质灾害预警预报能力较过去五年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指标2：核销地质灾害隐患数量</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5处</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指标3：项目实施后保护财产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7070万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指标1：项目实施保护人数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497人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指标2：监测预警区地质灾害防范能力</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服务对象指标</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指标1：实施区域群众防灾减灾参与度</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指标2：实施区域受益人群满意度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pStyle w:val="2"/>
        <w:rPr>
          <w:rFonts w:hint="default" w:ascii="黑体" w:hAnsi="黑体" w:eastAsia="黑体" w:cs="黑体"/>
          <w:sz w:val="32"/>
          <w:szCs w:val="32"/>
          <w:lang w:val="en-US" w:eastAsia="zh-CN"/>
        </w:rPr>
      </w:pPr>
    </w:p>
    <w:p>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br w:type="page"/>
      </w:r>
    </w:p>
    <w:tbl>
      <w:tblPr>
        <w:tblStyle w:val="16"/>
        <w:tblW w:w="90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5"/>
        <w:gridCol w:w="1380"/>
        <w:gridCol w:w="1245"/>
        <w:gridCol w:w="3240"/>
        <w:gridCol w:w="105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906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2</w:t>
            </w:r>
            <w:r>
              <w:rPr>
                <w:rFonts w:hint="eastAsia" w:ascii="宋体" w:hAnsi="宋体" w:eastAsia="宋体" w:cs="宋体"/>
                <w:b/>
                <w:bCs/>
                <w:i w:val="0"/>
                <w:iCs w:val="0"/>
                <w:color w:val="000000"/>
                <w:kern w:val="0"/>
                <w:sz w:val="32"/>
                <w:szCs w:val="32"/>
                <w:u w:val="none"/>
                <w:lang w:val="en-US" w:eastAsia="zh-CN" w:bidi="ar"/>
              </w:rPr>
              <w:t>021年度第2批省级财政转移支付地质灾害防治专项资金项目绩效目标自评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广元市自然资源局利州区分局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广元市金土地投资开发有限公司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9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执行情况（万元）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668.88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5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2021年7月30日至2022年7月30日，完成项目实施工作。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2022年7月30日至2023年7月30日，完成项目初验、试运行监测、终验工作。</w:t>
            </w: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受疫情等因素影响，启动较晚，进度较为滞后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完成指标</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指标1：开展地质灾害隐患点治理工程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指标2：开展群测群防专职监测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指标3：开展地质灾害隐患点排危除险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指标4：开展地质灾害隐患点培训/演练覆盖率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&gt;90%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指标5：规划任务在四川省地质环境管理信息系统填报率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指标1：按时编制并启动2022年度实施方案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指标1：地质灾害预警预报能力较过去五年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指标2：核销地质灾害隐患数量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指标3：项目实施后保护财产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3954万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指标1：项目实施保护人数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指标2：监测预警区地质灾害防范能力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服务对象指标</w:t>
            </w:r>
          </w:p>
        </w:tc>
        <w:tc>
          <w:tcPr>
            <w:tcW w:w="3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指标1：实施区域群众防灾减灾参与度</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指标2：实施区域受益人群满意度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pStyle w:val="2"/>
        <w:ind w:left="0" w:leftChars="0" w:firstLine="0" w:firstLineChars="0"/>
        <w:rPr>
          <w:rFonts w:hint="default" w:ascii="黑体" w:hAnsi="黑体" w:eastAsia="黑体" w:cs="黑体"/>
          <w:sz w:val="32"/>
          <w:szCs w:val="32"/>
          <w:lang w:val="en-US" w:eastAsia="zh-CN"/>
        </w:rPr>
      </w:pPr>
    </w:p>
    <w:p>
      <w:pPr>
        <w:keepNext w:val="0"/>
        <w:keepLines w:val="0"/>
        <w:widowControl/>
        <w:suppressLineNumbers w:val="0"/>
        <w:jc w:val="center"/>
        <w:textAlignment w:val="center"/>
        <w:rPr>
          <w:rFonts w:hint="eastAsia" w:ascii="宋体" w:hAnsi="宋体" w:cs="宋体"/>
          <w:b/>
          <w:bCs/>
          <w:i w:val="0"/>
          <w:iCs w:val="0"/>
          <w:color w:val="000000"/>
          <w:kern w:val="0"/>
          <w:sz w:val="32"/>
          <w:szCs w:val="32"/>
          <w:u w:val="none"/>
          <w:lang w:val="en-US" w:eastAsia="zh-CN" w:bidi="ar"/>
        </w:rPr>
      </w:pPr>
      <w:r>
        <w:rPr>
          <w:rFonts w:hint="eastAsia" w:ascii="宋体" w:hAnsi="宋体" w:cs="宋体"/>
          <w:b/>
          <w:bCs/>
          <w:i w:val="0"/>
          <w:iCs w:val="0"/>
          <w:color w:val="000000"/>
          <w:kern w:val="0"/>
          <w:sz w:val="32"/>
          <w:szCs w:val="32"/>
          <w:u w:val="none"/>
          <w:lang w:val="en-US" w:eastAsia="zh-CN" w:bidi="ar"/>
        </w:rPr>
        <w:br w:type="page"/>
      </w:r>
    </w:p>
    <w:tbl>
      <w:tblPr>
        <w:tblStyle w:val="16"/>
        <w:tblW w:w="94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035"/>
        <w:gridCol w:w="1245"/>
        <w:gridCol w:w="4080"/>
        <w:gridCol w:w="105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945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2</w:t>
            </w:r>
            <w:r>
              <w:rPr>
                <w:rFonts w:hint="eastAsia" w:ascii="宋体" w:hAnsi="宋体" w:eastAsia="宋体" w:cs="宋体"/>
                <w:b/>
                <w:bCs/>
                <w:i w:val="0"/>
                <w:iCs w:val="0"/>
                <w:color w:val="000000"/>
                <w:kern w:val="0"/>
                <w:sz w:val="32"/>
                <w:szCs w:val="32"/>
                <w:u w:val="none"/>
                <w:lang w:val="en-US" w:eastAsia="zh-CN" w:bidi="ar"/>
              </w:rPr>
              <w:t>021年度第4批省级财政转移支付地质灾害防治专项资金项目绩效目标自评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5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广元市自然资源局利州区分局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广元市金土地投资开发有限公司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预算数：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执行数：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执行情况（万元）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5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6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2021年12月31日至2022年12月31日，完成项目实施工作。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2022年12月31日至2023年12月31日，完成项目初验、试运行监测、终验工作。</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年度绩效指标完成情况</w:t>
            </w:r>
          </w:p>
        </w:tc>
        <w:tc>
          <w:tcPr>
            <w:tcW w:w="10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4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4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预期指标值</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完成指标</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指标1：开展地质灾害隐患点治理工程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指标2：规划任务在四川省地质环境管理信息系统填报率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指标1：核销地质灾害隐患数量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指标2：项目实施后保护财产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指标1：项目实施保护人数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指标2：监测预警区地质灾害防范能力</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4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服务对象指标</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指标1：实施区域群众防灾减灾参与度</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指标2：实施区域受益人群满意度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pStyle w:val="2"/>
        <w:ind w:left="0" w:leftChars="0" w:firstLine="0" w:firstLineChars="0"/>
        <w:rPr>
          <w:rFonts w:hint="default" w:ascii="黑体" w:hAnsi="黑体" w:eastAsia="黑体" w:cs="黑体"/>
          <w:sz w:val="32"/>
          <w:szCs w:val="32"/>
          <w:lang w:val="en-US" w:eastAsia="zh-CN"/>
        </w:rPr>
      </w:pPr>
    </w:p>
    <w:p>
      <w:pPr>
        <w:pStyle w:val="3"/>
        <w:bidi w:val="0"/>
        <w:jc w:val="center"/>
        <w:rPr>
          <w:rFonts w:hint="eastAsia" w:ascii="仿宋" w:hAnsi="仿宋" w:eastAsia="仿宋"/>
          <w:b w:val="0"/>
          <w:color w:val="auto"/>
          <w:sz w:val="32"/>
          <w:szCs w:val="32"/>
          <w:highlight w:val="none"/>
        </w:rPr>
      </w:pPr>
      <w:bookmarkStart w:id="88" w:name="_Toc8551"/>
      <w:bookmarkStart w:id="89" w:name="_Toc15396618"/>
      <w:r>
        <w:rPr>
          <w:rFonts w:hint="eastAsia"/>
          <w:sz w:val="32"/>
          <w:szCs w:val="32"/>
        </w:rPr>
        <w:t>第五部分 附表</w:t>
      </w:r>
      <w:bookmarkEnd w:id="79"/>
      <w:bookmarkEnd w:id="88"/>
      <w:bookmarkEnd w:id="89"/>
      <w:bookmarkStart w:id="90" w:name="_Toc15396619"/>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sz w:val="30"/>
          <w:szCs w:val="30"/>
        </w:rPr>
      </w:pPr>
      <w:bookmarkStart w:id="91" w:name="_Toc31384"/>
      <w:r>
        <w:rPr>
          <w:rFonts w:hint="eastAsia"/>
          <w:sz w:val="30"/>
          <w:szCs w:val="30"/>
        </w:rPr>
        <w:t>一、收入支出决算总表</w:t>
      </w:r>
      <w:bookmarkEnd w:id="90"/>
      <w:bookmarkEnd w:id="91"/>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sz w:val="30"/>
          <w:szCs w:val="30"/>
        </w:rPr>
      </w:pPr>
      <w:bookmarkStart w:id="92" w:name="_Toc16347"/>
      <w:bookmarkStart w:id="93" w:name="_Toc15396620"/>
      <w:r>
        <w:rPr>
          <w:rFonts w:hint="eastAsia"/>
          <w:sz w:val="30"/>
          <w:szCs w:val="30"/>
        </w:rPr>
        <w:t>二、收入决算表</w:t>
      </w:r>
      <w:bookmarkEnd w:id="92"/>
      <w:bookmarkEnd w:id="93"/>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sz w:val="30"/>
          <w:szCs w:val="30"/>
        </w:rPr>
      </w:pPr>
      <w:bookmarkStart w:id="94" w:name="_Toc13245"/>
      <w:bookmarkStart w:id="95" w:name="_Toc15396621"/>
      <w:r>
        <w:rPr>
          <w:rFonts w:hint="eastAsia"/>
          <w:sz w:val="30"/>
          <w:szCs w:val="30"/>
        </w:rPr>
        <w:t>三、支出决算表</w:t>
      </w:r>
      <w:bookmarkEnd w:id="94"/>
      <w:bookmarkEnd w:id="95"/>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sz w:val="30"/>
          <w:szCs w:val="30"/>
        </w:rPr>
      </w:pPr>
      <w:bookmarkStart w:id="96" w:name="_Toc15396622"/>
      <w:bookmarkStart w:id="97" w:name="_Toc10893"/>
      <w:r>
        <w:rPr>
          <w:rFonts w:hint="eastAsia"/>
          <w:sz w:val="30"/>
          <w:szCs w:val="30"/>
        </w:rPr>
        <w:t>四、财政拨款收入支出决算总表</w:t>
      </w:r>
      <w:bookmarkEnd w:id="96"/>
      <w:bookmarkEnd w:id="97"/>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sz w:val="30"/>
          <w:szCs w:val="30"/>
        </w:rPr>
      </w:pPr>
      <w:bookmarkStart w:id="98" w:name="_Toc15396623"/>
      <w:bookmarkStart w:id="99" w:name="_Toc13929"/>
      <w:r>
        <w:rPr>
          <w:rFonts w:hint="eastAsia"/>
          <w:sz w:val="30"/>
          <w:szCs w:val="30"/>
        </w:rPr>
        <w:t>五、财政拨款支出决算明细表</w:t>
      </w:r>
      <w:bookmarkEnd w:id="98"/>
      <w:bookmarkEnd w:id="99"/>
      <w:bookmarkStart w:id="100" w:name="_Toc15396624"/>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rFonts w:hint="eastAsia"/>
          <w:sz w:val="30"/>
          <w:szCs w:val="30"/>
        </w:rPr>
      </w:pPr>
      <w:bookmarkStart w:id="101" w:name="_Toc19164"/>
      <w:r>
        <w:rPr>
          <w:rFonts w:hint="eastAsia"/>
          <w:sz w:val="30"/>
          <w:szCs w:val="30"/>
        </w:rPr>
        <w:t>六、一般公共预算财政拨款支出决算表</w:t>
      </w:r>
      <w:bookmarkEnd w:id="100"/>
      <w:bookmarkEnd w:id="101"/>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rFonts w:hint="eastAsia"/>
          <w:sz w:val="30"/>
          <w:szCs w:val="30"/>
        </w:rPr>
      </w:pPr>
      <w:bookmarkStart w:id="102" w:name="_Toc15396625"/>
      <w:bookmarkStart w:id="103" w:name="_Toc2718"/>
      <w:r>
        <w:rPr>
          <w:rFonts w:hint="eastAsia"/>
          <w:sz w:val="30"/>
          <w:szCs w:val="30"/>
        </w:rPr>
        <w:t>七、一般公共预算财政拨款支出决算明细表</w:t>
      </w:r>
      <w:bookmarkEnd w:id="102"/>
      <w:bookmarkEnd w:id="103"/>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rFonts w:hint="eastAsia"/>
          <w:sz w:val="30"/>
          <w:szCs w:val="30"/>
        </w:rPr>
      </w:pPr>
      <w:bookmarkStart w:id="104" w:name="_Toc15396626"/>
      <w:bookmarkStart w:id="105" w:name="_Toc9339"/>
      <w:r>
        <w:rPr>
          <w:rFonts w:hint="eastAsia"/>
          <w:sz w:val="30"/>
          <w:szCs w:val="30"/>
        </w:rPr>
        <w:t>八、一般公共预算财政拨款基本支出决算表</w:t>
      </w:r>
      <w:bookmarkEnd w:id="104"/>
      <w:bookmarkEnd w:id="105"/>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rFonts w:hint="eastAsia"/>
          <w:sz w:val="30"/>
          <w:szCs w:val="30"/>
        </w:rPr>
      </w:pPr>
      <w:bookmarkStart w:id="106" w:name="_Toc15396627"/>
      <w:bookmarkStart w:id="107" w:name="_Toc6696"/>
      <w:r>
        <w:rPr>
          <w:rFonts w:hint="eastAsia"/>
          <w:sz w:val="30"/>
          <w:szCs w:val="30"/>
        </w:rPr>
        <w:t>九、一般公共预算财政拨款项目支出决算表</w:t>
      </w:r>
      <w:bookmarkEnd w:id="106"/>
      <w:bookmarkEnd w:id="107"/>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rFonts w:hint="eastAsia"/>
          <w:sz w:val="30"/>
          <w:szCs w:val="30"/>
        </w:rPr>
      </w:pPr>
      <w:bookmarkStart w:id="108" w:name="_Toc15396628"/>
      <w:bookmarkStart w:id="109" w:name="_Toc17221"/>
      <w:r>
        <w:rPr>
          <w:rFonts w:hint="eastAsia"/>
          <w:sz w:val="30"/>
          <w:szCs w:val="30"/>
        </w:rPr>
        <w:t>十、一般公共预算财政拨款“三公”经费支出决算表</w:t>
      </w:r>
      <w:bookmarkEnd w:id="108"/>
      <w:bookmarkEnd w:id="109"/>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rFonts w:hint="eastAsia"/>
          <w:sz w:val="30"/>
          <w:szCs w:val="30"/>
        </w:rPr>
      </w:pPr>
      <w:bookmarkStart w:id="110" w:name="_Toc28084"/>
      <w:bookmarkStart w:id="111" w:name="_Toc15396629"/>
      <w:r>
        <w:rPr>
          <w:rFonts w:hint="eastAsia"/>
          <w:sz w:val="30"/>
          <w:szCs w:val="30"/>
        </w:rPr>
        <w:t>十一、政府性基金预算财政拨款收入支出决算表</w:t>
      </w:r>
      <w:bookmarkEnd w:id="110"/>
      <w:bookmarkEnd w:id="111"/>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rFonts w:hint="eastAsia"/>
          <w:sz w:val="30"/>
          <w:szCs w:val="30"/>
        </w:rPr>
      </w:pPr>
      <w:bookmarkStart w:id="112" w:name="_Toc15396630"/>
      <w:bookmarkStart w:id="113" w:name="_Toc28805"/>
      <w:r>
        <w:rPr>
          <w:rFonts w:hint="eastAsia"/>
          <w:sz w:val="30"/>
          <w:szCs w:val="30"/>
        </w:rPr>
        <w:t>十二、政府性基金预算财政拨款“三公”经费支出决算表</w:t>
      </w:r>
      <w:bookmarkEnd w:id="112"/>
      <w:bookmarkEnd w:id="113"/>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rFonts w:hint="eastAsia"/>
          <w:sz w:val="30"/>
          <w:szCs w:val="30"/>
        </w:rPr>
      </w:pPr>
      <w:bookmarkStart w:id="114" w:name="_Toc18279"/>
      <w:bookmarkStart w:id="115" w:name="_Toc15396631"/>
      <w:r>
        <w:rPr>
          <w:rFonts w:hint="eastAsia"/>
          <w:sz w:val="30"/>
          <w:szCs w:val="30"/>
        </w:rPr>
        <w:t>十三、国有资本经营预算</w:t>
      </w:r>
      <w:r>
        <w:rPr>
          <w:rFonts w:hint="eastAsia"/>
          <w:sz w:val="30"/>
          <w:szCs w:val="30"/>
          <w:lang w:eastAsia="zh-CN"/>
        </w:rPr>
        <w:t>财政拨款收入</w:t>
      </w:r>
      <w:r>
        <w:rPr>
          <w:rFonts w:hint="eastAsia"/>
          <w:sz w:val="30"/>
          <w:szCs w:val="30"/>
        </w:rPr>
        <w:t>支出决算表</w:t>
      </w:r>
      <w:bookmarkEnd w:id="114"/>
      <w:bookmarkEnd w:id="115"/>
    </w:p>
    <w:p>
      <w:pPr>
        <w:pStyle w:val="4"/>
        <w:keepNext/>
        <w:keepLines/>
        <w:pageBreakBefore w:val="0"/>
        <w:widowControl w:val="0"/>
        <w:kinsoku/>
        <w:wordWrap/>
        <w:overflowPunct/>
        <w:topLinePunct w:val="0"/>
        <w:autoSpaceDE/>
        <w:autoSpaceDN/>
        <w:bidi w:val="0"/>
        <w:adjustRightInd/>
        <w:snapToGrid/>
        <w:spacing w:before="0" w:after="0" w:line="560" w:lineRule="exact"/>
        <w:ind w:firstLine="602" w:firstLineChars="200"/>
        <w:textAlignment w:val="auto"/>
        <w:rPr>
          <w:rFonts w:hint="eastAsia"/>
          <w:sz w:val="30"/>
          <w:szCs w:val="30"/>
          <w:lang w:eastAsia="zh-CN"/>
        </w:rPr>
      </w:pPr>
      <w:bookmarkStart w:id="116" w:name="_Toc13228"/>
      <w:r>
        <w:rPr>
          <w:rFonts w:hint="eastAsia"/>
          <w:sz w:val="30"/>
          <w:szCs w:val="30"/>
          <w:lang w:eastAsia="zh-CN"/>
        </w:rPr>
        <w:t>十四、国有资本经营预算财政拨款支出决算表</w:t>
      </w:r>
      <w:bookmarkEnd w:id="11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黑体"/>
    <w:panose1 w:val="02010601030101010101"/>
    <w:charset w:val="86"/>
    <w:family w:val="auto"/>
    <w:pitch w:val="default"/>
    <w:sig w:usb0="00000000" w:usb1="00000000" w:usb2="0000001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31B02F5"/>
    <w:multiLevelType w:val="singleLevel"/>
    <w:tmpl w:val="531B02F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RiNmFmNWY4NTIwNTFmOGM1YjQ5YWRlMTcxMW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39FE"/>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919F5"/>
    <w:rsid w:val="0147778C"/>
    <w:rsid w:val="015239DA"/>
    <w:rsid w:val="01B00680"/>
    <w:rsid w:val="01D30B9A"/>
    <w:rsid w:val="01EC3B0D"/>
    <w:rsid w:val="02910A6D"/>
    <w:rsid w:val="02B64C24"/>
    <w:rsid w:val="032F04D8"/>
    <w:rsid w:val="03F31506"/>
    <w:rsid w:val="04FC6AE0"/>
    <w:rsid w:val="05157BA2"/>
    <w:rsid w:val="051668EE"/>
    <w:rsid w:val="053E48E9"/>
    <w:rsid w:val="054C3101"/>
    <w:rsid w:val="05E857EE"/>
    <w:rsid w:val="06C947A0"/>
    <w:rsid w:val="071618B2"/>
    <w:rsid w:val="072D7D95"/>
    <w:rsid w:val="074D53D1"/>
    <w:rsid w:val="07BC4FBB"/>
    <w:rsid w:val="07E163D5"/>
    <w:rsid w:val="089450F6"/>
    <w:rsid w:val="089E06FD"/>
    <w:rsid w:val="08B84ACC"/>
    <w:rsid w:val="08C6368D"/>
    <w:rsid w:val="09413606"/>
    <w:rsid w:val="09816188"/>
    <w:rsid w:val="09D73678"/>
    <w:rsid w:val="09E46395"/>
    <w:rsid w:val="0A2032A3"/>
    <w:rsid w:val="0A4B3252"/>
    <w:rsid w:val="0A881BEC"/>
    <w:rsid w:val="0AF838A6"/>
    <w:rsid w:val="0B8A37D8"/>
    <w:rsid w:val="0BEA2215"/>
    <w:rsid w:val="0BEA58E4"/>
    <w:rsid w:val="0D1A32D4"/>
    <w:rsid w:val="0E010A5F"/>
    <w:rsid w:val="0E0371A7"/>
    <w:rsid w:val="0E5F2681"/>
    <w:rsid w:val="0EF63DBF"/>
    <w:rsid w:val="0F19203C"/>
    <w:rsid w:val="0F6459AD"/>
    <w:rsid w:val="101B105B"/>
    <w:rsid w:val="10C055FF"/>
    <w:rsid w:val="11711CA4"/>
    <w:rsid w:val="118107EC"/>
    <w:rsid w:val="11DD6519"/>
    <w:rsid w:val="12116348"/>
    <w:rsid w:val="13A37AA9"/>
    <w:rsid w:val="13BA3DEE"/>
    <w:rsid w:val="1471073F"/>
    <w:rsid w:val="149474F9"/>
    <w:rsid w:val="151A1936"/>
    <w:rsid w:val="152879C5"/>
    <w:rsid w:val="166A797E"/>
    <w:rsid w:val="168E2D26"/>
    <w:rsid w:val="16BB723D"/>
    <w:rsid w:val="174B34DD"/>
    <w:rsid w:val="18015F3F"/>
    <w:rsid w:val="182257D2"/>
    <w:rsid w:val="182C1032"/>
    <w:rsid w:val="188661BD"/>
    <w:rsid w:val="194B1EC4"/>
    <w:rsid w:val="19601486"/>
    <w:rsid w:val="1A6375DD"/>
    <w:rsid w:val="1AB21B73"/>
    <w:rsid w:val="1B20508D"/>
    <w:rsid w:val="1B583D8E"/>
    <w:rsid w:val="1B79458F"/>
    <w:rsid w:val="1B7D3F43"/>
    <w:rsid w:val="1B9E79C0"/>
    <w:rsid w:val="1BB9498B"/>
    <w:rsid w:val="1BE8440E"/>
    <w:rsid w:val="1CAE64BA"/>
    <w:rsid w:val="1D155CEE"/>
    <w:rsid w:val="1D4754C2"/>
    <w:rsid w:val="1D5E1C8E"/>
    <w:rsid w:val="1DCE028B"/>
    <w:rsid w:val="1DED4DC0"/>
    <w:rsid w:val="1E14234D"/>
    <w:rsid w:val="1E895F8B"/>
    <w:rsid w:val="1E973A16"/>
    <w:rsid w:val="1EB03B94"/>
    <w:rsid w:val="1EE737B5"/>
    <w:rsid w:val="1F046865"/>
    <w:rsid w:val="1F374545"/>
    <w:rsid w:val="1FA10DF7"/>
    <w:rsid w:val="1FE12702"/>
    <w:rsid w:val="1FE775B4"/>
    <w:rsid w:val="2003330F"/>
    <w:rsid w:val="20A97884"/>
    <w:rsid w:val="20AC37BC"/>
    <w:rsid w:val="20BC3F31"/>
    <w:rsid w:val="20F57F95"/>
    <w:rsid w:val="223E3E3C"/>
    <w:rsid w:val="22ED1171"/>
    <w:rsid w:val="2322469F"/>
    <w:rsid w:val="23DC1B5F"/>
    <w:rsid w:val="240371BF"/>
    <w:rsid w:val="24172581"/>
    <w:rsid w:val="24E76E09"/>
    <w:rsid w:val="25041044"/>
    <w:rsid w:val="25910727"/>
    <w:rsid w:val="25C741E6"/>
    <w:rsid w:val="2630659C"/>
    <w:rsid w:val="263F0183"/>
    <w:rsid w:val="269C7383"/>
    <w:rsid w:val="26A232B0"/>
    <w:rsid w:val="2701019D"/>
    <w:rsid w:val="270254A0"/>
    <w:rsid w:val="27842671"/>
    <w:rsid w:val="27B85124"/>
    <w:rsid w:val="28484715"/>
    <w:rsid w:val="28E239B5"/>
    <w:rsid w:val="292540AD"/>
    <w:rsid w:val="29A473B4"/>
    <w:rsid w:val="29AA0009"/>
    <w:rsid w:val="29B11398"/>
    <w:rsid w:val="29FD04D3"/>
    <w:rsid w:val="2A044ADE"/>
    <w:rsid w:val="2A9F6027"/>
    <w:rsid w:val="2AB949A8"/>
    <w:rsid w:val="2ABE7A3E"/>
    <w:rsid w:val="2AFC0FCB"/>
    <w:rsid w:val="2BB9492F"/>
    <w:rsid w:val="2C2C11A9"/>
    <w:rsid w:val="2CA46F92"/>
    <w:rsid w:val="2CD71115"/>
    <w:rsid w:val="2D5269EE"/>
    <w:rsid w:val="2D8356F1"/>
    <w:rsid w:val="2DB72CF5"/>
    <w:rsid w:val="2DE8495E"/>
    <w:rsid w:val="2E883A48"/>
    <w:rsid w:val="2ECA1E1A"/>
    <w:rsid w:val="2EFA178C"/>
    <w:rsid w:val="2F127420"/>
    <w:rsid w:val="2F5646C4"/>
    <w:rsid w:val="2F5B427F"/>
    <w:rsid w:val="2FD13178"/>
    <w:rsid w:val="2FF80C51"/>
    <w:rsid w:val="30195E8A"/>
    <w:rsid w:val="302F02C4"/>
    <w:rsid w:val="30B46D73"/>
    <w:rsid w:val="31605B7D"/>
    <w:rsid w:val="317214B9"/>
    <w:rsid w:val="319F7F4E"/>
    <w:rsid w:val="31D245A1"/>
    <w:rsid w:val="329114D7"/>
    <w:rsid w:val="32AC2736"/>
    <w:rsid w:val="33BF0EC0"/>
    <w:rsid w:val="34155C30"/>
    <w:rsid w:val="34254E5C"/>
    <w:rsid w:val="342A2472"/>
    <w:rsid w:val="354E4778"/>
    <w:rsid w:val="355E6877"/>
    <w:rsid w:val="35D44E2C"/>
    <w:rsid w:val="37227431"/>
    <w:rsid w:val="372A42BA"/>
    <w:rsid w:val="37AE6F16"/>
    <w:rsid w:val="38744170"/>
    <w:rsid w:val="38AE0DF4"/>
    <w:rsid w:val="399565E0"/>
    <w:rsid w:val="39AE70AB"/>
    <w:rsid w:val="39D72754"/>
    <w:rsid w:val="3A465E06"/>
    <w:rsid w:val="3AF70640"/>
    <w:rsid w:val="3B7F67AB"/>
    <w:rsid w:val="3C0C0783"/>
    <w:rsid w:val="3C40786D"/>
    <w:rsid w:val="3C423589"/>
    <w:rsid w:val="3CE8111C"/>
    <w:rsid w:val="3CF47AC1"/>
    <w:rsid w:val="3D05582A"/>
    <w:rsid w:val="3D256E7C"/>
    <w:rsid w:val="3D3103CE"/>
    <w:rsid w:val="3E1C000D"/>
    <w:rsid w:val="3E671575"/>
    <w:rsid w:val="3F0044FB"/>
    <w:rsid w:val="3F304820"/>
    <w:rsid w:val="3F5E56C6"/>
    <w:rsid w:val="3F9F3A96"/>
    <w:rsid w:val="3FB5178A"/>
    <w:rsid w:val="40243B8A"/>
    <w:rsid w:val="40302BBE"/>
    <w:rsid w:val="40452525"/>
    <w:rsid w:val="40582115"/>
    <w:rsid w:val="414B637C"/>
    <w:rsid w:val="41D36A95"/>
    <w:rsid w:val="42A40880"/>
    <w:rsid w:val="433B57B2"/>
    <w:rsid w:val="446077EA"/>
    <w:rsid w:val="44BC521D"/>
    <w:rsid w:val="45DF0019"/>
    <w:rsid w:val="4630064A"/>
    <w:rsid w:val="46532611"/>
    <w:rsid w:val="46684540"/>
    <w:rsid w:val="471F6B39"/>
    <w:rsid w:val="47F477D2"/>
    <w:rsid w:val="483528AE"/>
    <w:rsid w:val="486C2C02"/>
    <w:rsid w:val="49184C88"/>
    <w:rsid w:val="491B507B"/>
    <w:rsid w:val="491D57CF"/>
    <w:rsid w:val="493C27E9"/>
    <w:rsid w:val="494254CB"/>
    <w:rsid w:val="496833C9"/>
    <w:rsid w:val="496F39ED"/>
    <w:rsid w:val="49DB1DED"/>
    <w:rsid w:val="49FF41D3"/>
    <w:rsid w:val="4A60723A"/>
    <w:rsid w:val="4AB80380"/>
    <w:rsid w:val="4B5913DF"/>
    <w:rsid w:val="4BE068DB"/>
    <w:rsid w:val="4BEF1B80"/>
    <w:rsid w:val="4BF6002B"/>
    <w:rsid w:val="4C4D2D4A"/>
    <w:rsid w:val="4C5D5CF6"/>
    <w:rsid w:val="4CA54934"/>
    <w:rsid w:val="4CA74208"/>
    <w:rsid w:val="4CD072D5"/>
    <w:rsid w:val="4D3F4BC5"/>
    <w:rsid w:val="4E2A50F1"/>
    <w:rsid w:val="4E740A62"/>
    <w:rsid w:val="4E8A004E"/>
    <w:rsid w:val="4ECE2238"/>
    <w:rsid w:val="4F587392"/>
    <w:rsid w:val="50813C9D"/>
    <w:rsid w:val="50822328"/>
    <w:rsid w:val="508545E5"/>
    <w:rsid w:val="51510420"/>
    <w:rsid w:val="51581F75"/>
    <w:rsid w:val="515D24E6"/>
    <w:rsid w:val="517F7B07"/>
    <w:rsid w:val="51DB4B86"/>
    <w:rsid w:val="51F85506"/>
    <w:rsid w:val="52985F19"/>
    <w:rsid w:val="52AE76AF"/>
    <w:rsid w:val="536D4A7F"/>
    <w:rsid w:val="538F59F6"/>
    <w:rsid w:val="54596730"/>
    <w:rsid w:val="54F010B9"/>
    <w:rsid w:val="54FB2D2D"/>
    <w:rsid w:val="55333C3E"/>
    <w:rsid w:val="5540344C"/>
    <w:rsid w:val="558821CD"/>
    <w:rsid w:val="564D48DB"/>
    <w:rsid w:val="570D2E66"/>
    <w:rsid w:val="572C6199"/>
    <w:rsid w:val="57430A0D"/>
    <w:rsid w:val="574B06C0"/>
    <w:rsid w:val="57914433"/>
    <w:rsid w:val="57FB7AFE"/>
    <w:rsid w:val="587773C2"/>
    <w:rsid w:val="58C44394"/>
    <w:rsid w:val="591B0A6C"/>
    <w:rsid w:val="59281F8A"/>
    <w:rsid w:val="59403FAC"/>
    <w:rsid w:val="59F023FC"/>
    <w:rsid w:val="5A1153B7"/>
    <w:rsid w:val="5A6E2809"/>
    <w:rsid w:val="5AAE089A"/>
    <w:rsid w:val="5AC4067B"/>
    <w:rsid w:val="5AF20181"/>
    <w:rsid w:val="5B185030"/>
    <w:rsid w:val="5B554805"/>
    <w:rsid w:val="5BED3EED"/>
    <w:rsid w:val="5C3B671B"/>
    <w:rsid w:val="5CE2128D"/>
    <w:rsid w:val="5CE942BF"/>
    <w:rsid w:val="5D5E0913"/>
    <w:rsid w:val="5E871D8E"/>
    <w:rsid w:val="5F066B06"/>
    <w:rsid w:val="5F233DA4"/>
    <w:rsid w:val="5F9D5D70"/>
    <w:rsid w:val="5FB40CBE"/>
    <w:rsid w:val="60803296"/>
    <w:rsid w:val="608D2202"/>
    <w:rsid w:val="60C45590"/>
    <w:rsid w:val="61073D52"/>
    <w:rsid w:val="613538EE"/>
    <w:rsid w:val="615D1B5A"/>
    <w:rsid w:val="61642270"/>
    <w:rsid w:val="619C534F"/>
    <w:rsid w:val="62472FAC"/>
    <w:rsid w:val="626D33A6"/>
    <w:rsid w:val="63545442"/>
    <w:rsid w:val="63805B4A"/>
    <w:rsid w:val="64874BF3"/>
    <w:rsid w:val="64CA39A1"/>
    <w:rsid w:val="65232648"/>
    <w:rsid w:val="65253AB0"/>
    <w:rsid w:val="652C10F2"/>
    <w:rsid w:val="652E32C1"/>
    <w:rsid w:val="65827169"/>
    <w:rsid w:val="65EA2CDA"/>
    <w:rsid w:val="669315AD"/>
    <w:rsid w:val="669F7437"/>
    <w:rsid w:val="67580ECF"/>
    <w:rsid w:val="67AA54E0"/>
    <w:rsid w:val="67CC0761"/>
    <w:rsid w:val="67E549D0"/>
    <w:rsid w:val="67F62750"/>
    <w:rsid w:val="68210EBB"/>
    <w:rsid w:val="683230C8"/>
    <w:rsid w:val="696465F8"/>
    <w:rsid w:val="6A266C5C"/>
    <w:rsid w:val="6B0F3B19"/>
    <w:rsid w:val="6B583B6A"/>
    <w:rsid w:val="6B95350B"/>
    <w:rsid w:val="6BE741CA"/>
    <w:rsid w:val="6C4A05C8"/>
    <w:rsid w:val="6C58248B"/>
    <w:rsid w:val="6D4530D8"/>
    <w:rsid w:val="6D5B6C1D"/>
    <w:rsid w:val="6DCA6AC4"/>
    <w:rsid w:val="6DEF21E8"/>
    <w:rsid w:val="6EA60822"/>
    <w:rsid w:val="6EF065CD"/>
    <w:rsid w:val="6F247B53"/>
    <w:rsid w:val="6F2F4168"/>
    <w:rsid w:val="6F407D0F"/>
    <w:rsid w:val="6F6705CF"/>
    <w:rsid w:val="6F726A49"/>
    <w:rsid w:val="6FC56BB6"/>
    <w:rsid w:val="6FF944CB"/>
    <w:rsid w:val="715776FB"/>
    <w:rsid w:val="72734D90"/>
    <w:rsid w:val="728C72DC"/>
    <w:rsid w:val="729418D2"/>
    <w:rsid w:val="72DA4A88"/>
    <w:rsid w:val="72F369B9"/>
    <w:rsid w:val="73164F06"/>
    <w:rsid w:val="73544DFA"/>
    <w:rsid w:val="73B2330F"/>
    <w:rsid w:val="73FE53AA"/>
    <w:rsid w:val="745F7FC9"/>
    <w:rsid w:val="74726590"/>
    <w:rsid w:val="74C8069D"/>
    <w:rsid w:val="74E56975"/>
    <w:rsid w:val="75DC4673"/>
    <w:rsid w:val="76737FC9"/>
    <w:rsid w:val="770C7365"/>
    <w:rsid w:val="773F4EBA"/>
    <w:rsid w:val="77BC475C"/>
    <w:rsid w:val="77F7310A"/>
    <w:rsid w:val="78742EF2"/>
    <w:rsid w:val="78BD69DE"/>
    <w:rsid w:val="79073835"/>
    <w:rsid w:val="791D122B"/>
    <w:rsid w:val="79E7B28D"/>
    <w:rsid w:val="7A1331F3"/>
    <w:rsid w:val="7A7632E8"/>
    <w:rsid w:val="7A8D23E0"/>
    <w:rsid w:val="7ACE4ED2"/>
    <w:rsid w:val="7B9B6EAF"/>
    <w:rsid w:val="7C5046FE"/>
    <w:rsid w:val="7CF65C55"/>
    <w:rsid w:val="7D5E0064"/>
    <w:rsid w:val="7D770F5C"/>
    <w:rsid w:val="7D947B39"/>
    <w:rsid w:val="7D9B762C"/>
    <w:rsid w:val="7DCA74A7"/>
    <w:rsid w:val="7F4305FB"/>
    <w:rsid w:val="7F9F20EE"/>
    <w:rsid w:val="7FB04AAA"/>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啊"/>
    <w:basedOn w:val="1"/>
    <w:qFormat/>
    <w:uiPriority w:val="0"/>
    <w:pPr>
      <w:spacing w:beforeLines="100" w:line="276" w:lineRule="auto"/>
      <w:ind w:left="210" w:right="210" w:firstLine="600"/>
      <w:contextualSpacing/>
    </w:pPr>
    <w:rPr>
      <w:rFonts w:ascii="微软雅黑" w:hAnsi="微软雅黑"/>
      <w:color w:val="000000"/>
      <w:sz w:val="24"/>
      <w:szCs w:val="21"/>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99"/>
    <w:pPr>
      <w:spacing w:after="120"/>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Body Text First Indent 2"/>
    <w:basedOn w:val="7"/>
    <w:next w:val="1"/>
    <w:qFormat/>
    <w:uiPriority w:val="99"/>
    <w:pPr>
      <w:ind w:firstLine="42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3"/>
    <w:qFormat/>
    <w:uiPriority w:val="9"/>
    <w:rPr>
      <w:rFonts w:ascii="Times New Roman" w:hAnsi="Times New Roman"/>
      <w:b/>
      <w:bCs/>
      <w:kern w:val="44"/>
      <w:sz w:val="44"/>
      <w:szCs w:val="44"/>
    </w:rPr>
  </w:style>
  <w:style w:type="character" w:customStyle="1" w:styleId="29">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7"/>
    <w:link w:val="9"/>
    <w:semiHidden/>
    <w:qFormat/>
    <w:uiPriority w:val="99"/>
    <w:rPr>
      <w:rFonts w:ascii="Times New Roman" w:hAnsi="Times New Roman"/>
      <w:kern w:val="2"/>
      <w:sz w:val="18"/>
      <w:szCs w:val="18"/>
    </w:rPr>
  </w:style>
  <w:style w:type="character" w:customStyle="1" w:styleId="32">
    <w:name w:val="标题 3 Char"/>
    <w:basedOn w:val="17"/>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Times New Roman"/>
      <w:color w:val="000000"/>
      <w:kern w:val="0"/>
      <w:sz w:val="28"/>
      <w:szCs w:val="21"/>
    </w:rPr>
  </w:style>
  <w:style w:type="character" w:customStyle="1" w:styleId="35">
    <w:name w:val="Heading 3 Char"/>
    <w:basedOn w:val="17"/>
    <w:link w:val="5"/>
    <w:qFormat/>
    <w:locked/>
    <w:uiPriority w:val="99"/>
    <w:rPr>
      <w:b/>
      <w:bCs/>
      <w:sz w:val="32"/>
      <w:szCs w:val="32"/>
    </w:rPr>
  </w:style>
  <w:style w:type="paragraph" w:customStyle="1" w:styleId="36">
    <w:name w:val="WPSOffice手动目录 1"/>
    <w:uiPriority w:val="0"/>
    <w:pPr>
      <w:ind w:leftChars="0"/>
    </w:pPr>
    <w:rPr>
      <w:rFonts w:ascii="Times New Roman" w:hAnsi="Times New Roman" w:eastAsia="宋体" w:cs="Times New Roman"/>
      <w:sz w:val="20"/>
      <w:szCs w:val="20"/>
    </w:rPr>
  </w:style>
  <w:style w:type="paragraph" w:customStyle="1" w:styleId="37">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4453;&#21150;\2021&#24180;&#24230;&#20915;&#31639;&#20844;&#24320;\&#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4453;&#21150;\2021&#24180;&#24230;&#20915;&#31639;&#20844;&#24320;\&#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4453;&#21150;\2021&#24180;&#24230;&#20915;&#31639;&#20844;&#24320;\&#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4453;&#21150;\2021&#24180;&#24230;&#20915;&#31639;&#20844;&#24320;\&#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4453;&#21150;\2021&#24180;&#24230;&#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4453;&#21150;\2021&#24180;&#24230;&#20915;&#31639;&#20844;&#24320;\&#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4453;&#21150;\2021&#24180;&#2423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83194444444444"/>
          <c:y val="0.0416666666666667"/>
        </c:manualLayout>
      </c:layout>
      <c:overlay val="0"/>
      <c:spPr>
        <a:noFill/>
        <a:ln>
          <a:noFill/>
        </a:ln>
        <a:effectLst/>
      </c:spPr>
    </c:title>
    <c:autoTitleDeleted val="0"/>
    <c:plotArea>
      <c:layout/>
      <c:barChart>
        <c:barDir val="col"/>
        <c:grouping val="clustered"/>
        <c:varyColors val="0"/>
        <c:ser>
          <c:idx val="0"/>
          <c:order val="0"/>
          <c:tx>
            <c:strRef>
              <c:f>[图表.xlsx]Sheet1!$A$3</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[图表.xlsx]Sheet1!$B$2:$C$2</c:f>
              <c:strCache>
                <c:ptCount val="2"/>
                <c:pt idx="0">
                  <c:v>收入</c:v>
                </c:pt>
                <c:pt idx="1">
                  <c:v>支出</c:v>
                </c:pt>
              </c:strCache>
            </c:strRef>
          </c:cat>
          <c:val>
            <c:numRef>
              <c:f>[图表.xlsx]Sheet1!$B$3:$C$3</c:f>
              <c:numCache>
                <c:formatCode>General</c:formatCode>
                <c:ptCount val="2"/>
                <c:pt idx="0">
                  <c:v>8835.24</c:v>
                </c:pt>
                <c:pt idx="1">
                  <c:v>8387.44</c:v>
                </c:pt>
              </c:numCache>
            </c:numRef>
          </c:val>
        </c:ser>
        <c:ser>
          <c:idx val="1"/>
          <c:order val="1"/>
          <c:tx>
            <c:strRef>
              <c:f>[图表.xlsx]Sheet1!$A$4</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[图表.xlsx]Sheet1!$B$2:$C$2</c:f>
              <c:strCache>
                <c:ptCount val="2"/>
                <c:pt idx="0">
                  <c:v>收入</c:v>
                </c:pt>
                <c:pt idx="1">
                  <c:v>支出</c:v>
                </c:pt>
              </c:strCache>
            </c:strRef>
          </c:cat>
          <c:val>
            <c:numRef>
              <c:f>[图表.xlsx]Sheet1!$B$4:$C$4</c:f>
              <c:numCache>
                <c:formatCode>General</c:formatCode>
                <c:ptCount val="2"/>
                <c:pt idx="0">
                  <c:v>6789.61</c:v>
                </c:pt>
                <c:pt idx="1">
                  <c:v>8505.42</c:v>
                </c:pt>
              </c:numCache>
            </c:numRef>
          </c:val>
        </c:ser>
        <c:dLbls>
          <c:showLegendKey val="0"/>
          <c:showVal val="1"/>
          <c:showCatName val="0"/>
          <c:showSerName val="0"/>
          <c:showPercent val="0"/>
          <c:showBubbleSize val="0"/>
        </c:dLbls>
        <c:gapWidth val="219"/>
        <c:overlap val="-27"/>
        <c:axId val="328923083"/>
        <c:axId val="715069464"/>
      </c:barChart>
      <c:catAx>
        <c:axId val="3289230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069464"/>
        <c:crosses val="autoZero"/>
        <c:auto val="1"/>
        <c:lblAlgn val="ctr"/>
        <c:lblOffset val="100"/>
        <c:noMultiLvlLbl val="0"/>
      </c:catAx>
      <c:valAx>
        <c:axId val="715069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892308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606828978690757"/>
                  <c:y val="-0.22637482662873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73182891353532"/>
                  <c:y val="0.14998594536513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[图表.xlsx]Sheet1!$H$2:$I$2</c:f>
              <c:strCache>
                <c:ptCount val="2"/>
                <c:pt idx="0">
                  <c:v>一般公共预算财政拨款收入</c:v>
                </c:pt>
                <c:pt idx="1">
                  <c:v>政府性基金预算财政拨款收入</c:v>
                </c:pt>
              </c:strCache>
            </c:strRef>
          </c:cat>
          <c:val>
            <c:numRef>
              <c:f>[图表.xlsx]Sheet1!$H$3:$I$3</c:f>
              <c:numCache>
                <c:formatCode>General</c:formatCode>
                <c:ptCount val="2"/>
                <c:pt idx="0">
                  <c:v>4620.23</c:v>
                </c:pt>
                <c:pt idx="1">
                  <c:v>2169.38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33404521835349"/>
                  <c:y val="0.15618727386574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645904719351648"/>
                  <c:y val="-0.25688171449034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[图表.xlsx]Sheet1!$L$2:$M$2</c:f>
              <c:strCache>
                <c:ptCount val="2"/>
                <c:pt idx="0">
                  <c:v>基本支出</c:v>
                </c:pt>
                <c:pt idx="1">
                  <c:v>项目支出</c:v>
                </c:pt>
              </c:strCache>
            </c:strRef>
          </c:cat>
          <c:val>
            <c:numRef>
              <c:f>[图表.xlsx]Sheet1!$L$3:$M$3</c:f>
              <c:numCache>
                <c:formatCode>General</c:formatCode>
                <c:ptCount val="2"/>
                <c:pt idx="0">
                  <c:v>1125.42</c:v>
                </c:pt>
                <c:pt idx="1">
                  <c:v>7380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67916666666667"/>
          <c:y val="0.0486111111111111"/>
        </c:manualLayout>
      </c:layout>
      <c:overlay val="0"/>
      <c:spPr>
        <a:noFill/>
        <a:ln>
          <a:noFill/>
        </a:ln>
        <a:effectLst/>
      </c:spPr>
    </c:title>
    <c:autoTitleDeleted val="0"/>
    <c:plotArea>
      <c:layout/>
      <c:barChart>
        <c:barDir val="col"/>
        <c:grouping val="clustered"/>
        <c:varyColors val="0"/>
        <c:ser>
          <c:idx val="0"/>
          <c:order val="0"/>
          <c:tx>
            <c:strRef>
              <c:f>[图表.xlsx]Sheet1!$A$26</c:f>
              <c:strCache>
                <c:ptCount val="1"/>
                <c:pt idx="0">
                  <c:v>2020</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[图表.xlsx]Sheet1!$B$25:$C$25</c:f>
              <c:strCache>
                <c:ptCount val="2"/>
                <c:pt idx="0">
                  <c:v>财政拨款收入</c:v>
                </c:pt>
                <c:pt idx="1">
                  <c:v>财政拨款支出</c:v>
                </c:pt>
              </c:strCache>
            </c:strRef>
          </c:cat>
          <c:val>
            <c:numRef>
              <c:f>[图表.xlsx]Sheet1!$B$26:$C$26</c:f>
              <c:numCache>
                <c:formatCode>General</c:formatCode>
                <c:ptCount val="2"/>
                <c:pt idx="0">
                  <c:v>8835.24</c:v>
                </c:pt>
                <c:pt idx="1">
                  <c:v>8387.44</c:v>
                </c:pt>
              </c:numCache>
            </c:numRef>
          </c:val>
        </c:ser>
        <c:ser>
          <c:idx val="1"/>
          <c:order val="1"/>
          <c:tx>
            <c:strRef>
              <c:f>[图表.xlsx]Sheet1!$A$27</c:f>
              <c:strCache>
                <c:ptCount val="1"/>
                <c:pt idx="0">
                  <c:v>2021</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[图表.xlsx]Sheet1!$B$25:$C$25</c:f>
              <c:strCache>
                <c:ptCount val="2"/>
                <c:pt idx="0">
                  <c:v>财政拨款收入</c:v>
                </c:pt>
                <c:pt idx="1">
                  <c:v>财政拨款支出</c:v>
                </c:pt>
              </c:strCache>
            </c:strRef>
          </c:cat>
          <c:val>
            <c:numRef>
              <c:f>[图表.xlsx]Sheet1!$B$27:$C$27</c:f>
              <c:numCache>
                <c:formatCode>General</c:formatCode>
                <c:ptCount val="2"/>
                <c:pt idx="0">
                  <c:v>6789.61</c:v>
                </c:pt>
                <c:pt idx="1">
                  <c:v>8505.42</c:v>
                </c:pt>
              </c:numCache>
            </c:numRef>
          </c:val>
        </c:ser>
        <c:dLbls>
          <c:showLegendKey val="0"/>
          <c:showVal val="1"/>
          <c:showCatName val="0"/>
          <c:showSerName val="0"/>
          <c:showPercent val="0"/>
          <c:showBubbleSize val="0"/>
        </c:dLbls>
        <c:gapWidth val="219"/>
        <c:overlap val="-27"/>
        <c:axId val="794192941"/>
        <c:axId val="441653733"/>
      </c:barChart>
      <c:catAx>
        <c:axId val="79419294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1653733"/>
        <c:crosses val="autoZero"/>
        <c:auto val="1"/>
        <c:lblAlgn val="ctr"/>
        <c:lblOffset val="100"/>
        <c:noMultiLvlLbl val="0"/>
      </c:catAx>
      <c:valAx>
        <c:axId val="44165373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419294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 单位：万元</a:t>
            </a:r>
          </a:p>
        </c:rich>
      </c:tx>
      <c:layout>
        <c:manualLayout>
          <c:xMode val="edge"/>
          <c:yMode val="edge"/>
          <c:x val="0.728125"/>
          <c:y val="0.0451388888888889"/>
        </c:manualLayout>
      </c:layout>
      <c:overlay val="0"/>
      <c:spPr>
        <a:noFill/>
        <a:ln>
          <a:noFill/>
        </a:ln>
        <a:effectLst/>
      </c:spPr>
    </c:title>
    <c:autoTitleDeleted val="0"/>
    <c:plotArea>
      <c:layout/>
      <c:barChart>
        <c:barDir val="col"/>
        <c:grouping val="clustered"/>
        <c:varyColors val="0"/>
        <c:ser>
          <c:idx val="0"/>
          <c:order val="0"/>
          <c:tx>
            <c:strRef>
              <c:f>[图表.xlsx]Sheet1!$H$25</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[图表.xlsx]Sheet1!$G$26:$G$27</c:f>
              <c:numCache>
                <c:formatCode>General</c:formatCode>
                <c:ptCount val="2"/>
                <c:pt idx="0">
                  <c:v>2020</c:v>
                </c:pt>
                <c:pt idx="1">
                  <c:v>2021</c:v>
                </c:pt>
              </c:numCache>
            </c:numRef>
          </c:cat>
          <c:val>
            <c:numRef>
              <c:f>[图表.xlsx]Sheet1!$H$26:$H$27</c:f>
              <c:numCache>
                <c:formatCode>General</c:formatCode>
                <c:ptCount val="2"/>
                <c:pt idx="0">
                  <c:v>4035.66</c:v>
                </c:pt>
                <c:pt idx="1">
                  <c:v>3785.8</c:v>
                </c:pt>
              </c:numCache>
            </c:numRef>
          </c:val>
        </c:ser>
        <c:dLbls>
          <c:showLegendKey val="0"/>
          <c:showVal val="1"/>
          <c:showCatName val="0"/>
          <c:showSerName val="0"/>
          <c:showPercent val="0"/>
          <c:showBubbleSize val="0"/>
        </c:dLbls>
        <c:gapWidth val="219"/>
        <c:overlap val="-27"/>
        <c:axId val="914351618"/>
        <c:axId val="233048119"/>
      </c:barChart>
      <c:catAx>
        <c:axId val="9143516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3048119"/>
        <c:crosses val="autoZero"/>
        <c:auto val="1"/>
        <c:lblAlgn val="ctr"/>
        <c:lblOffset val="100"/>
        <c:noMultiLvlLbl val="0"/>
      </c:catAx>
      <c:valAx>
        <c:axId val="2330481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35161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delete val="1"/>
            </c:dLbl>
            <c:dLbl>
              <c:idx val="1"/>
              <c:layout>
                <c:manualLayout>
                  <c:x val="-0.134099616858238"/>
                  <c:y val="-0.0048356053140983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53639846743295"/>
                  <c:y val="-0.0031847133757961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938697318007663"/>
                  <c:y val="0.02866242038216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172413793103448"/>
                  <c:y val="0.08917197452229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670498084291188"/>
                  <c:y val="-0.012738853503184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0191570881226054"/>
                  <c:y val="0.066878980891719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[图表.xlsx]Sheet1!$L$25:$R$25</c:f>
              <c:strCache>
                <c:ptCount val="7"/>
                <c:pt idx="0">
                  <c:v>一般公共服务（类）</c:v>
                </c:pt>
                <c:pt idx="1">
                  <c:v>社会保障和就业（类）</c:v>
                </c:pt>
                <c:pt idx="2">
                  <c:v>卫生健康支出</c:v>
                </c:pt>
                <c:pt idx="3">
                  <c:v>农林水（类）</c:v>
                </c:pt>
                <c:pt idx="4">
                  <c:v>自然资源海洋（类）</c:v>
                </c:pt>
                <c:pt idx="5">
                  <c:v>住房保障</c:v>
                </c:pt>
                <c:pt idx="6">
                  <c:v>灾害防治及应急管理（类）</c:v>
                </c:pt>
              </c:strCache>
            </c:strRef>
          </c:cat>
          <c:val>
            <c:numRef>
              <c:f>[图表.xlsx]Sheet1!$L$26:$R$26</c:f>
              <c:numCache>
                <c:formatCode>General</c:formatCode>
                <c:ptCount val="7"/>
                <c:pt idx="0">
                  <c:v>3</c:v>
                </c:pt>
                <c:pt idx="1">
                  <c:v>81.53</c:v>
                </c:pt>
                <c:pt idx="2">
                  <c:v>36.72</c:v>
                </c:pt>
                <c:pt idx="3">
                  <c:v>30.79</c:v>
                </c:pt>
                <c:pt idx="4">
                  <c:v>1516.48</c:v>
                </c:pt>
                <c:pt idx="5">
                  <c:v>51.54</c:v>
                </c:pt>
                <c:pt idx="6">
                  <c:v>2065.74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[图表.xlsx]Sheet1!$A$49:$C$49</c:f>
              <c:strCache>
                <c:ptCount val="3"/>
                <c:pt idx="0">
                  <c:v>因公出国（境）费</c:v>
                </c:pt>
                <c:pt idx="1">
                  <c:v>公务用车购置及运行维护费</c:v>
                </c:pt>
                <c:pt idx="2">
                  <c:v>公务接待费支出</c:v>
                </c:pt>
              </c:strCache>
            </c:strRef>
          </c:cat>
          <c:val>
            <c:numRef>
              <c:f>[图表.xlsx]Sheet1!$A$50:$C$50</c:f>
              <c:numCache>
                <c:formatCode>General</c:formatCode>
                <c:ptCount val="3"/>
                <c:pt idx="0">
                  <c:v>0</c:v>
                </c:pt>
                <c:pt idx="1">
                  <c:v>0</c:v>
                </c:pt>
                <c:pt idx="2">
                  <c:v>5.39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164</Pages>
  <Words>69324</Words>
  <Characters>73828</Characters>
  <Lines>61</Lines>
  <Paragraphs>17</Paragraphs>
  <TotalTime>307</TotalTime>
  <ScaleCrop>false</ScaleCrop>
  <LinksUpToDate>false</LinksUpToDate>
  <CharactersWithSpaces>74127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董二</cp:lastModifiedBy>
  <cp:lastPrinted>2022-08-06T02:23:00Z</cp:lastPrinted>
  <dcterms:modified xsi:type="dcterms:W3CDTF">2022-09-20T07:56:08Z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140C88D2CCBD41C3A035A52DE53F4AEE</vt:lpwstr>
  </property>
</Properties>
</file>