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仿宋" w:hAnsi="仿宋" w:eastAsia="仿宋" w:cs="仿宋"/>
          <w:b/>
          <w:bCs/>
          <w:color w:val="000000"/>
          <w:sz w:val="72"/>
          <w:szCs w:val="72"/>
        </w:rPr>
      </w:pPr>
      <w:bookmarkStart w:id="1" w:name="_Toc15396475"/>
      <w:bookmarkStart w:id="2" w:name="_Toc15377193"/>
      <w:bookmarkStart w:id="3" w:name="_Toc15377425"/>
      <w:bookmarkStart w:id="4" w:name="_Toc15378441"/>
      <w:bookmarkStart w:id="5" w:name="_Toc15396597"/>
      <w:r>
        <w:rPr>
          <w:rFonts w:hint="eastAsia" w:ascii="仿宋" w:hAnsi="仿宋" w:eastAsia="仿宋" w:cs="仿宋"/>
          <w:b/>
          <w:bCs/>
          <w:color w:val="000000"/>
          <w:sz w:val="72"/>
          <w:szCs w:val="72"/>
        </w:rPr>
        <w:t>20</w:t>
      </w:r>
      <w:r>
        <w:rPr>
          <w:rFonts w:ascii="仿宋" w:hAnsi="仿宋" w:eastAsia="仿宋" w:cs="仿宋"/>
          <w:b/>
          <w:bCs/>
          <w:color w:val="000000"/>
          <w:sz w:val="72"/>
          <w:szCs w:val="72"/>
        </w:rPr>
        <w:t>20</w:t>
      </w:r>
      <w:r>
        <w:rPr>
          <w:rFonts w:hint="eastAsia" w:ascii="仿宋" w:hAnsi="仿宋" w:eastAsia="仿宋" w:cs="仿宋"/>
          <w:b/>
          <w:bCs/>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仿宋" w:hAnsi="仿宋" w:eastAsia="仿宋" w:cs="仿宋"/>
          <w:b/>
          <w:bCs/>
          <w:color w:val="000000"/>
          <w:sz w:val="72"/>
          <w:szCs w:val="72"/>
        </w:rPr>
      </w:pPr>
      <w:bookmarkStart w:id="6" w:name="_Toc15396598"/>
      <w:bookmarkStart w:id="7" w:name="_Toc15377194"/>
      <w:bookmarkStart w:id="8" w:name="_Toc15396476"/>
      <w:bookmarkStart w:id="9" w:name="_Toc15378442"/>
      <w:bookmarkStart w:id="10" w:name="_Toc15377426"/>
      <w:r>
        <w:rPr>
          <w:rFonts w:hint="eastAsia" w:ascii="仿宋" w:hAnsi="仿宋" w:eastAsia="仿宋" w:cs="仿宋"/>
          <w:b/>
          <w:bCs/>
          <w:color w:val="000000"/>
          <w:sz w:val="72"/>
          <w:szCs w:val="72"/>
          <w:lang w:eastAsia="zh-CN"/>
        </w:rPr>
        <w:t>四川省共青团</w:t>
      </w:r>
      <w:r>
        <w:rPr>
          <w:rFonts w:hint="eastAsia" w:ascii="仿宋" w:hAnsi="仿宋" w:eastAsia="仿宋" w:cs="仿宋"/>
          <w:b/>
          <w:bCs/>
          <w:color w:val="000000"/>
          <w:sz w:val="72"/>
          <w:szCs w:val="72"/>
        </w:rPr>
        <w:t>广元市利州区</w:t>
      </w:r>
      <w:bookmarkEnd w:id="0"/>
      <w:bookmarkStart w:id="11" w:name="_Toc15306268"/>
      <w:r>
        <w:rPr>
          <w:rFonts w:hint="eastAsia" w:ascii="仿宋" w:hAnsi="仿宋" w:eastAsia="仿宋" w:cs="仿宋"/>
          <w:b/>
          <w:bCs/>
          <w:color w:val="000000"/>
          <w:sz w:val="72"/>
          <w:szCs w:val="72"/>
        </w:rPr>
        <w:t>委部门决算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    录</w:t>
      </w:r>
    </w:p>
    <w:p>
      <w:pPr>
        <w:widowControl/>
        <w:jc w:val="center"/>
        <w:rPr>
          <w:rFonts w:ascii="黑体" w:hAnsi="黑体" w:eastAsia="黑体" w:cstheme="minorBidi"/>
          <w:sz w:val="28"/>
          <w:szCs w:val="28"/>
        </w:rPr>
      </w:pPr>
    </w:p>
    <w:p>
      <w:pPr>
        <w:pStyle w:val="10"/>
      </w:pPr>
      <w:r>
        <w:rPr>
          <w:rFonts w:hint="eastAsia"/>
        </w:rPr>
        <w:t>公开时间：202</w:t>
      </w:r>
      <w:r>
        <w:t>1</w:t>
      </w:r>
      <w:r>
        <w:rPr>
          <w:rFonts w:hint="eastAsia"/>
        </w:rPr>
        <w:t>年9月</w:t>
      </w:r>
      <w:r>
        <w:t>27</w:t>
      </w:r>
      <w:r>
        <w:rPr>
          <w:rFonts w:hint="eastAsia"/>
        </w:rPr>
        <w:t>日</w:t>
      </w:r>
    </w:p>
    <w:p/>
    <w:p>
      <w:pPr>
        <w:pStyle w:val="10"/>
        <w:adjustRightInd w:val="0"/>
        <w:snapToGrid w:val="0"/>
        <w:spacing w:before="0" w:line="440" w:lineRule="exact"/>
        <w:jc w:val="left"/>
        <w:rPr>
          <w:rFonts w:cs="仿宋"/>
          <w:sz w:val="24"/>
          <w:szCs w:val="24"/>
        </w:rPr>
      </w:pPr>
      <w:bookmarkStart w:id="12" w:name="_Toc15377196"/>
      <w:bookmarkStart w:id="13" w:name="_Toc15396599"/>
      <w:r>
        <w:rPr>
          <w:rFonts w:hint="eastAsia" w:cs="仿宋"/>
          <w:sz w:val="24"/>
        </w:rPr>
        <w:t>第一部分 部门概况.................................................4</w:t>
      </w:r>
    </w:p>
    <w:p>
      <w:pPr>
        <w:spacing w:line="580" w:lineRule="exact"/>
        <w:ind w:firstLine="480" w:firstLineChars="200"/>
        <w:rPr>
          <w:rFonts w:ascii="仿宋" w:hAnsi="仿宋" w:eastAsia="仿宋" w:cs="仿宋"/>
          <w:sz w:val="24"/>
        </w:rPr>
      </w:pPr>
      <w:r>
        <w:rPr>
          <w:rFonts w:hint="eastAsia" w:ascii="仿宋" w:hAnsi="仿宋" w:eastAsia="仿宋" w:cs="仿宋"/>
          <w:sz w:val="24"/>
        </w:rPr>
        <w:t>一、基本职能及主要工作........................................4</w:t>
      </w:r>
    </w:p>
    <w:p>
      <w:pPr>
        <w:pStyle w:val="11"/>
        <w:adjustRightInd w:val="0"/>
        <w:snapToGrid w:val="0"/>
        <w:spacing w:line="440" w:lineRule="exact"/>
        <w:jc w:val="left"/>
        <w:rPr>
          <w:rFonts w:ascii="仿宋" w:hAnsi="仿宋" w:eastAsia="仿宋" w:cs="仿宋"/>
          <w:sz w:val="24"/>
        </w:rPr>
      </w:pPr>
      <w:r>
        <w:rPr>
          <w:rFonts w:hint="eastAsia" w:ascii="仿宋" w:hAnsi="仿宋" w:eastAsia="仿宋" w:cs="仿宋"/>
          <w:sz w:val="24"/>
        </w:rPr>
        <w:t>二、机构设置................................................</w:t>
      </w:r>
      <w:r>
        <w:rPr>
          <w:rFonts w:ascii="仿宋" w:hAnsi="仿宋" w:eastAsia="仿宋" w:cs="仿宋"/>
          <w:sz w:val="24"/>
        </w:rPr>
        <w:t xml:space="preserve"> </w:t>
      </w:r>
      <w:r>
        <w:rPr>
          <w:rFonts w:hint="eastAsia" w:ascii="仿宋" w:hAnsi="仿宋" w:eastAsia="仿宋" w:cs="仿宋"/>
          <w:sz w:val="24"/>
        </w:rPr>
        <w:t>..</w:t>
      </w:r>
      <w:r>
        <w:rPr>
          <w:rFonts w:ascii="仿宋" w:hAnsi="仿宋" w:eastAsia="仿宋" w:cs="仿宋"/>
          <w:sz w:val="24"/>
        </w:rPr>
        <w:t>9</w:t>
      </w:r>
    </w:p>
    <w:p>
      <w:pPr>
        <w:pStyle w:val="10"/>
        <w:adjustRightInd w:val="0"/>
        <w:snapToGrid w:val="0"/>
        <w:spacing w:before="0" w:line="440" w:lineRule="exact"/>
        <w:jc w:val="left"/>
        <w:rPr>
          <w:rFonts w:cs="仿宋"/>
          <w:sz w:val="24"/>
          <w:szCs w:val="24"/>
        </w:rPr>
      </w:pPr>
      <w:r>
        <w:rPr>
          <w:rFonts w:hint="eastAsia" w:cs="仿宋"/>
          <w:sz w:val="24"/>
        </w:rPr>
        <w:t>第二部分度部门决算情况说明.......................................1</w:t>
      </w:r>
      <w:r>
        <w:rPr>
          <w:rFonts w:cs="仿宋"/>
          <w:sz w:val="24"/>
        </w:rPr>
        <w:t>0</w:t>
      </w:r>
      <w:r>
        <w:rPr>
          <w:rFonts w:hint="eastAsia" w:cs="仿宋"/>
          <w:sz w:val="24"/>
        </w:rPr>
        <w:t xml:space="preserve">                              </w:t>
      </w:r>
    </w:p>
    <w:p>
      <w:pPr>
        <w:pStyle w:val="11"/>
        <w:adjustRightInd w:val="0"/>
        <w:snapToGrid w:val="0"/>
        <w:spacing w:line="440" w:lineRule="exact"/>
        <w:jc w:val="left"/>
        <w:rPr>
          <w:rFonts w:ascii="仿宋" w:hAnsi="仿宋" w:eastAsia="仿宋" w:cs="仿宋"/>
          <w:sz w:val="24"/>
        </w:rPr>
      </w:pPr>
      <w:r>
        <w:rPr>
          <w:rFonts w:hint="eastAsia" w:ascii="仿宋" w:hAnsi="仿宋" w:eastAsia="仿宋" w:cs="仿宋"/>
          <w:sz w:val="24"/>
        </w:rPr>
        <w:t>一、收入支出决算总体情况说明..................................1</w:t>
      </w:r>
      <w:r>
        <w:rPr>
          <w:rFonts w:ascii="仿宋" w:hAnsi="仿宋" w:eastAsia="仿宋" w:cs="仿宋"/>
          <w:sz w:val="24"/>
        </w:rPr>
        <w:t>0</w:t>
      </w:r>
    </w:p>
    <w:p>
      <w:pPr>
        <w:pStyle w:val="11"/>
        <w:adjustRightInd w:val="0"/>
        <w:snapToGrid w:val="0"/>
        <w:spacing w:line="440" w:lineRule="exact"/>
        <w:jc w:val="left"/>
        <w:rPr>
          <w:rFonts w:ascii="仿宋" w:hAnsi="仿宋" w:eastAsia="仿宋" w:cs="仿宋"/>
          <w:sz w:val="24"/>
        </w:rPr>
      </w:pPr>
      <w:r>
        <w:rPr>
          <w:rFonts w:hint="eastAsia" w:ascii="仿宋" w:hAnsi="仿宋" w:eastAsia="仿宋" w:cs="仿宋"/>
          <w:sz w:val="24"/>
        </w:rPr>
        <w:t>二、收入决算情况说明..........................................1</w:t>
      </w:r>
      <w:r>
        <w:rPr>
          <w:rFonts w:ascii="仿宋" w:hAnsi="仿宋" w:eastAsia="仿宋" w:cs="仿宋"/>
          <w:sz w:val="24"/>
        </w:rPr>
        <w:t>0</w:t>
      </w:r>
    </w:p>
    <w:p>
      <w:pPr>
        <w:pStyle w:val="11"/>
        <w:adjustRightInd w:val="0"/>
        <w:snapToGrid w:val="0"/>
        <w:spacing w:line="440" w:lineRule="exact"/>
        <w:jc w:val="left"/>
        <w:rPr>
          <w:rFonts w:ascii="仿宋" w:hAnsi="仿宋" w:eastAsia="仿宋" w:cs="仿宋"/>
          <w:sz w:val="24"/>
        </w:rPr>
      </w:pPr>
      <w:r>
        <w:rPr>
          <w:rFonts w:hint="eastAsia" w:ascii="仿宋" w:hAnsi="仿宋" w:eastAsia="仿宋" w:cs="仿宋"/>
          <w:sz w:val="24"/>
        </w:rPr>
        <w:t>三、支出决算情况说明..........................................1</w:t>
      </w:r>
      <w:r>
        <w:rPr>
          <w:rFonts w:ascii="仿宋" w:hAnsi="仿宋" w:eastAsia="仿宋" w:cs="仿宋"/>
          <w:sz w:val="24"/>
        </w:rPr>
        <w:t>1</w:t>
      </w:r>
    </w:p>
    <w:p>
      <w:pPr>
        <w:pStyle w:val="11"/>
        <w:adjustRightInd w:val="0"/>
        <w:snapToGrid w:val="0"/>
        <w:spacing w:line="440" w:lineRule="exact"/>
        <w:jc w:val="left"/>
        <w:rPr>
          <w:rFonts w:ascii="仿宋" w:hAnsi="仿宋" w:eastAsia="仿宋" w:cs="仿宋"/>
          <w:sz w:val="24"/>
        </w:rPr>
      </w:pPr>
      <w:r>
        <w:rPr>
          <w:rFonts w:hint="eastAsia" w:ascii="仿宋" w:hAnsi="仿宋" w:eastAsia="仿宋" w:cs="仿宋"/>
          <w:sz w:val="24"/>
        </w:rPr>
        <w:t>四、财政拨款收入支出决算总体情况说明..........................1</w:t>
      </w:r>
      <w:r>
        <w:rPr>
          <w:rFonts w:ascii="仿宋" w:hAnsi="仿宋" w:eastAsia="仿宋" w:cs="仿宋"/>
          <w:sz w:val="24"/>
        </w:rPr>
        <w:t>2</w:t>
      </w:r>
    </w:p>
    <w:p>
      <w:pPr>
        <w:pStyle w:val="11"/>
        <w:adjustRightInd w:val="0"/>
        <w:snapToGrid w:val="0"/>
        <w:spacing w:line="440" w:lineRule="exact"/>
        <w:jc w:val="left"/>
        <w:rPr>
          <w:rFonts w:ascii="仿宋" w:hAnsi="仿宋" w:eastAsia="仿宋" w:cs="仿宋"/>
          <w:sz w:val="24"/>
        </w:rPr>
      </w:pPr>
      <w:r>
        <w:rPr>
          <w:rFonts w:hint="eastAsia" w:ascii="仿宋" w:hAnsi="仿宋" w:eastAsia="仿宋" w:cs="仿宋"/>
          <w:sz w:val="24"/>
        </w:rPr>
        <w:t>五、一般公共预算财政拨款支出决算情况说明......................1</w:t>
      </w:r>
      <w:r>
        <w:rPr>
          <w:rFonts w:ascii="仿宋" w:hAnsi="仿宋" w:eastAsia="仿宋" w:cs="仿宋"/>
          <w:sz w:val="24"/>
        </w:rPr>
        <w:t>2</w:t>
      </w:r>
    </w:p>
    <w:p>
      <w:pPr>
        <w:pStyle w:val="11"/>
        <w:adjustRightInd w:val="0"/>
        <w:snapToGrid w:val="0"/>
        <w:spacing w:line="440" w:lineRule="exact"/>
        <w:jc w:val="left"/>
        <w:rPr>
          <w:rFonts w:ascii="仿宋" w:hAnsi="仿宋" w:eastAsia="仿宋" w:cs="仿宋"/>
          <w:sz w:val="24"/>
        </w:rPr>
      </w:pPr>
      <w:r>
        <w:rPr>
          <w:rFonts w:hint="eastAsia" w:ascii="仿宋" w:hAnsi="仿宋" w:eastAsia="仿宋" w:cs="仿宋"/>
          <w:sz w:val="24"/>
        </w:rPr>
        <w:t>六、一般公共预算财政拨款基本支出决算情况说明..................1</w:t>
      </w:r>
      <w:r>
        <w:rPr>
          <w:rFonts w:ascii="仿宋" w:hAnsi="仿宋" w:eastAsia="仿宋" w:cs="仿宋"/>
          <w:sz w:val="24"/>
        </w:rPr>
        <w:t>5</w:t>
      </w:r>
    </w:p>
    <w:p>
      <w:pPr>
        <w:pStyle w:val="11"/>
        <w:adjustRightInd w:val="0"/>
        <w:snapToGrid w:val="0"/>
        <w:spacing w:line="440" w:lineRule="exact"/>
        <w:jc w:val="left"/>
        <w:rPr>
          <w:rFonts w:ascii="仿宋" w:hAnsi="仿宋" w:eastAsia="仿宋" w:cs="仿宋"/>
          <w:sz w:val="24"/>
        </w:rPr>
      </w:pPr>
      <w:r>
        <w:rPr>
          <w:rFonts w:hint="eastAsia" w:ascii="仿宋" w:hAnsi="仿宋" w:eastAsia="仿宋" w:cs="仿宋"/>
          <w:sz w:val="24"/>
        </w:rPr>
        <w:t>七、“三公”经费财政拨款支出决算情况说明.......................1</w:t>
      </w:r>
      <w:r>
        <w:rPr>
          <w:rFonts w:ascii="仿宋" w:hAnsi="仿宋" w:eastAsia="仿宋" w:cs="仿宋"/>
          <w:sz w:val="24"/>
        </w:rPr>
        <w:t>6</w:t>
      </w:r>
    </w:p>
    <w:p>
      <w:pPr>
        <w:pStyle w:val="11"/>
        <w:adjustRightInd w:val="0"/>
        <w:snapToGrid w:val="0"/>
        <w:spacing w:line="440" w:lineRule="exact"/>
        <w:jc w:val="left"/>
        <w:rPr>
          <w:rFonts w:ascii="仿宋" w:hAnsi="仿宋" w:eastAsia="仿宋" w:cs="仿宋"/>
          <w:sz w:val="24"/>
        </w:rPr>
      </w:pPr>
      <w:r>
        <w:rPr>
          <w:rFonts w:hint="eastAsia" w:ascii="仿宋" w:hAnsi="仿宋" w:eastAsia="仿宋" w:cs="仿宋"/>
          <w:sz w:val="24"/>
        </w:rPr>
        <w:t>八、政府性基金预算支出决算情况说明............................1</w:t>
      </w:r>
      <w:r>
        <w:rPr>
          <w:rFonts w:ascii="仿宋" w:hAnsi="仿宋" w:eastAsia="仿宋" w:cs="仿宋"/>
          <w:sz w:val="24"/>
        </w:rPr>
        <w:t>7</w:t>
      </w:r>
    </w:p>
    <w:p>
      <w:pPr>
        <w:pStyle w:val="11"/>
        <w:adjustRightInd w:val="0"/>
        <w:snapToGrid w:val="0"/>
        <w:spacing w:line="440" w:lineRule="exact"/>
        <w:ind w:leftChars="0"/>
        <w:jc w:val="left"/>
        <w:rPr>
          <w:rFonts w:ascii="仿宋" w:hAnsi="仿宋" w:eastAsia="仿宋" w:cs="仿宋"/>
          <w:sz w:val="24"/>
        </w:rPr>
      </w:pPr>
      <w:r>
        <w:rPr>
          <w:rFonts w:hint="eastAsia" w:ascii="仿宋" w:hAnsi="仿宋" w:eastAsia="仿宋" w:cs="仿宋"/>
          <w:sz w:val="24"/>
        </w:rPr>
        <w:t>九、 国有资本经营预算支出决算情况说明.........................1</w:t>
      </w:r>
      <w:r>
        <w:rPr>
          <w:rFonts w:ascii="仿宋" w:hAnsi="仿宋" w:eastAsia="仿宋" w:cs="仿宋"/>
          <w:sz w:val="24"/>
        </w:rPr>
        <w:t>7</w:t>
      </w:r>
    </w:p>
    <w:p>
      <w:pPr>
        <w:adjustRightInd w:val="0"/>
        <w:snapToGrid w:val="0"/>
        <w:spacing w:line="440" w:lineRule="exact"/>
        <w:ind w:firstLine="480" w:firstLineChars="200"/>
        <w:jc w:val="left"/>
        <w:rPr>
          <w:rFonts w:ascii="仿宋" w:hAnsi="仿宋" w:eastAsia="仿宋" w:cs="仿宋"/>
          <w:sz w:val="24"/>
        </w:rPr>
      </w:pPr>
      <w:r>
        <w:rPr>
          <w:rStyle w:val="16"/>
          <w:rFonts w:hint="eastAsia" w:ascii="仿宋" w:hAnsi="仿宋" w:eastAsia="仿宋" w:cs="仿宋"/>
          <w:color w:val="000000" w:themeColor="text1"/>
          <w:sz w:val="24"/>
          <w:u w:val="none"/>
          <w14:textFill>
            <w14:solidFill>
              <w14:schemeClr w14:val="tx1"/>
            </w14:solidFill>
          </w14:textFill>
        </w:rPr>
        <w:t>十、</w:t>
      </w:r>
      <w:r>
        <w:rPr>
          <w:rFonts w:hint="eastAsia" w:ascii="仿宋" w:hAnsi="仿宋" w:eastAsia="仿宋" w:cs="仿宋"/>
          <w:sz w:val="24"/>
        </w:rPr>
        <w:t>其他重要事项的情况说明</w:t>
      </w:r>
      <w:r>
        <w:rPr>
          <w:rFonts w:hint="eastAsia" w:ascii="仿宋" w:hAnsi="仿宋" w:eastAsia="仿宋" w:cs="仿宋"/>
          <w:sz w:val="24"/>
        </w:rPr>
        <w:tab/>
      </w:r>
      <w:r>
        <w:rPr>
          <w:rFonts w:hint="eastAsia" w:ascii="仿宋" w:hAnsi="仿宋" w:eastAsia="仿宋" w:cs="仿宋"/>
          <w:sz w:val="24"/>
        </w:rPr>
        <w:t>..................................1</w:t>
      </w:r>
      <w:r>
        <w:rPr>
          <w:rFonts w:ascii="仿宋" w:hAnsi="仿宋" w:eastAsia="仿宋" w:cs="仿宋"/>
          <w:sz w:val="24"/>
        </w:rPr>
        <w:t>7</w:t>
      </w:r>
    </w:p>
    <w:p>
      <w:pPr>
        <w:pStyle w:val="10"/>
        <w:adjustRightInd w:val="0"/>
        <w:snapToGrid w:val="0"/>
        <w:spacing w:before="0" w:line="440" w:lineRule="exact"/>
        <w:jc w:val="left"/>
        <w:rPr>
          <w:rFonts w:cs="仿宋"/>
          <w:sz w:val="24"/>
          <w:szCs w:val="24"/>
        </w:rPr>
      </w:pPr>
      <w:r>
        <w:rPr>
          <w:rFonts w:hint="eastAsia" w:cs="仿宋"/>
          <w:sz w:val="24"/>
        </w:rPr>
        <w:t>第三部分 名词解释.................................................2</w:t>
      </w:r>
      <w:r>
        <w:rPr>
          <w:rFonts w:cs="仿宋"/>
          <w:sz w:val="24"/>
        </w:rPr>
        <w:t>2</w:t>
      </w:r>
    </w:p>
    <w:p>
      <w:pPr>
        <w:pStyle w:val="10"/>
        <w:adjustRightInd w:val="0"/>
        <w:snapToGrid w:val="0"/>
        <w:spacing w:before="0" w:line="440" w:lineRule="exact"/>
        <w:jc w:val="left"/>
        <w:rPr>
          <w:rFonts w:cs="仿宋"/>
          <w:sz w:val="24"/>
          <w:szCs w:val="24"/>
        </w:rPr>
      </w:pPr>
      <w:r>
        <w:rPr>
          <w:rFonts w:hint="eastAsia" w:cs="仿宋"/>
          <w:sz w:val="24"/>
        </w:rPr>
        <w:t>第四部分 附件.....................................................2</w:t>
      </w:r>
      <w:r>
        <w:rPr>
          <w:rFonts w:cs="仿宋"/>
          <w:sz w:val="24"/>
        </w:rPr>
        <w:t>5</w:t>
      </w:r>
    </w:p>
    <w:p>
      <w:pPr>
        <w:pStyle w:val="11"/>
        <w:adjustRightInd w:val="0"/>
        <w:snapToGrid w:val="0"/>
        <w:spacing w:line="440" w:lineRule="exact"/>
        <w:jc w:val="left"/>
        <w:rPr>
          <w:rFonts w:ascii="仿宋" w:hAnsi="仿宋" w:eastAsia="仿宋" w:cs="仿宋"/>
          <w:sz w:val="24"/>
        </w:rPr>
      </w:pPr>
      <w:r>
        <w:rPr>
          <w:rFonts w:hint="eastAsia" w:ascii="仿宋" w:hAnsi="仿宋" w:eastAsia="仿宋" w:cs="仿宋"/>
          <w:sz w:val="24"/>
        </w:rPr>
        <w:t>附件1.........................................................2</w:t>
      </w:r>
      <w:r>
        <w:rPr>
          <w:rFonts w:ascii="仿宋" w:hAnsi="仿宋" w:eastAsia="仿宋" w:cs="仿宋"/>
          <w:sz w:val="24"/>
        </w:rPr>
        <w:t>5</w:t>
      </w:r>
    </w:p>
    <w:p>
      <w:pPr>
        <w:pStyle w:val="11"/>
        <w:adjustRightInd w:val="0"/>
        <w:snapToGrid w:val="0"/>
        <w:spacing w:line="440" w:lineRule="exact"/>
        <w:jc w:val="left"/>
        <w:rPr>
          <w:rFonts w:ascii="仿宋" w:hAnsi="仿宋" w:eastAsia="仿宋" w:cs="仿宋"/>
          <w:sz w:val="24"/>
        </w:rPr>
      </w:pPr>
      <w:r>
        <w:rPr>
          <w:rFonts w:hint="eastAsia" w:ascii="仿宋" w:hAnsi="仿宋" w:eastAsia="仿宋" w:cs="仿宋"/>
          <w:sz w:val="24"/>
        </w:rPr>
        <w:t>附件2.........................................................</w:t>
      </w:r>
      <w:r>
        <w:rPr>
          <w:rFonts w:ascii="仿宋" w:hAnsi="仿宋" w:eastAsia="仿宋" w:cs="仿宋"/>
          <w:sz w:val="24"/>
        </w:rPr>
        <w:t>29</w:t>
      </w:r>
    </w:p>
    <w:p>
      <w:pPr>
        <w:pStyle w:val="10"/>
        <w:adjustRightInd w:val="0"/>
        <w:snapToGrid w:val="0"/>
        <w:spacing w:before="0" w:line="440" w:lineRule="exact"/>
        <w:jc w:val="left"/>
        <w:rPr>
          <w:rFonts w:cs="仿宋"/>
          <w:sz w:val="24"/>
          <w:szCs w:val="24"/>
        </w:rPr>
      </w:pPr>
      <w:r>
        <w:rPr>
          <w:rFonts w:hint="eastAsia" w:cs="仿宋"/>
          <w:sz w:val="24"/>
        </w:rPr>
        <w:t>第五部分 附表.....................................................3</w:t>
      </w:r>
      <w:r>
        <w:rPr>
          <w:rFonts w:cs="仿宋"/>
          <w:sz w:val="24"/>
        </w:rPr>
        <w:t>7</w:t>
      </w:r>
    </w:p>
    <w:p>
      <w:pPr>
        <w:pStyle w:val="11"/>
        <w:adjustRightInd w:val="0"/>
        <w:snapToGrid w:val="0"/>
        <w:spacing w:line="440" w:lineRule="exact"/>
        <w:jc w:val="left"/>
        <w:rPr>
          <w:rFonts w:ascii="仿宋" w:hAnsi="仿宋" w:eastAsia="仿宋" w:cs="仿宋"/>
          <w:sz w:val="24"/>
        </w:rPr>
      </w:pPr>
      <w:r>
        <w:rPr>
          <w:rFonts w:hint="eastAsia" w:ascii="仿宋" w:hAnsi="仿宋" w:eastAsia="仿宋" w:cs="仿宋"/>
          <w:sz w:val="24"/>
        </w:rPr>
        <w:t>一、收入支出决算总表...........................................3</w:t>
      </w:r>
      <w:r>
        <w:rPr>
          <w:rFonts w:ascii="仿宋" w:hAnsi="仿宋" w:eastAsia="仿宋" w:cs="仿宋"/>
          <w:sz w:val="24"/>
        </w:rPr>
        <w:t>7</w:t>
      </w:r>
    </w:p>
    <w:p>
      <w:pPr>
        <w:pStyle w:val="11"/>
        <w:adjustRightInd w:val="0"/>
        <w:snapToGrid w:val="0"/>
        <w:spacing w:line="440" w:lineRule="exact"/>
        <w:jc w:val="left"/>
        <w:rPr>
          <w:rFonts w:ascii="仿宋" w:hAnsi="仿宋" w:eastAsia="仿宋" w:cs="仿宋"/>
          <w:sz w:val="24"/>
        </w:rPr>
      </w:pPr>
      <w:r>
        <w:rPr>
          <w:rFonts w:hint="eastAsia" w:ascii="仿宋" w:hAnsi="仿宋" w:eastAsia="仿宋" w:cs="仿宋"/>
          <w:sz w:val="24"/>
        </w:rPr>
        <w:t>二、收入决算表.................................................37</w:t>
      </w:r>
    </w:p>
    <w:p>
      <w:pPr>
        <w:pStyle w:val="11"/>
        <w:adjustRightInd w:val="0"/>
        <w:snapToGrid w:val="0"/>
        <w:spacing w:line="440" w:lineRule="exact"/>
        <w:jc w:val="left"/>
        <w:rPr>
          <w:rFonts w:ascii="仿宋" w:hAnsi="仿宋" w:eastAsia="仿宋" w:cs="仿宋"/>
          <w:sz w:val="24"/>
        </w:rPr>
      </w:pPr>
      <w:r>
        <w:rPr>
          <w:rFonts w:hint="eastAsia" w:ascii="仿宋" w:hAnsi="仿宋" w:eastAsia="仿宋" w:cs="仿宋"/>
          <w:sz w:val="24"/>
        </w:rPr>
        <w:t>三、支出决算表.................................................37</w:t>
      </w:r>
    </w:p>
    <w:p>
      <w:pPr>
        <w:pStyle w:val="11"/>
        <w:adjustRightInd w:val="0"/>
        <w:snapToGrid w:val="0"/>
        <w:spacing w:line="440" w:lineRule="exact"/>
        <w:jc w:val="left"/>
        <w:rPr>
          <w:rFonts w:ascii="仿宋" w:hAnsi="仿宋" w:eastAsia="仿宋" w:cs="仿宋"/>
          <w:sz w:val="24"/>
        </w:rPr>
      </w:pPr>
      <w:r>
        <w:rPr>
          <w:rFonts w:hint="eastAsia" w:ascii="仿宋" w:hAnsi="仿宋" w:eastAsia="仿宋" w:cs="仿宋"/>
          <w:sz w:val="24"/>
        </w:rPr>
        <w:t>四、财政拨款收入支出决算总表...................................37</w:t>
      </w:r>
    </w:p>
    <w:p>
      <w:pPr>
        <w:pStyle w:val="11"/>
        <w:adjustRightInd w:val="0"/>
        <w:snapToGrid w:val="0"/>
        <w:spacing w:line="440" w:lineRule="exact"/>
        <w:jc w:val="left"/>
        <w:rPr>
          <w:rFonts w:ascii="仿宋" w:hAnsi="仿宋" w:eastAsia="仿宋" w:cs="仿宋"/>
          <w:sz w:val="24"/>
        </w:rPr>
      </w:pPr>
      <w:r>
        <w:rPr>
          <w:rFonts w:hint="eastAsia" w:ascii="仿宋" w:hAnsi="仿宋" w:eastAsia="仿宋" w:cs="仿宋"/>
          <w:sz w:val="24"/>
        </w:rPr>
        <w:t>五、财政拨款支出决算明细表.....................................37</w:t>
      </w:r>
    </w:p>
    <w:p>
      <w:pPr>
        <w:pStyle w:val="11"/>
        <w:adjustRightInd w:val="0"/>
        <w:snapToGrid w:val="0"/>
        <w:spacing w:line="440" w:lineRule="exact"/>
        <w:jc w:val="left"/>
        <w:rPr>
          <w:rFonts w:ascii="仿宋" w:hAnsi="仿宋" w:eastAsia="仿宋" w:cs="仿宋"/>
          <w:sz w:val="24"/>
        </w:rPr>
      </w:pPr>
      <w:r>
        <w:rPr>
          <w:rFonts w:hint="eastAsia" w:ascii="仿宋" w:hAnsi="仿宋" w:eastAsia="仿宋" w:cs="仿宋"/>
          <w:sz w:val="24"/>
        </w:rPr>
        <w:t>六、一般公共预算财政拨款支出决算表.............................37</w:t>
      </w:r>
    </w:p>
    <w:p>
      <w:pPr>
        <w:pStyle w:val="11"/>
        <w:adjustRightInd w:val="0"/>
        <w:snapToGrid w:val="0"/>
        <w:spacing w:line="440" w:lineRule="exact"/>
        <w:jc w:val="left"/>
        <w:rPr>
          <w:rFonts w:ascii="仿宋" w:hAnsi="仿宋" w:eastAsia="仿宋" w:cs="仿宋"/>
          <w:sz w:val="24"/>
        </w:rPr>
      </w:pPr>
      <w:r>
        <w:rPr>
          <w:rFonts w:hint="eastAsia" w:ascii="仿宋" w:hAnsi="仿宋" w:eastAsia="仿宋" w:cs="仿宋"/>
          <w:sz w:val="24"/>
        </w:rPr>
        <w:t>七、一般公共预算财政拨款支出决算明细表........................37</w:t>
      </w:r>
    </w:p>
    <w:p>
      <w:pPr>
        <w:pStyle w:val="11"/>
        <w:adjustRightInd w:val="0"/>
        <w:snapToGrid w:val="0"/>
        <w:spacing w:line="440" w:lineRule="exact"/>
        <w:jc w:val="left"/>
        <w:rPr>
          <w:rFonts w:ascii="仿宋" w:hAnsi="仿宋" w:eastAsia="仿宋" w:cs="仿宋"/>
          <w:sz w:val="24"/>
        </w:rPr>
      </w:pPr>
      <w:r>
        <w:rPr>
          <w:rFonts w:hint="eastAsia" w:ascii="仿宋" w:hAnsi="仿宋" w:eastAsia="仿宋" w:cs="仿宋"/>
          <w:sz w:val="24"/>
        </w:rPr>
        <w:t>八、一般公共预算财政拨款基本支出决算表........................37</w:t>
      </w:r>
    </w:p>
    <w:p>
      <w:pPr>
        <w:pStyle w:val="11"/>
        <w:adjustRightInd w:val="0"/>
        <w:snapToGrid w:val="0"/>
        <w:spacing w:line="440" w:lineRule="exact"/>
        <w:jc w:val="left"/>
        <w:rPr>
          <w:rFonts w:ascii="仿宋" w:hAnsi="仿宋" w:eastAsia="仿宋" w:cs="仿宋"/>
          <w:sz w:val="24"/>
        </w:rPr>
      </w:pPr>
      <w:r>
        <w:rPr>
          <w:rFonts w:hint="eastAsia" w:ascii="仿宋" w:hAnsi="仿宋" w:eastAsia="仿宋" w:cs="仿宋"/>
          <w:sz w:val="24"/>
        </w:rPr>
        <w:t>九、一般公共预算财政拨款项目支出决算表........................37</w:t>
      </w:r>
    </w:p>
    <w:p>
      <w:pPr>
        <w:pStyle w:val="11"/>
        <w:adjustRightInd w:val="0"/>
        <w:snapToGrid w:val="0"/>
        <w:spacing w:line="440" w:lineRule="exact"/>
        <w:jc w:val="left"/>
        <w:rPr>
          <w:rFonts w:ascii="仿宋" w:hAnsi="仿宋" w:eastAsia="仿宋" w:cs="仿宋"/>
          <w:sz w:val="24"/>
        </w:rPr>
      </w:pPr>
      <w:r>
        <w:rPr>
          <w:rFonts w:hint="eastAsia" w:ascii="仿宋" w:hAnsi="仿宋" w:eastAsia="仿宋" w:cs="仿宋"/>
          <w:sz w:val="24"/>
        </w:rPr>
        <w:t>十、一般公共预算财政拨款“三公”经费支出决算表................37</w:t>
      </w:r>
    </w:p>
    <w:p>
      <w:pPr>
        <w:pStyle w:val="11"/>
        <w:adjustRightInd w:val="0"/>
        <w:snapToGrid w:val="0"/>
        <w:spacing w:line="440" w:lineRule="exact"/>
        <w:jc w:val="left"/>
        <w:rPr>
          <w:rFonts w:ascii="仿宋" w:hAnsi="仿宋" w:eastAsia="仿宋" w:cs="仿宋"/>
          <w:sz w:val="24"/>
        </w:rPr>
      </w:pPr>
      <w:r>
        <w:rPr>
          <w:rFonts w:hint="eastAsia" w:ascii="仿宋" w:hAnsi="仿宋" w:eastAsia="仿宋" w:cs="仿宋"/>
          <w:sz w:val="24"/>
        </w:rPr>
        <w:t>十一、政府性基金预算财政拨款收入支出决算表....................37</w:t>
      </w:r>
    </w:p>
    <w:p>
      <w:pPr>
        <w:pStyle w:val="11"/>
        <w:adjustRightInd w:val="0"/>
        <w:snapToGrid w:val="0"/>
        <w:spacing w:line="440" w:lineRule="exact"/>
        <w:jc w:val="left"/>
        <w:rPr>
          <w:rFonts w:ascii="仿宋" w:hAnsi="仿宋" w:eastAsia="仿宋" w:cs="仿宋"/>
          <w:sz w:val="24"/>
        </w:rPr>
      </w:pPr>
      <w:r>
        <w:rPr>
          <w:rFonts w:hint="eastAsia" w:ascii="仿宋" w:hAnsi="仿宋" w:eastAsia="仿宋" w:cs="仿宋"/>
          <w:sz w:val="24"/>
        </w:rPr>
        <w:t>十二、政府性基金预算财政拨款“三公”经费支出决算表............37</w:t>
      </w:r>
    </w:p>
    <w:p>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十三、国有资本经营预算支出决算表..............................37十四、国有资本经营预算财政拨款支出决算表……………………………3</w:t>
      </w:r>
      <w:r>
        <w:rPr>
          <w:rFonts w:ascii="仿宋" w:hAnsi="仿宋" w:eastAsia="仿宋" w:cs="仿宋"/>
          <w:sz w:val="24"/>
        </w:rPr>
        <w:t>7</w:t>
      </w:r>
    </w:p>
    <w:p>
      <w:pPr>
        <w:widowControl/>
        <w:spacing w:line="440" w:lineRule="exact"/>
        <w:jc w:val="left"/>
        <w:rPr>
          <w:rFonts w:ascii="仿宋" w:hAnsi="仿宋" w:eastAsia="仿宋" w:cs="仿宋"/>
          <w:bCs/>
          <w:kern w:val="44"/>
          <w:sz w:val="24"/>
        </w:rPr>
      </w:pPr>
      <w:r>
        <w:rPr>
          <w:rFonts w:hint="eastAsia" w:ascii="仿宋" w:hAnsi="仿宋" w:eastAsia="仿宋" w:cs="仿宋"/>
          <w:b/>
          <w:sz w:val="24"/>
        </w:rPr>
        <w:br w:type="page"/>
      </w:r>
    </w:p>
    <w:p>
      <w:pPr>
        <w:widowControl/>
        <w:spacing w:line="440" w:lineRule="exact"/>
        <w:ind w:firstLine="1760" w:firstLineChars="400"/>
        <w:jc w:val="left"/>
        <w:rPr>
          <w:rStyle w:val="25"/>
          <w:rFonts w:ascii="黑体" w:hAnsi="黑体" w:eastAsia="黑体" w:cs="黑体"/>
          <w:bCs w:val="0"/>
        </w:rPr>
      </w:pPr>
      <w:r>
        <w:rPr>
          <w:rFonts w:hint="eastAsia" w:ascii="黑体" w:hAnsi="黑体" w:eastAsia="黑体" w:cs="黑体"/>
          <w:sz w:val="44"/>
          <w:szCs w:val="44"/>
        </w:rPr>
        <w:t xml:space="preserve">第一部分 </w:t>
      </w:r>
      <w:r>
        <w:rPr>
          <w:rStyle w:val="25"/>
          <w:rFonts w:hint="eastAsia" w:ascii="黑体" w:hAnsi="黑体" w:eastAsia="黑体" w:cs="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黑体" w:hAnsi="黑体" w:eastAsia="黑体"/>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bookmarkStart w:id="16" w:name="_Toc15378445"/>
      <w:bookmarkStart w:id="17" w:name="_Toc15377198"/>
    </w:p>
    <w:p>
      <w:pPr>
        <w:pStyle w:val="3"/>
        <w:ind w:firstLine="643" w:firstLineChars="200"/>
        <w:rPr>
          <w:rFonts w:hint="eastAsia" w:ascii="仿宋" w:hAnsi="仿宋" w:eastAsia="仿宋"/>
          <w:b w:val="0"/>
          <w:bCs w:val="0"/>
          <w:color w:val="FF0000"/>
          <w:lang w:eastAsia="zh-CN"/>
        </w:rPr>
      </w:pPr>
      <w:r>
        <w:rPr>
          <w:rFonts w:hint="eastAsia" w:ascii="仿宋" w:hAnsi="仿宋" w:eastAsia="仿宋"/>
          <w:color w:val="000000"/>
        </w:rPr>
        <w:t>（一）主要职能。</w:t>
      </w:r>
      <w:bookmarkEnd w:id="16"/>
      <w:bookmarkEnd w:id="17"/>
      <w:bookmarkStart w:id="18" w:name="_Toc15377199"/>
      <w:bookmarkStart w:id="19" w:name="_Toc15378446"/>
      <w:r>
        <w:rPr>
          <w:rFonts w:hint="eastAsia" w:ascii="仿宋" w:hAnsi="仿宋" w:eastAsia="仿宋" w:cs="仿宋"/>
          <w:sz w:val="30"/>
          <w:szCs w:val="30"/>
        </w:rPr>
        <w:t>共青团广元市利州区委员会总编制4名，其中参照公务员法管理的编制4名。在职人员总数3人，其中机关行政编制3名</w:t>
      </w:r>
      <w:r>
        <w:rPr>
          <w:rFonts w:hint="eastAsia" w:ascii="仿宋" w:hAnsi="仿宋" w:eastAsia="仿宋" w:cs="仿宋"/>
          <w:sz w:val="30"/>
          <w:szCs w:val="30"/>
          <w:lang w:eastAsia="zh-CN"/>
        </w:rPr>
        <w:t>。</w:t>
      </w:r>
      <w:bookmarkStart w:id="74" w:name="_GoBack"/>
      <w:bookmarkEnd w:id="74"/>
    </w:p>
    <w:p>
      <w:pPr>
        <w:ind w:firstLine="600" w:firstLineChars="200"/>
        <w:rPr>
          <w:rFonts w:ascii="仿宋" w:hAnsi="仿宋" w:eastAsia="仿宋" w:cs="仿宋"/>
          <w:sz w:val="30"/>
          <w:szCs w:val="30"/>
        </w:rPr>
      </w:pPr>
      <w:r>
        <w:rPr>
          <w:rFonts w:hint="eastAsia" w:ascii="仿宋" w:hAnsi="仿宋" w:eastAsia="仿宋" w:cs="仿宋"/>
          <w:sz w:val="30"/>
          <w:szCs w:val="30"/>
        </w:rPr>
        <w:t>中国共产主义青年团是中国共产党领导的先进青年的群众组织</w:t>
      </w:r>
      <w:r>
        <w:rPr>
          <w:rFonts w:hint="eastAsia" w:ascii="仿宋" w:hAnsi="仿宋" w:eastAsia="仿宋" w:cs="仿宋"/>
          <w:sz w:val="30"/>
          <w:szCs w:val="30"/>
          <w:lang w:eastAsia="zh-CN"/>
        </w:rPr>
        <w:t>，</w:t>
      </w:r>
      <w:r>
        <w:rPr>
          <w:rFonts w:hint="eastAsia" w:ascii="仿宋" w:hAnsi="仿宋" w:eastAsia="仿宋" w:cs="仿宋"/>
          <w:sz w:val="30"/>
          <w:szCs w:val="30"/>
        </w:rPr>
        <w:t>是广大青年在实践中学习共产主义的学校，是党的助手和后备军</w:t>
      </w:r>
      <w:r>
        <w:rPr>
          <w:rFonts w:hint="eastAsia" w:ascii="仿宋" w:hAnsi="仿宋" w:eastAsia="仿宋" w:cs="仿宋"/>
          <w:sz w:val="30"/>
          <w:szCs w:val="30"/>
          <w:lang w:eastAsia="zh-CN"/>
        </w:rPr>
        <w:t>，</w:t>
      </w:r>
      <w:r>
        <w:rPr>
          <w:rFonts w:hint="eastAsia" w:ascii="仿宋" w:hAnsi="仿宋" w:eastAsia="仿宋" w:cs="仿宋"/>
          <w:sz w:val="30"/>
          <w:szCs w:val="30"/>
        </w:rPr>
        <w:t>是党联系青年的桥梁和纽带，是国家政权的重要社会支柱之一。中国共产主义青年团广元市利州区委员会是广元市利州区各级团组织的领导机关。</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 w:hAnsi="仿宋" w:eastAsia="仿宋" w:cs="仿宋"/>
          <w:sz w:val="30"/>
          <w:szCs w:val="30"/>
        </w:rPr>
      </w:pPr>
      <w:r>
        <w:rPr>
          <w:rFonts w:hint="eastAsia" w:ascii="仿宋" w:hAnsi="仿宋" w:eastAsia="仿宋" w:cs="仿宋"/>
          <w:sz w:val="30"/>
          <w:szCs w:val="30"/>
        </w:rPr>
        <w:t>一是领导全区共青团工作，</w:t>
      </w:r>
      <w:r>
        <w:rPr>
          <w:rFonts w:hint="eastAsia" w:ascii="仿宋" w:hAnsi="仿宋" w:eastAsia="仿宋" w:cs="仿宋"/>
          <w:sz w:val="30"/>
          <w:szCs w:val="30"/>
          <w:highlight w:val="none"/>
        </w:rPr>
        <w:t>组织全区共青团组织围绕</w:t>
      </w:r>
      <w:r>
        <w:rPr>
          <w:rFonts w:hint="eastAsia" w:ascii="仿宋" w:hAnsi="仿宋" w:eastAsia="仿宋" w:cs="仿宋"/>
          <w:sz w:val="30"/>
          <w:szCs w:val="30"/>
          <w:highlight w:val="none"/>
          <w:lang w:eastAsia="zh-CN"/>
        </w:rPr>
        <w:t>全区</w:t>
      </w:r>
      <w:r>
        <w:rPr>
          <w:rFonts w:hint="eastAsia" w:ascii="仿宋" w:hAnsi="仿宋" w:eastAsia="仿宋" w:cs="仿宋"/>
          <w:sz w:val="30"/>
          <w:szCs w:val="30"/>
          <w:highlight w:val="none"/>
        </w:rPr>
        <w:t>改</w:t>
      </w:r>
      <w:r>
        <w:rPr>
          <w:rFonts w:hint="eastAsia" w:ascii="仿宋" w:hAnsi="仿宋" w:eastAsia="仿宋" w:cs="仿宋"/>
          <w:sz w:val="30"/>
          <w:szCs w:val="30"/>
        </w:rPr>
        <w:t>革、发展、稳定的大局开展工作，在利州区政治、经济、文化等活动中发挥党的助手作用。</w:t>
      </w:r>
    </w:p>
    <w:p>
      <w:pPr>
        <w:rPr>
          <w:rFonts w:ascii="仿宋" w:hAnsi="仿宋" w:eastAsia="仿宋" w:cs="仿宋"/>
          <w:sz w:val="30"/>
          <w:szCs w:val="30"/>
        </w:rPr>
      </w:pPr>
      <w:r>
        <w:rPr>
          <w:rFonts w:hint="eastAsia" w:ascii="仿宋" w:hAnsi="仿宋" w:eastAsia="仿宋" w:cs="仿宋"/>
          <w:sz w:val="30"/>
          <w:szCs w:val="30"/>
        </w:rPr>
        <w:t xml:space="preserve">    二是围绕区委、区政府中心工作，推进全区青少年精神文明建设；负责指导并组织实施全区青少年的思想理论教育、宣传文化活动，培养、选拔、推荐、表彰优秀青少年；指导全区志愿者工作的开展。</w:t>
      </w:r>
    </w:p>
    <w:p>
      <w:pPr>
        <w:rPr>
          <w:rFonts w:ascii="仿宋" w:hAnsi="仿宋" w:eastAsia="仿宋" w:cs="仿宋"/>
          <w:sz w:val="30"/>
          <w:szCs w:val="30"/>
        </w:rPr>
      </w:pPr>
      <w:r>
        <w:rPr>
          <w:rFonts w:hint="eastAsia" w:ascii="仿宋" w:hAnsi="仿宋" w:eastAsia="仿宋" w:cs="仿宋"/>
          <w:sz w:val="30"/>
          <w:szCs w:val="30"/>
        </w:rPr>
        <w:t xml:space="preserve">    三是负责全区共青团工作和青年工作的理论研究；向区委、区政府反映青少年思想状况，参与协调处理各种与青少年利益相关的工作；对青少年工作中的重大问题提出立法建议，参与有关全区性青少年法规的起草、实施、监督等工作。</w:t>
      </w:r>
    </w:p>
    <w:p>
      <w:pPr>
        <w:rPr>
          <w:rFonts w:ascii="仿宋" w:hAnsi="仿宋" w:eastAsia="仿宋" w:cs="仿宋"/>
          <w:sz w:val="30"/>
          <w:szCs w:val="30"/>
        </w:rPr>
      </w:pPr>
      <w:r>
        <w:rPr>
          <w:rFonts w:hint="eastAsia" w:ascii="仿宋" w:hAnsi="仿宋" w:eastAsia="仿宋" w:cs="仿宋"/>
          <w:sz w:val="30"/>
          <w:szCs w:val="30"/>
        </w:rPr>
        <w:t xml:space="preserve">    四是负责研究指导全区团的组织建设和干部队伍建设，推进全区团的基层组织建设；指导全区各级团校工作；指导全区共青团组织协助有关部门开展青年人力资源开发工作。</w:t>
      </w:r>
    </w:p>
    <w:p>
      <w:pPr>
        <w:rPr>
          <w:rFonts w:ascii="仿宋" w:hAnsi="仿宋" w:eastAsia="仿宋" w:cs="仿宋"/>
          <w:sz w:val="30"/>
          <w:szCs w:val="30"/>
        </w:rPr>
      </w:pPr>
      <w:r>
        <w:rPr>
          <w:rFonts w:hint="eastAsia" w:ascii="仿宋" w:hAnsi="仿宋" w:eastAsia="仿宋" w:cs="仿宋"/>
          <w:sz w:val="30"/>
          <w:szCs w:val="30"/>
        </w:rPr>
        <w:t xml:space="preserve">    五是负责全区青年统战工作。</w:t>
      </w:r>
    </w:p>
    <w:p>
      <w:pPr>
        <w:rPr>
          <w:rFonts w:ascii="仿宋" w:hAnsi="仿宋" w:eastAsia="仿宋" w:cs="仿宋"/>
          <w:sz w:val="30"/>
          <w:szCs w:val="30"/>
        </w:rPr>
      </w:pPr>
      <w:r>
        <w:rPr>
          <w:rFonts w:hint="eastAsia" w:ascii="仿宋" w:hAnsi="仿宋" w:eastAsia="仿宋" w:cs="仿宋"/>
          <w:sz w:val="30"/>
          <w:szCs w:val="30"/>
        </w:rPr>
        <w:t xml:space="preserve">    六是负责全区共青团系统外事工作和青少年对外交流工作。</w:t>
      </w:r>
    </w:p>
    <w:p>
      <w:pPr>
        <w:rPr>
          <w:rFonts w:ascii="仿宋" w:hAnsi="仿宋" w:eastAsia="仿宋" w:cs="仿宋"/>
          <w:sz w:val="30"/>
          <w:szCs w:val="30"/>
        </w:rPr>
      </w:pPr>
      <w:r>
        <w:rPr>
          <w:rFonts w:hint="eastAsia" w:ascii="仿宋" w:hAnsi="仿宋" w:eastAsia="仿宋" w:cs="仿宋"/>
          <w:sz w:val="30"/>
          <w:szCs w:val="30"/>
        </w:rPr>
        <w:t xml:space="preserve">    七是指导和帮助区青联、区少先队工作委员会开展工作；协助有关部门对所主管的社会团体进行监督管理。</w:t>
      </w:r>
    </w:p>
    <w:p>
      <w:pPr>
        <w:rPr>
          <w:rFonts w:ascii="仿宋" w:hAnsi="仿宋" w:eastAsia="仿宋" w:cs="仿宋"/>
          <w:sz w:val="30"/>
          <w:szCs w:val="30"/>
        </w:rPr>
      </w:pPr>
      <w:r>
        <w:rPr>
          <w:rFonts w:hint="eastAsia" w:ascii="仿宋" w:hAnsi="仿宋" w:eastAsia="仿宋" w:cs="仿宋"/>
          <w:sz w:val="30"/>
          <w:szCs w:val="30"/>
        </w:rPr>
        <w:t xml:space="preserve">    八是负责团区委直属企事业单位的管理工作；筹措青少年事业发展经费。</w:t>
      </w:r>
    </w:p>
    <w:p>
      <w:pPr>
        <w:pStyle w:val="12"/>
        <w:spacing w:before="0" w:beforeAutospacing="0" w:after="0" w:afterAutospacing="0" w:line="576" w:lineRule="exact"/>
        <w:ind w:firstLine="600" w:firstLineChars="200"/>
        <w:rPr>
          <w:rFonts w:ascii="仿宋" w:hAnsi="仿宋" w:eastAsia="仿宋" w:cs="仿宋"/>
          <w:sz w:val="30"/>
          <w:szCs w:val="30"/>
        </w:rPr>
      </w:pPr>
      <w:r>
        <w:rPr>
          <w:rFonts w:hint="eastAsia" w:ascii="仿宋" w:hAnsi="仿宋" w:eastAsia="仿宋" w:cs="仿宋"/>
          <w:sz w:val="30"/>
          <w:szCs w:val="30"/>
        </w:rPr>
        <w:t>九是承办区委、区政府和共青团广元市委交办的其他事项。</w:t>
      </w:r>
    </w:p>
    <w:p>
      <w:pPr>
        <w:spacing w:line="576" w:lineRule="exact"/>
        <w:ind w:firstLine="640" w:firstLineChars="200"/>
        <w:rPr>
          <w:rFonts w:ascii="方正黑体简体" w:hAnsi="黑体" w:eastAsia="方正黑体简体" w:cs="方正黑体简体"/>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2020</w:t>
      </w:r>
      <w:r>
        <w:rPr>
          <w:rFonts w:hint="eastAsia" w:ascii="仿宋" w:hAnsi="仿宋" w:eastAsia="仿宋"/>
          <w:bCs/>
          <w:color w:val="000000"/>
          <w:sz w:val="32"/>
          <w:szCs w:val="32"/>
        </w:rPr>
        <w:t>年重点工作完成情况。</w:t>
      </w:r>
      <w:bookmarkEnd w:id="18"/>
      <w:bookmarkEnd w:id="19"/>
    </w:p>
    <w:p>
      <w:pPr>
        <w:pStyle w:val="5"/>
        <w:adjustRightInd w:val="0"/>
        <w:snapToGrid w:val="0"/>
        <w:spacing w:before="93" w:line="600" w:lineRule="exact"/>
        <w:ind w:firstLine="630" w:firstLineChars="210"/>
        <w:outlineLvl w:val="2"/>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聚焦主责主业，大力加强青少年思想政治引领</w:t>
      </w:r>
    </w:p>
    <w:p>
      <w:pPr>
        <w:pStyle w:val="5"/>
        <w:adjustRightInd w:val="0"/>
        <w:snapToGrid w:val="0"/>
        <w:spacing w:before="93" w:line="600" w:lineRule="exact"/>
        <w:ind w:firstLine="630" w:firstLineChars="210"/>
        <w:outlineLvl w:val="2"/>
        <w:rPr>
          <w:rFonts w:hint="eastAsia" w:ascii="仿宋" w:hAnsi="仿宋" w:eastAsia="仿宋" w:cs="仿宋"/>
          <w:sz w:val="30"/>
          <w:szCs w:val="30"/>
        </w:rPr>
      </w:pPr>
      <w:r>
        <w:rPr>
          <w:rFonts w:hint="eastAsia" w:ascii="仿宋" w:hAnsi="仿宋" w:eastAsia="仿宋" w:cs="仿宋"/>
          <w:sz w:val="30"/>
          <w:szCs w:val="30"/>
          <w:lang w:eastAsia="zh-CN"/>
        </w:rPr>
        <w:t>一是</w:t>
      </w:r>
      <w:r>
        <w:rPr>
          <w:rFonts w:hint="eastAsia" w:ascii="仿宋" w:hAnsi="仿宋" w:eastAsia="仿宋" w:cs="仿宋"/>
          <w:sz w:val="30"/>
          <w:szCs w:val="30"/>
        </w:rPr>
        <w:t>把加强共青团政治建设放在首位。切实担负起巩固和扩大党执政的青年群众基础这一政治责任，把深入学习贯彻习近平新时代中国特色社会主义思想和党的十九届五中全会精神作为首要政治任务，把政治建设贯穿到共青团工作全过程，进一步树牢“四个意识”，坚定“四个自信”，做到“两个维护”，增强共青团工作的责任意识和创新意识，教育引导广大青年立志听党话、跟党走。</w:t>
      </w:r>
    </w:p>
    <w:p>
      <w:pPr>
        <w:pStyle w:val="5"/>
        <w:adjustRightInd w:val="0"/>
        <w:snapToGrid w:val="0"/>
        <w:spacing w:before="93" w:line="600" w:lineRule="exact"/>
        <w:ind w:firstLine="630" w:firstLineChars="210"/>
        <w:outlineLvl w:val="2"/>
        <w:rPr>
          <w:rFonts w:hint="eastAsia" w:ascii="仿宋" w:hAnsi="仿宋" w:eastAsia="仿宋" w:cs="仿宋"/>
          <w:sz w:val="30"/>
          <w:szCs w:val="30"/>
        </w:rPr>
      </w:pPr>
      <w:r>
        <w:rPr>
          <w:rFonts w:hint="eastAsia" w:ascii="仿宋" w:hAnsi="仿宋" w:eastAsia="仿宋" w:cs="仿宋"/>
          <w:sz w:val="30"/>
          <w:szCs w:val="30"/>
          <w:lang w:eastAsia="zh-CN"/>
        </w:rPr>
        <w:t>二是</w:t>
      </w:r>
      <w:r>
        <w:rPr>
          <w:rFonts w:hint="eastAsia" w:ascii="仿宋" w:hAnsi="仿宋" w:eastAsia="仿宋" w:cs="仿宋"/>
          <w:sz w:val="30"/>
          <w:szCs w:val="30"/>
        </w:rPr>
        <w:t>持续深化青年大学习行动。在全区各级团组织中广泛 实施</w:t>
      </w:r>
      <w:r>
        <w:rPr>
          <w:rFonts w:hint="eastAsia" w:ascii="仿宋" w:hAnsi="仿宋" w:eastAsia="仿宋" w:cs="仿宋"/>
          <w:sz w:val="30"/>
          <w:szCs w:val="30"/>
          <w:lang w:eastAsia="zh-CN"/>
        </w:rPr>
        <w:t>“</w:t>
      </w:r>
      <w:r>
        <w:rPr>
          <w:rFonts w:hint="eastAsia" w:ascii="仿宋" w:hAnsi="仿宋" w:eastAsia="仿宋" w:cs="仿宋"/>
          <w:sz w:val="30"/>
          <w:szCs w:val="30"/>
        </w:rPr>
        <w:t>青年大学习”行动，通过“三会两制一课”、主题团（队）日活动、网上主题团课等形式，深入基层激活团员影响青年，推动团员青年政治学习常态化、制度化。截至目前，我委已累计组织全区团员青年</w:t>
      </w:r>
      <w:r>
        <w:rPr>
          <w:rFonts w:hint="eastAsia" w:ascii="仿宋" w:hAnsi="仿宋" w:eastAsia="仿宋" w:cs="仿宋"/>
          <w:sz w:val="30"/>
          <w:szCs w:val="30"/>
          <w:lang w:val="en-US" w:eastAsia="zh-CN"/>
        </w:rPr>
        <w:t>29</w:t>
      </w:r>
      <w:r>
        <w:rPr>
          <w:rFonts w:hint="eastAsia" w:ascii="仿宋" w:hAnsi="仿宋" w:eastAsia="仿宋" w:cs="仿宋"/>
          <w:sz w:val="30"/>
          <w:szCs w:val="30"/>
        </w:rPr>
        <w:t>万余人次参学，团员参学比位居全省前列。</w:t>
      </w:r>
    </w:p>
    <w:p>
      <w:pPr>
        <w:pStyle w:val="5"/>
        <w:adjustRightInd w:val="0"/>
        <w:snapToGrid w:val="0"/>
        <w:spacing w:before="93" w:line="600" w:lineRule="exact"/>
        <w:ind w:firstLine="630" w:firstLineChars="210"/>
        <w:outlineLvl w:val="2"/>
        <w:rPr>
          <w:rFonts w:hint="eastAsia" w:ascii="仿宋" w:hAnsi="仿宋" w:eastAsia="仿宋" w:cs="仿宋"/>
          <w:sz w:val="30"/>
          <w:szCs w:val="30"/>
        </w:rPr>
      </w:pPr>
      <w:r>
        <w:rPr>
          <w:rFonts w:hint="eastAsia" w:ascii="仿宋" w:hAnsi="仿宋" w:eastAsia="仿宋" w:cs="仿宋"/>
          <w:sz w:val="30"/>
          <w:szCs w:val="30"/>
          <w:lang w:eastAsia="zh-CN"/>
        </w:rPr>
        <w:t>三是</w:t>
      </w:r>
      <w:r>
        <w:rPr>
          <w:rFonts w:hint="eastAsia" w:ascii="仿宋" w:hAnsi="仿宋" w:eastAsia="仿宋" w:cs="仿宋"/>
          <w:sz w:val="30"/>
          <w:szCs w:val="30"/>
        </w:rPr>
        <w:t>持续强化共青团思想建设。严格落实意识形态工作责任制，抓好共青团系统意识形态领域风险防范工作</w:t>
      </w:r>
      <w:r>
        <w:rPr>
          <w:rFonts w:hint="eastAsia" w:ascii="仿宋" w:hAnsi="仿宋" w:eastAsia="仿宋" w:cs="仿宋"/>
          <w:sz w:val="30"/>
          <w:szCs w:val="30"/>
          <w:lang w:eastAsia="zh-CN"/>
        </w:rPr>
        <w:t>；</w:t>
      </w:r>
      <w:r>
        <w:rPr>
          <w:rFonts w:hint="eastAsia" w:ascii="仿宋" w:hAnsi="仿宋" w:eastAsia="仿宋" w:cs="仿宋"/>
          <w:sz w:val="30"/>
          <w:szCs w:val="30"/>
        </w:rPr>
        <w:t>深化青少年社会主义核心价值观培育工作，加强仪式教育、用好榜样引领、注重以文化人；加强青年网上网下阵地联系，用精用活“利州青年”等团属宣传平台，正面有效发声，树立正确的社会价值导向和思想观念。</w:t>
      </w:r>
      <w:r>
        <w:rPr>
          <w:rFonts w:hint="eastAsia" w:ascii="仿宋" w:hAnsi="仿宋" w:eastAsia="仿宋" w:cs="仿宋"/>
          <w:sz w:val="30"/>
          <w:szCs w:val="30"/>
          <w:lang w:eastAsia="zh-CN"/>
        </w:rPr>
        <w:t>截至目前</w:t>
      </w:r>
      <w:r>
        <w:rPr>
          <w:rFonts w:hint="eastAsia" w:ascii="仿宋" w:hAnsi="仿宋" w:eastAsia="仿宋" w:cs="仿宋"/>
          <w:sz w:val="30"/>
          <w:szCs w:val="30"/>
        </w:rPr>
        <w:t>，“利州青年”微信公众号累计发布图文580篇，浏览量达10万余人次</w:t>
      </w:r>
      <w:r>
        <w:rPr>
          <w:rFonts w:hint="eastAsia" w:ascii="仿宋" w:hAnsi="仿宋" w:eastAsia="仿宋" w:cs="仿宋"/>
          <w:sz w:val="30"/>
          <w:szCs w:val="30"/>
          <w:lang w:eastAsia="zh-CN"/>
        </w:rPr>
        <w:t>，</w:t>
      </w:r>
      <w:r>
        <w:rPr>
          <w:rFonts w:hint="eastAsia" w:ascii="仿宋" w:hAnsi="仿宋" w:eastAsia="仿宋" w:cs="仿宋"/>
          <w:sz w:val="30"/>
          <w:szCs w:val="30"/>
        </w:rPr>
        <w:t xml:space="preserve">利州青年官方微博累计发布图文2.1万余篇，浏览量达7500万余人次，极大增强了共青团的凝聚力和影响力。 </w:t>
      </w:r>
    </w:p>
    <w:p>
      <w:pPr>
        <w:pStyle w:val="5"/>
        <w:adjustRightInd w:val="0"/>
        <w:snapToGrid w:val="0"/>
        <w:spacing w:before="93" w:line="600" w:lineRule="exact"/>
        <w:ind w:firstLine="630" w:firstLineChars="210"/>
        <w:outlineLvl w:val="2"/>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 xml:space="preserve">紧扣中心大局，积极彰显青年生力军作用 </w:t>
      </w:r>
    </w:p>
    <w:p>
      <w:pPr>
        <w:pStyle w:val="5"/>
        <w:adjustRightInd w:val="0"/>
        <w:snapToGrid w:val="0"/>
        <w:spacing w:before="93" w:line="600" w:lineRule="exact"/>
        <w:ind w:firstLine="630" w:firstLineChars="210"/>
        <w:outlineLvl w:val="2"/>
        <w:rPr>
          <w:rFonts w:hint="eastAsia" w:ascii="仿宋" w:hAnsi="仿宋" w:eastAsia="仿宋" w:cs="仿宋"/>
          <w:sz w:val="30"/>
          <w:szCs w:val="30"/>
        </w:rPr>
      </w:pPr>
      <w:r>
        <w:rPr>
          <w:rFonts w:hint="eastAsia" w:ascii="仿宋" w:hAnsi="仿宋" w:eastAsia="仿宋" w:cs="仿宋"/>
          <w:sz w:val="30"/>
          <w:szCs w:val="30"/>
          <w:lang w:eastAsia="zh-CN"/>
        </w:rPr>
        <w:t>一是</w:t>
      </w:r>
      <w:r>
        <w:rPr>
          <w:rFonts w:hint="eastAsia" w:ascii="仿宋" w:hAnsi="仿宋" w:eastAsia="仿宋" w:cs="仿宋"/>
          <w:sz w:val="30"/>
          <w:szCs w:val="30"/>
        </w:rPr>
        <w:t>实施青春助推脱贫攻坚乡村振兴行动。积极对接社会公益项目，争取到“天九共享集团”、“我要上大学”、“关爱帮扶受疫情影响青少年”等青少年帮扶项目在利州落地，共资助全区困难青少年364人次，总计49.6万元。扎实抓好大石镇石笋村和三堆镇井田村、三堆村贫困户结对帮扶工作，在思想引领、技能培训、产业提升、环境整治、精神扶贫方面成效明显。</w:t>
      </w:r>
    </w:p>
    <w:p>
      <w:pPr>
        <w:pStyle w:val="5"/>
        <w:adjustRightInd w:val="0"/>
        <w:snapToGrid w:val="0"/>
        <w:spacing w:before="93" w:line="600" w:lineRule="exact"/>
        <w:ind w:firstLine="630" w:firstLineChars="210"/>
        <w:outlineLvl w:val="2"/>
        <w:rPr>
          <w:rFonts w:hint="eastAsia" w:ascii="仿宋" w:hAnsi="仿宋" w:eastAsia="仿宋" w:cs="仿宋"/>
          <w:sz w:val="30"/>
          <w:szCs w:val="30"/>
        </w:rPr>
      </w:pPr>
      <w:r>
        <w:rPr>
          <w:rFonts w:hint="eastAsia" w:ascii="仿宋" w:hAnsi="仿宋" w:eastAsia="仿宋" w:cs="仿宋"/>
          <w:sz w:val="30"/>
          <w:szCs w:val="30"/>
          <w:lang w:eastAsia="zh-CN"/>
        </w:rPr>
        <w:t>二是</w:t>
      </w:r>
      <w:r>
        <w:rPr>
          <w:rFonts w:hint="eastAsia" w:ascii="仿宋" w:hAnsi="仿宋" w:eastAsia="仿宋" w:cs="仿宋"/>
          <w:sz w:val="30"/>
          <w:szCs w:val="30"/>
        </w:rPr>
        <w:t>扎实开展青年新冠肺炎疫情防控工作。疫情防控以来，团区委立即行动向社会公开招募防疫志愿者，迅速组建利州疫情防控青年突击队</w:t>
      </w:r>
      <w:r>
        <w:rPr>
          <w:rFonts w:hint="eastAsia" w:ascii="仿宋" w:hAnsi="仿宋" w:eastAsia="仿宋" w:cs="仿宋"/>
          <w:sz w:val="30"/>
          <w:szCs w:val="30"/>
          <w:lang w:eastAsia="zh-CN"/>
        </w:rPr>
        <w:t>，</w:t>
      </w:r>
      <w:r>
        <w:rPr>
          <w:rFonts w:hint="eastAsia" w:ascii="仿宋" w:hAnsi="仿宋" w:eastAsia="仿宋" w:cs="仿宋"/>
          <w:sz w:val="30"/>
          <w:szCs w:val="30"/>
        </w:rPr>
        <w:t>有效开展文明劝导、体温测量、防疫知识宣传普及等工作，累计发放宣传资料1.6万余份，劝导聚集人群和未佩戴口罩外出群众4000余人次。利用“利州青年”网络平台广泛开展疫情防控知识宣传</w:t>
      </w:r>
      <w:r>
        <w:rPr>
          <w:rFonts w:hint="eastAsia" w:ascii="仿宋" w:hAnsi="仿宋" w:eastAsia="仿宋" w:cs="仿宋"/>
          <w:sz w:val="30"/>
          <w:szCs w:val="30"/>
          <w:lang w:eastAsia="zh-CN"/>
        </w:rPr>
        <w:t>，</w:t>
      </w:r>
      <w:r>
        <w:rPr>
          <w:rFonts w:hint="eastAsia" w:ascii="仿宋" w:hAnsi="仿宋" w:eastAsia="仿宋" w:cs="仿宋"/>
          <w:sz w:val="30"/>
          <w:szCs w:val="30"/>
        </w:rPr>
        <w:t>共推送疫情相关信息150余篇。同时</w:t>
      </w:r>
      <w:r>
        <w:rPr>
          <w:rFonts w:hint="eastAsia" w:ascii="仿宋" w:hAnsi="仿宋" w:eastAsia="仿宋" w:cs="仿宋"/>
          <w:sz w:val="30"/>
          <w:szCs w:val="30"/>
          <w:lang w:eastAsia="zh-CN"/>
        </w:rPr>
        <w:t>，</w:t>
      </w:r>
      <w:r>
        <w:rPr>
          <w:rFonts w:hint="eastAsia" w:ascii="仿宋" w:hAnsi="仿宋" w:eastAsia="仿宋" w:cs="仿宋"/>
          <w:sz w:val="30"/>
          <w:szCs w:val="30"/>
        </w:rPr>
        <w:t xml:space="preserve">对向援鄂一线的青年医务工作者及其家属进行了慰问和宣传。 </w:t>
      </w:r>
    </w:p>
    <w:p>
      <w:pPr>
        <w:pStyle w:val="5"/>
        <w:adjustRightInd w:val="0"/>
        <w:snapToGrid w:val="0"/>
        <w:spacing w:before="93" w:line="600" w:lineRule="exact"/>
        <w:ind w:firstLine="630" w:firstLineChars="210"/>
        <w:outlineLvl w:val="2"/>
        <w:rPr>
          <w:rFonts w:hint="eastAsia" w:ascii="仿宋" w:hAnsi="仿宋" w:eastAsia="仿宋" w:cs="仿宋"/>
          <w:sz w:val="30"/>
          <w:szCs w:val="30"/>
        </w:rPr>
      </w:pPr>
      <w:r>
        <w:rPr>
          <w:rFonts w:hint="eastAsia" w:ascii="仿宋" w:hAnsi="仿宋" w:eastAsia="仿宋" w:cs="仿宋"/>
          <w:sz w:val="30"/>
          <w:szCs w:val="30"/>
          <w:lang w:eastAsia="zh-CN"/>
        </w:rPr>
        <w:t>三是</w:t>
      </w:r>
      <w:r>
        <w:rPr>
          <w:rFonts w:hint="eastAsia" w:ascii="仿宋" w:hAnsi="仿宋" w:eastAsia="仿宋" w:cs="仿宋"/>
          <w:sz w:val="30"/>
          <w:szCs w:val="30"/>
        </w:rPr>
        <w:t>广泛动员青年参与志愿服务工作。在全区各乡镇（街 道）团（工）委分别成立1支青年志愿服务队</w:t>
      </w:r>
      <w:r>
        <w:rPr>
          <w:rFonts w:hint="eastAsia" w:ascii="仿宋" w:hAnsi="仿宋" w:eastAsia="仿宋" w:cs="仿宋"/>
          <w:sz w:val="30"/>
          <w:szCs w:val="30"/>
          <w:lang w:eastAsia="zh-CN"/>
        </w:rPr>
        <w:t>，</w:t>
      </w:r>
      <w:r>
        <w:rPr>
          <w:rFonts w:hint="eastAsia" w:ascii="仿宋" w:hAnsi="仿宋" w:eastAsia="仿宋" w:cs="仿宋"/>
          <w:sz w:val="30"/>
          <w:szCs w:val="30"/>
        </w:rPr>
        <w:t xml:space="preserve">创新活动开展模式，采用线上线下相结合的方式，积极开展“青春志愿”系列志愿者活动，全年共开展志愿活动近百余次。组织全区 49 名青年志愿者参与全省司法所服务乡村振兴现场会志愿服务工作，获得了参会嘉宾的一致好评。同时，依托利州青年志愿者协会和“青年之家”网络平台，组织志愿者常态化开展留守儿童帮扶、疫情防控等志愿服务。 </w:t>
      </w:r>
    </w:p>
    <w:p>
      <w:pPr>
        <w:pStyle w:val="5"/>
        <w:adjustRightInd w:val="0"/>
        <w:snapToGrid w:val="0"/>
        <w:spacing w:before="93" w:line="600" w:lineRule="exact"/>
        <w:ind w:firstLine="630" w:firstLineChars="210"/>
        <w:outlineLvl w:val="2"/>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 xml:space="preserve">聚焦青年成长成才，打造青年“想得起、找得到、靠得住” 的身边共青团 </w:t>
      </w:r>
    </w:p>
    <w:p>
      <w:pPr>
        <w:pStyle w:val="5"/>
        <w:adjustRightInd w:val="0"/>
        <w:snapToGrid w:val="0"/>
        <w:spacing w:before="93" w:line="600" w:lineRule="exact"/>
        <w:ind w:firstLine="630" w:firstLineChars="210"/>
        <w:outlineLvl w:val="2"/>
        <w:rPr>
          <w:rFonts w:hint="eastAsia" w:ascii="仿宋" w:hAnsi="仿宋" w:eastAsia="仿宋" w:cs="仿宋"/>
          <w:sz w:val="30"/>
          <w:szCs w:val="30"/>
        </w:rPr>
      </w:pPr>
      <w:r>
        <w:rPr>
          <w:rFonts w:hint="eastAsia" w:ascii="仿宋" w:hAnsi="仿宋" w:eastAsia="仿宋" w:cs="仿宋"/>
          <w:sz w:val="30"/>
          <w:szCs w:val="30"/>
          <w:lang w:eastAsia="zh-CN"/>
        </w:rPr>
        <w:t>一是</w:t>
      </w:r>
      <w:r>
        <w:rPr>
          <w:rFonts w:hint="eastAsia" w:ascii="仿宋" w:hAnsi="仿宋" w:eastAsia="仿宋" w:cs="仿宋"/>
          <w:sz w:val="30"/>
          <w:szCs w:val="30"/>
        </w:rPr>
        <w:t>强化团属阵地建设。抓好传统领域和“两新”组织团建工作，加大对青年社会组织等领域的组织覆盖。加大对企业团建工作的指导力度，全年新建4个非公团组织，社会领域团的组织密度从21.56提升到50。加大“青年之家”建设力度，建设广元七七五公益、广元市青年志愿者协会、宝轮镇云峰社区和中公教育广元分公司</w:t>
      </w:r>
      <w:r>
        <w:rPr>
          <w:rFonts w:hint="eastAsia" w:ascii="仿宋" w:hAnsi="仿宋" w:eastAsia="仿宋" w:cs="仿宋"/>
          <w:sz w:val="30"/>
          <w:szCs w:val="30"/>
          <w:lang w:val="en-US" w:eastAsia="zh-CN"/>
        </w:rPr>
        <w:t>4</w:t>
      </w:r>
      <w:r>
        <w:rPr>
          <w:rFonts w:hint="eastAsia" w:ascii="仿宋" w:hAnsi="仿宋" w:eastAsia="仿宋" w:cs="仿宋"/>
          <w:sz w:val="30"/>
          <w:szCs w:val="30"/>
        </w:rPr>
        <w:t xml:space="preserve">个区级示范“青年之家”并入驻团中央云平台，每月至少开展两次线上活动，充分发挥凝聚青年、服务青年的作用。 </w:t>
      </w:r>
    </w:p>
    <w:p>
      <w:pPr>
        <w:pStyle w:val="5"/>
        <w:adjustRightInd w:val="0"/>
        <w:snapToGrid w:val="0"/>
        <w:spacing w:before="93" w:line="600" w:lineRule="exact"/>
        <w:ind w:firstLine="630" w:firstLineChars="210"/>
        <w:outlineLvl w:val="2"/>
        <w:rPr>
          <w:rFonts w:hint="eastAsia" w:ascii="仿宋" w:hAnsi="仿宋" w:eastAsia="仿宋" w:cs="仿宋"/>
          <w:sz w:val="30"/>
          <w:szCs w:val="30"/>
        </w:rPr>
      </w:pPr>
      <w:r>
        <w:rPr>
          <w:rFonts w:hint="eastAsia" w:ascii="仿宋" w:hAnsi="仿宋" w:eastAsia="仿宋" w:cs="仿宋"/>
          <w:sz w:val="30"/>
          <w:szCs w:val="30"/>
          <w:lang w:eastAsia="zh-CN"/>
        </w:rPr>
        <w:t>二是</w:t>
      </w:r>
      <w:r>
        <w:rPr>
          <w:rFonts w:hint="eastAsia" w:ascii="仿宋" w:hAnsi="仿宋" w:eastAsia="仿宋" w:cs="仿宋"/>
          <w:sz w:val="30"/>
          <w:szCs w:val="30"/>
        </w:rPr>
        <w:t>切实维护青少年权益。积极开展青少年自护教育，以 法治宣传等志愿服务活动为契机，组织发动青年志愿者深入社区</w:t>
      </w:r>
      <w:r>
        <w:rPr>
          <w:rFonts w:hint="eastAsia" w:ascii="仿宋" w:hAnsi="仿宋" w:eastAsia="仿宋" w:cs="仿宋"/>
          <w:sz w:val="30"/>
          <w:szCs w:val="30"/>
          <w:lang w:eastAsia="zh-CN"/>
        </w:rPr>
        <w:t>、</w:t>
      </w:r>
      <w:r>
        <w:rPr>
          <w:rFonts w:hint="eastAsia" w:ascii="仿宋" w:hAnsi="仿宋" w:eastAsia="仿宋" w:cs="仿宋"/>
          <w:sz w:val="30"/>
          <w:szCs w:val="30"/>
        </w:rPr>
        <w:t>乡村开展法律法规、禁毒宣传，累计发放《预防未成年人犯罪保护法》《网络安全法》等资料</w:t>
      </w:r>
      <w:r>
        <w:rPr>
          <w:rFonts w:hint="eastAsia" w:ascii="仿宋" w:hAnsi="仿宋" w:eastAsia="仿宋" w:cs="仿宋"/>
          <w:sz w:val="30"/>
          <w:szCs w:val="30"/>
          <w:lang w:val="en-US" w:eastAsia="zh-CN"/>
        </w:rPr>
        <w:t>1</w:t>
      </w:r>
      <w:r>
        <w:rPr>
          <w:rFonts w:hint="eastAsia" w:ascii="仿宋" w:hAnsi="仿宋" w:eastAsia="仿宋" w:cs="仿宋"/>
          <w:sz w:val="30"/>
          <w:szCs w:val="30"/>
        </w:rPr>
        <w:t>万余份，切实提高青少年知法守法意识。稳步实施“童伴计划”项目，不断培育优化“童伴妈妈”</w:t>
      </w:r>
      <w:r>
        <w:rPr>
          <w:rFonts w:hint="eastAsia" w:ascii="仿宋" w:hAnsi="仿宋" w:eastAsia="仿宋" w:cs="仿宋"/>
          <w:sz w:val="30"/>
          <w:szCs w:val="30"/>
          <w:lang w:eastAsia="zh-CN"/>
        </w:rPr>
        <w:t>，</w:t>
      </w:r>
      <w:r>
        <w:rPr>
          <w:rFonts w:hint="eastAsia" w:ascii="仿宋" w:hAnsi="仿宋" w:eastAsia="仿宋" w:cs="仿宋"/>
          <w:sz w:val="30"/>
          <w:szCs w:val="30"/>
        </w:rPr>
        <w:t>了解和解决留守儿童的困难和需求，我区现已建成</w:t>
      </w:r>
      <w:r>
        <w:rPr>
          <w:rFonts w:hint="eastAsia" w:ascii="仿宋" w:hAnsi="仿宋" w:eastAsia="仿宋" w:cs="仿宋"/>
          <w:sz w:val="30"/>
          <w:szCs w:val="30"/>
          <w:lang w:val="en-US" w:eastAsia="zh-CN"/>
        </w:rPr>
        <w:t>8</w:t>
      </w:r>
      <w:r>
        <w:rPr>
          <w:rFonts w:hint="eastAsia" w:ascii="仿宋" w:hAnsi="仿宋" w:eastAsia="仿宋" w:cs="仿宋"/>
          <w:sz w:val="30"/>
          <w:szCs w:val="30"/>
        </w:rPr>
        <w:t>个“童伴之家”，累计为全区</w:t>
      </w:r>
      <w:r>
        <w:rPr>
          <w:rFonts w:hint="eastAsia" w:ascii="仿宋" w:hAnsi="仿宋" w:eastAsia="仿宋" w:cs="仿宋"/>
          <w:sz w:val="30"/>
          <w:szCs w:val="30"/>
          <w:lang w:val="en-US" w:eastAsia="zh-CN"/>
        </w:rPr>
        <w:t>200</w:t>
      </w:r>
      <w:r>
        <w:rPr>
          <w:rFonts w:hint="eastAsia" w:ascii="仿宋" w:hAnsi="仿宋" w:eastAsia="仿宋" w:cs="仿宋"/>
          <w:sz w:val="30"/>
          <w:szCs w:val="30"/>
        </w:rPr>
        <w:t xml:space="preserve">余名留守儿童、贫困儿童提供学业辅导、心理疏导、亲情陪护等关爱服务。 </w:t>
      </w:r>
    </w:p>
    <w:p>
      <w:pPr>
        <w:pStyle w:val="5"/>
        <w:adjustRightInd w:val="0"/>
        <w:snapToGrid w:val="0"/>
        <w:spacing w:before="93" w:line="600" w:lineRule="exact"/>
        <w:ind w:firstLine="630" w:firstLineChars="210"/>
        <w:outlineLvl w:val="2"/>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 xml:space="preserve">聚焦基层组织建设，坚持全面从严治团 </w:t>
      </w:r>
    </w:p>
    <w:p>
      <w:pPr>
        <w:pStyle w:val="5"/>
        <w:adjustRightInd w:val="0"/>
        <w:snapToGrid w:val="0"/>
        <w:spacing w:before="93" w:line="600" w:lineRule="exact"/>
        <w:ind w:firstLine="630" w:firstLineChars="210"/>
        <w:outlineLvl w:val="2"/>
        <w:rPr>
          <w:rFonts w:hint="eastAsia" w:ascii="仿宋" w:hAnsi="仿宋" w:eastAsia="仿宋" w:cs="仿宋"/>
          <w:sz w:val="30"/>
          <w:szCs w:val="30"/>
        </w:rPr>
      </w:pPr>
      <w:r>
        <w:rPr>
          <w:rFonts w:hint="eastAsia" w:ascii="仿宋" w:hAnsi="仿宋" w:eastAsia="仿宋" w:cs="仿宋"/>
          <w:sz w:val="30"/>
          <w:szCs w:val="30"/>
          <w:lang w:eastAsia="zh-CN"/>
        </w:rPr>
        <w:t>一是</w:t>
      </w:r>
      <w:r>
        <w:rPr>
          <w:rFonts w:hint="eastAsia" w:ascii="仿宋" w:hAnsi="仿宋" w:eastAsia="仿宋" w:cs="仿宋"/>
          <w:sz w:val="30"/>
          <w:szCs w:val="30"/>
        </w:rPr>
        <w:t>狠抓团区委机关党的建设。认真履行全面从严治党“两个责任”，不断巩固和拓展“不忘初心、牢记使命”主题教育成果，始终在思想上政治上行动上同以习近平同志为核心的党中央保持高度一致。切实加强党风廉政建设</w:t>
      </w:r>
      <w:r>
        <w:rPr>
          <w:rFonts w:hint="eastAsia" w:ascii="仿宋" w:hAnsi="仿宋" w:eastAsia="仿宋" w:cs="仿宋"/>
          <w:sz w:val="30"/>
          <w:szCs w:val="30"/>
          <w:lang w:eastAsia="zh-CN"/>
        </w:rPr>
        <w:t>，</w:t>
      </w:r>
      <w:r>
        <w:rPr>
          <w:rFonts w:hint="eastAsia" w:ascii="仿宋" w:hAnsi="仿宋" w:eastAsia="仿宋" w:cs="仿宋"/>
          <w:sz w:val="30"/>
          <w:szCs w:val="30"/>
        </w:rPr>
        <w:t>切实筑牢拒腐防变思想防线</w:t>
      </w:r>
      <w:r>
        <w:rPr>
          <w:rFonts w:hint="eastAsia" w:ascii="仿宋" w:hAnsi="仿宋" w:eastAsia="仿宋" w:cs="仿宋"/>
          <w:sz w:val="30"/>
          <w:szCs w:val="30"/>
          <w:lang w:eastAsia="zh-CN"/>
        </w:rPr>
        <w:t>，</w:t>
      </w:r>
      <w:r>
        <w:rPr>
          <w:rFonts w:hint="eastAsia" w:ascii="仿宋" w:hAnsi="仿宋" w:eastAsia="仿宋" w:cs="仿宋"/>
          <w:sz w:val="30"/>
          <w:szCs w:val="30"/>
        </w:rPr>
        <w:t xml:space="preserve">全面把握时代发展和青年变化对团干部能力作风提出的新的更高要求，着力锻造一支对党忠诚、能力过硬、作风优良、忠恕任事、堪当榜样的骨干队伍。 </w:t>
      </w:r>
    </w:p>
    <w:p>
      <w:pPr>
        <w:pStyle w:val="5"/>
        <w:adjustRightInd w:val="0"/>
        <w:snapToGrid w:val="0"/>
        <w:spacing w:before="93" w:line="600" w:lineRule="exact"/>
        <w:ind w:firstLine="630" w:firstLineChars="210"/>
        <w:outlineLvl w:val="2"/>
        <w:rPr>
          <w:rFonts w:hint="eastAsia" w:ascii="仿宋" w:hAnsi="仿宋" w:eastAsia="仿宋" w:cs="仿宋"/>
          <w:sz w:val="30"/>
          <w:szCs w:val="30"/>
        </w:rPr>
      </w:pPr>
      <w:r>
        <w:rPr>
          <w:rFonts w:hint="eastAsia" w:ascii="仿宋" w:hAnsi="仿宋" w:eastAsia="仿宋" w:cs="仿宋"/>
          <w:sz w:val="30"/>
          <w:szCs w:val="30"/>
          <w:lang w:eastAsia="zh-CN"/>
        </w:rPr>
        <w:t>二是</w:t>
      </w:r>
      <w:r>
        <w:rPr>
          <w:rFonts w:hint="eastAsia" w:ascii="仿宋" w:hAnsi="仿宋" w:eastAsia="仿宋" w:cs="仿宋"/>
          <w:sz w:val="30"/>
          <w:szCs w:val="30"/>
        </w:rPr>
        <w:t>着力加强基层组织建设。我委初步探索出“两申三审” 发展团员工作模式并得到有效实施</w:t>
      </w:r>
      <w:r>
        <w:rPr>
          <w:rFonts w:hint="eastAsia" w:ascii="仿宋" w:hAnsi="仿宋" w:eastAsia="仿宋" w:cs="仿宋"/>
          <w:sz w:val="30"/>
          <w:szCs w:val="30"/>
          <w:lang w:eastAsia="zh-CN"/>
        </w:rPr>
        <w:t>，</w:t>
      </w:r>
      <w:r>
        <w:rPr>
          <w:rFonts w:hint="eastAsia" w:ascii="仿宋" w:hAnsi="仿宋" w:eastAsia="仿宋" w:cs="仿宋"/>
          <w:sz w:val="30"/>
          <w:szCs w:val="30"/>
        </w:rPr>
        <w:t xml:space="preserve">全区团员发展工作不断规范完整；努力扩大团的工作覆盖面，目前利州区青年文艺体育协会、青年创业协会、青年志愿服务协会均已建立运行；加强“智慧团建”系统的有效管理，开展“厉行节约反对浪费”主题团日活动暨组织生活会进行团（总）支部的“对标定级”，加强团组织规范化建设。 </w:t>
      </w:r>
    </w:p>
    <w:p>
      <w:pPr>
        <w:pStyle w:val="5"/>
        <w:adjustRightInd w:val="0"/>
        <w:snapToGrid w:val="0"/>
        <w:spacing w:before="93" w:line="600" w:lineRule="exact"/>
        <w:ind w:firstLine="630" w:firstLineChars="210"/>
        <w:outlineLvl w:val="2"/>
        <w:rPr>
          <w:rFonts w:hint="eastAsia" w:ascii="仿宋" w:hAnsi="仿宋" w:eastAsia="仿宋" w:cs="仿宋"/>
          <w:sz w:val="30"/>
          <w:szCs w:val="30"/>
        </w:rPr>
      </w:pPr>
      <w:r>
        <w:rPr>
          <w:rFonts w:hint="eastAsia" w:ascii="仿宋" w:hAnsi="仿宋" w:eastAsia="仿宋" w:cs="仿宋"/>
          <w:sz w:val="30"/>
          <w:szCs w:val="30"/>
          <w:lang w:eastAsia="zh-CN"/>
        </w:rPr>
        <w:t>三是</w:t>
      </w:r>
      <w:r>
        <w:rPr>
          <w:rFonts w:hint="eastAsia" w:ascii="仿宋" w:hAnsi="仿宋" w:eastAsia="仿宋" w:cs="仿宋"/>
          <w:sz w:val="30"/>
          <w:szCs w:val="30"/>
        </w:rPr>
        <w:t>严格团员、少先队员发展和教育管理。明晰入团（队）标准和程序</w:t>
      </w:r>
      <w:r>
        <w:rPr>
          <w:rFonts w:hint="eastAsia" w:ascii="仿宋" w:hAnsi="仿宋" w:eastAsia="仿宋" w:cs="仿宋"/>
          <w:sz w:val="30"/>
          <w:szCs w:val="30"/>
          <w:lang w:eastAsia="zh-CN"/>
        </w:rPr>
        <w:t>，</w:t>
      </w:r>
      <w:r>
        <w:rPr>
          <w:rFonts w:hint="eastAsia" w:ascii="仿宋" w:hAnsi="仿宋" w:eastAsia="仿宋" w:cs="仿宋"/>
          <w:sz w:val="30"/>
          <w:szCs w:val="30"/>
        </w:rPr>
        <w:t>加强团前教育和推优入团工作，提升了团员发展质量。通过组织实施“青年大学习”、“三会两制一课”、主题团（队）日活动、网上主题团课等形式</w:t>
      </w:r>
      <w:r>
        <w:rPr>
          <w:rFonts w:hint="eastAsia" w:ascii="仿宋" w:hAnsi="仿宋" w:eastAsia="仿宋" w:cs="仿宋"/>
          <w:sz w:val="30"/>
          <w:szCs w:val="30"/>
          <w:lang w:eastAsia="zh-CN"/>
        </w:rPr>
        <w:t>，</w:t>
      </w:r>
      <w:r>
        <w:rPr>
          <w:rFonts w:hint="eastAsia" w:ascii="仿宋" w:hAnsi="仿宋" w:eastAsia="仿宋" w:cs="仿宋"/>
          <w:sz w:val="30"/>
          <w:szCs w:val="30"/>
        </w:rPr>
        <w:t xml:space="preserve">丰富团员、少先队员思想内容， 提升思想境界。以“智慧团建”系统为基础，严格按照团员和发展管理要求，抓实做好团员组织关系转接的衔接，规范了团费收缴、使用的程序，提升了团员履责的意识。 </w:t>
      </w:r>
    </w:p>
    <w:p>
      <w:pPr>
        <w:pStyle w:val="5"/>
        <w:adjustRightInd w:val="0"/>
        <w:snapToGrid w:val="0"/>
        <w:spacing w:before="93" w:line="600" w:lineRule="exact"/>
        <w:ind w:firstLine="630" w:firstLineChars="210"/>
        <w:outlineLvl w:val="2"/>
        <w:rPr>
          <w:rFonts w:hint="eastAsia" w:ascii="仿宋" w:hAnsi="仿宋" w:eastAsia="仿宋" w:cs="仿宋"/>
          <w:sz w:val="30"/>
          <w:szCs w:val="30"/>
        </w:rPr>
      </w:pPr>
      <w:r>
        <w:rPr>
          <w:rFonts w:hint="eastAsia" w:ascii="仿宋" w:hAnsi="仿宋" w:eastAsia="仿宋" w:cs="仿宋"/>
          <w:sz w:val="30"/>
          <w:szCs w:val="30"/>
          <w:lang w:eastAsia="zh-CN"/>
        </w:rPr>
        <w:t>四是</w:t>
      </w:r>
      <w:r>
        <w:rPr>
          <w:rFonts w:hint="eastAsia" w:ascii="仿宋" w:hAnsi="仿宋" w:eastAsia="仿宋" w:cs="仿宋"/>
          <w:sz w:val="30"/>
          <w:szCs w:val="30"/>
        </w:rPr>
        <w:t>持续推动从严治团。严守党的政治纪律和政治规矩， 带头增强“四个意识”、坚定“四个自信”、做到“两个维护”。坚持党建带团建，把党风廉政建设责任制与共青团工作紧密结合起来，着力强化团内作风建设。加强“推优入党”工作，扎实开展团干部培训，进一步完善团干部联系青年制度，通过全区团干部培训、选派优秀团干部参加“青年马克思主义班”，努力打造更加符合新时代青年群众工作需要的团干部队伍。</w:t>
      </w:r>
    </w:p>
    <w:p>
      <w:pPr>
        <w:ind w:firstLine="640" w:firstLineChars="200"/>
        <w:rPr>
          <w:rStyle w:val="26"/>
          <w:rFonts w:ascii="黑体" w:hAnsi="黑体" w:eastAsia="黑体" w:cs="黑体"/>
          <w:b w:val="0"/>
          <w:bCs w:val="0"/>
          <w:sz w:val="32"/>
          <w:szCs w:val="32"/>
        </w:rPr>
      </w:pPr>
      <w:bookmarkStart w:id="20" w:name="_Toc15396601"/>
      <w:bookmarkStart w:id="21" w:name="_Toc15377200"/>
      <w:r>
        <w:rPr>
          <w:rFonts w:hint="eastAsia" w:ascii="黑体" w:hAnsi="黑体" w:eastAsia="黑体" w:cs="黑体"/>
          <w:color w:val="000000"/>
          <w:sz w:val="32"/>
          <w:szCs w:val="32"/>
        </w:rPr>
        <w:t>二、机</w:t>
      </w:r>
      <w:r>
        <w:rPr>
          <w:rStyle w:val="26"/>
          <w:rFonts w:hint="eastAsia" w:ascii="黑体" w:hAnsi="黑体" w:eastAsia="黑体" w:cs="黑体"/>
          <w:b w:val="0"/>
          <w:bCs w:val="0"/>
          <w:sz w:val="32"/>
          <w:szCs w:val="32"/>
        </w:rPr>
        <w:t>构设置</w:t>
      </w:r>
      <w:bookmarkEnd w:id="20"/>
      <w:bookmarkEnd w:id="21"/>
    </w:p>
    <w:p>
      <w:pPr>
        <w:ind w:firstLine="640" w:firstLineChars="200"/>
        <w:rPr>
          <w:rStyle w:val="26"/>
          <w:rFonts w:ascii="仿宋" w:hAnsi="仿宋" w:eastAsia="仿宋" w:cs="Times New Roman"/>
          <w:b w:val="0"/>
          <w:bCs w:val="0"/>
          <w:sz w:val="32"/>
          <w:szCs w:val="32"/>
        </w:rPr>
      </w:pPr>
      <w:r>
        <w:rPr>
          <w:rFonts w:hint="eastAsia" w:ascii="仿宋" w:hAnsi="仿宋" w:eastAsia="仿宋"/>
          <w:sz w:val="32"/>
          <w:szCs w:val="32"/>
        </w:rPr>
        <w:t>中国共产主义青年团广元市利州区委员会是20</w:t>
      </w:r>
      <w:r>
        <w:rPr>
          <w:rFonts w:ascii="仿宋" w:hAnsi="仿宋" w:eastAsia="仿宋"/>
          <w:sz w:val="32"/>
          <w:szCs w:val="32"/>
        </w:rPr>
        <w:t>20</w:t>
      </w:r>
      <w:r>
        <w:rPr>
          <w:rFonts w:hint="eastAsia" w:ascii="仿宋" w:hAnsi="仿宋" w:eastAsia="仿宋"/>
          <w:sz w:val="32"/>
          <w:szCs w:val="32"/>
        </w:rPr>
        <w:t>年部门决算汇编范围内独立核算单位，本单位执行的是行政会计制度，属于利州区委下属二级单位。</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5"/>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Style w:val="25"/>
          <w:rFonts w:hint="eastAsia" w:ascii="黑体" w:hAnsi="黑体" w:eastAsia="黑体"/>
          <w:b w:val="0"/>
          <w:bCs w:val="0"/>
        </w:rPr>
        <w:t>20</w:t>
      </w:r>
      <w:r>
        <w:rPr>
          <w:rStyle w:val="25"/>
          <w:rFonts w:ascii="黑体" w:hAnsi="黑体" w:eastAsia="黑体"/>
          <w:b w:val="0"/>
          <w:bCs w:val="0"/>
        </w:rPr>
        <w:t>20</w:t>
      </w:r>
      <w:r>
        <w:rPr>
          <w:rStyle w:val="25"/>
          <w:rFonts w:hint="eastAsia" w:ascii="黑体" w:hAnsi="黑体" w:eastAsia="黑体"/>
          <w:b w:val="0"/>
          <w:bCs w:val="0"/>
        </w:rPr>
        <w:t>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360" w:lineRule="auto"/>
        <w:ind w:firstLine="640" w:firstLineChars="200"/>
        <w:rPr>
          <w:rFonts w:ascii="仿宋" w:hAnsi="仿宋" w:eastAsia="仿宋"/>
          <w:color w:val="000000"/>
          <w:sz w:val="32"/>
          <w:szCs w:val="32"/>
        </w:rPr>
      </w:pPr>
      <w:r>
        <w:rPr>
          <w:rFonts w:hint="eastAsia" w:ascii="仿宋_GB2312" w:hAnsi="仿宋" w:eastAsia="仿宋_GB2312"/>
          <w:color w:val="000000" w:themeColor="text1"/>
          <w:sz w:val="32"/>
          <w:szCs w:val="32"/>
          <w14:textFill>
            <w14:solidFill>
              <w14:schemeClr w14:val="tx1"/>
            </w14:solidFill>
          </w14:textFill>
        </w:rPr>
        <w:drawing>
          <wp:anchor distT="0" distB="0" distL="114300" distR="114300" simplePos="0" relativeHeight="251660288" behindDoc="0" locked="0" layoutInCell="1" allowOverlap="1">
            <wp:simplePos x="0" y="0"/>
            <wp:positionH relativeFrom="column">
              <wp:posOffset>59055</wp:posOffset>
            </wp:positionH>
            <wp:positionV relativeFrom="paragraph">
              <wp:posOffset>1700530</wp:posOffset>
            </wp:positionV>
            <wp:extent cx="5274310" cy="3076575"/>
            <wp:effectExtent l="19050" t="19050" r="21590" b="952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sz w:val="32"/>
          <w:szCs w:val="32"/>
        </w:rPr>
        <w:t>20</w:t>
      </w:r>
      <w:r>
        <w:rPr>
          <w:rFonts w:ascii="仿宋" w:hAnsi="仿宋" w:eastAsia="仿宋"/>
          <w:color w:val="000000"/>
          <w:sz w:val="32"/>
          <w:szCs w:val="32"/>
        </w:rPr>
        <w:t>20</w:t>
      </w:r>
      <w:r>
        <w:rPr>
          <w:rFonts w:hint="eastAsia" w:ascii="仿宋" w:hAnsi="仿宋" w:eastAsia="仿宋"/>
          <w:color w:val="000000"/>
          <w:sz w:val="32"/>
          <w:szCs w:val="32"/>
        </w:rPr>
        <w:t>年度本年收入</w:t>
      </w:r>
      <w:r>
        <w:rPr>
          <w:rFonts w:ascii="仿宋" w:hAnsi="仿宋" w:eastAsia="仿宋"/>
          <w:color w:val="000000"/>
          <w:sz w:val="32"/>
          <w:szCs w:val="32"/>
        </w:rPr>
        <w:t>87.47</w:t>
      </w:r>
      <w:r>
        <w:rPr>
          <w:rFonts w:hint="eastAsia" w:ascii="仿宋" w:hAnsi="仿宋" w:eastAsia="仿宋"/>
          <w:color w:val="000000"/>
          <w:sz w:val="32"/>
          <w:szCs w:val="32"/>
        </w:rPr>
        <w:t>万元，本年支出</w:t>
      </w:r>
      <w:r>
        <w:rPr>
          <w:rFonts w:ascii="仿宋" w:hAnsi="仿宋" w:eastAsia="仿宋"/>
          <w:color w:val="000000"/>
          <w:sz w:val="32"/>
          <w:szCs w:val="32"/>
        </w:rPr>
        <w:t>74.13</w:t>
      </w:r>
      <w:r>
        <w:rPr>
          <w:rFonts w:hint="eastAsia" w:ascii="仿宋" w:hAnsi="仿宋" w:eastAsia="仿宋"/>
          <w:color w:val="000000"/>
          <w:sz w:val="32"/>
          <w:szCs w:val="32"/>
        </w:rPr>
        <w:t>万元。与201</w:t>
      </w:r>
      <w:r>
        <w:rPr>
          <w:rFonts w:ascii="仿宋" w:hAnsi="仿宋" w:eastAsia="仿宋"/>
          <w:color w:val="000000"/>
          <w:sz w:val="32"/>
          <w:szCs w:val="32"/>
        </w:rPr>
        <w:t>9</w:t>
      </w:r>
      <w:r>
        <w:rPr>
          <w:rFonts w:hint="eastAsia" w:ascii="仿宋" w:hAnsi="仿宋" w:eastAsia="仿宋"/>
          <w:color w:val="000000"/>
          <w:sz w:val="32"/>
          <w:szCs w:val="32"/>
        </w:rPr>
        <w:t>年相比，本年收入增加3</w:t>
      </w:r>
      <w:r>
        <w:rPr>
          <w:rFonts w:ascii="仿宋" w:hAnsi="仿宋" w:eastAsia="仿宋"/>
          <w:color w:val="000000"/>
          <w:sz w:val="32"/>
          <w:szCs w:val="32"/>
        </w:rPr>
        <w:t>5.84</w:t>
      </w:r>
      <w:r>
        <w:rPr>
          <w:rFonts w:hint="eastAsia" w:ascii="仿宋" w:hAnsi="仿宋" w:eastAsia="仿宋"/>
          <w:color w:val="000000"/>
          <w:sz w:val="32"/>
          <w:szCs w:val="32"/>
        </w:rPr>
        <w:t>万元，增长</w:t>
      </w:r>
      <w:r>
        <w:rPr>
          <w:rFonts w:ascii="仿宋" w:hAnsi="仿宋" w:eastAsia="仿宋"/>
          <w:color w:val="000000"/>
          <w:sz w:val="32"/>
          <w:szCs w:val="32"/>
        </w:rPr>
        <w:t>69.42</w:t>
      </w:r>
      <w:r>
        <w:rPr>
          <w:rFonts w:hint="eastAsia" w:ascii="仿宋" w:hAnsi="仿宋" w:eastAsia="仿宋"/>
          <w:color w:val="000000"/>
          <w:sz w:val="32"/>
          <w:szCs w:val="32"/>
        </w:rPr>
        <w:t>%；本年支出增加2</w:t>
      </w:r>
      <w:r>
        <w:rPr>
          <w:rFonts w:ascii="仿宋" w:hAnsi="仿宋" w:eastAsia="仿宋"/>
          <w:color w:val="000000"/>
          <w:sz w:val="32"/>
          <w:szCs w:val="32"/>
        </w:rPr>
        <w:t>1.69</w:t>
      </w:r>
      <w:r>
        <w:rPr>
          <w:rFonts w:hint="eastAsia" w:ascii="仿宋" w:hAnsi="仿宋" w:eastAsia="仿宋"/>
          <w:color w:val="000000"/>
          <w:sz w:val="32"/>
          <w:szCs w:val="32"/>
        </w:rPr>
        <w:t>万元、增长4</w:t>
      </w:r>
      <w:r>
        <w:rPr>
          <w:rFonts w:ascii="仿宋" w:hAnsi="仿宋" w:eastAsia="仿宋"/>
          <w:color w:val="000000"/>
          <w:sz w:val="32"/>
          <w:szCs w:val="32"/>
        </w:rPr>
        <w:t>1.36</w:t>
      </w:r>
      <w:r>
        <w:rPr>
          <w:rFonts w:hint="eastAsia" w:ascii="仿宋" w:hAnsi="仿宋" w:eastAsia="仿宋"/>
          <w:color w:val="000000"/>
          <w:sz w:val="32"/>
          <w:szCs w:val="32"/>
        </w:rPr>
        <w:t>%。主要变动原因是增加西部</w:t>
      </w:r>
      <w:r>
        <w:rPr>
          <w:rFonts w:hint="eastAsia" w:ascii="仿宋" w:hAnsi="仿宋" w:eastAsia="仿宋"/>
          <w:color w:val="000000"/>
          <w:sz w:val="32"/>
          <w:szCs w:val="32"/>
          <w:lang w:eastAsia="zh-CN"/>
        </w:rPr>
        <w:t>计划志</w:t>
      </w:r>
      <w:r>
        <w:rPr>
          <w:rFonts w:hint="eastAsia" w:ascii="仿宋" w:hAnsi="仿宋" w:eastAsia="仿宋"/>
          <w:color w:val="000000"/>
          <w:sz w:val="32"/>
          <w:szCs w:val="32"/>
        </w:rPr>
        <w:t>愿者经费。</w:t>
      </w:r>
    </w:p>
    <w:p>
      <w:pPr>
        <w:spacing w:line="360" w:lineRule="auto"/>
        <w:rPr>
          <w:rFonts w:ascii="仿宋_GB2312" w:eastAsia="仿宋_GB2312"/>
          <w:color w:val="00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ascii="仿宋" w:hAnsi="仿宋" w:eastAsia="仿宋"/>
          <w:color w:val="000000"/>
          <w:sz w:val="32"/>
          <w:szCs w:val="32"/>
        </w:rPr>
        <w:t>87.47</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87.47</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420" w:firstLineChars="20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59264" behindDoc="1" locked="0" layoutInCell="1" allowOverlap="1">
            <wp:simplePos x="0" y="0"/>
            <wp:positionH relativeFrom="column">
              <wp:posOffset>271145</wp:posOffset>
            </wp:positionH>
            <wp:positionV relativeFrom="paragraph">
              <wp:posOffset>153035</wp:posOffset>
            </wp:positionV>
            <wp:extent cx="4873625" cy="2513330"/>
            <wp:effectExtent l="4445" t="4445" r="17780" b="15875"/>
            <wp:wrapTight wrapText="bothSides">
              <wp:wrapPolygon>
                <wp:start x="-20" y="-38"/>
                <wp:lineTo x="-20" y="21409"/>
                <wp:lineTo x="21510" y="21409"/>
                <wp:lineTo x="21510" y="-38"/>
                <wp:lineTo x="-20" y="-38"/>
              </wp:wrapPolygon>
            </wp:wrapTight>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000000" w:themeColor="text1"/>
          <w:sz w:val="32"/>
          <w:szCs w:val="32"/>
          <w14:textFill>
            <w14:solidFill>
              <w14:schemeClr w14:val="tx1"/>
            </w14:solidFill>
          </w14:textFill>
        </w:rPr>
        <w:t>（图2：收入决算结构图）（饼状图）</w:t>
      </w:r>
    </w:p>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_GB2312" w:eastAsia="仿宋_GB2312"/>
          <w:color w:val="FF0000"/>
          <w:sz w:val="32"/>
          <w:szCs w:val="32"/>
        </w:rPr>
        <w:drawing>
          <wp:anchor distT="0" distB="0" distL="114300" distR="114300" simplePos="0" relativeHeight="251661312" behindDoc="1" locked="0" layoutInCell="1" allowOverlap="1">
            <wp:simplePos x="0" y="0"/>
            <wp:positionH relativeFrom="column">
              <wp:posOffset>8255</wp:posOffset>
            </wp:positionH>
            <wp:positionV relativeFrom="paragraph">
              <wp:posOffset>1659255</wp:posOffset>
            </wp:positionV>
            <wp:extent cx="5458460" cy="3056255"/>
            <wp:effectExtent l="0" t="0" r="8890" b="10795"/>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ascii="仿宋" w:hAnsi="仿宋" w:eastAsia="仿宋"/>
          <w:color w:val="000000"/>
          <w:sz w:val="32"/>
          <w:szCs w:val="32"/>
        </w:rPr>
        <w:t>74.13</w:t>
      </w:r>
      <w:r>
        <w:rPr>
          <w:rFonts w:hint="eastAsia" w:ascii="仿宋" w:hAnsi="仿宋" w:eastAsia="仿宋"/>
          <w:color w:val="000000"/>
          <w:sz w:val="32"/>
          <w:szCs w:val="32"/>
        </w:rPr>
        <w:t>万元，其中：基本支出</w:t>
      </w:r>
      <w:r>
        <w:rPr>
          <w:rFonts w:ascii="仿宋" w:hAnsi="仿宋" w:eastAsia="仿宋"/>
          <w:color w:val="000000"/>
          <w:sz w:val="32"/>
          <w:szCs w:val="32"/>
        </w:rPr>
        <w:t>38.57</w:t>
      </w:r>
      <w:r>
        <w:rPr>
          <w:rFonts w:hint="eastAsia" w:ascii="仿宋" w:hAnsi="仿宋" w:eastAsia="仿宋"/>
          <w:color w:val="000000"/>
          <w:sz w:val="32"/>
          <w:szCs w:val="32"/>
        </w:rPr>
        <w:t>万元，占</w:t>
      </w:r>
      <w:r>
        <w:rPr>
          <w:rFonts w:ascii="仿宋" w:hAnsi="仿宋" w:eastAsia="仿宋"/>
          <w:color w:val="000000"/>
          <w:sz w:val="32"/>
          <w:szCs w:val="32"/>
        </w:rPr>
        <w:t>52.03%</w:t>
      </w:r>
      <w:r>
        <w:rPr>
          <w:rFonts w:hint="eastAsia" w:ascii="仿宋" w:hAnsi="仿宋" w:eastAsia="仿宋"/>
          <w:color w:val="000000"/>
          <w:sz w:val="32"/>
          <w:szCs w:val="32"/>
        </w:rPr>
        <w:t>；项目支出</w:t>
      </w:r>
      <w:r>
        <w:rPr>
          <w:rFonts w:ascii="仿宋" w:hAnsi="仿宋" w:eastAsia="仿宋"/>
          <w:color w:val="000000"/>
          <w:sz w:val="32"/>
          <w:szCs w:val="32"/>
        </w:rPr>
        <w:t>35.56</w:t>
      </w:r>
      <w:r>
        <w:rPr>
          <w:rFonts w:hint="eastAsia" w:ascii="仿宋" w:hAnsi="仿宋" w:eastAsia="仿宋"/>
          <w:color w:val="000000"/>
          <w:sz w:val="32"/>
          <w:szCs w:val="32"/>
        </w:rPr>
        <w:t>万元，占</w:t>
      </w:r>
      <w:r>
        <w:rPr>
          <w:rFonts w:ascii="仿宋" w:hAnsi="仿宋" w:eastAsia="仿宋"/>
          <w:color w:val="000000"/>
          <w:sz w:val="32"/>
          <w:szCs w:val="32"/>
        </w:rPr>
        <w:t>47.97%</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年财政拨款收入</w:t>
      </w:r>
      <w:r>
        <w:rPr>
          <w:rFonts w:ascii="仿宋" w:hAnsi="仿宋" w:eastAsia="仿宋"/>
          <w:color w:val="000000"/>
          <w:sz w:val="32"/>
          <w:szCs w:val="32"/>
        </w:rPr>
        <w:t>87.47</w:t>
      </w:r>
      <w:r>
        <w:rPr>
          <w:rFonts w:hint="eastAsia" w:ascii="仿宋" w:hAnsi="仿宋" w:eastAsia="仿宋"/>
          <w:color w:val="000000"/>
          <w:sz w:val="32"/>
          <w:szCs w:val="32"/>
        </w:rPr>
        <w:t>万元、支出</w:t>
      </w:r>
      <w:r>
        <w:rPr>
          <w:rFonts w:ascii="仿宋" w:hAnsi="仿宋" w:eastAsia="仿宋"/>
          <w:color w:val="000000"/>
          <w:sz w:val="32"/>
          <w:szCs w:val="32"/>
        </w:rPr>
        <w:t>74.13</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年相比，财政拨款收入增加3</w:t>
      </w:r>
      <w:r>
        <w:rPr>
          <w:rFonts w:ascii="仿宋" w:hAnsi="仿宋" w:eastAsia="仿宋"/>
          <w:color w:val="000000"/>
          <w:sz w:val="32"/>
          <w:szCs w:val="32"/>
        </w:rPr>
        <w:t>5.84</w:t>
      </w:r>
      <w:r>
        <w:rPr>
          <w:rFonts w:hint="eastAsia" w:ascii="仿宋" w:hAnsi="仿宋" w:eastAsia="仿宋"/>
          <w:color w:val="000000"/>
          <w:sz w:val="32"/>
          <w:szCs w:val="32"/>
        </w:rPr>
        <w:t>万元，增长6</w:t>
      </w:r>
      <w:r>
        <w:rPr>
          <w:rFonts w:ascii="仿宋" w:hAnsi="仿宋" w:eastAsia="仿宋"/>
          <w:color w:val="000000"/>
          <w:sz w:val="32"/>
          <w:szCs w:val="32"/>
        </w:rPr>
        <w:t>9.42%</w:t>
      </w:r>
      <w:r>
        <w:rPr>
          <w:rFonts w:hint="eastAsia" w:ascii="仿宋" w:hAnsi="仿宋" w:eastAsia="仿宋"/>
          <w:color w:val="000000"/>
          <w:sz w:val="32"/>
          <w:szCs w:val="32"/>
        </w:rPr>
        <w:t>。财政拨款支出增加2</w:t>
      </w:r>
      <w:r>
        <w:rPr>
          <w:rFonts w:ascii="仿宋" w:hAnsi="仿宋" w:eastAsia="仿宋"/>
          <w:color w:val="000000"/>
          <w:sz w:val="32"/>
          <w:szCs w:val="32"/>
        </w:rPr>
        <w:t>1.69</w:t>
      </w:r>
      <w:r>
        <w:rPr>
          <w:rFonts w:hint="eastAsia" w:ascii="仿宋" w:hAnsi="仿宋" w:eastAsia="仿宋"/>
          <w:color w:val="000000"/>
          <w:sz w:val="32"/>
          <w:szCs w:val="32"/>
        </w:rPr>
        <w:t>万元，增长4</w:t>
      </w:r>
      <w:r>
        <w:rPr>
          <w:rFonts w:ascii="仿宋" w:hAnsi="仿宋" w:eastAsia="仿宋"/>
          <w:color w:val="000000"/>
          <w:sz w:val="32"/>
          <w:szCs w:val="32"/>
        </w:rPr>
        <w:t>1.36%</w:t>
      </w:r>
      <w:r>
        <w:rPr>
          <w:rFonts w:hint="eastAsia" w:ascii="仿宋" w:hAnsi="仿宋" w:eastAsia="仿宋"/>
          <w:color w:val="000000"/>
          <w:sz w:val="32"/>
          <w:szCs w:val="32"/>
        </w:rPr>
        <w:t>，主要变动原因是增加西部</w:t>
      </w:r>
      <w:r>
        <w:rPr>
          <w:rFonts w:hint="eastAsia" w:ascii="仿宋" w:hAnsi="仿宋" w:eastAsia="仿宋"/>
          <w:color w:val="000000"/>
          <w:sz w:val="32"/>
          <w:szCs w:val="32"/>
          <w:lang w:eastAsia="zh-CN"/>
        </w:rPr>
        <w:t>计划志</w:t>
      </w:r>
      <w:r>
        <w:rPr>
          <w:rFonts w:hint="eastAsia" w:ascii="仿宋" w:hAnsi="仿宋" w:eastAsia="仿宋"/>
          <w:color w:val="000000"/>
          <w:sz w:val="32"/>
          <w:szCs w:val="32"/>
        </w:rPr>
        <w:t>愿者经费。</w:t>
      </w:r>
    </w:p>
    <w:p>
      <w:pPr>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ascii="仿宋" w:hAnsi="仿宋" w:eastAsia="仿宋"/>
          <w:b/>
          <w:color w:val="00B050"/>
          <w:sz w:val="32"/>
          <w:szCs w:val="32"/>
        </w:rPr>
        <w:drawing>
          <wp:anchor distT="0" distB="0" distL="114300" distR="114300" simplePos="0" relativeHeight="251662336" behindDoc="0" locked="0" layoutInCell="1" allowOverlap="1">
            <wp:simplePos x="0" y="0"/>
            <wp:positionH relativeFrom="column">
              <wp:posOffset>0</wp:posOffset>
            </wp:positionH>
            <wp:positionV relativeFrom="paragraph">
              <wp:posOffset>380365</wp:posOffset>
            </wp:positionV>
            <wp:extent cx="5274310" cy="3076575"/>
            <wp:effectExtent l="0" t="0" r="2540" b="9525"/>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ascii="仿宋" w:hAnsi="仿宋" w:eastAsia="仿宋"/>
          <w:color w:val="000000"/>
          <w:sz w:val="32"/>
          <w:szCs w:val="32"/>
        </w:rPr>
        <w:t>74.13</w:t>
      </w:r>
      <w:r>
        <w:rPr>
          <w:rFonts w:hint="eastAsia" w:ascii="仿宋" w:hAnsi="仿宋" w:eastAsia="仿宋"/>
          <w:color w:val="000000"/>
          <w:sz w:val="32"/>
          <w:szCs w:val="32"/>
        </w:rPr>
        <w:t>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年相比，一般公共预算财政拨款增加2</w:t>
      </w:r>
      <w:r>
        <w:rPr>
          <w:rFonts w:ascii="仿宋" w:hAnsi="仿宋" w:eastAsia="仿宋"/>
          <w:color w:val="000000"/>
          <w:sz w:val="32"/>
          <w:szCs w:val="32"/>
        </w:rPr>
        <w:t>1.69</w:t>
      </w:r>
      <w:r>
        <w:rPr>
          <w:rFonts w:hint="eastAsia" w:ascii="仿宋" w:hAnsi="仿宋" w:eastAsia="仿宋"/>
          <w:color w:val="000000"/>
          <w:sz w:val="32"/>
          <w:szCs w:val="32"/>
        </w:rPr>
        <w:t>万元，增长4</w:t>
      </w:r>
      <w:r>
        <w:rPr>
          <w:rFonts w:ascii="仿宋" w:hAnsi="仿宋" w:eastAsia="仿宋"/>
          <w:color w:val="000000"/>
          <w:sz w:val="32"/>
          <w:szCs w:val="32"/>
        </w:rPr>
        <w:t>1.36%</w:t>
      </w:r>
      <w:r>
        <w:rPr>
          <w:rFonts w:hint="eastAsia" w:ascii="仿宋" w:hAnsi="仿宋" w:eastAsia="仿宋"/>
          <w:color w:val="000000"/>
          <w:sz w:val="32"/>
          <w:szCs w:val="32"/>
        </w:rPr>
        <w:t>。主要变动原因是增加西部</w:t>
      </w:r>
      <w:r>
        <w:rPr>
          <w:rFonts w:hint="eastAsia" w:ascii="仿宋" w:hAnsi="仿宋" w:eastAsia="仿宋"/>
          <w:color w:val="000000"/>
          <w:sz w:val="32"/>
          <w:szCs w:val="32"/>
          <w:lang w:eastAsia="zh-CN"/>
        </w:rPr>
        <w:t>计划志</w:t>
      </w:r>
      <w:r>
        <w:rPr>
          <w:rFonts w:hint="eastAsia" w:ascii="仿宋" w:hAnsi="仿宋" w:eastAsia="仿宋"/>
          <w:color w:val="000000"/>
          <w:sz w:val="32"/>
          <w:szCs w:val="32"/>
        </w:rPr>
        <w:t>愿者经费。</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drawing>
          <wp:anchor distT="0" distB="0" distL="114300" distR="114300" simplePos="0" relativeHeight="251663360" behindDoc="0" locked="0" layoutInCell="1" allowOverlap="1">
            <wp:simplePos x="0" y="0"/>
            <wp:positionH relativeFrom="column">
              <wp:posOffset>0</wp:posOffset>
            </wp:positionH>
            <wp:positionV relativeFrom="paragraph">
              <wp:posOffset>203200</wp:posOffset>
            </wp:positionV>
            <wp:extent cx="5274310" cy="3962400"/>
            <wp:effectExtent l="0" t="0" r="2540" b="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ascii="仿宋" w:hAnsi="仿宋" w:eastAsia="仿宋"/>
          <w:color w:val="000000" w:themeColor="text1"/>
          <w:sz w:val="32"/>
          <w:szCs w:val="32"/>
          <w14:textFill>
            <w14:solidFill>
              <w14:schemeClr w14:val="tx1"/>
            </w14:solidFill>
          </w14:textFill>
        </w:rPr>
        <w:t>74.13</w:t>
      </w:r>
      <w:r>
        <w:rPr>
          <w:rFonts w:hint="eastAsia" w:ascii="仿宋" w:hAnsi="仿宋" w:eastAsia="仿宋"/>
          <w:color w:val="000000" w:themeColor="text1"/>
          <w:sz w:val="32"/>
          <w:szCs w:val="32"/>
          <w14:textFill>
            <w14:solidFill>
              <w14:schemeClr w14:val="tx1"/>
            </w14:solidFill>
          </w14:textFill>
        </w:rPr>
        <w:t>万元，主要用于以下方面</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ascii="仿宋" w:hAnsi="仿宋" w:eastAsia="仿宋"/>
          <w:color w:val="000000" w:themeColor="text1"/>
          <w:sz w:val="32"/>
          <w:szCs w:val="32"/>
          <w14:textFill>
            <w14:solidFill>
              <w14:schemeClr w14:val="tx1"/>
            </w14:solidFill>
          </w14:textFill>
        </w:rPr>
        <w:t>67.79</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91.44%</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ascii="仿宋" w:hAnsi="仿宋" w:eastAsia="仿宋"/>
          <w:color w:val="000000" w:themeColor="text1"/>
          <w:sz w:val="32"/>
          <w:szCs w:val="32"/>
          <w14:textFill>
            <w14:solidFill>
              <w14:schemeClr w14:val="tx1"/>
            </w14:solidFill>
          </w14:textFill>
        </w:rPr>
        <w:t>2.98</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4.02%</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卫生健康支出1.</w:t>
      </w:r>
      <w:r>
        <w:rPr>
          <w:rFonts w:ascii="仿宋" w:hAnsi="仿宋" w:eastAsia="仿宋"/>
          <w:b/>
          <w:bCs/>
          <w:color w:val="000000" w:themeColor="text1"/>
          <w:sz w:val="32"/>
          <w:szCs w:val="32"/>
          <w14:textFill>
            <w14:solidFill>
              <w14:schemeClr w14:val="tx1"/>
            </w14:solidFill>
          </w14:textFill>
        </w:rPr>
        <w:t>30</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1.75%</w:t>
      </w:r>
      <w:r>
        <w:rPr>
          <w:rFonts w:hint="eastAsia" w:ascii="仿宋" w:hAnsi="仿宋" w:eastAsia="仿宋"/>
          <w:color w:val="000000" w:themeColor="text1"/>
          <w:sz w:val="32"/>
          <w:szCs w:val="32"/>
          <w14:textFill>
            <w14:solidFill>
              <w14:schemeClr w14:val="tx1"/>
            </w14:solidFill>
          </w14:textFill>
        </w:rPr>
        <w:t>；住房保障支出2.</w:t>
      </w:r>
      <w:r>
        <w:rPr>
          <w:rFonts w:ascii="仿宋" w:hAnsi="仿宋" w:eastAsia="仿宋"/>
          <w:color w:val="000000" w:themeColor="text1"/>
          <w:sz w:val="32"/>
          <w:szCs w:val="32"/>
          <w14:textFill>
            <w14:solidFill>
              <w14:schemeClr w14:val="tx1"/>
            </w14:solidFill>
          </w14:textFill>
        </w:rPr>
        <w:t>07</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2.79%</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-118745</wp:posOffset>
            </wp:positionH>
            <wp:positionV relativeFrom="paragraph">
              <wp:posOffset>203200</wp:posOffset>
            </wp:positionV>
            <wp:extent cx="5588000" cy="3076575"/>
            <wp:effectExtent l="0" t="0" r="12700" b="952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（图6：一般公共预算财政拨款支出决算结构）（饼状图）</w:t>
      </w:r>
    </w:p>
    <w:p>
      <w:pPr>
        <w:spacing w:line="600" w:lineRule="exact"/>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themeColor="text1"/>
          <w:sz w:val="32"/>
          <w:szCs w:val="32"/>
          <w14:textFill>
            <w14:solidFill>
              <w14:schemeClr w14:val="tx1"/>
            </w14:solidFill>
          </w14:textFill>
        </w:rPr>
        <w:t>20</w:t>
      </w:r>
      <w:r>
        <w:rPr>
          <w:rFonts w:ascii="仿宋" w:hAnsi="仿宋" w:eastAsia="仿宋"/>
          <w:b/>
          <w:color w:val="000000" w:themeColor="text1"/>
          <w:sz w:val="32"/>
          <w:szCs w:val="32"/>
          <w14:textFill>
            <w14:solidFill>
              <w14:schemeClr w14:val="tx1"/>
            </w14:solidFill>
          </w14:textFill>
        </w:rPr>
        <w:t>20</w:t>
      </w:r>
      <w:r>
        <w:rPr>
          <w:rFonts w:hint="eastAsia" w:ascii="仿宋" w:hAnsi="仿宋" w:eastAsia="仿宋"/>
          <w:b/>
          <w:color w:val="000000" w:themeColor="text1"/>
          <w:sz w:val="32"/>
          <w:szCs w:val="32"/>
          <w14:textFill>
            <w14:solidFill>
              <w14:schemeClr w14:val="tx1"/>
            </w14:solidFill>
          </w14:textFill>
        </w:rPr>
        <w:t>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ascii="仿宋" w:hAnsi="仿宋" w:eastAsia="仿宋"/>
          <w:b/>
          <w:color w:val="000000" w:themeColor="text1"/>
          <w:sz w:val="32"/>
          <w:szCs w:val="32"/>
          <w14:textFill>
            <w14:solidFill>
              <w14:schemeClr w14:val="tx1"/>
            </w14:solidFill>
          </w14:textFill>
        </w:rPr>
        <w:t>74.13</w:t>
      </w:r>
      <w:r>
        <w:rPr>
          <w:rFonts w:hint="eastAsia" w:ascii="仿宋" w:hAnsi="仿宋" w:eastAsia="仿宋"/>
          <w:b/>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ascii="仿宋" w:hAnsi="仿宋" w:eastAsia="仿宋"/>
          <w:bCs/>
          <w:color w:val="000000"/>
          <w:sz w:val="32"/>
          <w:szCs w:val="32"/>
        </w:rPr>
        <w:t>84.75%</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highlight w:val="none"/>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一般公共服务（类）群众团体（款）行政运行（项）</w:t>
      </w:r>
      <w:r>
        <w:rPr>
          <w:rStyle w:val="15"/>
          <w:rFonts w:hint="eastAsia" w:ascii="仿宋" w:hAnsi="仿宋" w:eastAsia="仿宋"/>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32.22</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highlight w:val="none"/>
        </w:rPr>
        <w:t>完成预算</w:t>
      </w:r>
      <w:r>
        <w:rPr>
          <w:rStyle w:val="15"/>
          <w:rFonts w:ascii="仿宋" w:hAnsi="仿宋" w:eastAsia="仿宋"/>
          <w:b w:val="0"/>
          <w:bCs/>
          <w:color w:val="000000"/>
          <w:sz w:val="32"/>
          <w:szCs w:val="32"/>
          <w:highlight w:val="none"/>
        </w:rPr>
        <w:t>73.88%</w:t>
      </w:r>
      <w:r>
        <w:rPr>
          <w:rStyle w:val="15"/>
          <w:rFonts w:hint="eastAsia" w:ascii="仿宋" w:hAnsi="仿宋" w:eastAsia="仿宋"/>
          <w:b w:val="0"/>
          <w:bCs/>
          <w:color w:val="000000"/>
          <w:sz w:val="32"/>
          <w:szCs w:val="32"/>
          <w:highlight w:val="none"/>
        </w:rPr>
        <w:t>，决算数小于预算数的主要原因是应付未付职工调资等。</w:t>
      </w:r>
    </w:p>
    <w:p>
      <w:pPr>
        <w:spacing w:line="600" w:lineRule="exact"/>
        <w:ind w:firstLine="643" w:firstLineChars="200"/>
        <w:rPr>
          <w:rFonts w:ascii="仿宋" w:hAnsi="仿宋" w:eastAsia="仿宋"/>
          <w:b/>
          <w:color w:val="000000" w:themeColor="text1"/>
          <w:sz w:val="32"/>
          <w:szCs w:val="32"/>
          <w14:textFill>
            <w14:solidFill>
              <w14:schemeClr w14:val="tx1"/>
            </w14:solidFill>
          </w14:textFill>
        </w:rPr>
      </w:pPr>
      <w:r>
        <w:rPr>
          <w:rStyle w:val="15"/>
          <w:rFonts w:hint="eastAsia" w:ascii="仿宋" w:hAnsi="仿宋" w:eastAsia="仿宋"/>
          <w:bCs/>
          <w:color w:val="000000" w:themeColor="text1"/>
          <w:sz w:val="32"/>
          <w:szCs w:val="32"/>
          <w14:textFill>
            <w14:solidFill>
              <w14:schemeClr w14:val="tx1"/>
            </w14:solidFill>
          </w14:textFill>
        </w:rPr>
        <w:t>2、一般公共服务（类）群众团体（款）一般行政管理事务（项）</w:t>
      </w:r>
      <w:r>
        <w:rPr>
          <w:rStyle w:val="15"/>
          <w:rFonts w:hint="eastAsia" w:ascii="仿宋" w:hAnsi="仿宋" w:eastAsia="仿宋"/>
          <w:bCs/>
          <w:color w:val="000000" w:themeColor="text1"/>
          <w:sz w:val="32"/>
          <w:szCs w:val="32"/>
          <w:lang w:eastAsia="zh-CN"/>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支出决算为</w:t>
      </w:r>
      <w:r>
        <w:rPr>
          <w:rStyle w:val="15"/>
          <w:rFonts w:ascii="仿宋" w:hAnsi="仿宋" w:eastAsia="仿宋"/>
          <w:b w:val="0"/>
          <w:bCs/>
          <w:color w:val="000000" w:themeColor="text1"/>
          <w:sz w:val="32"/>
          <w:szCs w:val="32"/>
          <w14:textFill>
            <w14:solidFill>
              <w14:schemeClr w14:val="tx1"/>
            </w14:solidFill>
          </w14:textFill>
        </w:rPr>
        <w:t>29.89</w:t>
      </w:r>
      <w:r>
        <w:rPr>
          <w:rStyle w:val="15"/>
          <w:rFonts w:hint="eastAsia" w:ascii="仿宋" w:hAnsi="仿宋" w:eastAsia="仿宋"/>
          <w:b w:val="0"/>
          <w:bCs/>
          <w:color w:val="000000" w:themeColor="text1"/>
          <w:sz w:val="32"/>
          <w:szCs w:val="32"/>
          <w14:textFill>
            <w14:solidFill>
              <w14:schemeClr w14:val="tx1"/>
            </w14:solidFill>
          </w14:textFill>
        </w:rPr>
        <w:t>万元，完成预算</w:t>
      </w:r>
      <w:r>
        <w:rPr>
          <w:rStyle w:val="15"/>
          <w:rFonts w:ascii="仿宋" w:hAnsi="仿宋" w:eastAsia="仿宋"/>
          <w:b w:val="0"/>
          <w:bCs/>
          <w:color w:val="000000" w:themeColor="text1"/>
          <w:sz w:val="32"/>
          <w:szCs w:val="32"/>
          <w14:textFill>
            <w14:solidFill>
              <w14:schemeClr w14:val="tx1"/>
            </w14:solidFill>
          </w14:textFill>
        </w:rPr>
        <w:t>93.87%</w:t>
      </w:r>
      <w:r>
        <w:rPr>
          <w:rStyle w:val="15"/>
          <w:rFonts w:hint="eastAsia" w:ascii="仿宋" w:hAnsi="仿宋" w:eastAsia="仿宋"/>
          <w:b w:val="0"/>
          <w:bCs/>
          <w:color w:val="000000" w:themeColor="text1"/>
          <w:sz w:val="32"/>
          <w:szCs w:val="32"/>
          <w14:textFill>
            <w14:solidFill>
              <w14:schemeClr w14:val="tx1"/>
            </w14:solidFill>
          </w14:textFill>
        </w:rPr>
        <w:t>，决算数小于预算数的主要原因应付未付项目支出。</w:t>
      </w:r>
    </w:p>
    <w:p>
      <w:pPr>
        <w:spacing w:line="600" w:lineRule="exact"/>
        <w:ind w:firstLine="640" w:firstLineChars="200"/>
        <w:rPr>
          <w:rStyle w:val="15"/>
          <w:rFonts w:ascii="仿宋" w:hAnsi="仿宋" w:eastAsia="仿宋"/>
          <w:b w:val="0"/>
          <w:bCs/>
          <w:color w:val="000000"/>
          <w:sz w:val="32"/>
          <w:szCs w:val="32"/>
        </w:rPr>
      </w:pPr>
      <w:r>
        <w:rPr>
          <w:rStyle w:val="15"/>
          <w:rFonts w:hint="eastAsia" w:ascii="仿宋" w:hAnsi="仿宋" w:eastAsia="仿宋"/>
          <w:b w:val="0"/>
          <w:bCs/>
          <w:color w:val="000000" w:themeColor="text1"/>
          <w:sz w:val="32"/>
          <w:szCs w:val="32"/>
          <w14:textFill>
            <w14:solidFill>
              <w14:schemeClr w14:val="tx1"/>
            </w14:solidFill>
          </w14:textFill>
        </w:rPr>
        <w:t>3、</w:t>
      </w:r>
      <w:r>
        <w:rPr>
          <w:rStyle w:val="15"/>
          <w:rFonts w:hint="eastAsia" w:ascii="仿宋" w:hAnsi="仿宋" w:eastAsia="仿宋"/>
          <w:bCs/>
          <w:color w:val="000000" w:themeColor="text1"/>
          <w:sz w:val="32"/>
          <w:szCs w:val="32"/>
          <w14:textFill>
            <w14:solidFill>
              <w14:schemeClr w14:val="tx1"/>
            </w14:solidFill>
          </w14:textFill>
        </w:rPr>
        <w:t>一般公共服务（类）群众团体（款）其他群众团体事务（项）</w:t>
      </w:r>
      <w:r>
        <w:rPr>
          <w:rStyle w:val="15"/>
          <w:rFonts w:hint="eastAsia" w:ascii="仿宋" w:hAnsi="仿宋" w:eastAsia="仿宋"/>
          <w:bCs/>
          <w:color w:val="000000" w:themeColor="text1"/>
          <w:sz w:val="32"/>
          <w:szCs w:val="32"/>
          <w:lang w:eastAsia="zh-CN"/>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支出决算为</w:t>
      </w:r>
      <w:r>
        <w:rPr>
          <w:rStyle w:val="15"/>
          <w:rFonts w:ascii="仿宋" w:hAnsi="仿宋" w:eastAsia="仿宋"/>
          <w:b w:val="0"/>
          <w:bCs/>
          <w:color w:val="000000" w:themeColor="text1"/>
          <w:sz w:val="32"/>
          <w:szCs w:val="32"/>
          <w14:textFill>
            <w14:solidFill>
              <w14:schemeClr w14:val="tx1"/>
            </w14:solidFill>
          </w14:textFill>
        </w:rPr>
        <w:t>5.67</w:t>
      </w:r>
      <w:r>
        <w:rPr>
          <w:rStyle w:val="15"/>
          <w:rFonts w:hint="eastAsia" w:ascii="仿宋" w:hAnsi="仿宋" w:eastAsia="仿宋"/>
          <w:b w:val="0"/>
          <w:bCs/>
          <w:color w:val="000000" w:themeColor="text1"/>
          <w:sz w:val="32"/>
          <w:szCs w:val="32"/>
          <w14:textFill>
            <w14:solidFill>
              <w14:schemeClr w14:val="tx1"/>
            </w14:solidFill>
          </w14:textFill>
        </w:rPr>
        <w:t>万元，</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，决算数等于预算数。</w:t>
      </w:r>
    </w:p>
    <w:p>
      <w:pPr>
        <w:spacing w:line="600" w:lineRule="exact"/>
        <w:ind w:firstLine="640" w:firstLineChars="200"/>
        <w:rPr>
          <w:rStyle w:val="15"/>
          <w:rFonts w:ascii="仿宋" w:hAnsi="仿宋" w:eastAsia="仿宋"/>
          <w:b w:val="0"/>
          <w:bCs/>
          <w:color w:val="000000" w:themeColor="text1"/>
          <w:sz w:val="32"/>
          <w:szCs w:val="32"/>
          <w14:textFill>
            <w14:solidFill>
              <w14:schemeClr w14:val="tx1"/>
            </w14:solidFill>
          </w14:textFill>
        </w:rPr>
      </w:pPr>
      <w:r>
        <w:rPr>
          <w:rStyle w:val="15"/>
          <w:rFonts w:ascii="仿宋" w:hAnsi="仿宋" w:eastAsia="仿宋"/>
          <w:b w:val="0"/>
          <w:bCs/>
          <w:color w:val="000000"/>
          <w:sz w:val="32"/>
          <w:szCs w:val="32"/>
        </w:rPr>
        <w:t>4</w:t>
      </w:r>
      <w:r>
        <w:rPr>
          <w:rStyle w:val="15"/>
          <w:rFonts w:hint="eastAsia" w:ascii="仿宋" w:hAnsi="仿宋" w:eastAsia="仿宋"/>
          <w:b w:val="0"/>
          <w:bCs/>
          <w:color w:val="000000"/>
          <w:sz w:val="32"/>
          <w:szCs w:val="32"/>
        </w:rPr>
        <w:t>、</w:t>
      </w:r>
      <w:r>
        <w:rPr>
          <w:rStyle w:val="15"/>
          <w:rFonts w:hint="eastAsia" w:ascii="仿宋" w:hAnsi="仿宋" w:eastAsia="仿宋"/>
          <w:bCs/>
          <w:color w:val="000000" w:themeColor="text1"/>
          <w:sz w:val="32"/>
          <w:szCs w:val="32"/>
          <w14:textFill>
            <w14:solidFill>
              <w14:schemeClr w14:val="tx1"/>
            </w14:solidFill>
          </w14:textFill>
        </w:rPr>
        <w:t>社会保障和就业（类）行政事业单位离退休（款）机关事业单位基本养老保险缴费（项）</w:t>
      </w:r>
      <w:r>
        <w:rPr>
          <w:rStyle w:val="15"/>
          <w:rFonts w:hint="eastAsia" w:ascii="仿宋" w:hAnsi="仿宋" w:eastAsia="仿宋"/>
          <w:bCs/>
          <w:color w:val="000000" w:themeColor="text1"/>
          <w:sz w:val="32"/>
          <w:szCs w:val="32"/>
          <w:lang w:eastAsia="zh-CN"/>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支出决算为</w:t>
      </w:r>
      <w:r>
        <w:rPr>
          <w:rStyle w:val="15"/>
          <w:rFonts w:ascii="仿宋" w:hAnsi="仿宋" w:eastAsia="仿宋"/>
          <w:b w:val="0"/>
          <w:bCs/>
          <w:color w:val="000000" w:themeColor="text1"/>
          <w:sz w:val="32"/>
          <w:szCs w:val="32"/>
          <w14:textFill>
            <w14:solidFill>
              <w14:schemeClr w14:val="tx1"/>
            </w14:solidFill>
          </w14:textFill>
        </w:rPr>
        <w:t>2.89</w:t>
      </w:r>
      <w:r>
        <w:rPr>
          <w:rStyle w:val="15"/>
          <w:rFonts w:hint="eastAsia" w:ascii="仿宋" w:hAnsi="仿宋" w:eastAsia="仿宋"/>
          <w:b w:val="0"/>
          <w:bCs/>
          <w:color w:val="000000" w:themeColor="text1"/>
          <w:sz w:val="32"/>
          <w:szCs w:val="32"/>
          <w14:textFill>
            <w14:solidFill>
              <w14:schemeClr w14:val="tx1"/>
            </w14:solidFill>
          </w14:textFill>
        </w:rPr>
        <w:t>万元，完成预算100</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 xml:space="preserve">，决算数等于预算数。 </w:t>
      </w:r>
    </w:p>
    <w:p>
      <w:pPr>
        <w:spacing w:line="600" w:lineRule="exact"/>
        <w:ind w:firstLine="643" w:firstLineChars="200"/>
        <w:rPr>
          <w:rStyle w:val="15"/>
          <w:rFonts w:ascii="仿宋" w:hAnsi="仿宋" w:eastAsia="仿宋"/>
          <w:b w:val="0"/>
          <w:bCs/>
          <w:color w:val="000000" w:themeColor="text1"/>
          <w:sz w:val="32"/>
          <w:szCs w:val="32"/>
          <w14:textFill>
            <w14:solidFill>
              <w14:schemeClr w14:val="tx1"/>
            </w14:solidFill>
          </w14:textFill>
        </w:rPr>
      </w:pPr>
      <w:r>
        <w:rPr>
          <w:rStyle w:val="15"/>
          <w:rFonts w:hint="eastAsia" w:ascii="仿宋" w:hAnsi="仿宋" w:eastAsia="仿宋"/>
          <w:bCs/>
          <w:color w:val="000000" w:themeColor="text1"/>
          <w:sz w:val="32"/>
          <w:szCs w:val="32"/>
          <w14:textFill>
            <w14:solidFill>
              <w14:schemeClr w14:val="tx1"/>
            </w14:solidFill>
          </w14:textFill>
        </w:rPr>
        <w:t>5、社会保障和就业（类）其他社会保障和就业（款）其他社会保障和就业（项）</w:t>
      </w:r>
      <w:r>
        <w:rPr>
          <w:rStyle w:val="15"/>
          <w:rFonts w:hint="eastAsia" w:ascii="仿宋" w:hAnsi="仿宋" w:eastAsia="仿宋"/>
          <w:bCs/>
          <w:color w:val="000000" w:themeColor="text1"/>
          <w:sz w:val="32"/>
          <w:szCs w:val="32"/>
          <w:lang w:eastAsia="zh-CN"/>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支出决算为0.</w:t>
      </w:r>
      <w:r>
        <w:rPr>
          <w:rStyle w:val="15"/>
          <w:rFonts w:ascii="仿宋" w:hAnsi="仿宋" w:eastAsia="仿宋"/>
          <w:b w:val="0"/>
          <w:bCs/>
          <w:color w:val="000000" w:themeColor="text1"/>
          <w:sz w:val="32"/>
          <w:szCs w:val="32"/>
          <w14:textFill>
            <w14:solidFill>
              <w14:schemeClr w14:val="tx1"/>
            </w14:solidFill>
          </w14:textFill>
        </w:rPr>
        <w:t>09</w:t>
      </w:r>
      <w:r>
        <w:rPr>
          <w:rStyle w:val="15"/>
          <w:rFonts w:hint="eastAsia" w:ascii="仿宋" w:hAnsi="仿宋" w:eastAsia="仿宋"/>
          <w:b w:val="0"/>
          <w:bCs/>
          <w:color w:val="000000" w:themeColor="text1"/>
          <w:sz w:val="32"/>
          <w:szCs w:val="32"/>
          <w14:textFill>
            <w14:solidFill>
              <w14:schemeClr w14:val="tx1"/>
            </w14:solidFill>
          </w14:textFill>
        </w:rPr>
        <w:t>万元，完成预算100</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 xml:space="preserve">，决算数等于预算数。  </w:t>
      </w:r>
    </w:p>
    <w:p>
      <w:pPr>
        <w:spacing w:line="600" w:lineRule="exact"/>
        <w:ind w:firstLine="643" w:firstLineChars="200"/>
        <w:rPr>
          <w:rStyle w:val="15"/>
          <w:rFonts w:ascii="仿宋" w:hAnsi="仿宋" w:eastAsia="仿宋"/>
          <w:b w:val="0"/>
          <w:bCs/>
          <w:color w:val="000000" w:themeColor="text1"/>
          <w:sz w:val="32"/>
          <w:szCs w:val="32"/>
          <w14:textFill>
            <w14:solidFill>
              <w14:schemeClr w14:val="tx1"/>
            </w14:solidFill>
          </w14:textFill>
        </w:rPr>
      </w:pPr>
      <w:r>
        <w:rPr>
          <w:rStyle w:val="15"/>
          <w:rFonts w:hint="eastAsia" w:ascii="仿宋" w:hAnsi="仿宋" w:eastAsia="仿宋"/>
          <w:bCs/>
          <w:color w:val="000000" w:themeColor="text1"/>
          <w:sz w:val="32"/>
          <w:szCs w:val="32"/>
          <w14:textFill>
            <w14:solidFill>
              <w14:schemeClr w14:val="tx1"/>
            </w14:solidFill>
          </w14:textFill>
        </w:rPr>
        <w:t>6、医疗卫生与计划生育（类）行政事业单位医疗（款）行政单位医疗（项）</w:t>
      </w:r>
      <w:r>
        <w:rPr>
          <w:rStyle w:val="15"/>
          <w:rFonts w:hint="eastAsia" w:ascii="仿宋" w:hAnsi="仿宋" w:eastAsia="仿宋"/>
          <w:bCs/>
          <w:color w:val="000000" w:themeColor="text1"/>
          <w:sz w:val="32"/>
          <w:szCs w:val="32"/>
          <w:lang w:eastAsia="zh-CN"/>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支出决算为1.</w:t>
      </w:r>
      <w:r>
        <w:rPr>
          <w:rStyle w:val="15"/>
          <w:rFonts w:ascii="仿宋" w:hAnsi="仿宋" w:eastAsia="仿宋"/>
          <w:b w:val="0"/>
          <w:bCs/>
          <w:color w:val="000000" w:themeColor="text1"/>
          <w:sz w:val="32"/>
          <w:szCs w:val="32"/>
          <w14:textFill>
            <w14:solidFill>
              <w14:schemeClr w14:val="tx1"/>
            </w14:solidFill>
          </w14:textFill>
        </w:rPr>
        <w:t>30</w:t>
      </w:r>
      <w:r>
        <w:rPr>
          <w:rStyle w:val="15"/>
          <w:rFonts w:hint="eastAsia" w:ascii="仿宋" w:hAnsi="仿宋" w:eastAsia="仿宋"/>
          <w:b w:val="0"/>
          <w:bCs/>
          <w:color w:val="000000" w:themeColor="text1"/>
          <w:sz w:val="32"/>
          <w:szCs w:val="32"/>
          <w14:textFill>
            <w14:solidFill>
              <w14:schemeClr w14:val="tx1"/>
            </w14:solidFill>
          </w14:textFill>
        </w:rPr>
        <w:t>万元，完成预算100</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，决算数等于预算数。</w:t>
      </w:r>
    </w:p>
    <w:p>
      <w:pPr>
        <w:spacing w:line="600" w:lineRule="exact"/>
        <w:ind w:firstLine="640" w:firstLineChars="200"/>
        <w:rPr>
          <w:rFonts w:ascii="仿宋" w:hAnsi="仿宋" w:eastAsia="仿宋"/>
          <w:b/>
          <w:color w:val="000000"/>
          <w:sz w:val="32"/>
          <w:szCs w:val="32"/>
        </w:rPr>
      </w:pPr>
      <w:r>
        <w:rPr>
          <w:rStyle w:val="15"/>
          <w:rFonts w:hint="eastAsia" w:ascii="仿宋" w:hAnsi="仿宋" w:eastAsia="仿宋"/>
          <w:b w:val="0"/>
          <w:bCs/>
          <w:color w:val="000000" w:themeColor="text1"/>
          <w:sz w:val="32"/>
          <w:szCs w:val="32"/>
          <w14:textFill>
            <w14:solidFill>
              <w14:schemeClr w14:val="tx1"/>
            </w14:solidFill>
          </w14:textFill>
        </w:rPr>
        <w:t>7、</w:t>
      </w:r>
      <w:r>
        <w:rPr>
          <w:rStyle w:val="15"/>
          <w:rFonts w:hint="eastAsia" w:ascii="仿宋" w:hAnsi="仿宋" w:eastAsia="仿宋"/>
          <w:bCs/>
          <w:color w:val="000000" w:themeColor="text1"/>
          <w:sz w:val="32"/>
          <w:szCs w:val="32"/>
          <w14:textFill>
            <w14:solidFill>
              <w14:schemeClr w14:val="tx1"/>
            </w14:solidFill>
          </w14:textFill>
        </w:rPr>
        <w:t>住房保障（类）住房改革（款）住房公积金（项）</w:t>
      </w:r>
      <w:r>
        <w:rPr>
          <w:rStyle w:val="15"/>
          <w:rFonts w:hint="eastAsia" w:ascii="仿宋" w:hAnsi="仿宋" w:eastAsia="仿宋"/>
          <w:bCs/>
          <w:color w:val="000000" w:themeColor="text1"/>
          <w:sz w:val="32"/>
          <w:szCs w:val="32"/>
          <w:lang w:eastAsia="zh-CN"/>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支出决算为2.</w:t>
      </w:r>
      <w:r>
        <w:rPr>
          <w:rStyle w:val="15"/>
          <w:rFonts w:ascii="仿宋" w:hAnsi="仿宋" w:eastAsia="仿宋"/>
          <w:b w:val="0"/>
          <w:bCs/>
          <w:color w:val="000000" w:themeColor="text1"/>
          <w:sz w:val="32"/>
          <w:szCs w:val="32"/>
          <w14:textFill>
            <w14:solidFill>
              <w14:schemeClr w14:val="tx1"/>
            </w14:solidFill>
          </w14:textFill>
        </w:rPr>
        <w:t>0</w:t>
      </w:r>
      <w:r>
        <w:rPr>
          <w:rStyle w:val="15"/>
          <w:rFonts w:hint="eastAsia" w:ascii="仿宋" w:hAnsi="仿宋" w:eastAsia="仿宋"/>
          <w:b w:val="0"/>
          <w:bCs/>
          <w:color w:val="000000" w:themeColor="text1"/>
          <w:sz w:val="32"/>
          <w:szCs w:val="32"/>
          <w14:textFill>
            <w14:solidFill>
              <w14:schemeClr w14:val="tx1"/>
            </w14:solidFill>
          </w14:textFill>
        </w:rPr>
        <w:t>7万元，完成预算100</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，决算数等于预算数。</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38.57</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34.80</w:t>
      </w:r>
      <w:r>
        <w:rPr>
          <w:rFonts w:hint="eastAsia" w:ascii="仿宋" w:hAnsi="仿宋" w:eastAsia="仿宋"/>
          <w:color w:val="000000"/>
          <w:sz w:val="32"/>
          <w:szCs w:val="32"/>
        </w:rPr>
        <w:t>万元，主要包括：基本工资</w:t>
      </w:r>
      <w:r>
        <w:rPr>
          <w:rFonts w:ascii="仿宋" w:hAnsi="仿宋" w:eastAsia="仿宋"/>
          <w:color w:val="000000"/>
          <w:sz w:val="32"/>
          <w:szCs w:val="32"/>
        </w:rPr>
        <w:t>10.06</w:t>
      </w:r>
      <w:r>
        <w:rPr>
          <w:rFonts w:hint="eastAsia" w:ascii="仿宋" w:hAnsi="仿宋" w:eastAsia="仿宋"/>
          <w:color w:val="000000"/>
          <w:sz w:val="32"/>
          <w:szCs w:val="32"/>
        </w:rPr>
        <w:t>万元、津贴补贴</w:t>
      </w:r>
      <w:r>
        <w:rPr>
          <w:rFonts w:ascii="仿宋" w:hAnsi="仿宋" w:eastAsia="仿宋"/>
          <w:color w:val="000000"/>
          <w:sz w:val="32"/>
          <w:szCs w:val="32"/>
        </w:rPr>
        <w:t>7.93</w:t>
      </w:r>
      <w:r>
        <w:rPr>
          <w:rFonts w:hint="eastAsia" w:ascii="仿宋" w:hAnsi="仿宋" w:eastAsia="仿宋"/>
          <w:color w:val="000000"/>
          <w:sz w:val="32"/>
          <w:szCs w:val="32"/>
        </w:rPr>
        <w:t>万元、奖金</w:t>
      </w:r>
      <w:r>
        <w:rPr>
          <w:rFonts w:ascii="仿宋" w:hAnsi="仿宋" w:eastAsia="仿宋"/>
          <w:color w:val="000000"/>
          <w:sz w:val="32"/>
          <w:szCs w:val="32"/>
        </w:rPr>
        <w:t>0.78</w:t>
      </w:r>
      <w:r>
        <w:rPr>
          <w:rFonts w:hint="eastAsia" w:ascii="仿宋" w:hAnsi="仿宋" w:eastAsia="仿宋"/>
          <w:color w:val="000000"/>
          <w:sz w:val="32"/>
          <w:szCs w:val="32"/>
        </w:rPr>
        <w:t>万元、伙食补助费0万元、绩效工资0万元、机关事业单位基本养老保险缴费</w:t>
      </w:r>
      <w:r>
        <w:rPr>
          <w:rFonts w:ascii="仿宋" w:hAnsi="仿宋" w:eastAsia="仿宋"/>
          <w:color w:val="000000"/>
          <w:sz w:val="32"/>
          <w:szCs w:val="32"/>
        </w:rPr>
        <w:t>2.89</w:t>
      </w:r>
      <w:r>
        <w:rPr>
          <w:rFonts w:hint="eastAsia" w:ascii="仿宋" w:hAnsi="仿宋" w:eastAsia="仿宋"/>
          <w:color w:val="000000"/>
          <w:sz w:val="32"/>
          <w:szCs w:val="32"/>
        </w:rPr>
        <w:t>万元、职业年金缴费0万元、职工基本医疗保险缴费</w:t>
      </w:r>
      <w:r>
        <w:rPr>
          <w:rFonts w:ascii="仿宋" w:hAnsi="仿宋" w:eastAsia="仿宋"/>
          <w:color w:val="000000"/>
          <w:sz w:val="32"/>
          <w:szCs w:val="32"/>
        </w:rPr>
        <w:t>1.30</w:t>
      </w:r>
      <w:r>
        <w:rPr>
          <w:rFonts w:hint="eastAsia" w:ascii="仿宋" w:hAnsi="仿宋" w:eastAsia="仿宋"/>
          <w:color w:val="000000"/>
          <w:sz w:val="32"/>
          <w:szCs w:val="32"/>
        </w:rPr>
        <w:t>万元、其他社会保障缴费0.</w:t>
      </w:r>
      <w:r>
        <w:rPr>
          <w:rFonts w:ascii="仿宋" w:hAnsi="仿宋" w:eastAsia="仿宋"/>
          <w:color w:val="000000"/>
          <w:sz w:val="32"/>
          <w:szCs w:val="32"/>
        </w:rPr>
        <w:t>45</w:t>
      </w:r>
      <w:r>
        <w:rPr>
          <w:rFonts w:hint="eastAsia" w:ascii="仿宋" w:hAnsi="仿宋" w:eastAsia="仿宋"/>
          <w:color w:val="000000"/>
          <w:sz w:val="32"/>
          <w:szCs w:val="32"/>
        </w:rPr>
        <w:t>万元、其他工资福利支出0万元、离休费0万元、退休费0万元、抚恤金0万元、生活补助0万元、医疗费补助0万元、奖励金0万元、住房公积金2.</w:t>
      </w:r>
      <w:r>
        <w:rPr>
          <w:rFonts w:ascii="仿宋" w:hAnsi="仿宋" w:eastAsia="仿宋"/>
          <w:color w:val="000000"/>
          <w:sz w:val="32"/>
          <w:szCs w:val="32"/>
        </w:rPr>
        <w:t>0</w:t>
      </w:r>
      <w:r>
        <w:rPr>
          <w:rFonts w:hint="eastAsia" w:ascii="仿宋" w:hAnsi="仿宋" w:eastAsia="仿宋"/>
          <w:color w:val="000000"/>
          <w:sz w:val="32"/>
          <w:szCs w:val="32"/>
        </w:rPr>
        <w:t>7万元、其他工资福利支出9</w:t>
      </w:r>
      <w:r>
        <w:rPr>
          <w:rFonts w:ascii="仿宋" w:hAnsi="仿宋" w:eastAsia="仿宋"/>
          <w:color w:val="000000"/>
          <w:sz w:val="32"/>
          <w:szCs w:val="32"/>
        </w:rPr>
        <w:t>.32</w:t>
      </w:r>
      <w:r>
        <w:rPr>
          <w:rFonts w:hint="eastAsia" w:ascii="仿宋" w:hAnsi="仿宋" w:eastAsia="仿宋"/>
          <w:color w:val="000000"/>
          <w:sz w:val="32"/>
          <w:szCs w:val="32"/>
        </w:rPr>
        <w:t>万元、其他对个人和家庭的补助支出0万元等。</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日常公用经费3.</w:t>
      </w:r>
      <w:r>
        <w:rPr>
          <w:rFonts w:ascii="仿宋" w:hAnsi="仿宋" w:eastAsia="仿宋"/>
          <w:color w:val="000000"/>
          <w:sz w:val="32"/>
          <w:szCs w:val="32"/>
        </w:rPr>
        <w:t>78</w:t>
      </w:r>
      <w:r>
        <w:rPr>
          <w:rFonts w:hint="eastAsia" w:ascii="仿宋" w:hAnsi="仿宋" w:eastAsia="仿宋"/>
          <w:color w:val="000000"/>
          <w:sz w:val="32"/>
          <w:szCs w:val="32"/>
        </w:rPr>
        <w:t>万元，主要包括：办公费0.1</w:t>
      </w:r>
      <w:r>
        <w:rPr>
          <w:rFonts w:ascii="仿宋" w:hAnsi="仿宋" w:eastAsia="仿宋"/>
          <w:color w:val="000000"/>
          <w:sz w:val="32"/>
          <w:szCs w:val="32"/>
        </w:rPr>
        <w:t>1</w:t>
      </w:r>
      <w:r>
        <w:rPr>
          <w:rFonts w:hint="eastAsia" w:ascii="仿宋" w:hAnsi="仿宋" w:eastAsia="仿宋"/>
          <w:color w:val="000000"/>
          <w:sz w:val="32"/>
          <w:szCs w:val="32"/>
        </w:rPr>
        <w:t>万元、印刷费0.0</w:t>
      </w:r>
      <w:r>
        <w:rPr>
          <w:rFonts w:ascii="仿宋" w:hAnsi="仿宋" w:eastAsia="仿宋"/>
          <w:color w:val="000000"/>
          <w:sz w:val="32"/>
          <w:szCs w:val="32"/>
        </w:rPr>
        <w:t>5</w:t>
      </w:r>
      <w:r>
        <w:rPr>
          <w:rFonts w:hint="eastAsia" w:ascii="仿宋" w:hAnsi="仿宋" w:eastAsia="仿宋"/>
          <w:color w:val="000000"/>
          <w:sz w:val="32"/>
          <w:szCs w:val="32"/>
        </w:rPr>
        <w:t>万元、咨询费0万元、手续费0万元、水费0.1</w:t>
      </w:r>
      <w:r>
        <w:rPr>
          <w:rFonts w:ascii="仿宋" w:hAnsi="仿宋" w:eastAsia="仿宋"/>
          <w:color w:val="000000"/>
          <w:sz w:val="32"/>
          <w:szCs w:val="32"/>
        </w:rPr>
        <w:t>1</w:t>
      </w:r>
      <w:r>
        <w:rPr>
          <w:rFonts w:hint="eastAsia" w:ascii="仿宋" w:hAnsi="仿宋" w:eastAsia="仿宋"/>
          <w:color w:val="000000"/>
          <w:sz w:val="32"/>
          <w:szCs w:val="32"/>
        </w:rPr>
        <w:t>万元、电费0.3</w:t>
      </w:r>
      <w:r>
        <w:rPr>
          <w:rFonts w:ascii="仿宋" w:hAnsi="仿宋" w:eastAsia="仿宋"/>
          <w:color w:val="000000"/>
          <w:sz w:val="32"/>
          <w:szCs w:val="32"/>
        </w:rPr>
        <w:t>7</w:t>
      </w:r>
      <w:r>
        <w:rPr>
          <w:rFonts w:hint="eastAsia" w:ascii="仿宋" w:hAnsi="仿宋" w:eastAsia="仿宋"/>
          <w:color w:val="000000"/>
          <w:sz w:val="32"/>
          <w:szCs w:val="32"/>
        </w:rPr>
        <w:t>万元、邮电费0万元、取暖费0万元、物业管理费0.01万元、差旅费0万元、因公出国（境）费用0万元、维修（护）费0.06万元、租赁费0万元、会议费0万元、培训费0万元、公务接待费0万元、劳务费0万元、委托业务费0万元、工会经费0.</w:t>
      </w:r>
      <w:r>
        <w:rPr>
          <w:rFonts w:ascii="仿宋" w:hAnsi="仿宋" w:eastAsia="仿宋"/>
          <w:color w:val="000000"/>
          <w:sz w:val="32"/>
          <w:szCs w:val="32"/>
        </w:rPr>
        <w:t>60</w:t>
      </w:r>
      <w:r>
        <w:rPr>
          <w:rFonts w:hint="eastAsia" w:ascii="仿宋" w:hAnsi="仿宋" w:eastAsia="仿宋"/>
          <w:color w:val="000000"/>
          <w:sz w:val="32"/>
          <w:szCs w:val="32"/>
        </w:rPr>
        <w:t>万元、福利费0.2</w:t>
      </w:r>
      <w:r>
        <w:rPr>
          <w:rFonts w:ascii="仿宋" w:hAnsi="仿宋" w:eastAsia="仿宋"/>
          <w:color w:val="000000"/>
          <w:sz w:val="32"/>
          <w:szCs w:val="32"/>
        </w:rPr>
        <w:t>6</w:t>
      </w:r>
      <w:r>
        <w:rPr>
          <w:rFonts w:hint="eastAsia" w:ascii="仿宋" w:hAnsi="仿宋" w:eastAsia="仿宋"/>
          <w:color w:val="000000"/>
          <w:sz w:val="32"/>
          <w:szCs w:val="32"/>
        </w:rPr>
        <w:t>万元、公务用车运行维护费0万元、其他交通费2</w:t>
      </w:r>
      <w:r>
        <w:rPr>
          <w:rFonts w:ascii="仿宋" w:hAnsi="仿宋" w:eastAsia="仿宋"/>
          <w:color w:val="000000"/>
          <w:sz w:val="32"/>
          <w:szCs w:val="32"/>
        </w:rPr>
        <w:t>.16</w:t>
      </w:r>
      <w:r>
        <w:rPr>
          <w:rFonts w:hint="eastAsia" w:ascii="仿宋" w:hAnsi="仿宋" w:eastAsia="仿宋"/>
          <w:color w:val="000000"/>
          <w:sz w:val="32"/>
          <w:szCs w:val="32"/>
        </w:rPr>
        <w:t>万元、税金及附加费用0万元、其他商品和服务支出0</w:t>
      </w:r>
      <w:r>
        <w:rPr>
          <w:rFonts w:ascii="仿宋" w:hAnsi="仿宋" w:eastAsia="仿宋"/>
          <w:color w:val="000000"/>
          <w:sz w:val="32"/>
          <w:szCs w:val="32"/>
        </w:rPr>
        <w:t>.05</w:t>
      </w:r>
      <w:r>
        <w:rPr>
          <w:rFonts w:hint="eastAsia" w:ascii="仿宋" w:hAnsi="仿宋" w:eastAsia="仿宋"/>
          <w:color w:val="000000"/>
          <w:sz w:val="32"/>
          <w:szCs w:val="32"/>
        </w:rPr>
        <w:t>万元、办公设备购置0万元、专用设备购置0万元、信息网络及软件购置更新0万元、其他资本性支出0万元等。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0</w:t>
      </w:r>
      <w:r>
        <w:rPr>
          <w:rFonts w:hint="eastAsia" w:ascii="仿宋" w:hAnsi="仿宋" w:eastAsia="仿宋"/>
          <w:color w:val="000000"/>
          <w:sz w:val="32"/>
          <w:szCs w:val="32"/>
        </w:rPr>
        <w:t>万元，完成预算</w:t>
      </w:r>
      <w:r>
        <w:rPr>
          <w:rFonts w:ascii="仿宋" w:hAnsi="仿宋" w:eastAsia="仿宋"/>
          <w:color w:val="000000"/>
          <w:sz w:val="32"/>
          <w:szCs w:val="32"/>
        </w:rPr>
        <w:t>10</w:t>
      </w:r>
      <w:r>
        <w:rPr>
          <w:rFonts w:hint="eastAsia" w:ascii="仿宋" w:hAnsi="仿宋" w:eastAsia="仿宋"/>
          <w:color w:val="000000"/>
          <w:sz w:val="32"/>
          <w:szCs w:val="32"/>
        </w:rPr>
        <w:t>0</w:t>
      </w:r>
      <w:r>
        <w:rPr>
          <w:rFonts w:ascii="仿宋" w:hAnsi="仿宋" w:eastAsia="仿宋"/>
          <w:color w:val="000000"/>
          <w:sz w:val="32"/>
          <w:szCs w:val="32"/>
        </w:rPr>
        <w:t>%</w:t>
      </w:r>
      <w:r>
        <w:rPr>
          <w:rFonts w:hint="eastAsia" w:ascii="仿宋" w:hAnsi="仿宋" w:eastAsia="仿宋"/>
          <w:color w:val="000000"/>
          <w:sz w:val="32"/>
          <w:szCs w:val="32"/>
        </w:rPr>
        <w:t>，决算数等于预算数。</w:t>
      </w:r>
    </w:p>
    <w:p>
      <w:pPr>
        <w:spacing w:line="600" w:lineRule="exact"/>
        <w:ind w:firstLine="643" w:firstLineChars="20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pPr>
        <w:numPr>
          <w:ilvl w:val="0"/>
          <w:numId w:val="2"/>
        </w:num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因公出国（境）经费支出0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完成预算1</w:t>
      </w:r>
      <w:r>
        <w:rPr>
          <w:rStyle w:val="15"/>
          <w:rFonts w:ascii="仿宋" w:hAnsi="仿宋" w:eastAsia="仿宋"/>
          <w:b w:val="0"/>
          <w:bCs/>
          <w:color w:val="000000"/>
          <w:sz w:val="32"/>
          <w:szCs w:val="32"/>
        </w:rPr>
        <w:t>0</w:t>
      </w:r>
      <w:r>
        <w:rPr>
          <w:rStyle w:val="15"/>
          <w:rFonts w:hint="eastAsia" w:ascii="仿宋" w:hAnsi="仿宋" w:eastAsia="仿宋"/>
          <w:b w:val="0"/>
          <w:bCs/>
          <w:color w:val="000000"/>
          <w:sz w:val="32"/>
          <w:szCs w:val="32"/>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2019</w:t>
      </w:r>
      <w:r>
        <w:rPr>
          <w:rFonts w:hint="eastAsia" w:ascii="仿宋_GB2312" w:eastAsia="仿宋_GB2312"/>
          <w:color w:val="000000"/>
          <w:sz w:val="32"/>
          <w:szCs w:val="32"/>
        </w:rPr>
        <w:t>年持平</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0</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万元，越野车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万元，载客汽车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0</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辆、越野车</w:t>
      </w:r>
      <w:r>
        <w:rPr>
          <w:rFonts w:ascii="仿宋_GB2312" w:eastAsia="仿宋_GB2312"/>
          <w:color w:val="000000"/>
          <w:sz w:val="32"/>
          <w:szCs w:val="32"/>
        </w:rPr>
        <w:t>0</w:t>
      </w:r>
      <w:r>
        <w:rPr>
          <w:rFonts w:hint="eastAsia" w:ascii="仿宋_GB2312" w:eastAsia="仿宋_GB2312"/>
          <w:color w:val="000000"/>
          <w:sz w:val="32"/>
          <w:szCs w:val="32"/>
        </w:rPr>
        <w:t>辆、载客汽车</w:t>
      </w:r>
      <w:r>
        <w:rPr>
          <w:rFonts w:ascii="仿宋_GB2312" w:eastAsia="仿宋_GB2312"/>
          <w:color w:val="000000"/>
          <w:sz w:val="32"/>
          <w:szCs w:val="32"/>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highlight w:val="none"/>
        </w:rPr>
        <w:t>3.</w:t>
      </w:r>
      <w:r>
        <w:rPr>
          <w:rFonts w:hint="eastAsia" w:ascii="仿宋_GB2312" w:eastAsia="仿宋_GB2312"/>
          <w:b/>
          <w:color w:val="000000"/>
          <w:sz w:val="32"/>
          <w:szCs w:val="32"/>
          <w:highlight w:val="none"/>
        </w:rPr>
        <w:t>公务接待费支出0</w:t>
      </w:r>
      <w:r>
        <w:rPr>
          <w:rFonts w:hint="eastAsia" w:ascii="仿宋_GB2312" w:eastAsia="仿宋_GB2312"/>
          <w:color w:val="000000"/>
          <w:sz w:val="32"/>
          <w:szCs w:val="32"/>
          <w:highlight w:val="none"/>
        </w:rPr>
        <w:t>万元，</w:t>
      </w:r>
      <w:r>
        <w:rPr>
          <w:rStyle w:val="15"/>
          <w:rFonts w:hint="eastAsia" w:ascii="仿宋" w:hAnsi="仿宋" w:eastAsia="仿宋"/>
          <w:b w:val="0"/>
          <w:bCs/>
          <w:color w:val="000000"/>
          <w:sz w:val="32"/>
          <w:szCs w:val="32"/>
          <w:highlight w:val="none"/>
        </w:rPr>
        <w:t>完成预算</w:t>
      </w:r>
      <w:r>
        <w:rPr>
          <w:rStyle w:val="15"/>
          <w:rFonts w:ascii="仿宋" w:hAnsi="仿宋" w:eastAsia="仿宋"/>
          <w:b w:val="0"/>
          <w:bCs/>
          <w:color w:val="000000"/>
          <w:sz w:val="32"/>
          <w:szCs w:val="32"/>
          <w:highlight w:val="none"/>
        </w:rPr>
        <w:t>10</w:t>
      </w:r>
      <w:r>
        <w:rPr>
          <w:rStyle w:val="15"/>
          <w:rFonts w:hint="eastAsia" w:ascii="仿宋" w:hAnsi="仿宋" w:eastAsia="仿宋"/>
          <w:b w:val="0"/>
          <w:bCs/>
          <w:color w:val="000000"/>
          <w:sz w:val="32"/>
          <w:szCs w:val="32"/>
          <w:highlight w:val="none"/>
        </w:rPr>
        <w:t>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国内公务接待支出0</w:t>
      </w:r>
      <w:r>
        <w:rPr>
          <w:rFonts w:hint="eastAsia" w:ascii="仿宋_GB2312" w:eastAsia="仿宋_GB2312"/>
          <w:color w:val="000000"/>
          <w:sz w:val="32"/>
          <w:szCs w:val="32"/>
        </w:rPr>
        <w:t>万元。国内公务接待</w:t>
      </w:r>
      <w:r>
        <w:rPr>
          <w:rFonts w:ascii="仿宋_GB2312" w:eastAsia="仿宋_GB2312"/>
          <w:color w:val="000000"/>
          <w:sz w:val="32"/>
          <w:szCs w:val="32"/>
        </w:rPr>
        <w:t>0</w:t>
      </w:r>
      <w:r>
        <w:rPr>
          <w:rFonts w:hint="eastAsia" w:ascii="仿宋_GB2312" w:eastAsia="仿宋_GB2312"/>
          <w:color w:val="000000"/>
          <w:sz w:val="32"/>
          <w:szCs w:val="32"/>
        </w:rPr>
        <w:t>批次，</w:t>
      </w:r>
      <w:r>
        <w:rPr>
          <w:rFonts w:ascii="仿宋_GB2312" w:eastAsia="仿宋_GB2312"/>
          <w:color w:val="000000"/>
          <w:sz w:val="32"/>
          <w:szCs w:val="32"/>
        </w:rPr>
        <w:t>0</w:t>
      </w:r>
      <w:r>
        <w:rPr>
          <w:rFonts w:hint="eastAsia" w:ascii="仿宋_GB2312" w:eastAsia="仿宋_GB2312"/>
          <w:color w:val="000000"/>
          <w:sz w:val="32"/>
          <w:szCs w:val="32"/>
        </w:rPr>
        <w:t>人次（不包括陪同人员）。</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，外事接待0批次，0人，共计支出0万元。</w:t>
      </w:r>
    </w:p>
    <w:p>
      <w:pPr>
        <w:spacing w:line="600" w:lineRule="exact"/>
        <w:ind w:firstLine="640" w:firstLineChars="200"/>
        <w:outlineLvl w:val="1"/>
        <w:rPr>
          <w:rStyle w:val="26"/>
          <w:rFonts w:ascii="黑体" w:hAnsi="黑体" w:eastAsia="黑体"/>
        </w:rPr>
      </w:pPr>
      <w:bookmarkStart w:id="46" w:name="_Toc15396610"/>
      <w:bookmarkStart w:id="47" w:name="_Toc15377218"/>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年政府性基金预算拨款支出0万元。</w:t>
      </w:r>
    </w:p>
    <w:p>
      <w:pPr>
        <w:spacing w:line="600" w:lineRule="exact"/>
        <w:ind w:firstLine="640" w:firstLineChars="20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九、国有资本经营预算支出决算情况说明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年国有资本经营预算拨款支出0万元。</w:t>
      </w:r>
    </w:p>
    <w:p>
      <w:pPr>
        <w:spacing w:line="600" w:lineRule="exact"/>
        <w:ind w:firstLine="640" w:firstLineChars="20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sz w:val="32"/>
          <w:szCs w:val="32"/>
        </w:rPr>
        <w:t>2020</w:t>
      </w:r>
      <w:r>
        <w:rPr>
          <w:rFonts w:hint="eastAsia" w:ascii="仿宋_GB2312" w:eastAsia="仿宋_GB2312"/>
          <w:color w:val="000000"/>
          <w:sz w:val="32"/>
          <w:szCs w:val="32"/>
        </w:rPr>
        <w:t>年，利州区团委机关运行经费支出3.</w:t>
      </w:r>
      <w:r>
        <w:rPr>
          <w:rFonts w:ascii="仿宋_GB2312" w:eastAsia="仿宋_GB2312"/>
          <w:color w:val="000000"/>
          <w:sz w:val="32"/>
          <w:szCs w:val="32"/>
        </w:rPr>
        <w:t>7</w:t>
      </w:r>
      <w:r>
        <w:rPr>
          <w:rFonts w:hint="eastAsia" w:ascii="仿宋_GB2312" w:eastAsia="仿宋_GB2312"/>
          <w:color w:val="000000"/>
          <w:sz w:val="32"/>
          <w:szCs w:val="32"/>
        </w:rPr>
        <w:t>7万元，比</w:t>
      </w:r>
      <w:r>
        <w:rPr>
          <w:rFonts w:ascii="仿宋_GB2312" w:eastAsia="仿宋_GB2312"/>
          <w:color w:val="000000"/>
          <w:sz w:val="32"/>
          <w:szCs w:val="32"/>
        </w:rPr>
        <w:t>2019</w:t>
      </w:r>
      <w:r>
        <w:rPr>
          <w:rFonts w:hint="eastAsia" w:ascii="仿宋_GB2312" w:eastAsia="仿宋_GB2312"/>
          <w:color w:val="000000"/>
          <w:sz w:val="32"/>
          <w:szCs w:val="32"/>
        </w:rPr>
        <w:t>年增加0</w:t>
      </w:r>
      <w:r>
        <w:rPr>
          <w:rFonts w:ascii="仿宋_GB2312" w:eastAsia="仿宋_GB2312"/>
          <w:color w:val="000000"/>
          <w:sz w:val="32"/>
          <w:szCs w:val="32"/>
        </w:rPr>
        <w:t>.3</w:t>
      </w:r>
      <w:r>
        <w:rPr>
          <w:rFonts w:hint="eastAsia" w:ascii="仿宋_GB2312" w:eastAsia="仿宋_GB2312"/>
          <w:color w:val="000000"/>
          <w:sz w:val="32"/>
          <w:szCs w:val="32"/>
        </w:rPr>
        <w:t>万元，增长8</w:t>
      </w:r>
      <w:r>
        <w:rPr>
          <w:rFonts w:ascii="仿宋_GB2312" w:eastAsia="仿宋_GB2312"/>
          <w:color w:val="000000"/>
          <w:sz w:val="32"/>
          <w:szCs w:val="32"/>
        </w:rPr>
        <w:t>.64%</w:t>
      </w:r>
      <w:r>
        <w:rPr>
          <w:rFonts w:hint="eastAsia" w:ascii="仿宋_GB2312" w:eastAsia="仿宋_GB2312"/>
          <w:color w:val="000000"/>
          <w:sz w:val="32"/>
          <w:szCs w:val="32"/>
        </w:rPr>
        <w:t>。</w:t>
      </w:r>
      <w:r>
        <w:rPr>
          <w:rFonts w:hint="eastAsia" w:ascii="仿宋_GB2312" w:eastAsia="仿宋_GB2312"/>
          <w:color w:val="000000" w:themeColor="text1"/>
          <w:sz w:val="32"/>
          <w:szCs w:val="32"/>
          <w:highlight w:val="none"/>
          <w14:textFill>
            <w14:solidFill>
              <w14:schemeClr w14:val="tx1"/>
            </w14:solidFill>
          </w14:textFill>
        </w:rPr>
        <w:t>主要原因是青少年服务平台建设经费。</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年，利州区团委政府采购支出总额0万元，其中：政府采购货物支出0万元、政府采购工程支出0万元、政府采购服务支出0万元。授予中小企业合同金额0万元，占政府采购支出总额的0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日，利州区团委共有车辆0辆，其中：主要领导干部用车0辆、机要通信用车0辆、应急保障用车0辆、其他用车0辆，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预算绩效管理要求，本部门（单位）在年初预算编制阶段，组织对2个项目开展了预算事前绩效评估，对2个项目编制了绩效目标，预算执行过程中，选取2个项目开展绩效监控，年终执行完毕后，对2个项目开展了绩效目标完成情况梳理填报。</w:t>
      </w:r>
    </w:p>
    <w:p>
      <w:pPr>
        <w:spacing w:line="54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本部门按要求对20</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年部门整体支出开展绩效自评，从评价情况来看自评结果良好，全年基本支出保障了2个项目的正常运行和日常工作的正常开展，项目支出保障了重点工作的开展，各项支出均达到了预期的绩效管理目标。</w:t>
      </w:r>
      <w:r>
        <w:rPr>
          <w:rFonts w:hint="eastAsia" w:ascii="仿宋_GB2312" w:eastAsia="仿宋_GB2312"/>
          <w:color w:val="000000" w:themeColor="text1"/>
          <w:sz w:val="32"/>
          <w:szCs w:val="32"/>
          <w14:textFill>
            <w14:solidFill>
              <w14:schemeClr w14:val="tx1"/>
            </w14:solidFill>
          </w14:textFill>
        </w:rPr>
        <w:t>存在的问题：</w:t>
      </w:r>
      <w:r>
        <w:rPr>
          <w:rFonts w:hint="eastAsia" w:ascii="仿宋_GB2312" w:hAnsi="宋体" w:eastAsia="仿宋_GB2312" w:cs="仿宋_GB2312"/>
          <w:color w:val="000000" w:themeColor="text1"/>
          <w:sz w:val="32"/>
          <w:szCs w:val="32"/>
          <w14:textFill>
            <w14:solidFill>
              <w14:schemeClr w14:val="tx1"/>
            </w14:solidFill>
          </w14:textFill>
        </w:rPr>
        <w:t>一是绩效评价管理工作制度建设有待进一步加强，绩效管理缺乏系统性；二是</w:t>
      </w:r>
      <w:r>
        <w:rPr>
          <w:rFonts w:hint="eastAsia" w:ascii="华文仿宋" w:hAnsi="华文仿宋" w:eastAsia="华文仿宋"/>
          <w:color w:val="000000" w:themeColor="text1"/>
          <w:sz w:val="32"/>
          <w:szCs w:val="32"/>
          <w14:textFill>
            <w14:solidFill>
              <w14:schemeClr w14:val="tx1"/>
            </w14:solidFill>
          </w14:textFill>
        </w:rPr>
        <w:t>缺乏绩效评价专业人才，系统现有评价工作人员的知识体系和业务技能还需进一步提高，以适应绩效评价工作相关要求。</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下一步改进措施：</w:t>
      </w:r>
      <w:r>
        <w:rPr>
          <w:rStyle w:val="15"/>
          <w:rFonts w:hint="eastAsia" w:ascii="仿宋_GB2312" w:hAnsi="宋体" w:eastAsia="仿宋_GB2312" w:cs="仿宋_GB2312"/>
          <w:color w:val="000000" w:themeColor="text1"/>
          <w:sz w:val="32"/>
          <w:szCs w:val="32"/>
          <w14:textFill>
            <w14:solidFill>
              <w14:schemeClr w14:val="tx1"/>
            </w14:solidFill>
          </w14:textFill>
        </w:rPr>
        <w:t>一是</w:t>
      </w:r>
      <w:r>
        <w:rPr>
          <w:rFonts w:hint="eastAsia" w:ascii="仿宋_GB2312" w:hAnsi="宋体" w:eastAsia="仿宋_GB2312" w:cs="仿宋_GB2312"/>
          <w:color w:val="000000" w:themeColor="text1"/>
          <w:sz w:val="32"/>
          <w:szCs w:val="32"/>
          <w14:textFill>
            <w14:solidFill>
              <w14:schemeClr w14:val="tx1"/>
            </w14:solidFill>
          </w14:textFill>
        </w:rPr>
        <w:t>进一步加强绩效评价管理制度建设；</w:t>
      </w:r>
      <w:r>
        <w:rPr>
          <w:rFonts w:hint="eastAsia" w:ascii="仿宋_GB2312" w:hAnsi="宋体" w:eastAsia="仿宋_GB2312" w:cs="仿宋_GB2312"/>
          <w:b/>
          <w:bCs/>
          <w:color w:val="000000" w:themeColor="text1"/>
          <w:sz w:val="32"/>
          <w:szCs w:val="32"/>
          <w14:textFill>
            <w14:solidFill>
              <w14:schemeClr w14:val="tx1"/>
            </w14:solidFill>
          </w14:textFill>
        </w:rPr>
        <w:t>二是</w:t>
      </w:r>
      <w:r>
        <w:rPr>
          <w:rFonts w:hint="eastAsia" w:ascii="仿宋_GB2312" w:hAnsi="宋体" w:eastAsia="仿宋_GB2312" w:cs="仿宋_GB2312"/>
          <w:color w:val="000000" w:themeColor="text1"/>
          <w:sz w:val="32"/>
          <w:szCs w:val="32"/>
          <w14:textFill>
            <w14:solidFill>
              <w14:schemeClr w14:val="tx1"/>
            </w14:solidFill>
          </w14:textFill>
        </w:rPr>
        <w:t>建立有效的绩效管理体系；</w:t>
      </w:r>
      <w:r>
        <w:rPr>
          <w:rStyle w:val="15"/>
          <w:rFonts w:hint="eastAsia" w:ascii="仿宋_GB2312" w:hAnsi="宋体" w:eastAsia="仿宋_GB2312" w:cs="仿宋_GB2312"/>
          <w:color w:val="000000" w:themeColor="text1"/>
          <w:sz w:val="32"/>
          <w:szCs w:val="32"/>
          <w14:textFill>
            <w14:solidFill>
              <w14:schemeClr w14:val="tx1"/>
            </w14:solidFill>
          </w14:textFill>
        </w:rPr>
        <w:t>三是</w:t>
      </w:r>
      <w:r>
        <w:rPr>
          <w:rFonts w:hint="eastAsia" w:ascii="仿宋_GB2312" w:hAnsi="宋体" w:eastAsia="仿宋_GB2312" w:cs="仿宋_GB2312"/>
          <w:color w:val="000000" w:themeColor="text1"/>
          <w:sz w:val="32"/>
          <w:szCs w:val="32"/>
          <w14:textFill>
            <w14:solidFill>
              <w14:schemeClr w14:val="tx1"/>
            </w14:solidFill>
          </w14:textFill>
        </w:rPr>
        <w:t>强化绩效管理数据分析，强化绩效管理数据运用；</w:t>
      </w:r>
      <w:r>
        <w:rPr>
          <w:rFonts w:hint="eastAsia" w:ascii="仿宋_GB2312" w:hAnsi="宋体" w:eastAsia="仿宋_GB2312" w:cs="仿宋_GB2312"/>
          <w:b/>
          <w:bCs/>
          <w:color w:val="000000" w:themeColor="text1"/>
          <w:sz w:val="32"/>
          <w:szCs w:val="32"/>
          <w14:textFill>
            <w14:solidFill>
              <w14:schemeClr w14:val="tx1"/>
            </w14:solidFill>
          </w14:textFill>
        </w:rPr>
        <w:t>四是</w:t>
      </w:r>
      <w:r>
        <w:rPr>
          <w:rFonts w:hint="eastAsia" w:ascii="仿宋_GB2312" w:hAnsi="宋体" w:eastAsia="仿宋_GB2312" w:cs="仿宋_GB2312"/>
          <w:color w:val="000000" w:themeColor="text1"/>
          <w:sz w:val="32"/>
          <w:szCs w:val="32"/>
          <w14:textFill>
            <w14:solidFill>
              <w14:schemeClr w14:val="tx1"/>
            </w14:solidFill>
          </w14:textFill>
        </w:rPr>
        <w:t>强化绩效评价专业技能的培训。</w:t>
      </w:r>
    </w:p>
    <w:p>
      <w:pPr>
        <w:numPr>
          <w:ilvl w:val="0"/>
          <w:numId w:val="3"/>
        </w:num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楷体_GB2312"/>
          <w:b/>
          <w:bCs/>
          <w:color w:val="000000" w:themeColor="text1"/>
          <w:sz w:val="32"/>
          <w:szCs w:val="32"/>
          <w14:textFill>
            <w14:solidFill>
              <w14:schemeClr w14:val="tx1"/>
            </w14:solidFill>
          </w14:textFill>
        </w:rPr>
        <w:t>项目绩效目标完成情况。</w:t>
      </w:r>
    </w:p>
    <w:p>
      <w:pPr>
        <w:tabs>
          <w:tab w:val="left" w:pos="879"/>
        </w:tabs>
        <w:spacing w:line="580" w:lineRule="exact"/>
        <w:ind w:left="643"/>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本部门在20</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年度部门决算中反映“关爱留守儿童</w:t>
      </w:r>
      <w:r>
        <w:rPr>
          <w:rFonts w:ascii="仿宋_GB2312" w:hAnsi="仿宋_GB2312" w:eastAsia="仿宋_GB2312" w:cs="仿宋_GB2312"/>
          <w:color w:val="000000" w:themeColor="text1"/>
          <w:sz w:val="32"/>
          <w:szCs w:val="32"/>
          <w14:textFill>
            <w14:solidFill>
              <w14:schemeClr w14:val="tx1"/>
            </w14:solidFill>
          </w14:textFill>
        </w:rPr>
        <w:t>”</w:t>
      </w:r>
    </w:p>
    <w:p>
      <w:pPr>
        <w:spacing w:line="58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“大学生志愿服务西部计划</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等2个项目绩效目标实际完成情况。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、“关爱留守儿童</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项目绩效目标完成情况综述。项目全年预算数</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万元，执行数为</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万元，完成预算的100%。通过项目实施，促进了当地留守儿童的身心健康成长。</w:t>
      </w: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、“大学生志愿服务西部计划</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项目绩效目标完成情况综述。项目全年预算数 </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万元，执行数为</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万元，完成预算的100%。通过项目实施，</w:t>
      </w:r>
      <w:r>
        <w:rPr>
          <w:rFonts w:hint="eastAsia" w:ascii="仿宋" w:hAnsi="仿宋" w:eastAsia="仿宋" w:cs="仿宋"/>
          <w:color w:val="000000" w:themeColor="text1"/>
          <w:sz w:val="32"/>
          <w:szCs w:val="32"/>
          <w14:textFill>
            <w14:solidFill>
              <w14:schemeClr w14:val="tx1"/>
            </w14:solidFill>
          </w14:textFill>
        </w:rPr>
        <w:t>西部计划志愿者</w:t>
      </w:r>
      <w:r>
        <w:rPr>
          <w:rFonts w:hint="eastAsia" w:ascii="仿宋" w:hAnsi="仿宋" w:eastAsia="仿宋" w:cs="仿宋"/>
          <w:color w:val="000000" w:themeColor="text1"/>
          <w:sz w:val="32"/>
          <w:szCs w:val="32"/>
          <w:lang w:eastAsia="zh-CN"/>
          <w14:textFill>
            <w14:solidFill>
              <w14:schemeClr w14:val="tx1"/>
            </w14:solidFill>
          </w14:textFill>
        </w:rPr>
        <w:t>能更好地</w:t>
      </w:r>
      <w:r>
        <w:rPr>
          <w:rFonts w:hint="eastAsia" w:ascii="仿宋" w:hAnsi="仿宋" w:eastAsia="仿宋" w:cs="仿宋"/>
          <w:color w:val="000000" w:themeColor="text1"/>
          <w:sz w:val="32"/>
          <w:szCs w:val="32"/>
          <w14:textFill>
            <w14:solidFill>
              <w14:schemeClr w14:val="tx1"/>
            </w14:solidFill>
          </w14:textFill>
        </w:rPr>
        <w:t>进行自我教育、自我管理、自我服务、自我成长。</w:t>
      </w: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80" w:lineRule="exact"/>
        <w:jc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spacing w:line="580" w:lineRule="exact"/>
        <w:jc w:val="center"/>
        <w:rPr>
          <w:rFonts w:hint="eastAsia" w:ascii="宋体" w:hAnsi="宋体" w:cs="宋体"/>
          <w:color w:val="000000"/>
          <w:kern w:val="0"/>
          <w:sz w:val="36"/>
          <w:szCs w:val="36"/>
        </w:rPr>
      </w:pPr>
      <w:r>
        <w:rPr>
          <w:rFonts w:hint="eastAsia" w:ascii="宋体" w:hAnsi="宋体" w:cs="宋体"/>
          <w:color w:val="000000"/>
          <w:kern w:val="0"/>
          <w:sz w:val="36"/>
          <w:szCs w:val="36"/>
          <w:lang w:eastAsia="zh-CN"/>
        </w:rPr>
        <w:t>（</w:t>
      </w:r>
      <w:r>
        <w:rPr>
          <w:rFonts w:hint="eastAsia" w:ascii="宋体" w:hAnsi="宋体" w:cs="宋体"/>
          <w:color w:val="000000"/>
          <w:kern w:val="0"/>
          <w:sz w:val="36"/>
          <w:szCs w:val="36"/>
        </w:rPr>
        <w:t>2020年度</w:t>
      </w:r>
      <w:r>
        <w:rPr>
          <w:rFonts w:hint="eastAsia" w:ascii="宋体" w:hAnsi="宋体" w:cs="宋体"/>
          <w:color w:val="000000"/>
          <w:kern w:val="0"/>
          <w:sz w:val="36"/>
          <w:szCs w:val="36"/>
          <w:lang w:eastAsia="zh-CN"/>
        </w:rPr>
        <w:t>）</w:t>
      </w:r>
    </w:p>
    <w:tbl>
      <w:tblPr>
        <w:tblStyle w:val="13"/>
        <w:tblpPr w:leftFromText="180" w:rightFromText="180" w:vertAnchor="text" w:horzAnchor="page" w:tblpXSpec="center" w:tblpY="423"/>
        <w:tblOverlap w:val="never"/>
        <w:tblW w:w="5369" w:type="pct"/>
        <w:jc w:val="center"/>
        <w:tblLayout w:type="autofit"/>
        <w:tblCellMar>
          <w:top w:w="0" w:type="dxa"/>
          <w:left w:w="0" w:type="dxa"/>
          <w:bottom w:w="0" w:type="dxa"/>
          <w:right w:w="0" w:type="dxa"/>
        </w:tblCellMar>
      </w:tblPr>
      <w:tblGrid>
        <w:gridCol w:w="1007"/>
        <w:gridCol w:w="1130"/>
        <w:gridCol w:w="847"/>
        <w:gridCol w:w="1989"/>
        <w:gridCol w:w="1989"/>
        <w:gridCol w:w="1989"/>
      </w:tblGrid>
      <w:tr>
        <w:tblPrEx>
          <w:tblCellMar>
            <w:top w:w="0" w:type="dxa"/>
            <w:left w:w="0" w:type="dxa"/>
            <w:bottom w:w="0" w:type="dxa"/>
            <w:right w:w="0" w:type="dxa"/>
          </w:tblCellMar>
        </w:tblPrEx>
        <w:trPr>
          <w:trHeight w:val="276" w:hRule="atLeast"/>
          <w:jc w:val="center"/>
        </w:trPr>
        <w:tc>
          <w:tcPr>
            <w:tcW w:w="1667"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3333"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color w:val="000000" w:themeColor="text1"/>
                <w:sz w:val="32"/>
                <w:szCs w:val="32"/>
                <w14:textFill>
                  <w14:solidFill>
                    <w14:schemeClr w14:val="tx1"/>
                  </w14:solidFill>
                </w14:textFill>
              </w:rPr>
              <w:t>“关爱留守儿童</w:t>
            </w:r>
            <w:r>
              <w:rPr>
                <w:rFonts w:ascii="仿宋_GB2312" w:hAnsi="仿宋_GB2312" w:eastAsia="仿宋_GB2312" w:cs="仿宋_GB2312"/>
                <w:color w:val="000000" w:themeColor="text1"/>
                <w:sz w:val="32"/>
                <w:szCs w:val="32"/>
                <w14:textFill>
                  <w14:solidFill>
                    <w14:schemeClr w14:val="tx1"/>
                  </w14:solidFill>
                </w14:textFill>
              </w:rPr>
              <w:t>”</w:t>
            </w:r>
          </w:p>
        </w:tc>
      </w:tr>
      <w:tr>
        <w:tblPrEx>
          <w:tblCellMar>
            <w:top w:w="0" w:type="dxa"/>
            <w:left w:w="0" w:type="dxa"/>
            <w:bottom w:w="0" w:type="dxa"/>
            <w:right w:w="0" w:type="dxa"/>
          </w:tblCellMar>
        </w:tblPrEx>
        <w:trPr>
          <w:trHeight w:val="276" w:hRule="atLeast"/>
          <w:jc w:val="center"/>
        </w:trPr>
        <w:tc>
          <w:tcPr>
            <w:tcW w:w="1667"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3333"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themeColor="text1"/>
                <w:sz w:val="24"/>
                <w14:textFill>
                  <w14:solidFill>
                    <w14:schemeClr w14:val="tx1"/>
                  </w14:solidFill>
                </w14:textFill>
              </w:rPr>
              <w:t>团区委</w:t>
            </w:r>
          </w:p>
        </w:tc>
      </w:tr>
      <w:tr>
        <w:tblPrEx>
          <w:tblCellMar>
            <w:top w:w="0" w:type="dxa"/>
            <w:left w:w="0" w:type="dxa"/>
            <w:bottom w:w="0" w:type="dxa"/>
            <w:right w:w="0" w:type="dxa"/>
          </w:tblCellMar>
        </w:tblPrEx>
        <w:trPr>
          <w:trHeight w:val="276" w:hRule="atLeast"/>
          <w:jc w:val="center"/>
        </w:trPr>
        <w:tc>
          <w:tcPr>
            <w:tcW w:w="563"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预算执行情况</w:t>
            </w:r>
          </w:p>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w:t>
            </w:r>
            <w:r>
              <w:rPr>
                <w:rFonts w:hint="eastAsia" w:ascii="宋体" w:hAnsi="宋体" w:cs="宋体"/>
                <w:color w:val="000000"/>
                <w:kern w:val="0"/>
                <w:sz w:val="24"/>
              </w:rPr>
              <w:t>万元</w:t>
            </w:r>
            <w:r>
              <w:rPr>
                <w:rFonts w:hint="eastAsia" w:ascii="宋体" w:hAnsi="宋体" w:cs="宋体"/>
                <w:color w:val="000000"/>
                <w:kern w:val="0"/>
                <w:sz w:val="24"/>
                <w:lang w:eastAsia="zh-CN"/>
              </w:rPr>
              <w:t>）</w:t>
            </w:r>
          </w:p>
        </w:tc>
        <w:tc>
          <w:tcPr>
            <w:tcW w:w="110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r>
      <w:tr>
        <w:tblPrEx>
          <w:tblCellMar>
            <w:top w:w="0" w:type="dxa"/>
            <w:left w:w="0" w:type="dxa"/>
            <w:bottom w:w="0" w:type="dxa"/>
            <w:right w:w="0" w:type="dxa"/>
          </w:tblCellMar>
        </w:tblPrEx>
        <w:trPr>
          <w:trHeight w:val="276" w:hRule="atLeast"/>
          <w:jc w:val="center"/>
        </w:trPr>
        <w:tc>
          <w:tcPr>
            <w:tcW w:w="56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10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r>
      <w:tr>
        <w:tblPrEx>
          <w:tblCellMar>
            <w:top w:w="0" w:type="dxa"/>
            <w:left w:w="0" w:type="dxa"/>
            <w:bottom w:w="0" w:type="dxa"/>
            <w:right w:w="0" w:type="dxa"/>
          </w:tblCellMar>
        </w:tblPrEx>
        <w:trPr>
          <w:trHeight w:val="1511" w:hRule="atLeast"/>
          <w:jc w:val="center"/>
        </w:trPr>
        <w:tc>
          <w:tcPr>
            <w:tcW w:w="56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10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其它</w:t>
            </w:r>
          </w:p>
          <w:p>
            <w:pPr>
              <w:widowControl/>
              <w:jc w:val="center"/>
              <w:textAlignment w:val="center"/>
              <w:rPr>
                <w:rFonts w:ascii="宋体" w:hAnsi="宋体" w:cs="宋体"/>
                <w:color w:val="000000"/>
                <w:sz w:val="24"/>
              </w:rPr>
            </w:pP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r>
              <w:rPr>
                <w:rFonts w:hint="eastAsia" w:ascii="宋体" w:hAnsi="宋体" w:cs="宋体"/>
                <w:color w:val="000000"/>
                <w:kern w:val="0"/>
                <w:sz w:val="24"/>
                <w:lang w:eastAsia="zh-CN"/>
              </w:rPr>
              <w:t>：</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563"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2215"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222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56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215"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持续深化留守学生等重点青少年群体关爱行动，深入开展“童伴计划”“城乡社区互助计划”等关爱项目，为留守儿童、贫困儿童提供学业辅导、心理疏导、亲情陪护等各种服务。</w:t>
            </w:r>
          </w:p>
        </w:tc>
        <w:tc>
          <w:tcPr>
            <w:tcW w:w="222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强化完善了留守学生等重点青少年群体关爱行动，“童伴计划”“城乡社区互助计划”等关爱项目持续开展，为更多的留守儿童提供各类服务。</w:t>
            </w:r>
          </w:p>
        </w:tc>
      </w:tr>
      <w:tr>
        <w:tblPrEx>
          <w:tblCellMar>
            <w:top w:w="0" w:type="dxa"/>
            <w:left w:w="0" w:type="dxa"/>
            <w:bottom w:w="0" w:type="dxa"/>
            <w:right w:w="0" w:type="dxa"/>
          </w:tblCellMar>
        </w:tblPrEx>
        <w:trPr>
          <w:trHeight w:val="1042" w:hRule="atLeast"/>
          <w:jc w:val="center"/>
        </w:trPr>
        <w:tc>
          <w:tcPr>
            <w:tcW w:w="563"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6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4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r>
      <w:tr>
        <w:tblPrEx>
          <w:tblCellMar>
            <w:top w:w="0" w:type="dxa"/>
            <w:left w:w="0" w:type="dxa"/>
            <w:bottom w:w="0" w:type="dxa"/>
            <w:right w:w="0" w:type="dxa"/>
          </w:tblCellMar>
        </w:tblPrEx>
        <w:trPr>
          <w:trHeight w:val="953" w:hRule="atLeast"/>
          <w:jc w:val="center"/>
        </w:trPr>
        <w:tc>
          <w:tcPr>
            <w:tcW w:w="563" w:type="pct"/>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4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数量指标</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为试点社区提供日常工作经费，保障“童伴计划”顺利开展，为留守儿童提供亲情陪护。</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r>
      <w:tr>
        <w:tblPrEx>
          <w:tblCellMar>
            <w:top w:w="0" w:type="dxa"/>
            <w:left w:w="0" w:type="dxa"/>
            <w:bottom w:w="0" w:type="dxa"/>
            <w:right w:w="0" w:type="dxa"/>
          </w:tblCellMar>
        </w:tblPrEx>
        <w:trPr>
          <w:trHeight w:val="1042" w:hRule="atLeast"/>
          <w:jc w:val="center"/>
        </w:trPr>
        <w:tc>
          <w:tcPr>
            <w:tcW w:w="563" w:type="pct"/>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4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质量指标</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指标2：为试点社区提供日常工作经费，保障“城乡社区互助计划”顺利开展。</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r>
      <w:tr>
        <w:tblPrEx>
          <w:tblCellMar>
            <w:top w:w="0" w:type="dxa"/>
            <w:left w:w="0" w:type="dxa"/>
            <w:bottom w:w="0" w:type="dxa"/>
            <w:right w:w="0" w:type="dxa"/>
          </w:tblCellMar>
        </w:tblPrEx>
        <w:trPr>
          <w:trHeight w:val="1042" w:hRule="atLeast"/>
          <w:jc w:val="center"/>
        </w:trPr>
        <w:tc>
          <w:tcPr>
            <w:tcW w:w="563" w:type="pct"/>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4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时效指标</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为留守儿童提供亲情陪护，让留守儿童健康成长。</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r>
      <w:tr>
        <w:tblPrEx>
          <w:tblCellMar>
            <w:top w:w="0" w:type="dxa"/>
            <w:left w:w="0" w:type="dxa"/>
            <w:bottom w:w="0" w:type="dxa"/>
            <w:right w:w="0" w:type="dxa"/>
          </w:tblCellMar>
        </w:tblPrEx>
        <w:trPr>
          <w:trHeight w:val="1050" w:hRule="atLeast"/>
          <w:jc w:val="center"/>
        </w:trPr>
        <w:tc>
          <w:tcPr>
            <w:tcW w:w="563"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4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满意度指标</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让留守儿童满意</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90%以上</w:t>
            </w:r>
          </w:p>
        </w:tc>
        <w:tc>
          <w:tcPr>
            <w:tcW w:w="11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超过90%以上</w:t>
            </w:r>
          </w:p>
        </w:tc>
      </w:tr>
    </w:tbl>
    <w:p>
      <w:pPr>
        <w:spacing w:line="580" w:lineRule="exact"/>
        <w:rPr>
          <w:rFonts w:ascii="黑体" w:hAnsi="黑体" w:eastAsia="黑体" w:cs="宋体"/>
          <w:bCs/>
          <w:color w:val="000000" w:themeColor="text1"/>
          <w:kern w:val="0"/>
          <w:sz w:val="36"/>
          <w:szCs w:val="36"/>
          <w14:textFill>
            <w14:solidFill>
              <w14:schemeClr w14:val="tx1"/>
            </w14:solidFill>
          </w14:textFill>
        </w:rPr>
      </w:pPr>
    </w:p>
    <w:p>
      <w:pPr>
        <w:spacing w:line="580" w:lineRule="exact"/>
        <w:jc w:val="center"/>
        <w:rPr>
          <w:rFonts w:ascii="黑体" w:hAnsi="黑体" w:eastAsia="黑体" w:cs="宋体"/>
          <w:bCs/>
          <w:kern w:val="0"/>
          <w:sz w:val="36"/>
          <w:szCs w:val="36"/>
        </w:rPr>
      </w:pPr>
      <w:r>
        <w:rPr>
          <w:rFonts w:hint="eastAsia" w:ascii="黑体" w:hAnsi="黑体" w:eastAsia="黑体" w:cs="宋体"/>
          <w:bCs/>
          <w:kern w:val="0"/>
          <w:sz w:val="36"/>
          <w:szCs w:val="36"/>
        </w:rPr>
        <w:t>项目支出绩效目标完成情况表</w:t>
      </w:r>
    </w:p>
    <w:p>
      <w:pPr>
        <w:spacing w:line="580" w:lineRule="exact"/>
        <w:jc w:val="center"/>
        <w:rPr>
          <w:rFonts w:ascii="仿宋_GB2312" w:hAnsi="仿宋_GB2312" w:eastAsia="仿宋_GB2312" w:cs="仿宋_GB2312"/>
          <w:sz w:val="32"/>
          <w:szCs w:val="32"/>
        </w:rPr>
      </w:pPr>
      <w:r>
        <w:rPr>
          <w:rFonts w:hint="eastAsia" w:ascii="宋体" w:hAnsi="宋体" w:cs="宋体"/>
          <w:kern w:val="0"/>
          <w:sz w:val="36"/>
          <w:szCs w:val="36"/>
        </w:rPr>
        <w:t>(20</w:t>
      </w:r>
      <w:r>
        <w:rPr>
          <w:rFonts w:ascii="宋体" w:hAnsi="宋体" w:cs="宋体"/>
          <w:kern w:val="0"/>
          <w:sz w:val="36"/>
          <w:szCs w:val="36"/>
        </w:rPr>
        <w:t>20</w:t>
      </w:r>
      <w:r>
        <w:rPr>
          <w:rFonts w:hint="eastAsia" w:ascii="宋体" w:hAnsi="宋体" w:cs="宋体"/>
          <w:kern w:val="0"/>
          <w:sz w:val="36"/>
          <w:szCs w:val="36"/>
        </w:rPr>
        <w:t>年度</w:t>
      </w:r>
      <w:r>
        <w:rPr>
          <w:rFonts w:hint="eastAsia" w:ascii="宋体" w:hAnsi="宋体" w:cs="宋体"/>
          <w:kern w:val="0"/>
          <w:sz w:val="36"/>
          <w:szCs w:val="36"/>
          <w:lang w:eastAsia="zh-CN"/>
        </w:rPr>
        <w:t>）</w:t>
      </w:r>
    </w:p>
    <w:tbl>
      <w:tblPr>
        <w:tblStyle w:val="13"/>
        <w:tblpPr w:leftFromText="180" w:rightFromText="180" w:vertAnchor="text" w:horzAnchor="page" w:tblpXSpec="center" w:tblpY="423"/>
        <w:tblOverlap w:val="never"/>
        <w:tblW w:w="5286" w:type="pct"/>
        <w:tblInd w:w="0" w:type="dxa"/>
        <w:tblLayout w:type="autofit"/>
        <w:tblCellMar>
          <w:top w:w="0" w:type="dxa"/>
          <w:left w:w="0" w:type="dxa"/>
          <w:bottom w:w="0" w:type="dxa"/>
          <w:right w:w="0" w:type="dxa"/>
        </w:tblCellMar>
      </w:tblPr>
      <w:tblGrid>
        <w:gridCol w:w="865"/>
        <w:gridCol w:w="1132"/>
        <w:gridCol w:w="846"/>
        <w:gridCol w:w="1990"/>
        <w:gridCol w:w="1992"/>
        <w:gridCol w:w="1988"/>
      </w:tblGrid>
      <w:tr>
        <w:tblPrEx>
          <w:tblCellMar>
            <w:top w:w="0" w:type="dxa"/>
            <w:left w:w="0" w:type="dxa"/>
            <w:bottom w:w="0" w:type="dxa"/>
            <w:right w:w="0" w:type="dxa"/>
          </w:tblCellMar>
        </w:tblPrEx>
        <w:trPr>
          <w:trHeight w:val="276" w:hRule="atLeast"/>
        </w:trPr>
        <w:tc>
          <w:tcPr>
            <w:tcW w:w="1613"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bookmarkStart w:id="55" w:name="_Toc15396613"/>
            <w:bookmarkStart w:id="56" w:name="_Toc15377225"/>
            <w:r>
              <w:rPr>
                <w:rFonts w:hint="eastAsia" w:cs="宋体" w:asciiTheme="minorEastAsia" w:hAnsiTheme="minorEastAsia" w:eastAsiaTheme="minorEastAsia"/>
                <w:kern w:val="0"/>
                <w:sz w:val="24"/>
              </w:rPr>
              <w:t>项目名称</w:t>
            </w:r>
          </w:p>
        </w:tc>
        <w:tc>
          <w:tcPr>
            <w:tcW w:w="3387"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仿宋_GB2312" w:asciiTheme="minorEastAsia" w:hAnsiTheme="minorEastAsia" w:eastAsiaTheme="minorEastAsia"/>
                <w:szCs w:val="21"/>
              </w:rPr>
              <w:t>“大学生志愿服务西部计划</w:t>
            </w:r>
            <w:r>
              <w:rPr>
                <w:rFonts w:hint="eastAsia" w:cs="仿宋_GB2312" w:asciiTheme="minorEastAsia" w:hAnsiTheme="minorEastAsia" w:eastAsiaTheme="minorEastAsia"/>
                <w:sz w:val="24"/>
              </w:rPr>
              <w:t>”</w:t>
            </w:r>
          </w:p>
        </w:tc>
      </w:tr>
      <w:tr>
        <w:tblPrEx>
          <w:tblCellMar>
            <w:top w:w="0" w:type="dxa"/>
            <w:left w:w="0" w:type="dxa"/>
            <w:bottom w:w="0" w:type="dxa"/>
            <w:right w:w="0" w:type="dxa"/>
          </w:tblCellMar>
        </w:tblPrEx>
        <w:trPr>
          <w:trHeight w:val="276" w:hRule="atLeast"/>
        </w:trPr>
        <w:tc>
          <w:tcPr>
            <w:tcW w:w="1613"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预算单位</w:t>
            </w:r>
          </w:p>
        </w:tc>
        <w:tc>
          <w:tcPr>
            <w:tcW w:w="3387"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团区委</w:t>
            </w:r>
          </w:p>
        </w:tc>
      </w:tr>
      <w:tr>
        <w:tblPrEx>
          <w:tblCellMar>
            <w:top w:w="0" w:type="dxa"/>
            <w:left w:w="0" w:type="dxa"/>
            <w:bottom w:w="0" w:type="dxa"/>
            <w:right w:w="0" w:type="dxa"/>
          </w:tblCellMar>
        </w:tblPrEx>
        <w:trPr>
          <w:trHeight w:val="276" w:hRule="atLeast"/>
        </w:trPr>
        <w:tc>
          <w:tcPr>
            <w:tcW w:w="491"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预算执行情况</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rPr>
              <w:t>万元</w:t>
            </w:r>
            <w:r>
              <w:rPr>
                <w:rFonts w:hint="eastAsia" w:cs="宋体" w:asciiTheme="minorEastAsia" w:hAnsiTheme="minorEastAsia" w:eastAsiaTheme="minorEastAsia"/>
                <w:kern w:val="0"/>
                <w:sz w:val="24"/>
                <w:lang w:eastAsia="zh-CN"/>
              </w:rPr>
              <w:t>）</w:t>
            </w:r>
          </w:p>
        </w:tc>
        <w:tc>
          <w:tcPr>
            <w:tcW w:w="112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预算数</w:t>
            </w:r>
            <w:r>
              <w:rPr>
                <w:rFonts w:hint="eastAsia" w:cs="宋体" w:asciiTheme="minorEastAsia" w:hAnsiTheme="minorEastAsia" w:eastAsiaTheme="minorEastAsia"/>
                <w:kern w:val="0"/>
                <w:sz w:val="24"/>
                <w:lang w:eastAsia="zh-CN"/>
              </w:rPr>
              <w:t>：</w:t>
            </w:r>
          </w:p>
        </w:tc>
        <w:tc>
          <w:tcPr>
            <w:tcW w:w="11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cs="宋体" w:asciiTheme="minorEastAsia" w:hAnsiTheme="minorEastAsia" w:eastAsiaTheme="minorEastAsia"/>
                <w:sz w:val="24"/>
              </w:rPr>
              <w:t>4</w:t>
            </w:r>
          </w:p>
        </w:tc>
        <w:tc>
          <w:tcPr>
            <w:tcW w:w="11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执行数</w:t>
            </w:r>
            <w:r>
              <w:rPr>
                <w:rFonts w:hint="eastAsia" w:cs="宋体" w:asciiTheme="minorEastAsia" w:hAnsiTheme="minorEastAsia" w:eastAsiaTheme="minorEastAsia"/>
                <w:kern w:val="0"/>
                <w:sz w:val="24"/>
                <w:lang w:eastAsia="zh-CN"/>
              </w:rPr>
              <w:t>：</w:t>
            </w:r>
          </w:p>
        </w:tc>
        <w:tc>
          <w:tcPr>
            <w:tcW w:w="11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cs="宋体" w:asciiTheme="minorEastAsia" w:hAnsiTheme="minorEastAsia" w:eastAsiaTheme="minorEastAsia"/>
                <w:sz w:val="24"/>
              </w:rPr>
              <w:t>4</w:t>
            </w:r>
          </w:p>
        </w:tc>
      </w:tr>
      <w:tr>
        <w:tblPrEx>
          <w:tblCellMar>
            <w:top w:w="0" w:type="dxa"/>
            <w:left w:w="0" w:type="dxa"/>
            <w:bottom w:w="0" w:type="dxa"/>
            <w:right w:w="0" w:type="dxa"/>
          </w:tblCellMar>
        </w:tblPrEx>
        <w:trPr>
          <w:trHeight w:val="276" w:hRule="atLeast"/>
        </w:trPr>
        <w:tc>
          <w:tcPr>
            <w:tcW w:w="49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24"/>
              </w:rPr>
            </w:pPr>
          </w:p>
        </w:tc>
        <w:tc>
          <w:tcPr>
            <w:tcW w:w="112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其中</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rPr>
              <w:t>财政拨款</w:t>
            </w:r>
            <w:r>
              <w:rPr>
                <w:rFonts w:hint="eastAsia" w:cs="宋体" w:asciiTheme="minorEastAsia" w:hAnsiTheme="minorEastAsia" w:eastAsiaTheme="minorEastAsia"/>
                <w:kern w:val="0"/>
                <w:sz w:val="24"/>
                <w:lang w:eastAsia="zh-CN"/>
              </w:rPr>
              <w:t>：</w:t>
            </w:r>
          </w:p>
        </w:tc>
        <w:tc>
          <w:tcPr>
            <w:tcW w:w="11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cs="宋体" w:asciiTheme="minorEastAsia" w:hAnsiTheme="minorEastAsia" w:eastAsiaTheme="minorEastAsia"/>
                <w:sz w:val="24"/>
              </w:rPr>
              <w:t>4</w:t>
            </w:r>
          </w:p>
        </w:tc>
        <w:tc>
          <w:tcPr>
            <w:tcW w:w="11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其中</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rPr>
              <w:t>财政拨款</w:t>
            </w:r>
            <w:r>
              <w:rPr>
                <w:rFonts w:hint="eastAsia" w:cs="宋体" w:asciiTheme="minorEastAsia" w:hAnsiTheme="minorEastAsia" w:eastAsiaTheme="minorEastAsia"/>
                <w:kern w:val="0"/>
                <w:sz w:val="24"/>
                <w:lang w:eastAsia="zh-CN"/>
              </w:rPr>
              <w:t>：</w:t>
            </w:r>
          </w:p>
        </w:tc>
        <w:tc>
          <w:tcPr>
            <w:tcW w:w="11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cs="宋体" w:asciiTheme="minorEastAsia" w:hAnsiTheme="minorEastAsia" w:eastAsiaTheme="minorEastAsia"/>
                <w:sz w:val="24"/>
              </w:rPr>
              <w:t>4</w:t>
            </w:r>
          </w:p>
        </w:tc>
      </w:tr>
      <w:tr>
        <w:tblPrEx>
          <w:tblCellMar>
            <w:top w:w="0" w:type="dxa"/>
            <w:left w:w="0" w:type="dxa"/>
            <w:bottom w:w="0" w:type="dxa"/>
            <w:right w:w="0" w:type="dxa"/>
          </w:tblCellMar>
        </w:tblPrEx>
        <w:trPr>
          <w:trHeight w:val="154" w:hRule="atLeast"/>
        </w:trPr>
        <w:tc>
          <w:tcPr>
            <w:tcW w:w="49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24"/>
              </w:rPr>
            </w:pPr>
          </w:p>
        </w:tc>
        <w:tc>
          <w:tcPr>
            <w:tcW w:w="112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其它资金</w:t>
            </w:r>
            <w:r>
              <w:rPr>
                <w:rFonts w:hint="eastAsia" w:cs="宋体" w:asciiTheme="minorEastAsia" w:hAnsiTheme="minorEastAsia" w:eastAsiaTheme="minorEastAsia"/>
                <w:kern w:val="0"/>
                <w:sz w:val="24"/>
                <w:lang w:eastAsia="zh-CN"/>
              </w:rPr>
              <w:t>：</w:t>
            </w:r>
          </w:p>
        </w:tc>
        <w:tc>
          <w:tcPr>
            <w:tcW w:w="11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0</w:t>
            </w:r>
          </w:p>
        </w:tc>
        <w:tc>
          <w:tcPr>
            <w:tcW w:w="11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lang w:eastAsia="zh-CN"/>
              </w:rPr>
              <w:t>其它</w:t>
            </w:r>
            <w:r>
              <w:rPr>
                <w:rFonts w:hint="eastAsia" w:cs="宋体" w:asciiTheme="minorEastAsia" w:hAnsiTheme="minorEastAsia" w:eastAsiaTheme="minorEastAsia"/>
                <w:kern w:val="0"/>
                <w:sz w:val="24"/>
              </w:rPr>
              <w:t>资金</w:t>
            </w:r>
            <w:r>
              <w:rPr>
                <w:rFonts w:hint="eastAsia" w:cs="宋体" w:asciiTheme="minorEastAsia" w:hAnsiTheme="minorEastAsia" w:eastAsiaTheme="minorEastAsia"/>
                <w:kern w:val="0"/>
                <w:sz w:val="24"/>
                <w:lang w:eastAsia="zh-CN"/>
              </w:rPr>
              <w:t>：</w:t>
            </w:r>
          </w:p>
        </w:tc>
        <w:tc>
          <w:tcPr>
            <w:tcW w:w="11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0</w:t>
            </w:r>
          </w:p>
        </w:tc>
      </w:tr>
      <w:tr>
        <w:tblPrEx>
          <w:tblCellMar>
            <w:top w:w="0" w:type="dxa"/>
            <w:left w:w="0" w:type="dxa"/>
            <w:bottom w:w="0" w:type="dxa"/>
            <w:right w:w="0" w:type="dxa"/>
          </w:tblCellMar>
        </w:tblPrEx>
        <w:trPr>
          <w:trHeight w:val="276" w:hRule="atLeast"/>
        </w:trPr>
        <w:tc>
          <w:tcPr>
            <w:tcW w:w="491"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年度目标完成情况</w:t>
            </w:r>
          </w:p>
        </w:tc>
        <w:tc>
          <w:tcPr>
            <w:tcW w:w="2250"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预期目标</w:t>
            </w:r>
          </w:p>
        </w:tc>
        <w:tc>
          <w:tcPr>
            <w:tcW w:w="225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实际完成目标</w:t>
            </w:r>
          </w:p>
        </w:tc>
      </w:tr>
      <w:tr>
        <w:tblPrEx>
          <w:tblCellMar>
            <w:top w:w="0" w:type="dxa"/>
            <w:left w:w="0" w:type="dxa"/>
            <w:bottom w:w="0" w:type="dxa"/>
            <w:right w:w="0" w:type="dxa"/>
          </w:tblCellMar>
        </w:tblPrEx>
        <w:trPr>
          <w:trHeight w:val="2181" w:hRule="atLeast"/>
        </w:trPr>
        <w:tc>
          <w:tcPr>
            <w:tcW w:w="49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24"/>
              </w:rPr>
            </w:pPr>
          </w:p>
        </w:tc>
        <w:tc>
          <w:tcPr>
            <w:tcW w:w="2250"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做好西部计划志愿者服务工作，促进西部计划志愿者自我教育、自我管理、自我服务，强化后续人才培养，鼓励志愿者扎根西部基层。</w:t>
            </w:r>
          </w:p>
          <w:p>
            <w:pPr>
              <w:widowControl/>
              <w:textAlignment w:val="center"/>
              <w:rPr>
                <w:rFonts w:cs="宋体" w:asciiTheme="minorEastAsia" w:hAnsiTheme="minorEastAsia" w:eastAsiaTheme="minorEastAsia"/>
                <w:sz w:val="24"/>
              </w:rPr>
            </w:pPr>
          </w:p>
        </w:tc>
        <w:tc>
          <w:tcPr>
            <w:tcW w:w="225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我委积极助力西部计划志愿者自我教育、自我管理、自我服务，积极推动期满志愿者多渠道就业、参加省级以上活动、支持志愿者就地创业等，为志愿者提供各类服务，使志愿者充分发挥青春力量建设利州。</w:t>
            </w:r>
          </w:p>
          <w:p>
            <w:pPr>
              <w:widowControl/>
              <w:jc w:val="left"/>
              <w:textAlignment w:val="center"/>
              <w:rPr>
                <w:rFonts w:cs="宋体" w:asciiTheme="minorEastAsia" w:hAnsiTheme="minorEastAsia" w:eastAsiaTheme="minorEastAsia"/>
                <w:sz w:val="24"/>
              </w:rPr>
            </w:pPr>
          </w:p>
        </w:tc>
      </w:tr>
      <w:tr>
        <w:tblPrEx>
          <w:tblCellMar>
            <w:top w:w="0" w:type="dxa"/>
            <w:left w:w="0" w:type="dxa"/>
            <w:bottom w:w="0" w:type="dxa"/>
            <w:right w:w="0" w:type="dxa"/>
          </w:tblCellMar>
        </w:tblPrEx>
        <w:trPr>
          <w:trHeight w:val="1042" w:hRule="atLeast"/>
        </w:trPr>
        <w:tc>
          <w:tcPr>
            <w:tcW w:w="491"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绩效指标完成情况</w:t>
            </w:r>
          </w:p>
        </w:tc>
        <w:tc>
          <w:tcPr>
            <w:tcW w:w="64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一级指标</w:t>
            </w:r>
          </w:p>
        </w:tc>
        <w:tc>
          <w:tcPr>
            <w:tcW w:w="4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二级</w:t>
            </w:r>
          </w:p>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指标</w:t>
            </w:r>
          </w:p>
        </w:tc>
        <w:tc>
          <w:tcPr>
            <w:tcW w:w="11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三级指标</w:t>
            </w:r>
          </w:p>
        </w:tc>
        <w:tc>
          <w:tcPr>
            <w:tcW w:w="11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预期指标值</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rPr>
              <w:t>包含数字及文字描述</w:t>
            </w:r>
            <w:r>
              <w:rPr>
                <w:rFonts w:hint="eastAsia" w:cs="宋体" w:asciiTheme="minorEastAsia" w:hAnsiTheme="minorEastAsia" w:eastAsiaTheme="minorEastAsia"/>
                <w:kern w:val="0"/>
                <w:sz w:val="24"/>
                <w:lang w:eastAsia="zh-CN"/>
              </w:rPr>
              <w:t>）</w:t>
            </w:r>
          </w:p>
        </w:tc>
        <w:tc>
          <w:tcPr>
            <w:tcW w:w="11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实际完成指标值</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rPr>
              <w:t>包含数字及文字描述</w:t>
            </w:r>
            <w:r>
              <w:rPr>
                <w:rFonts w:hint="eastAsia" w:cs="宋体" w:asciiTheme="minorEastAsia" w:hAnsiTheme="minorEastAsia" w:eastAsiaTheme="minorEastAsia"/>
                <w:kern w:val="0"/>
                <w:sz w:val="24"/>
                <w:lang w:eastAsia="zh-CN"/>
              </w:rPr>
              <w:t>）</w:t>
            </w:r>
          </w:p>
        </w:tc>
      </w:tr>
      <w:tr>
        <w:tblPrEx>
          <w:tblCellMar>
            <w:top w:w="0" w:type="dxa"/>
            <w:left w:w="0" w:type="dxa"/>
            <w:bottom w:w="0" w:type="dxa"/>
            <w:right w:w="0" w:type="dxa"/>
          </w:tblCellMar>
        </w:tblPrEx>
        <w:trPr>
          <w:trHeight w:val="953" w:hRule="atLeast"/>
        </w:trPr>
        <w:tc>
          <w:tcPr>
            <w:tcW w:w="49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24"/>
              </w:rPr>
            </w:pPr>
          </w:p>
        </w:tc>
        <w:tc>
          <w:tcPr>
            <w:tcW w:w="64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项目完成指标</w:t>
            </w:r>
          </w:p>
        </w:tc>
        <w:tc>
          <w:tcPr>
            <w:tcW w:w="4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数量</w:t>
            </w:r>
          </w:p>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指标</w:t>
            </w:r>
          </w:p>
        </w:tc>
        <w:tc>
          <w:tcPr>
            <w:tcW w:w="11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完成志愿者会前培训</w:t>
            </w:r>
          </w:p>
        </w:tc>
        <w:tc>
          <w:tcPr>
            <w:tcW w:w="11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达到预期目标</w:t>
            </w:r>
          </w:p>
        </w:tc>
        <w:tc>
          <w:tcPr>
            <w:tcW w:w="11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100%</w:t>
            </w:r>
          </w:p>
        </w:tc>
      </w:tr>
      <w:tr>
        <w:tblPrEx>
          <w:tblCellMar>
            <w:top w:w="0" w:type="dxa"/>
            <w:left w:w="0" w:type="dxa"/>
            <w:bottom w:w="0" w:type="dxa"/>
            <w:right w:w="0" w:type="dxa"/>
          </w:tblCellMar>
        </w:tblPrEx>
        <w:trPr>
          <w:trHeight w:val="1042" w:hRule="atLeast"/>
        </w:trPr>
        <w:tc>
          <w:tcPr>
            <w:tcW w:w="49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24"/>
              </w:rPr>
            </w:pPr>
          </w:p>
        </w:tc>
        <w:tc>
          <w:tcPr>
            <w:tcW w:w="64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项目完成指标</w:t>
            </w:r>
          </w:p>
        </w:tc>
        <w:tc>
          <w:tcPr>
            <w:tcW w:w="4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质量</w:t>
            </w:r>
          </w:p>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指标</w:t>
            </w:r>
          </w:p>
        </w:tc>
        <w:tc>
          <w:tcPr>
            <w:tcW w:w="11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完成志愿者服务</w:t>
            </w:r>
          </w:p>
        </w:tc>
        <w:tc>
          <w:tcPr>
            <w:tcW w:w="11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100%</w:t>
            </w:r>
          </w:p>
        </w:tc>
        <w:tc>
          <w:tcPr>
            <w:tcW w:w="11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100%</w:t>
            </w:r>
          </w:p>
        </w:tc>
      </w:tr>
      <w:tr>
        <w:tblPrEx>
          <w:tblCellMar>
            <w:top w:w="0" w:type="dxa"/>
            <w:left w:w="0" w:type="dxa"/>
            <w:bottom w:w="0" w:type="dxa"/>
            <w:right w:w="0" w:type="dxa"/>
          </w:tblCellMar>
        </w:tblPrEx>
        <w:trPr>
          <w:trHeight w:val="1042" w:hRule="atLeast"/>
        </w:trPr>
        <w:tc>
          <w:tcPr>
            <w:tcW w:w="49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24"/>
              </w:rPr>
            </w:pPr>
          </w:p>
        </w:tc>
        <w:tc>
          <w:tcPr>
            <w:tcW w:w="64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效益指标</w:t>
            </w:r>
          </w:p>
        </w:tc>
        <w:tc>
          <w:tcPr>
            <w:tcW w:w="4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时效</w:t>
            </w:r>
          </w:p>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指标</w:t>
            </w:r>
          </w:p>
        </w:tc>
        <w:tc>
          <w:tcPr>
            <w:tcW w:w="11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保障志愿者补助等经费落实</w:t>
            </w:r>
          </w:p>
        </w:tc>
        <w:tc>
          <w:tcPr>
            <w:tcW w:w="11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达到预期目标</w:t>
            </w:r>
          </w:p>
        </w:tc>
        <w:tc>
          <w:tcPr>
            <w:tcW w:w="11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100%</w:t>
            </w:r>
          </w:p>
        </w:tc>
      </w:tr>
      <w:tr>
        <w:tblPrEx>
          <w:tblCellMar>
            <w:top w:w="0" w:type="dxa"/>
            <w:left w:w="0" w:type="dxa"/>
            <w:bottom w:w="0" w:type="dxa"/>
            <w:right w:w="0" w:type="dxa"/>
          </w:tblCellMar>
        </w:tblPrEx>
        <w:trPr>
          <w:trHeight w:val="1042" w:hRule="atLeast"/>
        </w:trPr>
        <w:tc>
          <w:tcPr>
            <w:tcW w:w="49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24"/>
              </w:rPr>
            </w:pPr>
          </w:p>
        </w:tc>
        <w:tc>
          <w:tcPr>
            <w:tcW w:w="64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满意度</w:t>
            </w:r>
          </w:p>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指标</w:t>
            </w:r>
          </w:p>
        </w:tc>
        <w:tc>
          <w:tcPr>
            <w:tcW w:w="4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满意度指标</w:t>
            </w:r>
          </w:p>
        </w:tc>
        <w:tc>
          <w:tcPr>
            <w:tcW w:w="11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让社会组织满意</w:t>
            </w:r>
          </w:p>
        </w:tc>
        <w:tc>
          <w:tcPr>
            <w:tcW w:w="11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大于或等于9</w:t>
            </w:r>
            <w:r>
              <w:rPr>
                <w:rFonts w:cs="宋体" w:asciiTheme="minorEastAsia" w:hAnsiTheme="minorEastAsia" w:eastAsiaTheme="minorEastAsia"/>
                <w:sz w:val="24"/>
              </w:rPr>
              <w:t>5</w:t>
            </w:r>
            <w:r>
              <w:rPr>
                <w:rFonts w:hint="eastAsia" w:cs="宋体" w:asciiTheme="minorEastAsia" w:hAnsiTheme="minorEastAsia" w:eastAsiaTheme="minorEastAsia"/>
                <w:sz w:val="24"/>
              </w:rPr>
              <w:t>%</w:t>
            </w:r>
          </w:p>
        </w:tc>
        <w:tc>
          <w:tcPr>
            <w:tcW w:w="11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高于</w:t>
            </w:r>
            <w:r>
              <w:rPr>
                <w:rFonts w:cs="宋体" w:asciiTheme="minorEastAsia" w:hAnsiTheme="minorEastAsia" w:eastAsiaTheme="minorEastAsia"/>
                <w:sz w:val="24"/>
              </w:rPr>
              <w:t>95</w:t>
            </w:r>
            <w:r>
              <w:rPr>
                <w:rFonts w:hint="eastAsia" w:cs="宋体" w:asciiTheme="minorEastAsia" w:hAnsiTheme="minorEastAsia" w:eastAsiaTheme="minorEastAsia"/>
                <w:sz w:val="24"/>
              </w:rPr>
              <w:t>%</w:t>
            </w:r>
          </w:p>
        </w:tc>
      </w:tr>
    </w:tbl>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本部门按要求对20</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年部门整体支出绩效评价情况开展自评，《团区委20</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年部门整体支出绩效评价报告》见附件。</w:t>
      </w:r>
    </w:p>
    <w:p>
      <w:pPr>
        <w:spacing w:line="580" w:lineRule="exact"/>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本部门自行组织对“关爱留守儿童</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项目、“大学生志愿服务西部计划</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项目开展了绩效评价，《团区委20</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年绩效评价报告》见附件。</w:t>
      </w:r>
    </w:p>
    <w:p>
      <w:pPr>
        <w:spacing w:line="600" w:lineRule="exact"/>
        <w:ind w:firstLine="1320" w:firstLineChars="300"/>
        <w:outlineLvl w:val="0"/>
        <w:rPr>
          <w:rFonts w:ascii="黑体" w:hAnsi="黑体" w:eastAsia="黑体"/>
          <w:color w:val="000000"/>
          <w:sz w:val="44"/>
          <w:szCs w:val="44"/>
        </w:rPr>
      </w:pPr>
    </w:p>
    <w:p>
      <w:pPr>
        <w:spacing w:line="600" w:lineRule="exact"/>
        <w:ind w:firstLine="2640" w:firstLineChars="600"/>
        <w:outlineLvl w:val="0"/>
        <w:rPr>
          <w:rStyle w:val="25"/>
          <w:rFonts w:ascii="黑体" w:hAnsi="黑体" w:eastAsia="黑体"/>
          <w:b w:val="0"/>
        </w:rPr>
      </w:pPr>
      <w:r>
        <w:rPr>
          <w:rFonts w:hint="eastAsia" w:ascii="黑体" w:hAnsi="黑体" w:eastAsia="黑体"/>
          <w:color w:val="000000"/>
          <w:sz w:val="44"/>
          <w:szCs w:val="44"/>
        </w:rPr>
        <w:t>第三部分  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firstLineChars="200"/>
        <w:jc w:val="left"/>
        <w:rPr>
          <w:rStyle w:val="15"/>
          <w:rFonts w:ascii="仿宋" w:hAnsi="仿宋" w:eastAsia="仿宋"/>
          <w:b w:val="0"/>
          <w:color w:val="000000" w:themeColor="text1"/>
          <w:sz w:val="32"/>
          <w:szCs w:val="32"/>
          <w14:textFill>
            <w14:solidFill>
              <w14:schemeClr w14:val="tx1"/>
            </w14:solidFill>
          </w14:textFill>
        </w:rPr>
      </w:pPr>
      <w:r>
        <w:rPr>
          <w:rStyle w:val="15"/>
          <w:rFonts w:hint="eastAsia" w:ascii="仿宋" w:hAnsi="仿宋" w:eastAsia="仿宋"/>
          <w:b w:val="0"/>
          <w:color w:val="000000" w:themeColor="text1"/>
          <w:sz w:val="32"/>
          <w:szCs w:val="32"/>
          <w14:textFill>
            <w14:solidFill>
              <w14:schemeClr w14:val="tx1"/>
            </w14:solidFill>
          </w14:textFill>
        </w:rPr>
        <w:t>9、一般公共服务支出（类）群众团体事务（款）行政运行（项）</w:t>
      </w:r>
      <w:r>
        <w:rPr>
          <w:rStyle w:val="15"/>
          <w:rFonts w:hint="eastAsia" w:ascii="仿宋" w:hAnsi="仿宋" w:eastAsia="仿宋"/>
          <w:b w:val="0"/>
          <w:color w:val="000000" w:themeColor="text1"/>
          <w:sz w:val="32"/>
          <w:szCs w:val="32"/>
          <w:lang w:eastAsia="zh-CN"/>
          <w14:textFill>
            <w14:solidFill>
              <w14:schemeClr w14:val="tx1"/>
            </w14:solidFill>
          </w14:textFill>
        </w:rPr>
        <w:t>：</w:t>
      </w:r>
      <w:r>
        <w:rPr>
          <w:rStyle w:val="15"/>
          <w:rFonts w:hint="eastAsia" w:ascii="仿宋" w:hAnsi="仿宋" w:eastAsia="仿宋"/>
          <w:b w:val="0"/>
          <w:color w:val="000000" w:themeColor="text1"/>
          <w:sz w:val="32"/>
          <w:szCs w:val="32"/>
          <w14:textFill>
            <w14:solidFill>
              <w14:schemeClr w14:val="tx1"/>
            </w14:solidFill>
          </w14:textFill>
        </w:rPr>
        <w:t>指行政单位（包括实行公务员管理的事业单位）的基本支出。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Style w:val="15"/>
          <w:rFonts w:hint="eastAsia" w:ascii="仿宋" w:hAnsi="仿宋" w:eastAsia="仿宋"/>
          <w:b w:val="0"/>
          <w:color w:val="000000" w:themeColor="text1"/>
          <w:sz w:val="32"/>
          <w:szCs w:val="32"/>
          <w14:textFill>
            <w14:solidFill>
              <w14:schemeClr w14:val="tx1"/>
            </w14:solidFill>
          </w14:textFill>
        </w:rPr>
        <w:t>10、一般公共服务（类）群众团体（款）一般行政管理事务（项）</w:t>
      </w:r>
      <w:r>
        <w:rPr>
          <w:rStyle w:val="15"/>
          <w:rFonts w:hint="eastAsia" w:ascii="仿宋" w:hAnsi="仿宋" w:eastAsia="仿宋"/>
          <w:b w:val="0"/>
          <w:color w:val="000000" w:themeColor="text1"/>
          <w:sz w:val="32"/>
          <w:szCs w:val="32"/>
          <w:lang w:eastAsia="zh-CN"/>
          <w14:textFill>
            <w14:solidFill>
              <w14:schemeClr w14:val="tx1"/>
            </w14:solidFill>
          </w14:textFill>
        </w:rPr>
        <w:t>：</w:t>
      </w:r>
      <w:r>
        <w:rPr>
          <w:rStyle w:val="15"/>
          <w:rFonts w:hint="eastAsia" w:ascii="仿宋" w:hAnsi="仿宋" w:eastAsia="仿宋"/>
          <w:b w:val="0"/>
          <w:color w:val="000000" w:themeColor="text1"/>
          <w:sz w:val="32"/>
          <w:szCs w:val="32"/>
          <w14:textFill>
            <w14:solidFill>
              <w14:schemeClr w14:val="tx1"/>
            </w14:solidFill>
          </w14:textFill>
        </w:rPr>
        <w:t>指行政单位（包括实行公务员管理的事业单位）未单独设置顶级科目的其他项目支出。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Style w:val="15"/>
          <w:rFonts w:hint="eastAsia" w:ascii="仿宋" w:hAnsi="仿宋" w:eastAsia="仿宋"/>
          <w:b w:val="0"/>
          <w:color w:val="000000" w:themeColor="text1"/>
          <w:sz w:val="32"/>
          <w:szCs w:val="32"/>
          <w14:textFill>
            <w14:solidFill>
              <w14:schemeClr w14:val="tx1"/>
            </w14:solidFill>
          </w14:textFill>
        </w:rPr>
        <w:t>11、一般公共服务（类）群众团体（款）其他群众团体事务支出（项）</w:t>
      </w:r>
      <w:r>
        <w:rPr>
          <w:rStyle w:val="15"/>
          <w:rFonts w:hint="eastAsia" w:ascii="仿宋" w:hAnsi="仿宋" w:eastAsia="仿宋"/>
          <w:b w:val="0"/>
          <w:color w:val="000000" w:themeColor="text1"/>
          <w:sz w:val="32"/>
          <w:szCs w:val="32"/>
          <w:lang w:eastAsia="zh-CN"/>
          <w14:textFill>
            <w14:solidFill>
              <w14:schemeClr w14:val="tx1"/>
            </w14:solidFill>
          </w14:textFill>
        </w:rPr>
        <w:t>：</w:t>
      </w:r>
      <w:r>
        <w:rPr>
          <w:rStyle w:val="15"/>
          <w:rFonts w:hint="eastAsia" w:ascii="仿宋" w:hAnsi="仿宋" w:eastAsia="仿宋"/>
          <w:b w:val="0"/>
          <w:color w:val="000000" w:themeColor="text1"/>
          <w:sz w:val="32"/>
          <w:szCs w:val="32"/>
          <w14:textFill>
            <w14:solidFill>
              <w14:schemeClr w14:val="tx1"/>
            </w14:solidFill>
          </w14:textFill>
        </w:rPr>
        <w:t>指除上述项目以外其他用于群众团体事务方面的支出。</w:t>
      </w:r>
    </w:p>
    <w:p>
      <w:pPr>
        <w:spacing w:line="600" w:lineRule="exact"/>
        <w:ind w:firstLine="640" w:firstLineChars="200"/>
        <w:rPr>
          <w:rStyle w:val="15"/>
          <w:rFonts w:ascii="仿宋" w:hAnsi="仿宋" w:eastAsia="仿宋"/>
          <w:b w:val="0"/>
          <w:color w:val="000000" w:themeColor="text1"/>
          <w:sz w:val="32"/>
          <w:szCs w:val="32"/>
          <w14:textFill>
            <w14:solidFill>
              <w14:schemeClr w14:val="tx1"/>
            </w14:solidFill>
          </w14:textFill>
        </w:rPr>
      </w:pPr>
      <w:r>
        <w:rPr>
          <w:rStyle w:val="15"/>
          <w:rFonts w:hint="eastAsia" w:ascii="仿宋" w:hAnsi="仿宋" w:eastAsia="仿宋"/>
          <w:b w:val="0"/>
          <w:color w:val="000000" w:themeColor="text1"/>
          <w:sz w:val="32"/>
          <w:szCs w:val="32"/>
          <w14:textFill>
            <w14:solidFill>
              <w14:schemeClr w14:val="tx1"/>
            </w14:solidFill>
          </w14:textFill>
        </w:rPr>
        <w:t>12、社会保障和就业（类）行政事业单位离退休（款）机关事业单位基本养老保险缴费（项）</w:t>
      </w:r>
      <w:r>
        <w:rPr>
          <w:rStyle w:val="15"/>
          <w:rFonts w:hint="eastAsia" w:ascii="仿宋" w:hAnsi="仿宋" w:eastAsia="仿宋"/>
          <w:b w:val="0"/>
          <w:color w:val="000000" w:themeColor="text1"/>
          <w:sz w:val="32"/>
          <w:szCs w:val="32"/>
          <w:lang w:eastAsia="zh-CN"/>
          <w14:textFill>
            <w14:solidFill>
              <w14:schemeClr w14:val="tx1"/>
            </w14:solidFill>
          </w14:textFill>
        </w:rPr>
        <w:t>：</w:t>
      </w:r>
      <w:r>
        <w:rPr>
          <w:rStyle w:val="15"/>
          <w:rFonts w:hint="eastAsia" w:ascii="仿宋" w:hAnsi="仿宋" w:eastAsia="仿宋"/>
          <w:b w:val="0"/>
          <w:color w:val="000000" w:themeColor="text1"/>
          <w:sz w:val="32"/>
          <w:szCs w:val="32"/>
          <w14:textFill>
            <w14:solidFill>
              <w14:schemeClr w14:val="tx1"/>
            </w14:solidFill>
          </w14:textFill>
        </w:rPr>
        <w:t>指机关事业单位实施养老保险制度由单位缴纳的基本养老保险费支出。</w:t>
      </w:r>
    </w:p>
    <w:p>
      <w:pPr>
        <w:spacing w:line="600" w:lineRule="exact"/>
        <w:ind w:firstLine="640" w:firstLineChars="200"/>
        <w:rPr>
          <w:rStyle w:val="15"/>
          <w:rFonts w:ascii="仿宋" w:hAnsi="仿宋" w:eastAsia="仿宋"/>
          <w:b w:val="0"/>
          <w:color w:val="000000" w:themeColor="text1"/>
          <w:sz w:val="32"/>
          <w:szCs w:val="32"/>
          <w14:textFill>
            <w14:solidFill>
              <w14:schemeClr w14:val="tx1"/>
            </w14:solidFill>
          </w14:textFill>
        </w:rPr>
      </w:pPr>
      <w:r>
        <w:rPr>
          <w:rStyle w:val="15"/>
          <w:rFonts w:hint="eastAsia" w:ascii="仿宋" w:hAnsi="仿宋" w:eastAsia="仿宋"/>
          <w:b w:val="0"/>
          <w:color w:val="000000" w:themeColor="text1"/>
          <w:sz w:val="32"/>
          <w:szCs w:val="32"/>
          <w14:textFill>
            <w14:solidFill>
              <w14:schemeClr w14:val="tx1"/>
            </w14:solidFill>
          </w14:textFill>
        </w:rPr>
        <w:t>13、医疗卫生与计划生育（类）行政事业单位医疗（款）事业单位医疗（项）</w:t>
      </w:r>
      <w:r>
        <w:rPr>
          <w:rStyle w:val="15"/>
          <w:rFonts w:hint="eastAsia" w:ascii="仿宋" w:hAnsi="仿宋" w:eastAsia="仿宋"/>
          <w:b w:val="0"/>
          <w:color w:val="000000" w:themeColor="text1"/>
          <w:sz w:val="32"/>
          <w:szCs w:val="32"/>
          <w:lang w:eastAsia="zh-CN"/>
          <w14:textFill>
            <w14:solidFill>
              <w14:schemeClr w14:val="tx1"/>
            </w14:solidFill>
          </w14:textFill>
        </w:rPr>
        <w:t>：</w:t>
      </w:r>
      <w:r>
        <w:rPr>
          <w:rStyle w:val="15"/>
          <w:rFonts w:hint="eastAsia" w:ascii="仿宋" w:hAnsi="仿宋" w:eastAsia="仿宋"/>
          <w:b w:val="0"/>
          <w:color w:val="000000" w:themeColor="text1"/>
          <w:sz w:val="32"/>
          <w:szCs w:val="32"/>
          <w14:textFill>
            <w14:solidFill>
              <w14:schemeClr w14:val="tx1"/>
            </w14:solidFill>
          </w14:textFill>
        </w:rPr>
        <w:t>指财政部门集中安排的事业单位基本医疗保险缴费经费，未参加医疗保险的事业单位的公费医疗经费，按国家规定享受离休人员的医疗经费。</w:t>
      </w:r>
    </w:p>
    <w:p>
      <w:pPr>
        <w:spacing w:line="600" w:lineRule="exact"/>
        <w:ind w:firstLine="640" w:firstLineChars="200"/>
        <w:rPr>
          <w:rStyle w:val="15"/>
          <w:rFonts w:ascii="仿宋" w:hAnsi="仿宋" w:eastAsia="仿宋"/>
          <w:b w:val="0"/>
          <w:color w:val="000000" w:themeColor="text1"/>
          <w:sz w:val="32"/>
          <w:szCs w:val="32"/>
          <w14:textFill>
            <w14:solidFill>
              <w14:schemeClr w14:val="tx1"/>
            </w14:solidFill>
          </w14:textFill>
        </w:rPr>
      </w:pPr>
      <w:r>
        <w:rPr>
          <w:rStyle w:val="15"/>
          <w:rFonts w:hint="eastAsia" w:ascii="仿宋" w:hAnsi="仿宋" w:eastAsia="仿宋"/>
          <w:b w:val="0"/>
          <w:color w:val="000000" w:themeColor="text1"/>
          <w:sz w:val="32"/>
          <w:szCs w:val="32"/>
          <w14:textFill>
            <w14:solidFill>
              <w14:schemeClr w14:val="tx1"/>
            </w14:solidFill>
          </w14:textFill>
        </w:rPr>
        <w:t>14.农林水（类）扶贫（款）其他扶贫（项）：指除上述项目以外其他用于扶贫方面的支出。</w:t>
      </w:r>
    </w:p>
    <w:p>
      <w:pPr>
        <w:spacing w:line="600" w:lineRule="exact"/>
        <w:ind w:firstLine="640"/>
        <w:rPr>
          <w:rFonts w:ascii="仿宋" w:hAnsi="仿宋" w:eastAsia="仿宋"/>
          <w:b/>
          <w:color w:val="000000"/>
          <w:sz w:val="32"/>
          <w:szCs w:val="32"/>
        </w:rPr>
      </w:pPr>
      <w:r>
        <w:rPr>
          <w:rStyle w:val="15"/>
          <w:rFonts w:hint="eastAsia" w:ascii="仿宋" w:hAnsi="仿宋" w:eastAsia="仿宋"/>
          <w:b w:val="0"/>
          <w:color w:val="000000" w:themeColor="text1"/>
          <w:sz w:val="32"/>
          <w:szCs w:val="32"/>
          <w14:textFill>
            <w14:solidFill>
              <w14:schemeClr w14:val="tx1"/>
            </w14:solidFill>
          </w14:textFill>
        </w:rPr>
        <w:t>15、住房保障（类）住房改革（款）住房公积金（项）</w:t>
      </w:r>
      <w:r>
        <w:rPr>
          <w:rStyle w:val="15"/>
          <w:rFonts w:hint="eastAsia" w:ascii="仿宋" w:hAnsi="仿宋" w:eastAsia="仿宋"/>
          <w:b w:val="0"/>
          <w:color w:val="000000" w:themeColor="text1"/>
          <w:sz w:val="32"/>
          <w:szCs w:val="32"/>
          <w:lang w:eastAsia="zh-CN"/>
          <w14:textFill>
            <w14:solidFill>
              <w14:schemeClr w14:val="tx1"/>
            </w14:solidFill>
          </w14:textFill>
        </w:rPr>
        <w:t>：</w:t>
      </w:r>
      <w:r>
        <w:rPr>
          <w:rStyle w:val="15"/>
          <w:rFonts w:hint="eastAsia" w:ascii="仿宋" w:hAnsi="仿宋" w:eastAsia="仿宋"/>
          <w:b w:val="0"/>
          <w:color w:val="000000" w:themeColor="text1"/>
          <w:sz w:val="32"/>
          <w:szCs w:val="32"/>
          <w14:textFill>
            <w14:solidFill>
              <w14:schemeClr w14:val="tx1"/>
            </w14:solidFill>
          </w14:textFill>
        </w:rPr>
        <w:t>指行政事业单位按人力资源和社会保障部、财政部规定的基本工资和津贴补贴以及规定比例为职工缴纳的住房公积金。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18</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cs="黑体"/>
          <w:sz w:val="32"/>
          <w:szCs w:val="32"/>
        </w:rPr>
      </w:pP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仿宋" w:hAnsi="仿宋" w:eastAsia="仿宋" w:cs="仿宋"/>
          <w:b/>
          <w:bCs/>
          <w:color w:val="000000"/>
          <w:kern w:val="0"/>
          <w:sz w:val="40"/>
          <w:szCs w:val="44"/>
          <w:lang w:val="zh-CN"/>
        </w:rPr>
      </w:pPr>
      <w:r>
        <w:rPr>
          <w:rFonts w:hint="eastAsia" w:ascii="仿宋" w:hAnsi="仿宋" w:eastAsia="仿宋" w:cs="仿宋"/>
          <w:b/>
          <w:bCs/>
          <w:color w:val="000000"/>
          <w:kern w:val="0"/>
          <w:sz w:val="40"/>
          <w:szCs w:val="44"/>
          <w:lang w:val="zh-CN"/>
        </w:rPr>
        <w:t>利州区团委部门</w:t>
      </w:r>
      <w:r>
        <w:rPr>
          <w:rFonts w:hint="eastAsia" w:ascii="仿宋" w:hAnsi="仿宋" w:eastAsia="仿宋" w:cs="仿宋"/>
          <w:b/>
          <w:bCs/>
          <w:color w:val="000000"/>
          <w:kern w:val="0"/>
          <w:sz w:val="40"/>
          <w:szCs w:val="44"/>
        </w:rPr>
        <w:t>20</w:t>
      </w:r>
      <w:r>
        <w:rPr>
          <w:rFonts w:ascii="仿宋" w:hAnsi="仿宋" w:eastAsia="仿宋" w:cs="仿宋"/>
          <w:b/>
          <w:bCs/>
          <w:color w:val="000000"/>
          <w:kern w:val="0"/>
          <w:sz w:val="40"/>
          <w:szCs w:val="44"/>
        </w:rPr>
        <w:t>20</w:t>
      </w:r>
      <w:r>
        <w:rPr>
          <w:rFonts w:hint="eastAsia" w:ascii="仿宋" w:hAnsi="仿宋" w:eastAsia="仿宋" w:cs="仿宋"/>
          <w:b/>
          <w:bCs/>
          <w:color w:val="000000"/>
          <w:kern w:val="0"/>
          <w:sz w:val="40"/>
          <w:szCs w:val="44"/>
        </w:rPr>
        <w:t>年部门</w:t>
      </w:r>
      <w:r>
        <w:rPr>
          <w:rFonts w:hint="eastAsia" w:ascii="仿宋" w:hAnsi="仿宋" w:eastAsia="仿宋" w:cs="仿宋"/>
          <w:b/>
          <w:bCs/>
          <w:color w:val="000000"/>
          <w:kern w:val="0"/>
          <w:sz w:val="40"/>
          <w:szCs w:val="44"/>
          <w:lang w:val="zh-CN"/>
        </w:rPr>
        <w:t>整体支出</w:t>
      </w:r>
    </w:p>
    <w:p>
      <w:pPr>
        <w:spacing w:line="600" w:lineRule="exact"/>
        <w:jc w:val="center"/>
        <w:rPr>
          <w:rFonts w:ascii="仿宋" w:hAnsi="仿宋" w:eastAsia="仿宋" w:cs="仿宋"/>
          <w:b/>
          <w:bCs/>
          <w:color w:val="000000"/>
          <w:kern w:val="0"/>
          <w:sz w:val="40"/>
          <w:szCs w:val="44"/>
          <w:lang w:val="zh-CN"/>
        </w:rPr>
      </w:pPr>
      <w:r>
        <w:rPr>
          <w:rFonts w:hint="eastAsia" w:ascii="仿宋" w:hAnsi="仿宋" w:eastAsia="仿宋" w:cs="仿宋"/>
          <w:b/>
          <w:bCs/>
          <w:color w:val="000000"/>
          <w:kern w:val="0"/>
          <w:sz w:val="40"/>
          <w:szCs w:val="44"/>
          <w:lang w:val="zh-CN"/>
        </w:rPr>
        <w:t>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ind w:firstLine="800" w:firstLineChars="250"/>
        <w:rPr>
          <w:rFonts w:ascii="仿宋" w:hAnsi="仿宋" w:eastAsia="仿宋"/>
          <w:sz w:val="32"/>
          <w:szCs w:val="32"/>
        </w:rPr>
      </w:pPr>
      <w:r>
        <w:rPr>
          <w:rFonts w:ascii="仿宋" w:hAnsi="仿宋" w:eastAsia="仿宋" w:cs="仿宋_GB2312"/>
          <w:sz w:val="32"/>
          <w:szCs w:val="32"/>
        </w:rPr>
        <w:t>（一）机构组成</w:t>
      </w:r>
      <w:r>
        <w:rPr>
          <w:rFonts w:hint="eastAsia" w:ascii="仿宋" w:hAnsi="仿宋" w:eastAsia="仿宋" w:cs="仿宋_GB2312"/>
          <w:sz w:val="32"/>
          <w:szCs w:val="32"/>
        </w:rPr>
        <w:t>：</w:t>
      </w:r>
      <w:r>
        <w:rPr>
          <w:rFonts w:hint="eastAsia" w:ascii="仿宋" w:hAnsi="仿宋" w:eastAsia="仿宋"/>
          <w:sz w:val="32"/>
          <w:szCs w:val="32"/>
        </w:rPr>
        <w:t>团区委是20</w:t>
      </w:r>
      <w:r>
        <w:rPr>
          <w:rFonts w:ascii="仿宋" w:hAnsi="仿宋" w:eastAsia="仿宋"/>
          <w:sz w:val="32"/>
          <w:szCs w:val="32"/>
        </w:rPr>
        <w:t>20</w:t>
      </w:r>
      <w:r>
        <w:rPr>
          <w:rFonts w:hint="eastAsia" w:ascii="仿宋" w:hAnsi="仿宋" w:eastAsia="仿宋"/>
          <w:sz w:val="32"/>
          <w:szCs w:val="32"/>
        </w:rPr>
        <w:t>年部门决算汇编范围独立核算单位，本单位执行的是行政会计制度，属于利州区委下属二级单位。</w:t>
      </w:r>
    </w:p>
    <w:p>
      <w:pPr>
        <w:ind w:firstLine="960" w:firstLineChars="300"/>
        <w:rPr>
          <w:rFonts w:ascii="仿宋" w:hAnsi="仿宋" w:eastAsia="仿宋" w:cs="仿宋"/>
          <w:sz w:val="30"/>
          <w:szCs w:val="30"/>
        </w:rPr>
      </w:pPr>
      <w:r>
        <w:rPr>
          <w:rFonts w:ascii="仿宋" w:hAnsi="仿宋" w:eastAsia="仿宋" w:cs="仿宋_GB2312"/>
          <w:sz w:val="32"/>
          <w:szCs w:val="32"/>
        </w:rPr>
        <w:t>（二）机构职能。</w:t>
      </w:r>
      <w:r>
        <w:rPr>
          <w:rFonts w:hint="eastAsia" w:ascii="仿宋" w:hAnsi="仿宋" w:eastAsia="仿宋" w:cs="仿宋"/>
          <w:sz w:val="30"/>
          <w:szCs w:val="30"/>
        </w:rPr>
        <w:t>中国共产主义青年团是中国共产党领导的先进青年的群众组织</w:t>
      </w:r>
      <w:r>
        <w:rPr>
          <w:rFonts w:hint="eastAsia" w:ascii="仿宋" w:hAnsi="仿宋" w:eastAsia="仿宋" w:cs="仿宋"/>
          <w:sz w:val="30"/>
          <w:szCs w:val="30"/>
          <w:lang w:eastAsia="zh-CN"/>
        </w:rPr>
        <w:t>，</w:t>
      </w:r>
      <w:r>
        <w:rPr>
          <w:rFonts w:hint="eastAsia" w:ascii="仿宋" w:hAnsi="仿宋" w:eastAsia="仿宋" w:cs="仿宋"/>
          <w:sz w:val="30"/>
          <w:szCs w:val="30"/>
        </w:rPr>
        <w:t>是广大青年在实践中学习共产主义的学校，是党的助手和后备军</w:t>
      </w:r>
      <w:r>
        <w:rPr>
          <w:rFonts w:hint="eastAsia" w:ascii="仿宋" w:hAnsi="仿宋" w:eastAsia="仿宋" w:cs="仿宋"/>
          <w:sz w:val="30"/>
          <w:szCs w:val="30"/>
          <w:lang w:eastAsia="zh-CN"/>
        </w:rPr>
        <w:t>，</w:t>
      </w:r>
      <w:r>
        <w:rPr>
          <w:rFonts w:hint="eastAsia" w:ascii="仿宋" w:hAnsi="仿宋" w:eastAsia="仿宋" w:cs="仿宋"/>
          <w:sz w:val="30"/>
          <w:szCs w:val="30"/>
        </w:rPr>
        <w:t>是党联系青年的桥梁和纽带，是国家政权的重要社会支柱之一。中国共产主义青年团广元市利州区委员会是广元市利州区各级团组织的领导机关。</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 w:hAnsi="仿宋" w:eastAsia="仿宋" w:cs="仿宋"/>
          <w:sz w:val="30"/>
          <w:szCs w:val="30"/>
        </w:rPr>
      </w:pPr>
      <w:r>
        <w:rPr>
          <w:rFonts w:hint="eastAsia" w:ascii="仿宋" w:hAnsi="仿宋" w:eastAsia="仿宋" w:cs="仿宋"/>
          <w:sz w:val="30"/>
          <w:szCs w:val="30"/>
        </w:rPr>
        <w:t xml:space="preserve"> 一是领导全区共青团工作，组织全区共青团组织围绕首都改革、发展、稳定的大局开展工作，在利州区政治、经济、文化等活动中发挥党的助手作用。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 w:hAnsi="仿宋" w:eastAsia="仿宋" w:cs="仿宋"/>
          <w:sz w:val="30"/>
          <w:szCs w:val="30"/>
        </w:rPr>
      </w:pPr>
      <w:r>
        <w:rPr>
          <w:rFonts w:hint="eastAsia" w:ascii="仿宋" w:hAnsi="仿宋" w:eastAsia="仿宋" w:cs="仿宋"/>
          <w:sz w:val="30"/>
          <w:szCs w:val="30"/>
        </w:rPr>
        <w:t xml:space="preserve"> 二是围绕区委、区政府中心工作，推进全区青少年精神文明建设；负责指导并组织实施全区青少年的思想理论教育、宣传文化活动，培养、选拔、推荐、表彰优秀青少年；指导全区志愿者工作的开展。</w:t>
      </w:r>
    </w:p>
    <w:p>
      <w:pPr>
        <w:rPr>
          <w:rFonts w:ascii="仿宋" w:hAnsi="仿宋" w:eastAsia="仿宋" w:cs="仿宋"/>
          <w:sz w:val="30"/>
          <w:szCs w:val="30"/>
        </w:rPr>
      </w:pPr>
      <w:r>
        <w:rPr>
          <w:rFonts w:hint="eastAsia" w:ascii="仿宋" w:hAnsi="仿宋" w:eastAsia="仿宋" w:cs="仿宋"/>
          <w:sz w:val="30"/>
          <w:szCs w:val="30"/>
        </w:rPr>
        <w:t xml:space="preserve">    三是负责全区共青团工作和青年工作的理论研究；向区委、区政府反映青少年思想状况，参与协调处理各种与青少年利益相关的工作；对青少年工作中的重大问题提出立法建议，参与有关全区性青少年法规的起草、实施、监督等工作。</w:t>
      </w:r>
    </w:p>
    <w:p>
      <w:pPr>
        <w:rPr>
          <w:rFonts w:ascii="仿宋" w:hAnsi="仿宋" w:eastAsia="仿宋" w:cs="仿宋"/>
          <w:sz w:val="30"/>
          <w:szCs w:val="30"/>
        </w:rPr>
      </w:pPr>
      <w:r>
        <w:rPr>
          <w:rFonts w:hint="eastAsia" w:ascii="仿宋" w:hAnsi="仿宋" w:eastAsia="仿宋" w:cs="仿宋"/>
          <w:sz w:val="30"/>
          <w:szCs w:val="30"/>
        </w:rPr>
        <w:t xml:space="preserve">    四是负责研究指导全区团的组织建设和干部队伍建设，推进全区团的基层组织建设；指导全区各级团校工作；指导全区共青团组织协助有关部门开展青年人力资源开发工作。</w:t>
      </w:r>
    </w:p>
    <w:p>
      <w:pPr>
        <w:rPr>
          <w:rFonts w:ascii="仿宋" w:hAnsi="仿宋" w:eastAsia="仿宋" w:cs="仿宋"/>
          <w:sz w:val="30"/>
          <w:szCs w:val="30"/>
        </w:rPr>
      </w:pPr>
      <w:r>
        <w:rPr>
          <w:rFonts w:hint="eastAsia" w:ascii="仿宋" w:hAnsi="仿宋" w:eastAsia="仿宋" w:cs="仿宋"/>
          <w:sz w:val="30"/>
          <w:szCs w:val="30"/>
        </w:rPr>
        <w:t xml:space="preserve">    五是负责全区青年统战工作。</w:t>
      </w:r>
    </w:p>
    <w:p>
      <w:pPr>
        <w:rPr>
          <w:rFonts w:ascii="仿宋" w:hAnsi="仿宋" w:eastAsia="仿宋" w:cs="仿宋"/>
          <w:sz w:val="30"/>
          <w:szCs w:val="30"/>
        </w:rPr>
      </w:pPr>
      <w:r>
        <w:rPr>
          <w:rFonts w:hint="eastAsia" w:ascii="仿宋" w:hAnsi="仿宋" w:eastAsia="仿宋" w:cs="仿宋"/>
          <w:sz w:val="30"/>
          <w:szCs w:val="30"/>
        </w:rPr>
        <w:t xml:space="preserve">    六是负责全区共青团系统外事工作和青少年对外交流工作。</w:t>
      </w:r>
    </w:p>
    <w:p>
      <w:pPr>
        <w:rPr>
          <w:rFonts w:ascii="仿宋" w:hAnsi="仿宋" w:eastAsia="仿宋" w:cs="仿宋"/>
          <w:sz w:val="30"/>
          <w:szCs w:val="30"/>
        </w:rPr>
      </w:pPr>
      <w:r>
        <w:rPr>
          <w:rFonts w:hint="eastAsia" w:ascii="仿宋" w:hAnsi="仿宋" w:eastAsia="仿宋" w:cs="仿宋"/>
          <w:sz w:val="30"/>
          <w:szCs w:val="30"/>
        </w:rPr>
        <w:t xml:space="preserve">    七是指导和帮助区青联、区少先队工作委员会开展工作；协助有关部门对所主管的社会团体进行监督管理。</w:t>
      </w:r>
    </w:p>
    <w:p>
      <w:pPr>
        <w:rPr>
          <w:rFonts w:ascii="仿宋" w:hAnsi="仿宋" w:eastAsia="仿宋" w:cs="仿宋"/>
          <w:sz w:val="30"/>
          <w:szCs w:val="30"/>
        </w:rPr>
      </w:pPr>
      <w:r>
        <w:rPr>
          <w:rFonts w:hint="eastAsia" w:ascii="仿宋" w:hAnsi="仿宋" w:eastAsia="仿宋" w:cs="仿宋"/>
          <w:sz w:val="30"/>
          <w:szCs w:val="30"/>
        </w:rPr>
        <w:t xml:space="preserve">    八是负责团区委直属企事业单位的管理工作；筹措青少年事业发展经费。</w:t>
      </w:r>
    </w:p>
    <w:p>
      <w:pPr>
        <w:pStyle w:val="12"/>
        <w:spacing w:before="0" w:beforeAutospacing="0" w:after="0" w:afterAutospacing="0" w:line="576" w:lineRule="exact"/>
        <w:ind w:firstLine="600" w:firstLineChars="200"/>
        <w:rPr>
          <w:rFonts w:ascii="仿宋" w:hAnsi="仿宋" w:eastAsia="仿宋" w:cs="仿宋"/>
          <w:sz w:val="30"/>
          <w:szCs w:val="30"/>
        </w:rPr>
      </w:pPr>
      <w:r>
        <w:rPr>
          <w:rFonts w:hint="eastAsia" w:ascii="仿宋" w:hAnsi="仿宋" w:eastAsia="仿宋" w:cs="仿宋"/>
          <w:sz w:val="30"/>
          <w:szCs w:val="30"/>
        </w:rPr>
        <w:t>九是承办区委、区政府和共青团广元市委交办的其他事项。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r>
        <w:rPr>
          <w:rFonts w:hint="eastAsia" w:ascii="仿宋" w:hAnsi="仿宋" w:eastAsia="仿宋" w:cs="仿宋_GB2312"/>
          <w:sz w:val="32"/>
          <w:szCs w:val="32"/>
        </w:rPr>
        <w:t>：</w:t>
      </w:r>
      <w:r>
        <w:rPr>
          <w:rFonts w:hint="eastAsia" w:ascii="仿宋" w:hAnsi="仿宋" w:eastAsia="仿宋" w:cs="仿宋"/>
          <w:sz w:val="30"/>
          <w:szCs w:val="30"/>
        </w:rPr>
        <w:t>团区委总编制4名，其中参照公务员法管理的编制4名。在职人员总数3人，其中机关行政编制3名（乡镇正科级干部1人，乡镇副科级干部</w:t>
      </w:r>
      <w:r>
        <w:rPr>
          <w:rFonts w:ascii="仿宋" w:hAnsi="仿宋" w:eastAsia="仿宋" w:cs="仿宋"/>
          <w:sz w:val="30"/>
          <w:szCs w:val="30"/>
        </w:rPr>
        <w:t>2</w:t>
      </w:r>
      <w:r>
        <w:rPr>
          <w:rFonts w:hint="eastAsia" w:ascii="仿宋" w:hAnsi="仿宋" w:eastAsia="仿宋" w:cs="仿宋"/>
          <w:sz w:val="30"/>
          <w:szCs w:val="30"/>
        </w:rPr>
        <w:t>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600" w:lineRule="exact"/>
        <w:ind w:firstLine="640" w:firstLineChars="200"/>
        <w:outlineLvl w:val="1"/>
        <w:rPr>
          <w:rFonts w:ascii="仿宋" w:hAnsi="仿宋" w:eastAsia="仿宋" w:cs="仿宋_GB2312"/>
          <w:sz w:val="32"/>
          <w:szCs w:val="32"/>
        </w:rPr>
      </w:pPr>
      <w:r>
        <w:rPr>
          <w:rFonts w:ascii="仿宋" w:hAnsi="仿宋" w:eastAsia="仿宋" w:cs="仿宋_GB2312"/>
          <w:sz w:val="32"/>
          <w:szCs w:val="32"/>
        </w:rPr>
        <w:t>（一）部门财政资金收入情况</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ascii="仿宋" w:hAnsi="仿宋" w:eastAsia="仿宋"/>
          <w:color w:val="000000"/>
          <w:sz w:val="32"/>
          <w:szCs w:val="32"/>
        </w:rPr>
        <w:t>87.47</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87.47</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w:t>
      </w:r>
    </w:p>
    <w:p>
      <w:pPr>
        <w:pStyle w:val="24"/>
        <w:numPr>
          <w:ilvl w:val="0"/>
          <w:numId w:val="4"/>
        </w:numPr>
        <w:spacing w:line="600" w:lineRule="exact"/>
        <w:ind w:firstLine="320" w:firstLineChars="100"/>
        <w:outlineLvl w:val="1"/>
        <w:rPr>
          <w:rStyle w:val="26"/>
          <w:rFonts w:ascii="黑体" w:hAnsi="黑体" w:eastAsia="黑体"/>
          <w:b w:val="0"/>
        </w:rPr>
      </w:pPr>
      <w:r>
        <w:rPr>
          <w:rFonts w:hint="eastAsia" w:ascii="黑体" w:hAnsi="黑体" w:eastAsia="黑体"/>
          <w:color w:val="000000"/>
          <w:sz w:val="32"/>
          <w:szCs w:val="32"/>
        </w:rPr>
        <w:t>部门财政资金支</w:t>
      </w:r>
      <w:r>
        <w:rPr>
          <w:rStyle w:val="26"/>
          <w:rFonts w:hint="eastAsia" w:ascii="黑体" w:hAnsi="黑体" w:eastAsia="黑体"/>
          <w:b w:val="0"/>
        </w:rPr>
        <w:t>出情况</w:t>
      </w:r>
    </w:p>
    <w:p>
      <w:pPr>
        <w:pStyle w:val="24"/>
        <w:spacing w:line="600" w:lineRule="exact"/>
        <w:ind w:firstLine="640"/>
        <w:outlineLvl w:val="1"/>
        <w:rPr>
          <w:rFonts w:ascii="仿宋" w:hAnsi="仿宋" w:eastAsia="仿宋" w:cs="仿宋"/>
          <w:color w:val="000000"/>
          <w:sz w:val="32"/>
          <w:szCs w:val="32"/>
          <w:shd w:val="pct10" w:color="auto" w:fill="FFFFFF"/>
        </w:rPr>
      </w:pPr>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ascii="仿宋" w:hAnsi="仿宋" w:eastAsia="仿宋"/>
          <w:color w:val="000000"/>
          <w:sz w:val="32"/>
          <w:szCs w:val="32"/>
        </w:rPr>
        <w:t>74.13</w:t>
      </w:r>
      <w:r>
        <w:rPr>
          <w:rFonts w:hint="eastAsia" w:ascii="仿宋" w:hAnsi="仿宋" w:eastAsia="仿宋"/>
          <w:color w:val="000000"/>
          <w:sz w:val="32"/>
          <w:szCs w:val="32"/>
        </w:rPr>
        <w:t>万元，其中：基本支出</w:t>
      </w:r>
      <w:r>
        <w:rPr>
          <w:rFonts w:ascii="仿宋" w:hAnsi="仿宋" w:eastAsia="仿宋"/>
          <w:color w:val="000000"/>
          <w:sz w:val="32"/>
          <w:szCs w:val="32"/>
        </w:rPr>
        <w:t>38.57</w:t>
      </w:r>
      <w:r>
        <w:rPr>
          <w:rFonts w:hint="eastAsia" w:ascii="仿宋" w:hAnsi="仿宋" w:eastAsia="仿宋"/>
          <w:color w:val="000000"/>
          <w:sz w:val="32"/>
          <w:szCs w:val="32"/>
        </w:rPr>
        <w:t>万元，占</w:t>
      </w:r>
      <w:r>
        <w:rPr>
          <w:rFonts w:ascii="仿宋" w:hAnsi="仿宋" w:eastAsia="仿宋"/>
          <w:color w:val="000000"/>
          <w:sz w:val="32"/>
          <w:szCs w:val="32"/>
        </w:rPr>
        <w:t>52.03%</w:t>
      </w:r>
      <w:r>
        <w:rPr>
          <w:rFonts w:hint="eastAsia" w:ascii="仿宋" w:hAnsi="仿宋" w:eastAsia="仿宋"/>
          <w:color w:val="000000"/>
          <w:sz w:val="32"/>
          <w:szCs w:val="32"/>
        </w:rPr>
        <w:t>；项目支出</w:t>
      </w:r>
      <w:r>
        <w:rPr>
          <w:rFonts w:ascii="仿宋" w:hAnsi="仿宋" w:eastAsia="仿宋"/>
          <w:color w:val="000000"/>
          <w:sz w:val="32"/>
          <w:szCs w:val="32"/>
        </w:rPr>
        <w:t>35.56</w:t>
      </w:r>
      <w:r>
        <w:rPr>
          <w:rFonts w:hint="eastAsia" w:ascii="仿宋" w:hAnsi="仿宋" w:eastAsia="仿宋" w:cs="仿宋"/>
          <w:color w:val="000000"/>
          <w:sz w:val="32"/>
          <w:szCs w:val="32"/>
        </w:rPr>
        <w:t>万元，占</w:t>
      </w:r>
      <w:r>
        <w:rPr>
          <w:rFonts w:ascii="仿宋" w:hAnsi="仿宋" w:eastAsia="仿宋" w:cs="仿宋"/>
          <w:color w:val="000000"/>
          <w:sz w:val="32"/>
          <w:szCs w:val="32"/>
        </w:rPr>
        <w:t>47.97</w:t>
      </w:r>
      <w:r>
        <w:rPr>
          <w:rFonts w:hint="eastAsia" w:ascii="仿宋" w:hAnsi="仿宋" w:eastAsia="仿宋" w:cs="仿宋"/>
          <w:color w:val="000000"/>
          <w:sz w:val="32"/>
          <w:szCs w:val="32"/>
        </w:rPr>
        <w:t>%。</w:t>
      </w:r>
    </w:p>
    <w:p>
      <w:pPr>
        <w:numPr>
          <w:ilvl w:val="0"/>
          <w:numId w:val="1"/>
        </w:numPr>
        <w:spacing w:line="600" w:lineRule="exact"/>
        <w:rPr>
          <w:rFonts w:ascii="仿宋" w:hAnsi="仿宋" w:eastAsia="仿宋" w:cs="仿宋"/>
          <w:b/>
          <w:bCs/>
          <w:sz w:val="32"/>
          <w:szCs w:val="32"/>
        </w:rPr>
      </w:pPr>
      <w:r>
        <w:rPr>
          <w:rFonts w:hint="eastAsia" w:ascii="仿宋" w:hAnsi="仿宋" w:eastAsia="仿宋" w:cs="仿宋"/>
          <w:b/>
          <w:bCs/>
          <w:sz w:val="32"/>
          <w:szCs w:val="32"/>
        </w:rPr>
        <w:t>部门整体预算绩效管理情况</w:t>
      </w:r>
    </w:p>
    <w:p>
      <w:pPr>
        <w:pStyle w:val="24"/>
        <w:numPr>
          <w:ilvl w:val="0"/>
          <w:numId w:val="5"/>
        </w:numPr>
        <w:spacing w:line="600" w:lineRule="exact"/>
        <w:ind w:firstLineChars="0"/>
        <w:rPr>
          <w:rFonts w:ascii="仿宋" w:hAnsi="仿宋" w:eastAsia="仿宋" w:cs="仿宋"/>
          <w:sz w:val="32"/>
          <w:szCs w:val="32"/>
        </w:rPr>
      </w:pPr>
      <w:r>
        <w:rPr>
          <w:rFonts w:hint="eastAsia" w:ascii="仿宋" w:hAnsi="仿宋" w:eastAsia="仿宋" w:cs="仿宋"/>
          <w:sz w:val="32"/>
          <w:szCs w:val="32"/>
        </w:rPr>
        <w:t>部门预算管理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团区委成立了以单位负责人为组长、其他人员为成员的绩效管理领导小组。年初制定相应的绩效目标，分阶段进行相应的对照检查，确保目标的完成。严格按规定，根据实际需要编制预算，各项支出厉行节约，采取先申请后实施的方法，坚决杜绝超预算支出。全年预算支出完成率达100%。</w:t>
      </w:r>
    </w:p>
    <w:p>
      <w:pPr>
        <w:ind w:left="958" w:leftChars="304" w:hanging="320" w:hangingChars="100"/>
        <w:rPr>
          <w:rFonts w:ascii="仿宋" w:hAnsi="仿宋" w:eastAsia="仿宋" w:cs="仿宋"/>
          <w:sz w:val="32"/>
          <w:szCs w:val="32"/>
        </w:rPr>
      </w:pPr>
      <w:r>
        <w:rPr>
          <w:rFonts w:hint="eastAsia" w:ascii="仿宋" w:hAnsi="仿宋" w:eastAsia="仿宋" w:cs="仿宋"/>
          <w:sz w:val="32"/>
          <w:szCs w:val="32"/>
        </w:rPr>
        <w:t>（二）专项预算管理</w:t>
      </w:r>
    </w:p>
    <w:p>
      <w:pPr>
        <w:ind w:firstLine="640" w:firstLineChars="200"/>
        <w:rPr>
          <w:rFonts w:ascii="仿宋" w:hAnsi="仿宋" w:eastAsia="仿宋" w:cs="仿宋"/>
          <w:sz w:val="32"/>
          <w:szCs w:val="32"/>
        </w:rPr>
      </w:pPr>
      <w:r>
        <w:rPr>
          <w:rFonts w:hint="eastAsia" w:ascii="仿宋" w:hAnsi="仿宋" w:eastAsia="仿宋" w:cs="仿宋"/>
          <w:sz w:val="32"/>
          <w:szCs w:val="32"/>
        </w:rPr>
        <w:t>团区委在项目管理实施时先制定工作计划、明确责任领导和具体负责人等，严格项目绩效评估，根据工作进度进行资金拨付使用。全年无违纪违规现象发生。</w:t>
      </w:r>
    </w:p>
    <w:p>
      <w:pPr>
        <w:ind w:firstLine="640" w:firstLineChars="200"/>
        <w:rPr>
          <w:rFonts w:ascii="仿宋" w:hAnsi="仿宋" w:eastAsia="仿宋" w:cs="仿宋"/>
          <w:sz w:val="32"/>
          <w:szCs w:val="32"/>
        </w:rPr>
      </w:pPr>
      <w:r>
        <w:rPr>
          <w:rFonts w:hint="eastAsia" w:ascii="仿宋" w:hAnsi="仿宋" w:eastAsia="仿宋" w:cs="仿宋"/>
          <w:sz w:val="32"/>
          <w:szCs w:val="32"/>
        </w:rPr>
        <w:t>（三）结果应用情况</w:t>
      </w:r>
    </w:p>
    <w:p>
      <w:pPr>
        <w:ind w:firstLine="640" w:firstLineChars="200"/>
        <w:rPr>
          <w:rFonts w:ascii="仿宋" w:hAnsi="仿宋" w:eastAsia="仿宋" w:cs="仿宋"/>
          <w:sz w:val="32"/>
          <w:szCs w:val="32"/>
        </w:rPr>
      </w:pPr>
      <w:r>
        <w:rPr>
          <w:rFonts w:hint="eastAsia" w:ascii="仿宋" w:hAnsi="仿宋" w:eastAsia="仿宋" w:cs="仿宋"/>
          <w:sz w:val="32"/>
          <w:szCs w:val="32"/>
        </w:rPr>
        <w:t>团区委整体预算管理情况良好，各种资金使用合理合规，公开公正，无徇私舞弊，圆满完成各项目标任务。</w:t>
      </w:r>
    </w:p>
    <w:p>
      <w:pPr>
        <w:ind w:firstLine="640" w:firstLineChars="200"/>
        <w:rPr>
          <w:rFonts w:ascii="仿宋" w:hAnsi="仿宋" w:eastAsia="仿宋" w:cs="仿宋"/>
          <w:sz w:val="32"/>
          <w:szCs w:val="32"/>
        </w:rPr>
      </w:pPr>
      <w:r>
        <w:rPr>
          <w:rFonts w:hint="eastAsia" w:ascii="仿宋" w:hAnsi="仿宋" w:eastAsia="仿宋" w:cs="仿宋"/>
          <w:sz w:val="32"/>
          <w:szCs w:val="32"/>
        </w:rPr>
        <w:t>四、评价结论及建议</w:t>
      </w:r>
    </w:p>
    <w:p>
      <w:pPr>
        <w:ind w:firstLine="640" w:firstLineChars="200"/>
        <w:rPr>
          <w:rFonts w:ascii="仿宋" w:hAnsi="仿宋" w:eastAsia="仿宋" w:cs="仿宋"/>
          <w:sz w:val="32"/>
          <w:szCs w:val="32"/>
        </w:rPr>
      </w:pPr>
      <w:r>
        <w:rPr>
          <w:rFonts w:hint="eastAsia" w:ascii="仿宋" w:hAnsi="仿宋" w:eastAsia="仿宋" w:cs="仿宋"/>
          <w:sz w:val="32"/>
          <w:szCs w:val="32"/>
        </w:rPr>
        <w:t>（一）评价结论：20</w:t>
      </w:r>
      <w:r>
        <w:rPr>
          <w:rFonts w:ascii="仿宋" w:hAnsi="仿宋" w:eastAsia="仿宋" w:cs="仿宋"/>
          <w:sz w:val="32"/>
          <w:szCs w:val="32"/>
        </w:rPr>
        <w:t>20</w:t>
      </w:r>
      <w:r>
        <w:rPr>
          <w:rFonts w:hint="eastAsia" w:ascii="仿宋" w:hAnsi="仿宋" w:eastAsia="仿宋" w:cs="仿宋"/>
          <w:sz w:val="32"/>
          <w:szCs w:val="32"/>
        </w:rPr>
        <w:t>年团区委在区委的领导下，在团市委的指导下，顺利完成了各项目标任务，通过绩效目标考核，并取得优异成绩。</w:t>
      </w:r>
    </w:p>
    <w:p>
      <w:pPr>
        <w:ind w:firstLine="640" w:firstLineChars="200"/>
        <w:rPr>
          <w:rFonts w:ascii="仿宋" w:hAnsi="仿宋" w:eastAsia="仿宋" w:cs="仿宋"/>
          <w:sz w:val="32"/>
          <w:szCs w:val="32"/>
        </w:rPr>
      </w:pPr>
      <w:r>
        <w:rPr>
          <w:rFonts w:hint="eastAsia" w:ascii="仿宋" w:hAnsi="仿宋" w:eastAsia="仿宋" w:cs="仿宋"/>
          <w:sz w:val="32"/>
          <w:szCs w:val="32"/>
        </w:rPr>
        <w:t>（二）存在问题：全年在资金安排和使用上，还存在不及时、不规范的现象。</w:t>
      </w:r>
    </w:p>
    <w:p>
      <w:pPr>
        <w:ind w:firstLine="640" w:firstLineChars="200"/>
        <w:rPr>
          <w:rFonts w:ascii="仿宋" w:hAnsi="仿宋" w:eastAsia="仿宋" w:cs="仿宋"/>
          <w:sz w:val="32"/>
          <w:szCs w:val="32"/>
        </w:rPr>
      </w:pPr>
      <w:r>
        <w:rPr>
          <w:rFonts w:hint="eastAsia" w:ascii="仿宋" w:hAnsi="仿宋" w:eastAsia="仿宋" w:cs="仿宋"/>
          <w:sz w:val="32"/>
          <w:szCs w:val="32"/>
        </w:rPr>
        <w:t>（三）改进建议：加强制度建设，健全财务管理制度，严格资金审批程序，加大资金监管力，提高资金使用效益。严格落实资金使用用途，确保无违纪</w:t>
      </w:r>
      <w:r>
        <w:rPr>
          <w:rFonts w:hint="eastAsia" w:ascii="仿宋" w:hAnsi="仿宋" w:eastAsia="仿宋" w:cs="仿宋"/>
          <w:sz w:val="32"/>
          <w:szCs w:val="32"/>
          <w:lang w:eastAsia="zh-CN"/>
        </w:rPr>
        <w:t>违规</w:t>
      </w:r>
      <w:r>
        <w:rPr>
          <w:rFonts w:hint="eastAsia" w:ascii="仿宋" w:hAnsi="仿宋" w:eastAsia="仿宋" w:cs="仿宋"/>
          <w:sz w:val="32"/>
          <w:szCs w:val="32"/>
        </w:rPr>
        <w:t>行为发生。</w:t>
      </w:r>
    </w:p>
    <w:p>
      <w:pPr>
        <w:widowControl/>
        <w:ind w:firstLine="320" w:firstLineChars="100"/>
        <w:jc w:val="left"/>
        <w:rPr>
          <w:rStyle w:val="25"/>
          <w:rFonts w:ascii="仿宋" w:hAnsi="仿宋" w:eastAsia="仿宋"/>
          <w:b w:val="0"/>
          <w:bCs w:val="0"/>
          <w:sz w:val="32"/>
          <w:szCs w:val="32"/>
        </w:rPr>
      </w:pPr>
      <w:bookmarkStart w:id="59" w:name="_Toc15396617"/>
    </w:p>
    <w:p>
      <w:pPr>
        <w:pStyle w:val="23"/>
        <w:spacing w:line="560" w:lineRule="exact"/>
        <w:ind w:firstLine="640" w:firstLineChars="200"/>
        <w:rPr>
          <w:rFonts w:ascii="仿宋_GB2312" w:eastAsia="仿宋_GB2312" w:cs="黑体"/>
          <w:sz w:val="32"/>
          <w:szCs w:val="32"/>
        </w:rPr>
      </w:pPr>
    </w:p>
    <w:p>
      <w:pPr>
        <w:widowControl/>
        <w:ind w:firstLine="442" w:firstLineChars="100"/>
        <w:jc w:val="left"/>
        <w:rPr>
          <w:rStyle w:val="25"/>
          <w:rFonts w:ascii="仿宋" w:hAnsi="仿宋" w:eastAsia="仿宋"/>
          <w:b w:val="0"/>
          <w:bCs w:val="0"/>
          <w:sz w:val="32"/>
          <w:szCs w:val="32"/>
        </w:rPr>
      </w:pPr>
      <w:r>
        <w:rPr>
          <w:rFonts w:ascii="宋体"/>
          <w:b/>
          <w:color w:val="000000"/>
          <w:sz w:val="44"/>
          <w:szCs w:val="44"/>
        </w:rPr>
        <w:br w:type="page"/>
      </w:r>
    </w:p>
    <w:p>
      <w:pPr>
        <w:widowControl/>
        <w:jc w:val="left"/>
        <w:rPr>
          <w:rStyle w:val="25"/>
          <w:rFonts w:ascii="仿宋" w:hAnsi="仿宋" w:eastAsia="仿宋"/>
          <w:b w:val="0"/>
          <w:bCs w:val="0"/>
          <w:sz w:val="32"/>
          <w:szCs w:val="32"/>
        </w:rPr>
      </w:pPr>
      <w:r>
        <w:rPr>
          <w:rStyle w:val="25"/>
          <w:rFonts w:hint="eastAsia" w:ascii="仿宋" w:hAnsi="仿宋" w:eastAsia="仿宋"/>
          <w:b w:val="0"/>
          <w:bCs w:val="0"/>
          <w:sz w:val="32"/>
          <w:szCs w:val="32"/>
        </w:rPr>
        <w:t>附件2</w:t>
      </w:r>
      <w:bookmarkEnd w:id="59"/>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w:t>
      </w:r>
      <w:r>
        <w:rPr>
          <w:rFonts w:ascii="黑体" w:hAnsi="黑体" w:eastAsia="黑体" w:cs="方正小标宋简体"/>
          <w:sz w:val="44"/>
          <w:szCs w:val="44"/>
        </w:rPr>
        <w:t>20</w:t>
      </w:r>
      <w:r>
        <w:rPr>
          <w:rFonts w:hint="eastAsia" w:ascii="黑体" w:hAnsi="黑体" w:eastAsia="黑体" w:cs="方正小标宋简体"/>
          <w:sz w:val="44"/>
          <w:szCs w:val="44"/>
        </w:rPr>
        <w:t>年“关爱留守儿童”项目支出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（一）项目选点：关爱留守儿童项目自实施以来，一直受到各级政府和社会爱心人士的关注和支持。</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指标：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被评价项目绩效评价指标体系设置三个一级指标、八个二级指标、十五个三级指标。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（1）一级指标：项目设置项目完成、项目效益、满意度指标三个。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（2）二级指标：项目完成设置数量目标、质量指标、时效指标和成本指标四个，项目效益设置经济效益、社会效益和可持续影响指标三个，满意度指标设置社会满意度指标一个。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（3）三级指标：数量指标设置指标1：为试点社区提供日常工作经费，保障“童伴计划”顺利开展，为留守儿童提供亲情陪护</w:t>
      </w:r>
      <w:r>
        <w:rPr>
          <w:rFonts w:hint="eastAsia" w:ascii="仿宋" w:hAnsi="仿宋" w:eastAsia="仿宋" w:cs="仿宋_GB2312"/>
          <w:sz w:val="32"/>
          <w:szCs w:val="32"/>
          <w:lang w:eastAsia="zh-CN"/>
        </w:rPr>
        <w:t>；</w:t>
      </w:r>
      <w:r>
        <w:rPr>
          <w:rFonts w:hint="eastAsia" w:ascii="仿宋" w:hAnsi="仿宋" w:eastAsia="仿宋" w:cs="仿宋_GB2312"/>
          <w:sz w:val="32"/>
          <w:szCs w:val="32"/>
        </w:rPr>
        <w:t>指标2：为试点社区提供日常工作经费，保障“城乡社区互助计划”顺利开展；社会效益指标设置为留守儿童提供亲情陪护，让留守儿童健康成长；社会满意度指标为让留守儿童满意。</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绩效评价方法主要采用成本效益分析法、比较法、因素分析法、最低成本法、公众评判法等。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w:t>
      </w:r>
      <w:r>
        <w:rPr>
          <w:rFonts w:ascii="仿宋" w:hAnsi="仿宋" w:eastAsia="仿宋" w:cs="仿宋_GB2312"/>
          <w:sz w:val="32"/>
          <w:szCs w:val="32"/>
        </w:rPr>
        <w:t>20</w:t>
      </w:r>
      <w:r>
        <w:rPr>
          <w:rFonts w:hint="eastAsia" w:ascii="仿宋" w:hAnsi="仿宋" w:eastAsia="仿宋" w:cs="仿宋_GB2312"/>
          <w:sz w:val="32"/>
          <w:szCs w:val="32"/>
        </w:rPr>
        <w:t>年度关爱留守儿童项目实现了对农村留守儿童的关爱和亲情陪护，让留守儿童健康成长，项目受益儿童</w:t>
      </w:r>
      <w:r>
        <w:rPr>
          <w:rFonts w:ascii="仿宋" w:hAnsi="仿宋" w:eastAsia="仿宋" w:cs="仿宋_GB2312"/>
          <w:sz w:val="32"/>
          <w:szCs w:val="32"/>
        </w:rPr>
        <w:t>52</w:t>
      </w:r>
      <w:r>
        <w:rPr>
          <w:rFonts w:hint="eastAsia" w:ascii="仿宋" w:hAnsi="仿宋" w:eastAsia="仿宋" w:cs="仿宋_GB2312"/>
          <w:sz w:val="32"/>
          <w:szCs w:val="32"/>
        </w:rPr>
        <w:t>余人。项目目标明确、资金到位率高、资金使用规范、组织监管体系完善，项目质量达到相关行业标准，符合经济社会发展和客观实际的要求，达到预期绩效目标要求。</w:t>
      </w:r>
    </w:p>
    <w:p>
      <w:pPr>
        <w:jc w:val="center"/>
        <w:rPr>
          <w:rFonts w:ascii="黑体" w:hAnsi="黑体" w:eastAsia="黑体"/>
          <w:color w:val="000000"/>
          <w:sz w:val="32"/>
          <w:szCs w:val="32"/>
        </w:rPr>
      </w:pPr>
      <w:r>
        <w:rPr>
          <w:rFonts w:hint="eastAsia" w:ascii="黑体" w:hAnsi="黑体" w:eastAsia="黑体" w:cs="方正小标宋简体"/>
          <w:sz w:val="32"/>
          <w:szCs w:val="32"/>
        </w:rPr>
        <w:t>关爱留守儿童</w:t>
      </w:r>
      <w:r>
        <w:rPr>
          <w:rFonts w:hint="eastAsia" w:ascii="黑体" w:hAnsi="黑体" w:eastAsia="黑体"/>
          <w:color w:val="000000"/>
          <w:sz w:val="32"/>
          <w:szCs w:val="32"/>
        </w:rPr>
        <w:t>项目支出绩效评价得分表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820"/>
        <w:gridCol w:w="3047"/>
        <w:gridCol w:w="1130"/>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4182" w:type="pct"/>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黑体" w:hAnsi="黑体" w:eastAsia="黑体"/>
                <w:color w:val="000000"/>
                <w:sz w:val="28"/>
                <w:szCs w:val="28"/>
              </w:rPr>
              <w:t>关爱留守儿童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1068"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1788"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三级指标</w:t>
            </w:r>
          </w:p>
        </w:tc>
        <w:tc>
          <w:tcPr>
            <w:tcW w:w="663"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663"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pct"/>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项目完成指标</w:t>
            </w:r>
          </w:p>
        </w:tc>
        <w:tc>
          <w:tcPr>
            <w:tcW w:w="1068" w:type="pct"/>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数量指标</w:t>
            </w:r>
          </w:p>
        </w:tc>
        <w:tc>
          <w:tcPr>
            <w:tcW w:w="1788" w:type="pct"/>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为留守儿童提供各类服务</w:t>
            </w:r>
          </w:p>
        </w:tc>
        <w:tc>
          <w:tcPr>
            <w:tcW w:w="663"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25</w:t>
            </w:r>
          </w:p>
        </w:tc>
        <w:tc>
          <w:tcPr>
            <w:tcW w:w="663"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1068" w:type="pct"/>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1788"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完成质量</w:t>
            </w:r>
          </w:p>
        </w:tc>
        <w:tc>
          <w:tcPr>
            <w:tcW w:w="663"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w:t>
            </w:r>
          </w:p>
        </w:tc>
        <w:tc>
          <w:tcPr>
            <w:tcW w:w="663"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1068" w:type="pct"/>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1788"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完成时效</w:t>
            </w:r>
          </w:p>
        </w:tc>
        <w:tc>
          <w:tcPr>
            <w:tcW w:w="663"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w:t>
            </w:r>
          </w:p>
        </w:tc>
        <w:tc>
          <w:tcPr>
            <w:tcW w:w="663"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1068" w:type="pct"/>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1788"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完成成本</w:t>
            </w:r>
          </w:p>
        </w:tc>
        <w:tc>
          <w:tcPr>
            <w:tcW w:w="663"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5</w:t>
            </w:r>
          </w:p>
        </w:tc>
        <w:tc>
          <w:tcPr>
            <w:tcW w:w="663"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ascii="宋体" w:hAnsi="宋体"/>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1068" w:type="pct"/>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质量指标</w:t>
            </w:r>
          </w:p>
        </w:tc>
        <w:tc>
          <w:tcPr>
            <w:tcW w:w="1788" w:type="pct"/>
            <w:tcBorders>
              <w:top w:val="single" w:color="auto" w:sz="4" w:space="0"/>
              <w:left w:val="nil"/>
              <w:right w:val="single" w:color="auto" w:sz="4" w:space="0"/>
            </w:tcBorders>
            <w:vAlign w:val="center"/>
          </w:tcPr>
          <w:p>
            <w:pPr>
              <w:widowControl/>
              <w:tabs>
                <w:tab w:val="left" w:pos="533"/>
              </w:tabs>
              <w:jc w:val="center"/>
              <w:textAlignment w:val="center"/>
              <w:rPr>
                <w:rFonts w:ascii="宋体" w:hAnsi="宋体"/>
                <w:color w:val="000000"/>
                <w:kern w:val="0"/>
                <w:sz w:val="20"/>
                <w:szCs w:val="20"/>
              </w:rPr>
            </w:pPr>
            <w:r>
              <w:rPr>
                <w:rFonts w:hint="eastAsia" w:ascii="宋体" w:hAnsi="宋体"/>
                <w:color w:val="000000"/>
                <w:kern w:val="0"/>
                <w:sz w:val="20"/>
                <w:szCs w:val="20"/>
              </w:rPr>
              <w:t>为试点社区提供日常工作经费</w:t>
            </w:r>
          </w:p>
        </w:tc>
        <w:tc>
          <w:tcPr>
            <w:tcW w:w="663" w:type="pct"/>
            <w:tcBorders>
              <w:top w:val="nil"/>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20</w:t>
            </w:r>
          </w:p>
        </w:tc>
        <w:tc>
          <w:tcPr>
            <w:tcW w:w="663"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pc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68" w:type="pct"/>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788" w:type="pct"/>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留守儿童健康成长</w:t>
            </w:r>
          </w:p>
        </w:tc>
        <w:tc>
          <w:tcPr>
            <w:tcW w:w="663"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20</w:t>
            </w:r>
          </w:p>
        </w:tc>
        <w:tc>
          <w:tcPr>
            <w:tcW w:w="663"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pc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68" w:type="pct"/>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1788" w:type="pct"/>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留守儿童满意</w:t>
            </w:r>
          </w:p>
        </w:tc>
        <w:tc>
          <w:tcPr>
            <w:tcW w:w="663"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w:t>
            </w:r>
          </w:p>
        </w:tc>
        <w:tc>
          <w:tcPr>
            <w:tcW w:w="663"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4182" w:type="pct"/>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olor w:val="000000"/>
                <w:kern w:val="0"/>
              </w:rPr>
            </w:pPr>
            <w:r>
              <w:rPr>
                <w:rFonts w:hint="eastAsia" w:ascii="宋体" w:hAnsi="宋体"/>
                <w:color w:val="000000"/>
                <w:kern w:val="0"/>
              </w:rPr>
              <w:t>100</w:t>
            </w:r>
          </w:p>
        </w:tc>
      </w:tr>
    </w:tbl>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可行性：领导高度重视，亲自安排、亲自部署、亲自督促；经费来源由财政专项划拨。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w:t>
      </w:r>
      <w:r>
        <w:rPr>
          <w:rFonts w:hint="eastAsia" w:ascii="仿宋" w:hAnsi="仿宋" w:eastAsia="仿宋" w:cs="仿宋_GB2312"/>
          <w:sz w:val="32"/>
          <w:szCs w:val="32"/>
          <w:lang w:eastAsia="zh-CN"/>
        </w:rPr>
        <w:t>：</w:t>
      </w:r>
      <w:r>
        <w:rPr>
          <w:rFonts w:hint="eastAsia" w:ascii="仿宋" w:hAnsi="仿宋" w:eastAsia="仿宋" w:cs="仿宋_GB2312"/>
          <w:sz w:val="32"/>
          <w:szCs w:val="32"/>
        </w:rPr>
        <w:t>20</w:t>
      </w:r>
      <w:r>
        <w:rPr>
          <w:rFonts w:ascii="仿宋" w:hAnsi="仿宋" w:eastAsia="仿宋" w:cs="仿宋_GB2312"/>
          <w:sz w:val="32"/>
          <w:szCs w:val="32"/>
        </w:rPr>
        <w:t>20</w:t>
      </w:r>
      <w:r>
        <w:rPr>
          <w:rFonts w:hint="eastAsia" w:ascii="仿宋" w:hAnsi="仿宋" w:eastAsia="仿宋" w:cs="仿宋_GB2312"/>
          <w:sz w:val="32"/>
          <w:szCs w:val="32"/>
        </w:rPr>
        <w:t>年关爱留守儿童项目收到省级资金2万元，能够满足利州区童伴计划的正常高效开展。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截止20</w:t>
      </w:r>
      <w:r>
        <w:rPr>
          <w:rFonts w:ascii="仿宋" w:hAnsi="仿宋" w:eastAsia="仿宋" w:cs="仿宋_GB2312"/>
          <w:sz w:val="32"/>
          <w:szCs w:val="32"/>
        </w:rPr>
        <w:t>20</w:t>
      </w:r>
      <w:r>
        <w:rPr>
          <w:rFonts w:hint="eastAsia" w:ascii="仿宋" w:hAnsi="仿宋" w:eastAsia="仿宋" w:cs="仿宋_GB2312"/>
          <w:sz w:val="32"/>
          <w:szCs w:val="32"/>
        </w:rPr>
        <w:t>年12月31日实际拨付项目资金2万元。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资金使用情况</w:t>
      </w:r>
      <w:r>
        <w:rPr>
          <w:rFonts w:hint="eastAsia" w:ascii="仿宋" w:hAnsi="仿宋" w:eastAsia="仿宋" w:cs="仿宋_GB2312"/>
          <w:sz w:val="32"/>
          <w:szCs w:val="32"/>
        </w:rPr>
        <w:t>：在资金使用上，按照团省委和团市委的要求，制定了相应的财务管理制度，做到专款专用、专项核算。项目点资金支出手续齐全，收支票据规范，原始凭证合规，无白条抵账、不合规凭证和大额现金支付等现象，无超范围使用或挪作他用的现象。</w:t>
      </w:r>
    </w:p>
    <w:p>
      <w:pPr>
        <w:numPr>
          <w:ilvl w:val="0"/>
          <w:numId w:val="6"/>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：20</w:t>
      </w:r>
      <w:r>
        <w:rPr>
          <w:rFonts w:ascii="仿宋" w:hAnsi="仿宋" w:eastAsia="仿宋" w:cs="仿宋_GB2312"/>
          <w:sz w:val="32"/>
          <w:szCs w:val="32"/>
        </w:rPr>
        <w:t>20</w:t>
      </w:r>
      <w:r>
        <w:rPr>
          <w:rFonts w:hint="eastAsia" w:ascii="仿宋" w:hAnsi="仿宋" w:eastAsia="仿宋" w:cs="仿宋_GB2312"/>
          <w:sz w:val="32"/>
          <w:szCs w:val="32"/>
        </w:rPr>
        <w:t>年度关爱留守儿童资金覆盖率达到100%，两个项目点在持续深化留守学生等重点青少年群体关爱行动，深入开展“童伴计划”“城乡社区互助计划”等关爱项目方面，积极为留守儿童、贫困儿童提供学业辅导、心理疏导、亲情陪护等各种服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项目效益情况</w:t>
      </w:r>
      <w:r>
        <w:rPr>
          <w:rFonts w:hint="eastAsia" w:ascii="仿宋" w:hAnsi="仿宋" w:eastAsia="仿宋" w:cs="仿宋_GB2312"/>
          <w:sz w:val="32"/>
          <w:szCs w:val="32"/>
        </w:rPr>
        <w:t>：项目的实施有效改善了留守儿童的现状，促进了儿童身心健康的发展，</w:t>
      </w:r>
      <w:r>
        <w:rPr>
          <w:rFonts w:hint="eastAsia" w:ascii="仿宋" w:hAnsi="仿宋" w:eastAsia="仿宋" w:cs="仿宋_GB2312"/>
          <w:sz w:val="32"/>
          <w:szCs w:val="32"/>
          <w:lang w:eastAsia="zh-CN"/>
        </w:rPr>
        <w:t>有力地支持了</w:t>
      </w:r>
      <w:r>
        <w:rPr>
          <w:rFonts w:hint="eastAsia" w:ascii="仿宋" w:hAnsi="仿宋" w:eastAsia="仿宋" w:cs="仿宋_GB2312"/>
          <w:sz w:val="32"/>
          <w:szCs w:val="32"/>
        </w:rPr>
        <w:t>扶贫关爱事业的发展，减轻了贫困家庭的经济负担，广大群众看到了变化，有了实实在在的“获得感”。从全区20</w:t>
      </w:r>
      <w:r>
        <w:rPr>
          <w:rFonts w:ascii="仿宋" w:hAnsi="仿宋" w:eastAsia="仿宋" w:cs="仿宋_GB2312"/>
          <w:sz w:val="32"/>
          <w:szCs w:val="32"/>
        </w:rPr>
        <w:t>20</w:t>
      </w:r>
      <w:r>
        <w:rPr>
          <w:rFonts w:hint="eastAsia" w:ascii="仿宋" w:hAnsi="仿宋" w:eastAsia="仿宋" w:cs="仿宋_GB2312"/>
          <w:sz w:val="32"/>
          <w:szCs w:val="32"/>
        </w:rPr>
        <w:t>年走访调查情况来看，与往年同期相比，儿童更加开朗、学习成绩有明显提高，同时，项目实施有效缓解了儿童的家庭压力，让父母能够在外安心务工，促进家庭和睦。</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通过问卷调查、电话访问、现场走访等形式，对学生、学生家长等进行的调查反映，项目实施以来，得到了儿童和家长的认同和支持，社会反响好</w:t>
      </w:r>
      <w:r>
        <w:rPr>
          <w:rFonts w:hint="eastAsia" w:ascii="仿宋" w:hAnsi="仿宋" w:eastAsia="仿宋" w:cs="仿宋_GB2312"/>
          <w:sz w:val="32"/>
          <w:szCs w:val="32"/>
          <w:lang w:eastAsia="zh-CN"/>
        </w:rPr>
        <w:t>。</w:t>
      </w:r>
    </w:p>
    <w:p>
      <w:pPr>
        <w:numPr>
          <w:ilvl w:val="0"/>
          <w:numId w:val="1"/>
        </w:numPr>
        <w:spacing w:line="580" w:lineRule="exact"/>
        <w:rPr>
          <w:rFonts w:ascii="仿宋" w:hAnsi="仿宋" w:eastAsia="仿宋" w:cs="仿宋_GB2312"/>
          <w:sz w:val="32"/>
          <w:szCs w:val="32"/>
        </w:rPr>
      </w:pPr>
      <w:r>
        <w:rPr>
          <w:rFonts w:ascii="仿宋" w:hAnsi="仿宋" w:eastAsia="仿宋" w:cs="仿宋_GB2312"/>
          <w:sz w:val="32"/>
          <w:szCs w:val="32"/>
        </w:rPr>
        <w:t>存在主要问题</w:t>
      </w:r>
    </w:p>
    <w:p>
      <w:pPr>
        <w:numPr>
          <w:ilvl w:val="0"/>
          <w:numId w:val="7"/>
        </w:numPr>
        <w:ind w:firstLine="640" w:firstLineChars="200"/>
        <w:rPr>
          <w:rFonts w:ascii="仿宋" w:hAnsi="仿宋" w:eastAsia="仿宋" w:cs="仿宋"/>
          <w:sz w:val="32"/>
          <w:szCs w:val="32"/>
        </w:rPr>
      </w:pPr>
      <w:r>
        <w:rPr>
          <w:rFonts w:hint="eastAsia" w:ascii="仿宋" w:hAnsi="仿宋" w:eastAsia="仿宋" w:cs="仿宋"/>
          <w:sz w:val="32"/>
          <w:szCs w:val="32"/>
        </w:rPr>
        <w:t>到童伴之家参加活动的儿童数量较少，平均在八九人左右，较多的有二十三人，主要是离家较远，还有对童伴之家开展的活动不太感兴趣，每次来参加活动的基本上是住在附近的儿童，家长接送方便；</w:t>
      </w:r>
    </w:p>
    <w:p>
      <w:pPr>
        <w:numPr>
          <w:ilvl w:val="0"/>
          <w:numId w:val="7"/>
        </w:numPr>
        <w:ind w:firstLine="640" w:firstLineChars="200"/>
        <w:rPr>
          <w:rFonts w:ascii="仿宋" w:hAnsi="仿宋" w:eastAsia="仿宋" w:cs="仿宋"/>
          <w:sz w:val="32"/>
          <w:szCs w:val="32"/>
        </w:rPr>
      </w:pPr>
      <w:r>
        <w:rPr>
          <w:rFonts w:hint="eastAsia" w:ascii="仿宋" w:hAnsi="仿宋" w:eastAsia="仿宋" w:cs="仿宋"/>
          <w:sz w:val="32"/>
          <w:szCs w:val="32"/>
        </w:rPr>
        <w:t>创新不够，活动形式较为单一。活动通常在室内开展，在作业写完后进行玩游戏做手工等活动，但一般写作业会花掉大部分时间，活动时间较短且活动形式少，有些孩子不太喜欢这类游戏，后期逐渐就不再来童伴之家。最吸引他们的是给他们分发零食和小礼品，更多时候发放的礼品是文具，慢慢的礼品对他们的吸引力也在减少。</w:t>
      </w:r>
    </w:p>
    <w:p>
      <w:pPr>
        <w:numPr>
          <w:ilvl w:val="0"/>
          <w:numId w:val="1"/>
        </w:numPr>
        <w:spacing w:line="580" w:lineRule="exact"/>
        <w:rPr>
          <w:rFonts w:ascii="仿宋" w:hAnsi="仿宋" w:eastAsia="仿宋" w:cs="仿宋_GB2312"/>
          <w:sz w:val="32"/>
          <w:szCs w:val="32"/>
        </w:rPr>
      </w:pPr>
      <w:r>
        <w:rPr>
          <w:rFonts w:ascii="仿宋" w:hAnsi="仿宋" w:eastAsia="仿宋" w:cs="仿宋_GB2312"/>
          <w:sz w:val="32"/>
          <w:szCs w:val="32"/>
        </w:rPr>
        <w:t>相关措施建议</w:t>
      </w:r>
    </w:p>
    <w:p>
      <w:pPr>
        <w:ind w:firstLine="640" w:firstLineChars="200"/>
        <w:rPr>
          <w:rFonts w:ascii="仿宋" w:hAnsi="仿宋" w:eastAsia="仿宋" w:cs="仿宋"/>
          <w:sz w:val="32"/>
          <w:szCs w:val="32"/>
        </w:rPr>
      </w:pPr>
      <w:r>
        <w:rPr>
          <w:rFonts w:hint="eastAsia" w:ascii="仿宋" w:hAnsi="仿宋" w:eastAsia="仿宋" w:cs="仿宋"/>
          <w:sz w:val="32"/>
          <w:szCs w:val="32"/>
        </w:rPr>
        <w:t>希望童伴计划可以惠及更多的儿童，并且希望有更多的志愿者团队参与到我们的项目，使童伴之家的活动形式更加丰富和规范，吸引更多的儿童前来参与，加强对家长的安全意识教育，规范家长接送问题。积极争取更多的资金，丰富活动内容，让困难留守儿童得到更多的福利。</w:t>
      </w:r>
    </w:p>
    <w:p>
      <w:pPr>
        <w:spacing w:line="580" w:lineRule="exact"/>
        <w:rPr>
          <w:rFonts w:ascii="黑体" w:hAnsi="黑体" w:eastAsia="黑体" w:cs="方正小标宋简体"/>
          <w:sz w:val="44"/>
          <w:szCs w:val="44"/>
        </w:rPr>
      </w:pPr>
      <w:bookmarkStart w:id="60" w:name="_Toc15396618"/>
    </w:p>
    <w:p>
      <w:pPr>
        <w:spacing w:line="580" w:lineRule="exact"/>
        <w:rPr>
          <w:rFonts w:ascii="黑体" w:hAnsi="黑体" w:eastAsia="黑体" w:cs="方正小标宋简体"/>
          <w:sz w:val="44"/>
          <w:szCs w:val="44"/>
        </w:rPr>
      </w:pPr>
      <w:r>
        <w:rPr>
          <w:rFonts w:hint="eastAsia" w:ascii="黑体" w:hAnsi="黑体" w:eastAsia="黑体" w:cs="方正小标宋简体"/>
          <w:sz w:val="44"/>
          <w:szCs w:val="44"/>
        </w:rPr>
        <w:t>附件</w:t>
      </w:r>
      <w:r>
        <w:rPr>
          <w:rFonts w:ascii="黑体" w:hAnsi="黑体" w:eastAsia="黑体" w:cs="方正小标宋简体"/>
          <w:sz w:val="44"/>
          <w:szCs w:val="44"/>
        </w:rPr>
        <w:t>2</w:t>
      </w: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w:t>
      </w:r>
      <w:r>
        <w:rPr>
          <w:rFonts w:ascii="黑体" w:hAnsi="黑体" w:eastAsia="黑体" w:cs="方正小标宋简体"/>
          <w:sz w:val="44"/>
          <w:szCs w:val="44"/>
        </w:rPr>
        <w:t>20</w:t>
      </w:r>
      <w:r>
        <w:rPr>
          <w:rFonts w:hint="eastAsia" w:ascii="黑体" w:hAnsi="黑体" w:eastAsia="黑体" w:cs="方正小标宋简体"/>
          <w:sz w:val="44"/>
          <w:szCs w:val="44"/>
        </w:rPr>
        <w:t>年“大学生志愿服务西部计划”项目支出绩效评价报告</w:t>
      </w:r>
    </w:p>
    <w:p>
      <w:pPr>
        <w:spacing w:line="580" w:lineRule="exact"/>
        <w:ind w:firstLine="640" w:firstLineChars="200"/>
        <w:jc w:val="center"/>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（一）项目选点：大学生志愿服务西部计划共青团中央、教育部、财政部、人力资源社会保障部联合组织，引导广大青年到祖国最需要的地方奉献青春、建功立业，项目选址万源办公楼。</w:t>
      </w:r>
    </w:p>
    <w:p>
      <w:pPr>
        <w:spacing w:line="58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二）评价指标：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被评价项目绩效评价指标体系设置三个一级指标、八个二级指标、十五个三级指标。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（1）一级指标：项目设置项目完成、项目效益、满意度指标三个。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（2）二级指标：项目完成设置数量目标、质量指标、时效指标和成本指标四个，项目效益设置经济效益、社会效益和可持续影响指标三个，满意度指标设置社会满意度指标一个。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（3）三级指标：数量指标设置指标1：完成志愿者会前培训；指标2：完成志愿者服务；指标3：保障志愿者补助等经费落实。</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绩效评价方法主要采用成本效益分析法、比较法、因素分析法、最低成本法、公众评判法等。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项目实施以来，目标明确、资金到位率高、资金使用规范、组织监管体系完善，项目质量达到相关行业标准，符合经济社会发展和客观实际的要求，达到预期绩效目标要求。</w:t>
      </w:r>
    </w:p>
    <w:p>
      <w:pPr>
        <w:jc w:val="center"/>
        <w:rPr>
          <w:rFonts w:ascii="黑体" w:hAnsi="黑体" w:eastAsia="黑体"/>
          <w:color w:val="000000"/>
          <w:sz w:val="30"/>
          <w:szCs w:val="30"/>
        </w:rPr>
      </w:pPr>
      <w:r>
        <w:rPr>
          <w:rFonts w:hint="eastAsia" w:ascii="黑体" w:hAnsi="黑体" w:eastAsia="黑体"/>
          <w:color w:val="000000"/>
          <w:sz w:val="30"/>
          <w:szCs w:val="30"/>
        </w:rPr>
        <w:t>广元市利州区大学生志愿服务西部计划项目支出</w:t>
      </w:r>
    </w:p>
    <w:p>
      <w:pPr>
        <w:jc w:val="center"/>
        <w:rPr>
          <w:rFonts w:ascii="黑体" w:hAnsi="黑体" w:eastAsia="黑体"/>
          <w:color w:val="000000"/>
          <w:sz w:val="30"/>
          <w:szCs w:val="30"/>
        </w:rPr>
      </w:pPr>
      <w:r>
        <w:rPr>
          <w:rFonts w:hint="eastAsia" w:ascii="黑体" w:hAnsi="黑体" w:eastAsia="黑体"/>
          <w:color w:val="000000"/>
          <w:sz w:val="30"/>
          <w:szCs w:val="30"/>
        </w:rPr>
        <w:t>绩效评价得分表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820"/>
        <w:gridCol w:w="3047"/>
        <w:gridCol w:w="1130"/>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1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项目名称</w:t>
            </w:r>
          </w:p>
        </w:tc>
        <w:tc>
          <w:tcPr>
            <w:tcW w:w="4182" w:type="pct"/>
            <w:gridSpan w:val="4"/>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rPr>
            </w:pPr>
            <w:r>
              <w:rPr>
                <w:rFonts w:hint="eastAsia" w:cs="方正小标宋简体" w:asciiTheme="minorEastAsia" w:hAnsiTheme="minorEastAsia" w:eastAsiaTheme="minorEastAsia"/>
                <w:sz w:val="24"/>
              </w:rPr>
              <w:t>广元市利州区第三届四川村长论坛暨村社发展大会志愿服务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1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一级</w:t>
            </w:r>
          </w:p>
          <w:p>
            <w:pPr>
              <w:widowControl/>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指标</w:t>
            </w:r>
          </w:p>
        </w:tc>
        <w:tc>
          <w:tcPr>
            <w:tcW w:w="1068" w:type="pct"/>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二级</w:t>
            </w:r>
          </w:p>
          <w:p>
            <w:pPr>
              <w:widowControl/>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指标</w:t>
            </w:r>
          </w:p>
        </w:tc>
        <w:tc>
          <w:tcPr>
            <w:tcW w:w="1788" w:type="pct"/>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三级指标</w:t>
            </w:r>
          </w:p>
        </w:tc>
        <w:tc>
          <w:tcPr>
            <w:tcW w:w="663" w:type="pct"/>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分值</w:t>
            </w:r>
          </w:p>
        </w:tc>
        <w:tc>
          <w:tcPr>
            <w:tcW w:w="663" w:type="pct"/>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18" w:type="pct"/>
            <w:vMerge w:val="restart"/>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项目完成指标</w:t>
            </w:r>
          </w:p>
        </w:tc>
        <w:tc>
          <w:tcPr>
            <w:tcW w:w="1068" w:type="pct"/>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olor w:val="000000"/>
                <w:kern w:val="0"/>
                <w:sz w:val="24"/>
              </w:rPr>
            </w:pPr>
            <w:r>
              <w:rPr>
                <w:rFonts w:hint="eastAsia" w:cs="宋体" w:asciiTheme="minorEastAsia" w:hAnsiTheme="minorEastAsia" w:eastAsiaTheme="minorEastAsia"/>
                <w:color w:val="000000"/>
                <w:sz w:val="24"/>
              </w:rPr>
              <w:t>数量指标</w:t>
            </w:r>
          </w:p>
        </w:tc>
        <w:tc>
          <w:tcPr>
            <w:tcW w:w="1788" w:type="pct"/>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完成志愿者会前培训</w:t>
            </w:r>
          </w:p>
        </w:tc>
        <w:tc>
          <w:tcPr>
            <w:tcW w:w="663" w:type="pct"/>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20</w:t>
            </w:r>
          </w:p>
        </w:tc>
        <w:tc>
          <w:tcPr>
            <w:tcW w:w="663" w:type="pct"/>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18" w:type="pct"/>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4"/>
              </w:rPr>
            </w:pPr>
          </w:p>
        </w:tc>
        <w:tc>
          <w:tcPr>
            <w:tcW w:w="1068" w:type="pct"/>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olor w:val="000000"/>
                <w:kern w:val="0"/>
                <w:sz w:val="24"/>
              </w:rPr>
            </w:pPr>
            <w:r>
              <w:rPr>
                <w:rFonts w:hint="eastAsia" w:cs="宋体" w:asciiTheme="minorEastAsia" w:hAnsiTheme="minorEastAsia" w:eastAsiaTheme="minorEastAsia"/>
                <w:color w:val="000000"/>
                <w:sz w:val="24"/>
              </w:rPr>
              <w:t>质量指标</w:t>
            </w:r>
          </w:p>
        </w:tc>
        <w:tc>
          <w:tcPr>
            <w:tcW w:w="1788" w:type="pct"/>
            <w:tcBorders>
              <w:top w:val="single" w:color="auto" w:sz="4" w:space="0"/>
              <w:left w:val="nil"/>
              <w:right w:val="single" w:color="auto" w:sz="4" w:space="0"/>
            </w:tcBorders>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完成志愿者服务</w:t>
            </w:r>
          </w:p>
        </w:tc>
        <w:tc>
          <w:tcPr>
            <w:tcW w:w="663" w:type="pct"/>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50</w:t>
            </w:r>
          </w:p>
        </w:tc>
        <w:tc>
          <w:tcPr>
            <w:tcW w:w="663" w:type="pct"/>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8" w:type="pct"/>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效益指标</w:t>
            </w:r>
          </w:p>
        </w:tc>
        <w:tc>
          <w:tcPr>
            <w:tcW w:w="1068" w:type="pct"/>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社会效益</w:t>
            </w:r>
          </w:p>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指标</w:t>
            </w:r>
          </w:p>
        </w:tc>
        <w:tc>
          <w:tcPr>
            <w:tcW w:w="1788" w:type="pct"/>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保障志愿者补助等经费落实</w:t>
            </w:r>
          </w:p>
        </w:tc>
        <w:tc>
          <w:tcPr>
            <w:tcW w:w="663" w:type="pct"/>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20</w:t>
            </w:r>
          </w:p>
        </w:tc>
        <w:tc>
          <w:tcPr>
            <w:tcW w:w="663" w:type="pct"/>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8" w:type="pct"/>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满意度</w:t>
            </w:r>
          </w:p>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指标</w:t>
            </w:r>
          </w:p>
        </w:tc>
        <w:tc>
          <w:tcPr>
            <w:tcW w:w="1068" w:type="pct"/>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满意度指标</w:t>
            </w:r>
          </w:p>
        </w:tc>
        <w:tc>
          <w:tcPr>
            <w:tcW w:w="1788" w:type="pct"/>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让社会组织满意</w:t>
            </w:r>
          </w:p>
        </w:tc>
        <w:tc>
          <w:tcPr>
            <w:tcW w:w="663" w:type="pct"/>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10</w:t>
            </w:r>
          </w:p>
        </w:tc>
        <w:tc>
          <w:tcPr>
            <w:tcW w:w="663" w:type="pct"/>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18" w:type="pct"/>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总分</w:t>
            </w:r>
          </w:p>
        </w:tc>
        <w:tc>
          <w:tcPr>
            <w:tcW w:w="4182" w:type="pct"/>
            <w:gridSpan w:val="4"/>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100</w:t>
            </w:r>
          </w:p>
        </w:tc>
      </w:tr>
    </w:tbl>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是团中央、教育部根据国务院常务会议、《国务院办公厅关于做好2003年普通高等学校毕业生就业工作通知》和2003年全国高校毕业生就业工作电视电话会议精神的要求而实施的，财政部、人社部给予相关政策、资金支持。</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w:t>
      </w:r>
      <w:r>
        <w:rPr>
          <w:rFonts w:hint="eastAsia" w:ascii="仿宋" w:hAnsi="仿宋" w:eastAsia="仿宋" w:cs="仿宋_GB2312"/>
          <w:sz w:val="32"/>
          <w:szCs w:val="32"/>
          <w:lang w:eastAsia="zh-CN"/>
        </w:rPr>
        <w:t>：</w:t>
      </w:r>
      <w:r>
        <w:rPr>
          <w:rFonts w:hint="eastAsia" w:ascii="仿宋" w:hAnsi="仿宋" w:eastAsia="仿宋" w:cs="仿宋_GB2312"/>
          <w:sz w:val="32"/>
          <w:szCs w:val="32"/>
        </w:rPr>
        <w:t>广元市利州区大学生志愿服务西部计划项目收到区财政下拨级资金</w:t>
      </w:r>
      <w:r>
        <w:rPr>
          <w:rFonts w:ascii="仿宋" w:hAnsi="仿宋" w:eastAsia="仿宋" w:cs="仿宋_GB2312"/>
          <w:sz w:val="32"/>
          <w:szCs w:val="32"/>
        </w:rPr>
        <w:t>4</w:t>
      </w:r>
      <w:r>
        <w:rPr>
          <w:rFonts w:hint="eastAsia" w:ascii="仿宋" w:hAnsi="仿宋" w:eastAsia="仿宋" w:cs="仿宋_GB2312"/>
          <w:sz w:val="32"/>
          <w:szCs w:val="32"/>
        </w:rPr>
        <w:t>万元，能够满足广元市利州区大学生志愿服务西部计划正常高效开展。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截止2020年12月31日实际拨付项目资金</w:t>
      </w:r>
      <w:r>
        <w:rPr>
          <w:rFonts w:ascii="仿宋" w:hAnsi="仿宋" w:eastAsia="仿宋" w:cs="仿宋_GB2312"/>
          <w:sz w:val="32"/>
          <w:szCs w:val="32"/>
        </w:rPr>
        <w:t>4</w:t>
      </w:r>
      <w:r>
        <w:rPr>
          <w:rFonts w:hint="eastAsia" w:ascii="仿宋" w:hAnsi="仿宋" w:eastAsia="仿宋" w:cs="仿宋_GB2312"/>
          <w:sz w:val="32"/>
          <w:szCs w:val="32"/>
        </w:rPr>
        <w:t>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资金使用情况</w:t>
      </w:r>
      <w:r>
        <w:rPr>
          <w:rFonts w:hint="eastAsia" w:ascii="仿宋" w:hAnsi="仿宋" w:eastAsia="仿宋" w:cs="仿宋_GB2312"/>
          <w:sz w:val="32"/>
          <w:szCs w:val="32"/>
        </w:rPr>
        <w:t>：在资金使用上，按照团省委、团市委的要求，制定了相应的财务管理制度，做到专款专用、专项核算。项目点资金支出手续齐全，收支票据规范，原始凭证合规，无白条抵账、不合规凭证和大额现金支付等现象，无超范围使用或挪作他用的现象。</w:t>
      </w:r>
    </w:p>
    <w:p>
      <w:pPr>
        <w:numPr>
          <w:ilvl w:val="0"/>
          <w:numId w:val="6"/>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2020年广元市利州区大学生志愿服务西部计划项目资金覆盖率达到100%，项目在助力西部计划志愿者自我教育、自我管理、自我服务，积极推动期满志愿者多渠道就业、参加省级以上活动、引导志愿者贡献青年力量等方面充分发挥保障作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项目效益情况</w:t>
      </w:r>
      <w:r>
        <w:rPr>
          <w:rFonts w:hint="eastAsia" w:ascii="仿宋" w:hAnsi="仿宋" w:eastAsia="仿宋" w:cs="仿宋_GB2312"/>
          <w:sz w:val="32"/>
          <w:szCs w:val="32"/>
        </w:rPr>
        <w:t>：项目的实施有效保障了西部计划志愿者在从事志愿服务期间的安全与基础生活，并鼓励支持期满志愿者扎根当地就业创业，有效留住了人才，促进本地经济发展。同时组织西部计划志愿者参加各种活动，锻炼西部计划志愿者能力，促进西部计划志愿者成长。</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存在主要问题</w:t>
      </w:r>
      <w:r>
        <w:rPr>
          <w:rFonts w:hint="eastAsia" w:ascii="仿宋" w:hAnsi="仿宋" w:eastAsia="仿宋" w:cs="仿宋_GB2312"/>
          <w:sz w:val="32"/>
          <w:szCs w:val="32"/>
        </w:rPr>
        <w:t>：该项目自实施以来，始终按照全国项目办、省项目办、市项目办的要求，认真组织实施“西部计划”行动，服务西部计划志愿者，圆满完成了相应考核任务。但仍然存在对先进典型挖掘不足的问题，对我区在西部计划志愿者管理方面的好做法未进行深入总结宣传，未形成较大的影响力。</w:t>
      </w:r>
    </w:p>
    <w:p>
      <w:pPr>
        <w:numPr>
          <w:ilvl w:val="0"/>
          <w:numId w:val="1"/>
        </w:numPr>
        <w:spacing w:line="580" w:lineRule="exact"/>
        <w:rPr>
          <w:rFonts w:ascii="仿宋" w:hAnsi="仿宋" w:eastAsia="仿宋" w:cs="仿宋_GB2312"/>
          <w:sz w:val="32"/>
          <w:szCs w:val="32"/>
        </w:rPr>
      </w:pPr>
      <w:r>
        <w:rPr>
          <w:rFonts w:ascii="仿宋" w:hAnsi="仿宋" w:eastAsia="仿宋" w:cs="仿宋_GB2312"/>
          <w:sz w:val="32"/>
          <w:szCs w:val="32"/>
        </w:rPr>
        <w:t>相关措施建议</w:t>
      </w:r>
    </w:p>
    <w:p>
      <w:pPr>
        <w:pStyle w:val="23"/>
        <w:spacing w:line="560" w:lineRule="exact"/>
        <w:ind w:firstLine="640" w:firstLineChars="200"/>
        <w:rPr>
          <w:rFonts w:ascii="仿宋_GB2312" w:eastAsia="仿宋_GB2312" w:cs="黑体"/>
          <w:sz w:val="32"/>
          <w:szCs w:val="32"/>
        </w:rPr>
      </w:pPr>
      <w:r>
        <w:rPr>
          <w:rFonts w:hint="eastAsia" w:hAnsi="仿宋"/>
          <w:sz w:val="32"/>
          <w:szCs w:val="32"/>
        </w:rPr>
        <w:t>加大工作的统筹力度，强化志愿者进行自我教育、自我管理、自我服务力度，加大优秀志愿者的挖掘力度，强化宣传，切实帮助志愿者提高服务能力和服务水平，持续提升志愿服务质量。</w:t>
      </w:r>
    </w:p>
    <w:p>
      <w:pPr>
        <w:ind w:firstLine="883" w:firstLineChars="200"/>
        <w:rPr>
          <w:rStyle w:val="25"/>
          <w:rFonts w:ascii="仿宋" w:hAnsi="仿宋" w:eastAsia="仿宋" w:cs="仿宋"/>
          <w:b w:val="0"/>
          <w:bCs w:val="0"/>
          <w:kern w:val="2"/>
          <w:sz w:val="32"/>
          <w:szCs w:val="32"/>
        </w:rPr>
      </w:pPr>
      <w:r>
        <w:rPr>
          <w:rFonts w:ascii="宋体"/>
          <w:b/>
          <w:color w:val="000000"/>
          <w:sz w:val="44"/>
          <w:szCs w:val="44"/>
        </w:rPr>
        <w:br w:type="page"/>
      </w:r>
    </w:p>
    <w:p>
      <w:pPr>
        <w:numPr>
          <w:ilvl w:val="0"/>
          <w:numId w:val="8"/>
        </w:numPr>
        <w:spacing w:line="600" w:lineRule="exact"/>
        <w:ind w:firstLine="2200" w:firstLineChars="500"/>
        <w:outlineLvl w:val="0"/>
        <w:rPr>
          <w:rStyle w:val="25"/>
          <w:rFonts w:ascii="黑体" w:hAnsi="黑体" w:eastAsia="黑体"/>
          <w:b w:val="0"/>
        </w:rPr>
      </w:pPr>
      <w:r>
        <w:rPr>
          <w:rStyle w:val="25"/>
          <w:rFonts w:hint="eastAsia" w:ascii="黑体" w:hAnsi="黑体" w:eastAsia="黑体"/>
          <w:b w:val="0"/>
        </w:rPr>
        <w:t>附表</w:t>
      </w:r>
      <w:bookmarkEnd w:id="57"/>
      <w:bookmarkEnd w:id="60"/>
      <w:bookmarkStart w:id="61" w:name="_Toc15396619"/>
    </w:p>
    <w:p>
      <w:pPr>
        <w:spacing w:line="600" w:lineRule="exact"/>
        <w:outlineLvl w:val="0"/>
        <w:rPr>
          <w:rFonts w:ascii="仿宋" w:hAnsi="仿宋" w:eastAsia="仿宋" w:cs="仿宋"/>
          <w:color w:val="000000"/>
          <w:sz w:val="32"/>
          <w:szCs w:val="32"/>
        </w:rPr>
      </w:pPr>
      <w:r>
        <w:rPr>
          <w:rFonts w:hint="eastAsia" w:ascii="仿宋" w:hAnsi="仿宋" w:eastAsia="仿宋" w:cs="仿宋"/>
          <w:color w:val="000000"/>
          <w:sz w:val="32"/>
          <w:szCs w:val="32"/>
        </w:rPr>
        <w:t>一、收</w:t>
      </w:r>
      <w:r>
        <w:rPr>
          <w:rStyle w:val="26"/>
          <w:rFonts w:hint="eastAsia" w:ascii="仿宋" w:hAnsi="仿宋" w:eastAsia="仿宋" w:cs="仿宋"/>
          <w:b w:val="0"/>
          <w:bCs w:val="0"/>
        </w:rPr>
        <w:t>入支出决算总表</w:t>
      </w:r>
      <w:bookmarkEnd w:id="61"/>
    </w:p>
    <w:p>
      <w:pPr>
        <w:pStyle w:val="3"/>
        <w:rPr>
          <w:rFonts w:ascii="仿宋" w:hAnsi="仿宋" w:eastAsia="仿宋" w:cs="仿宋"/>
          <w:color w:val="000000"/>
        </w:rPr>
      </w:pPr>
      <w:bookmarkStart w:id="62" w:name="_Toc15396620"/>
      <w:r>
        <w:rPr>
          <w:rFonts w:hint="eastAsia" w:ascii="仿宋" w:hAnsi="仿宋" w:eastAsia="仿宋" w:cs="仿宋"/>
          <w:b w:val="0"/>
          <w:color w:val="000000"/>
        </w:rPr>
        <w:t>二、收</w:t>
      </w:r>
      <w:r>
        <w:rPr>
          <w:rStyle w:val="26"/>
          <w:rFonts w:hint="eastAsia" w:ascii="仿宋" w:hAnsi="仿宋" w:eastAsia="仿宋" w:cs="仿宋"/>
          <w:b w:val="0"/>
          <w:bCs w:val="0"/>
        </w:rPr>
        <w:t>入决算表</w:t>
      </w:r>
      <w:bookmarkEnd w:id="62"/>
    </w:p>
    <w:p>
      <w:pPr>
        <w:pStyle w:val="3"/>
        <w:rPr>
          <w:rFonts w:ascii="仿宋" w:hAnsi="仿宋" w:eastAsia="仿宋" w:cs="仿宋"/>
          <w:color w:val="000000"/>
        </w:rPr>
      </w:pPr>
      <w:bookmarkStart w:id="63" w:name="_Toc15396621"/>
      <w:r>
        <w:rPr>
          <w:rStyle w:val="26"/>
          <w:rFonts w:hint="eastAsia" w:ascii="仿宋" w:hAnsi="仿宋" w:eastAsia="仿宋" w:cs="仿宋"/>
          <w:b w:val="0"/>
          <w:bCs w:val="0"/>
        </w:rPr>
        <w:t>三、</w:t>
      </w:r>
      <w:r>
        <w:rPr>
          <w:rFonts w:hint="eastAsia" w:ascii="仿宋" w:hAnsi="仿宋" w:eastAsia="仿宋" w:cs="仿宋"/>
          <w:b w:val="0"/>
          <w:color w:val="000000"/>
        </w:rPr>
        <w:t>支</w:t>
      </w:r>
      <w:r>
        <w:rPr>
          <w:rStyle w:val="26"/>
          <w:rFonts w:hint="eastAsia" w:ascii="仿宋" w:hAnsi="仿宋" w:eastAsia="仿宋" w:cs="仿宋"/>
          <w:b w:val="0"/>
          <w:bCs w:val="0"/>
        </w:rPr>
        <w:t>出决算表</w:t>
      </w:r>
      <w:bookmarkEnd w:id="63"/>
    </w:p>
    <w:p>
      <w:pPr>
        <w:pStyle w:val="3"/>
        <w:rPr>
          <w:rFonts w:ascii="仿宋" w:hAnsi="仿宋" w:eastAsia="仿宋" w:cs="仿宋"/>
          <w:b w:val="0"/>
          <w:color w:val="000000"/>
        </w:rPr>
      </w:pPr>
      <w:bookmarkStart w:id="64" w:name="_Toc15396622"/>
      <w:r>
        <w:rPr>
          <w:rStyle w:val="26"/>
          <w:rFonts w:hint="eastAsia" w:ascii="仿宋" w:hAnsi="仿宋" w:eastAsia="仿宋" w:cs="仿宋"/>
          <w:b w:val="0"/>
          <w:bCs w:val="0"/>
        </w:rPr>
        <w:t>四、</w:t>
      </w:r>
      <w:r>
        <w:rPr>
          <w:rFonts w:hint="eastAsia" w:ascii="仿宋" w:hAnsi="仿宋" w:eastAsia="仿宋" w:cs="仿宋"/>
          <w:b w:val="0"/>
          <w:color w:val="000000"/>
        </w:rPr>
        <w:t>财</w:t>
      </w:r>
      <w:r>
        <w:rPr>
          <w:rStyle w:val="26"/>
          <w:rFonts w:hint="eastAsia" w:ascii="仿宋" w:hAnsi="仿宋" w:eastAsia="仿宋" w:cs="仿宋"/>
          <w:b w:val="0"/>
          <w:bCs w:val="0"/>
        </w:rPr>
        <w:t>政拨款收入支出决算总表</w:t>
      </w:r>
      <w:bookmarkEnd w:id="64"/>
    </w:p>
    <w:p>
      <w:pPr>
        <w:pStyle w:val="3"/>
        <w:rPr>
          <w:rStyle w:val="26"/>
          <w:rFonts w:ascii="仿宋" w:hAnsi="仿宋" w:eastAsia="仿宋" w:cs="仿宋"/>
          <w:b w:val="0"/>
          <w:bCs w:val="0"/>
        </w:rPr>
      </w:pPr>
      <w:bookmarkStart w:id="65" w:name="_Toc15396623"/>
      <w:r>
        <w:rPr>
          <w:rStyle w:val="26"/>
          <w:rFonts w:hint="eastAsia" w:ascii="仿宋" w:hAnsi="仿宋" w:eastAsia="仿宋" w:cs="仿宋"/>
          <w:b w:val="0"/>
          <w:bCs w:val="0"/>
        </w:rPr>
        <w:t>五、</w:t>
      </w:r>
      <w:r>
        <w:rPr>
          <w:rFonts w:hint="eastAsia" w:ascii="仿宋" w:hAnsi="仿宋" w:eastAsia="仿宋" w:cs="仿宋"/>
          <w:b w:val="0"/>
          <w:color w:val="000000"/>
        </w:rPr>
        <w:t>财</w:t>
      </w:r>
      <w:r>
        <w:rPr>
          <w:rStyle w:val="26"/>
          <w:rFonts w:hint="eastAsia" w:ascii="仿宋" w:hAnsi="仿宋" w:eastAsia="仿宋" w:cs="仿宋"/>
          <w:b w:val="0"/>
          <w:bCs w:val="0"/>
        </w:rPr>
        <w:t>政拨款支出决算明细表</w:t>
      </w:r>
      <w:bookmarkEnd w:id="65"/>
      <w:bookmarkStart w:id="66" w:name="_Toc15396624"/>
    </w:p>
    <w:p>
      <w:pPr>
        <w:pStyle w:val="3"/>
        <w:rPr>
          <w:rFonts w:ascii="仿宋" w:hAnsi="仿宋" w:eastAsia="仿宋" w:cs="仿宋"/>
          <w:color w:val="000000"/>
        </w:rPr>
      </w:pPr>
      <w:r>
        <w:rPr>
          <w:rStyle w:val="26"/>
          <w:rFonts w:hint="eastAsia" w:ascii="仿宋" w:hAnsi="仿宋" w:eastAsia="仿宋" w:cs="仿宋"/>
          <w:b w:val="0"/>
          <w:bCs w:val="0"/>
        </w:rPr>
        <w:t>六、</w:t>
      </w:r>
      <w:r>
        <w:rPr>
          <w:rFonts w:hint="eastAsia" w:ascii="仿宋" w:hAnsi="仿宋" w:eastAsia="仿宋" w:cs="仿宋"/>
          <w:b w:val="0"/>
          <w:color w:val="000000"/>
        </w:rPr>
        <w:t>一</w:t>
      </w:r>
      <w:r>
        <w:rPr>
          <w:rStyle w:val="26"/>
          <w:rFonts w:hint="eastAsia" w:ascii="仿宋" w:hAnsi="仿宋" w:eastAsia="仿宋" w:cs="仿宋"/>
          <w:b w:val="0"/>
          <w:bCs w:val="0"/>
        </w:rPr>
        <w:t>般公共预算财政拨款支出决算表</w:t>
      </w:r>
      <w:bookmarkEnd w:id="66"/>
    </w:p>
    <w:p>
      <w:pPr>
        <w:pStyle w:val="3"/>
        <w:rPr>
          <w:rFonts w:ascii="仿宋" w:hAnsi="仿宋" w:eastAsia="仿宋" w:cs="仿宋"/>
          <w:color w:val="000000"/>
        </w:rPr>
      </w:pPr>
      <w:bookmarkStart w:id="67" w:name="_Toc15396625"/>
      <w:r>
        <w:rPr>
          <w:rStyle w:val="26"/>
          <w:rFonts w:hint="eastAsia" w:ascii="仿宋" w:hAnsi="仿宋" w:eastAsia="仿宋" w:cs="仿宋"/>
          <w:b w:val="0"/>
          <w:bCs w:val="0"/>
        </w:rPr>
        <w:t>七、</w:t>
      </w:r>
      <w:r>
        <w:rPr>
          <w:rFonts w:hint="eastAsia" w:ascii="仿宋" w:hAnsi="仿宋" w:eastAsia="仿宋" w:cs="仿宋"/>
          <w:b w:val="0"/>
          <w:color w:val="000000"/>
        </w:rPr>
        <w:t>一</w:t>
      </w:r>
      <w:r>
        <w:rPr>
          <w:rStyle w:val="26"/>
          <w:rFonts w:hint="eastAsia" w:ascii="仿宋" w:hAnsi="仿宋" w:eastAsia="仿宋" w:cs="仿宋"/>
          <w:b w:val="0"/>
          <w:bCs w:val="0"/>
        </w:rPr>
        <w:t>般公共预算财政拨款支出决算明细表</w:t>
      </w:r>
      <w:bookmarkEnd w:id="67"/>
    </w:p>
    <w:p>
      <w:pPr>
        <w:pStyle w:val="3"/>
        <w:rPr>
          <w:rFonts w:ascii="仿宋" w:hAnsi="仿宋" w:eastAsia="仿宋" w:cs="仿宋"/>
          <w:color w:val="000000"/>
        </w:rPr>
      </w:pPr>
      <w:bookmarkStart w:id="68" w:name="_Toc15396626"/>
      <w:r>
        <w:rPr>
          <w:rStyle w:val="26"/>
          <w:rFonts w:hint="eastAsia" w:ascii="仿宋" w:hAnsi="仿宋" w:eastAsia="仿宋" w:cs="仿宋"/>
          <w:b w:val="0"/>
          <w:bCs w:val="0"/>
        </w:rPr>
        <w:t>八、</w:t>
      </w:r>
      <w:r>
        <w:rPr>
          <w:rFonts w:hint="eastAsia" w:ascii="仿宋" w:hAnsi="仿宋" w:eastAsia="仿宋" w:cs="仿宋"/>
          <w:b w:val="0"/>
          <w:color w:val="000000"/>
        </w:rPr>
        <w:t>一</w:t>
      </w:r>
      <w:r>
        <w:rPr>
          <w:rStyle w:val="26"/>
          <w:rFonts w:hint="eastAsia" w:ascii="仿宋" w:hAnsi="仿宋" w:eastAsia="仿宋" w:cs="仿宋"/>
          <w:b w:val="0"/>
          <w:bCs w:val="0"/>
        </w:rPr>
        <w:t>般公共预算财政拨款基本支出决算表</w:t>
      </w:r>
      <w:bookmarkEnd w:id="68"/>
    </w:p>
    <w:p>
      <w:pPr>
        <w:pStyle w:val="3"/>
        <w:rPr>
          <w:rFonts w:ascii="仿宋" w:hAnsi="仿宋" w:eastAsia="仿宋" w:cs="仿宋"/>
          <w:color w:val="000000"/>
        </w:rPr>
      </w:pPr>
      <w:bookmarkStart w:id="69" w:name="_Toc15396627"/>
      <w:r>
        <w:rPr>
          <w:rStyle w:val="26"/>
          <w:rFonts w:hint="eastAsia" w:ascii="仿宋" w:hAnsi="仿宋" w:eastAsia="仿宋" w:cs="仿宋"/>
          <w:b w:val="0"/>
          <w:bCs w:val="0"/>
        </w:rPr>
        <w:t>九、</w:t>
      </w:r>
      <w:r>
        <w:rPr>
          <w:rFonts w:hint="eastAsia" w:ascii="仿宋" w:hAnsi="仿宋" w:eastAsia="仿宋" w:cs="仿宋"/>
          <w:b w:val="0"/>
          <w:color w:val="000000"/>
        </w:rPr>
        <w:t>一</w:t>
      </w:r>
      <w:r>
        <w:rPr>
          <w:rStyle w:val="26"/>
          <w:rFonts w:hint="eastAsia" w:ascii="仿宋" w:hAnsi="仿宋" w:eastAsia="仿宋" w:cs="仿宋"/>
          <w:b w:val="0"/>
          <w:bCs w:val="0"/>
        </w:rPr>
        <w:t>般公共预算财政拨款项目支出决算表</w:t>
      </w:r>
      <w:bookmarkEnd w:id="69"/>
    </w:p>
    <w:p>
      <w:pPr>
        <w:pStyle w:val="3"/>
        <w:rPr>
          <w:rFonts w:ascii="仿宋" w:hAnsi="仿宋" w:eastAsia="仿宋" w:cs="仿宋"/>
          <w:color w:val="000000"/>
        </w:rPr>
      </w:pPr>
      <w:bookmarkStart w:id="70" w:name="_Toc15396628"/>
      <w:r>
        <w:rPr>
          <w:rStyle w:val="26"/>
          <w:rFonts w:hint="eastAsia" w:ascii="仿宋" w:hAnsi="仿宋" w:eastAsia="仿宋" w:cs="仿宋"/>
          <w:b w:val="0"/>
          <w:bCs w:val="0"/>
        </w:rPr>
        <w:t>十、</w:t>
      </w:r>
      <w:r>
        <w:rPr>
          <w:rFonts w:hint="eastAsia" w:ascii="仿宋" w:hAnsi="仿宋" w:eastAsia="仿宋" w:cs="仿宋"/>
          <w:b w:val="0"/>
          <w:color w:val="000000"/>
        </w:rPr>
        <w:t>一</w:t>
      </w:r>
      <w:r>
        <w:rPr>
          <w:rStyle w:val="26"/>
          <w:rFonts w:hint="eastAsia" w:ascii="仿宋" w:hAnsi="仿宋" w:eastAsia="仿宋" w:cs="仿宋"/>
          <w:b w:val="0"/>
          <w:bCs w:val="0"/>
        </w:rPr>
        <w:t>般公共预算财政拨款“三公”经费支出决算表</w:t>
      </w:r>
      <w:bookmarkEnd w:id="70"/>
    </w:p>
    <w:p>
      <w:pPr>
        <w:pStyle w:val="3"/>
        <w:rPr>
          <w:rFonts w:ascii="仿宋" w:hAnsi="仿宋" w:eastAsia="仿宋" w:cs="仿宋"/>
          <w:color w:val="000000"/>
        </w:rPr>
      </w:pPr>
      <w:bookmarkStart w:id="71" w:name="_Toc15396629"/>
      <w:r>
        <w:rPr>
          <w:rStyle w:val="26"/>
          <w:rFonts w:hint="eastAsia" w:ascii="仿宋" w:hAnsi="仿宋" w:eastAsia="仿宋" w:cs="仿宋"/>
          <w:b w:val="0"/>
          <w:bCs w:val="0"/>
        </w:rPr>
        <w:t>十一、</w:t>
      </w:r>
      <w:r>
        <w:rPr>
          <w:rFonts w:hint="eastAsia" w:ascii="仿宋" w:hAnsi="仿宋" w:eastAsia="仿宋" w:cs="仿宋"/>
          <w:b w:val="0"/>
          <w:color w:val="000000"/>
        </w:rPr>
        <w:t>政</w:t>
      </w:r>
      <w:r>
        <w:rPr>
          <w:rStyle w:val="26"/>
          <w:rFonts w:hint="eastAsia" w:ascii="仿宋" w:hAnsi="仿宋" w:eastAsia="仿宋" w:cs="仿宋"/>
          <w:b w:val="0"/>
          <w:bCs w:val="0"/>
        </w:rPr>
        <w:t>府性基金预算财政拨款收入支出决算表</w:t>
      </w:r>
      <w:bookmarkEnd w:id="71"/>
    </w:p>
    <w:p>
      <w:pPr>
        <w:pStyle w:val="3"/>
        <w:rPr>
          <w:rFonts w:ascii="仿宋" w:hAnsi="仿宋" w:eastAsia="仿宋" w:cs="仿宋"/>
          <w:color w:val="000000"/>
        </w:rPr>
      </w:pPr>
      <w:bookmarkStart w:id="72" w:name="_Toc15396630"/>
      <w:r>
        <w:rPr>
          <w:rStyle w:val="26"/>
          <w:rFonts w:hint="eastAsia" w:ascii="仿宋" w:hAnsi="仿宋" w:eastAsia="仿宋" w:cs="仿宋"/>
          <w:b w:val="0"/>
          <w:bCs w:val="0"/>
        </w:rPr>
        <w:t>十二、</w:t>
      </w:r>
      <w:r>
        <w:rPr>
          <w:rFonts w:hint="eastAsia" w:ascii="仿宋" w:hAnsi="仿宋" w:eastAsia="仿宋" w:cs="仿宋"/>
          <w:b w:val="0"/>
          <w:color w:val="000000"/>
        </w:rPr>
        <w:t>政</w:t>
      </w:r>
      <w:r>
        <w:rPr>
          <w:rStyle w:val="26"/>
          <w:rFonts w:hint="eastAsia" w:ascii="仿宋" w:hAnsi="仿宋" w:eastAsia="仿宋" w:cs="仿宋"/>
          <w:b w:val="0"/>
          <w:bCs w:val="0"/>
        </w:rPr>
        <w:t>府性基金预算财政拨款“三公”经费支出决算表</w:t>
      </w:r>
      <w:bookmarkEnd w:id="72"/>
    </w:p>
    <w:p>
      <w:pPr>
        <w:pStyle w:val="3"/>
        <w:rPr>
          <w:rStyle w:val="26"/>
          <w:rFonts w:ascii="仿宋" w:hAnsi="仿宋" w:eastAsia="仿宋" w:cs="仿宋"/>
          <w:b w:val="0"/>
          <w:bCs w:val="0"/>
        </w:rPr>
      </w:pPr>
      <w:bookmarkStart w:id="73" w:name="_Toc15396631"/>
      <w:r>
        <w:rPr>
          <w:rStyle w:val="26"/>
          <w:rFonts w:hint="eastAsia" w:ascii="仿宋" w:hAnsi="仿宋" w:eastAsia="仿宋" w:cs="仿宋"/>
          <w:b w:val="0"/>
          <w:bCs w:val="0"/>
        </w:rPr>
        <w:t>十三、</w:t>
      </w:r>
      <w:r>
        <w:rPr>
          <w:rFonts w:hint="eastAsia" w:ascii="仿宋" w:hAnsi="仿宋" w:eastAsia="仿宋" w:cs="仿宋"/>
          <w:b w:val="0"/>
          <w:color w:val="000000"/>
        </w:rPr>
        <w:t>国</w:t>
      </w:r>
      <w:r>
        <w:rPr>
          <w:rStyle w:val="26"/>
          <w:rFonts w:hint="eastAsia" w:ascii="仿宋" w:hAnsi="仿宋" w:eastAsia="仿宋" w:cs="仿宋"/>
          <w:b w:val="0"/>
          <w:bCs w:val="0"/>
        </w:rPr>
        <w:t>有资本经营预算支出决算表</w:t>
      </w:r>
      <w:bookmarkEnd w:id="73"/>
    </w:p>
    <w:p>
      <w:pPr>
        <w:pStyle w:val="3"/>
        <w:rPr>
          <w:rFonts w:ascii="仿宋" w:hAnsi="仿宋" w:eastAsia="仿宋" w:cs="仿宋"/>
          <w:color w:val="000000" w:themeColor="text1"/>
          <w14:textFill>
            <w14:solidFill>
              <w14:schemeClr w14:val="tx1"/>
            </w14:solidFill>
          </w14:textFill>
        </w:rPr>
      </w:pPr>
      <w:r>
        <w:rPr>
          <w:rStyle w:val="26"/>
          <w:rFonts w:hint="eastAsia" w:ascii="仿宋" w:hAnsi="仿宋" w:eastAsia="仿宋" w:cs="仿宋"/>
          <w:b w:val="0"/>
          <w:bCs w:val="0"/>
        </w:rPr>
        <w:t>十四、</w:t>
      </w:r>
      <w:r>
        <w:rPr>
          <w:rFonts w:hint="eastAsia" w:ascii="仿宋" w:hAnsi="仿宋" w:eastAsia="仿宋" w:cs="仿宋"/>
          <w:b w:val="0"/>
          <w:color w:val="000000"/>
        </w:rPr>
        <w:t>国</w:t>
      </w:r>
      <w:r>
        <w:rPr>
          <w:rStyle w:val="26"/>
          <w:rFonts w:hint="eastAsia" w:ascii="仿宋" w:hAnsi="仿宋" w:eastAsia="仿宋" w:cs="仿宋"/>
          <w:b w:val="0"/>
          <w:bCs w:val="0"/>
        </w:rPr>
        <w:t>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script"/>
    <w:pitch w:val="default"/>
    <w:sig w:usb0="A00002BF" w:usb1="184F6CFA"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21</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344F8"/>
    <w:multiLevelType w:val="singleLevel"/>
    <w:tmpl w:val="9FF344F8"/>
    <w:lvl w:ilvl="0" w:tentative="0">
      <w:start w:val="2"/>
      <w:numFmt w:val="chineseCounting"/>
      <w:suff w:val="nothing"/>
      <w:lvlText w:val="（%1）"/>
      <w:lvlJc w:val="left"/>
      <w:rPr>
        <w:rFonts w:hint="eastAsia"/>
      </w:rPr>
    </w:lvl>
  </w:abstractNum>
  <w:abstractNum w:abstractNumId="1">
    <w:nsid w:val="AE508F84"/>
    <w:multiLevelType w:val="singleLevel"/>
    <w:tmpl w:val="AE508F84"/>
    <w:lvl w:ilvl="0" w:tentative="0">
      <w:start w:val="5"/>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02121340"/>
    <w:multiLevelType w:val="singleLevel"/>
    <w:tmpl w:val="02121340"/>
    <w:lvl w:ilvl="0" w:tentative="0">
      <w:start w:val="1"/>
      <w:numFmt w:val="decimal"/>
      <w:lvlText w:val="%1."/>
      <w:lvlJc w:val="left"/>
      <w:pPr>
        <w:tabs>
          <w:tab w:val="left" w:pos="312"/>
        </w:tabs>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26050A1"/>
    <w:multiLevelType w:val="multilevel"/>
    <w:tmpl w:val="326050A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5876F29F"/>
    <w:multiLevelType w:val="singleLevel"/>
    <w:tmpl w:val="5876F29F"/>
    <w:lvl w:ilvl="0" w:tentative="0">
      <w:start w:val="3"/>
      <w:numFmt w:val="decimal"/>
      <w:suff w:val="nothing"/>
      <w:lvlText w:val="%1、"/>
      <w:lvlJc w:val="left"/>
    </w:lvl>
  </w:abstractNum>
  <w:abstractNum w:abstractNumId="7">
    <w:nsid w:val="5D3B1831"/>
    <w:multiLevelType w:val="singleLevel"/>
    <w:tmpl w:val="5D3B1831"/>
    <w:lvl w:ilvl="0" w:tentative="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0"/>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3734"/>
    <w:rsid w:val="001642F9"/>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04DE"/>
    <w:rsid w:val="00235629"/>
    <w:rsid w:val="00260C38"/>
    <w:rsid w:val="002616C0"/>
    <w:rsid w:val="00265372"/>
    <w:rsid w:val="002662AA"/>
    <w:rsid w:val="00280496"/>
    <w:rsid w:val="00294DC9"/>
    <w:rsid w:val="00295495"/>
    <w:rsid w:val="002A31DE"/>
    <w:rsid w:val="002B18E5"/>
    <w:rsid w:val="002B2613"/>
    <w:rsid w:val="002D19B0"/>
    <w:rsid w:val="002D6D05"/>
    <w:rsid w:val="002E7043"/>
    <w:rsid w:val="002F1818"/>
    <w:rsid w:val="002F567B"/>
    <w:rsid w:val="003216A9"/>
    <w:rsid w:val="00335A74"/>
    <w:rsid w:val="0036561B"/>
    <w:rsid w:val="0037013F"/>
    <w:rsid w:val="0037603C"/>
    <w:rsid w:val="00380C92"/>
    <w:rsid w:val="0038694B"/>
    <w:rsid w:val="003A1691"/>
    <w:rsid w:val="003A484F"/>
    <w:rsid w:val="003A4883"/>
    <w:rsid w:val="003B0BE0"/>
    <w:rsid w:val="003B0C1B"/>
    <w:rsid w:val="003B22AC"/>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232"/>
    <w:rsid w:val="004E6DF7"/>
    <w:rsid w:val="004F0FBD"/>
    <w:rsid w:val="004F403E"/>
    <w:rsid w:val="00505A47"/>
    <w:rsid w:val="00512FDA"/>
    <w:rsid w:val="00520DA0"/>
    <w:rsid w:val="00562032"/>
    <w:rsid w:val="005664BB"/>
    <w:rsid w:val="00566FFA"/>
    <w:rsid w:val="0057481D"/>
    <w:rsid w:val="00575F0B"/>
    <w:rsid w:val="0058486E"/>
    <w:rsid w:val="00585B33"/>
    <w:rsid w:val="0059014D"/>
    <w:rsid w:val="0059220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0F61"/>
    <w:rsid w:val="006748A4"/>
    <w:rsid w:val="00681A31"/>
    <w:rsid w:val="00683E73"/>
    <w:rsid w:val="006A3141"/>
    <w:rsid w:val="006A5E34"/>
    <w:rsid w:val="006B2422"/>
    <w:rsid w:val="006B2B9A"/>
    <w:rsid w:val="006B47AB"/>
    <w:rsid w:val="006C1937"/>
    <w:rsid w:val="006F020C"/>
    <w:rsid w:val="007127B7"/>
    <w:rsid w:val="0071798E"/>
    <w:rsid w:val="00727533"/>
    <w:rsid w:val="007416B6"/>
    <w:rsid w:val="00746F48"/>
    <w:rsid w:val="0075404D"/>
    <w:rsid w:val="0076182A"/>
    <w:rsid w:val="00767B7E"/>
    <w:rsid w:val="00776373"/>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063D1"/>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95BD1"/>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376C4"/>
    <w:rsid w:val="00946945"/>
    <w:rsid w:val="00951248"/>
    <w:rsid w:val="0095152F"/>
    <w:rsid w:val="00954C49"/>
    <w:rsid w:val="00955E37"/>
    <w:rsid w:val="0097099F"/>
    <w:rsid w:val="00971997"/>
    <w:rsid w:val="00971FFC"/>
    <w:rsid w:val="0098660A"/>
    <w:rsid w:val="009931C3"/>
    <w:rsid w:val="00996E4E"/>
    <w:rsid w:val="009B2C43"/>
    <w:rsid w:val="009B4EAE"/>
    <w:rsid w:val="009B7573"/>
    <w:rsid w:val="009C22F4"/>
    <w:rsid w:val="009C2E98"/>
    <w:rsid w:val="009C37FB"/>
    <w:rsid w:val="009D3447"/>
    <w:rsid w:val="009D4711"/>
    <w:rsid w:val="009D5387"/>
    <w:rsid w:val="009F1185"/>
    <w:rsid w:val="009F18CD"/>
    <w:rsid w:val="009F2A13"/>
    <w:rsid w:val="009F7527"/>
    <w:rsid w:val="00A039ED"/>
    <w:rsid w:val="00A04EB0"/>
    <w:rsid w:val="00A13CC1"/>
    <w:rsid w:val="00A16847"/>
    <w:rsid w:val="00A237D8"/>
    <w:rsid w:val="00A268C4"/>
    <w:rsid w:val="00A3017C"/>
    <w:rsid w:val="00A307CD"/>
    <w:rsid w:val="00A331C8"/>
    <w:rsid w:val="00A35117"/>
    <w:rsid w:val="00A40A00"/>
    <w:rsid w:val="00A4142F"/>
    <w:rsid w:val="00A422EB"/>
    <w:rsid w:val="00A45BB7"/>
    <w:rsid w:val="00A56DF2"/>
    <w:rsid w:val="00A56E6E"/>
    <w:rsid w:val="00A67AB5"/>
    <w:rsid w:val="00A733B2"/>
    <w:rsid w:val="00A741C2"/>
    <w:rsid w:val="00A839C7"/>
    <w:rsid w:val="00A91760"/>
    <w:rsid w:val="00A93B00"/>
    <w:rsid w:val="00A93C21"/>
    <w:rsid w:val="00AB64C9"/>
    <w:rsid w:val="00AC3C6A"/>
    <w:rsid w:val="00AD0F83"/>
    <w:rsid w:val="00AD5620"/>
    <w:rsid w:val="00AD656B"/>
    <w:rsid w:val="00AD7C1B"/>
    <w:rsid w:val="00AE16BA"/>
    <w:rsid w:val="00AE1EBE"/>
    <w:rsid w:val="00AF7EDD"/>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DF728E"/>
    <w:rsid w:val="00E01053"/>
    <w:rsid w:val="00E07ACF"/>
    <w:rsid w:val="00E331A1"/>
    <w:rsid w:val="00E33202"/>
    <w:rsid w:val="00E336A9"/>
    <w:rsid w:val="00E46DEE"/>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06F7"/>
    <w:rsid w:val="00F754A1"/>
    <w:rsid w:val="00F81FD9"/>
    <w:rsid w:val="00F841AA"/>
    <w:rsid w:val="00F84A94"/>
    <w:rsid w:val="00F87E96"/>
    <w:rsid w:val="00FA23E8"/>
    <w:rsid w:val="00FD3CC1"/>
    <w:rsid w:val="00FF0B72"/>
    <w:rsid w:val="00FF1E02"/>
    <w:rsid w:val="00FF30B4"/>
    <w:rsid w:val="020A28C1"/>
    <w:rsid w:val="026D49C0"/>
    <w:rsid w:val="033000A1"/>
    <w:rsid w:val="03652BCB"/>
    <w:rsid w:val="04A631F6"/>
    <w:rsid w:val="06783D18"/>
    <w:rsid w:val="06B27463"/>
    <w:rsid w:val="07F07676"/>
    <w:rsid w:val="08724CF9"/>
    <w:rsid w:val="08895DFF"/>
    <w:rsid w:val="0896058B"/>
    <w:rsid w:val="08B47779"/>
    <w:rsid w:val="09907A60"/>
    <w:rsid w:val="099442CA"/>
    <w:rsid w:val="09D36BE1"/>
    <w:rsid w:val="0A690908"/>
    <w:rsid w:val="0AA5563A"/>
    <w:rsid w:val="0B5A66F7"/>
    <w:rsid w:val="0C8E0C37"/>
    <w:rsid w:val="0D2A6A00"/>
    <w:rsid w:val="0FD34105"/>
    <w:rsid w:val="10392055"/>
    <w:rsid w:val="10C055FF"/>
    <w:rsid w:val="10E607A4"/>
    <w:rsid w:val="111F608E"/>
    <w:rsid w:val="11A14D52"/>
    <w:rsid w:val="11CC54D1"/>
    <w:rsid w:val="11ED6E6D"/>
    <w:rsid w:val="15171962"/>
    <w:rsid w:val="151E112D"/>
    <w:rsid w:val="16B132FC"/>
    <w:rsid w:val="16BB723D"/>
    <w:rsid w:val="16F0601B"/>
    <w:rsid w:val="172F6033"/>
    <w:rsid w:val="181B5718"/>
    <w:rsid w:val="1A60007C"/>
    <w:rsid w:val="1ACD3198"/>
    <w:rsid w:val="1C0B2AF6"/>
    <w:rsid w:val="1C85647B"/>
    <w:rsid w:val="1CB175A6"/>
    <w:rsid w:val="1F5A6472"/>
    <w:rsid w:val="1F9713AC"/>
    <w:rsid w:val="1FD017C2"/>
    <w:rsid w:val="1FD13C8A"/>
    <w:rsid w:val="21BD718A"/>
    <w:rsid w:val="21CD144D"/>
    <w:rsid w:val="240371BF"/>
    <w:rsid w:val="245C185F"/>
    <w:rsid w:val="27DF7AC2"/>
    <w:rsid w:val="27EF41C2"/>
    <w:rsid w:val="285D1125"/>
    <w:rsid w:val="287C7E55"/>
    <w:rsid w:val="28CE056E"/>
    <w:rsid w:val="28FA3C01"/>
    <w:rsid w:val="28FB1A95"/>
    <w:rsid w:val="29FD04D3"/>
    <w:rsid w:val="2A695B70"/>
    <w:rsid w:val="2AD7306F"/>
    <w:rsid w:val="2D7453BF"/>
    <w:rsid w:val="2DC178FB"/>
    <w:rsid w:val="2E207AD4"/>
    <w:rsid w:val="2E987492"/>
    <w:rsid w:val="2FBE5FCA"/>
    <w:rsid w:val="2FCF717A"/>
    <w:rsid w:val="319F7F4E"/>
    <w:rsid w:val="31FD5D97"/>
    <w:rsid w:val="3301222E"/>
    <w:rsid w:val="33B16EA1"/>
    <w:rsid w:val="33BC17C4"/>
    <w:rsid w:val="34EF4F88"/>
    <w:rsid w:val="353E67AD"/>
    <w:rsid w:val="353F736F"/>
    <w:rsid w:val="37E9215C"/>
    <w:rsid w:val="37F96CBD"/>
    <w:rsid w:val="38D91D24"/>
    <w:rsid w:val="391B2E9A"/>
    <w:rsid w:val="3A0F4109"/>
    <w:rsid w:val="3B0A5551"/>
    <w:rsid w:val="3C1543BE"/>
    <w:rsid w:val="3CFF3340"/>
    <w:rsid w:val="3DA934FD"/>
    <w:rsid w:val="3E3E301B"/>
    <w:rsid w:val="3EB04DE9"/>
    <w:rsid w:val="3EFB6477"/>
    <w:rsid w:val="3F701D7F"/>
    <w:rsid w:val="3F9627AB"/>
    <w:rsid w:val="40406E3E"/>
    <w:rsid w:val="40AD6020"/>
    <w:rsid w:val="433D1452"/>
    <w:rsid w:val="43ED51FE"/>
    <w:rsid w:val="445A4EFB"/>
    <w:rsid w:val="44E70497"/>
    <w:rsid w:val="44EF7FB4"/>
    <w:rsid w:val="457B041B"/>
    <w:rsid w:val="45896DA7"/>
    <w:rsid w:val="459560A7"/>
    <w:rsid w:val="460A7D50"/>
    <w:rsid w:val="466A7947"/>
    <w:rsid w:val="47693F00"/>
    <w:rsid w:val="48756056"/>
    <w:rsid w:val="498337D2"/>
    <w:rsid w:val="498C7A96"/>
    <w:rsid w:val="4BA53757"/>
    <w:rsid w:val="4CFD221D"/>
    <w:rsid w:val="4D457BFC"/>
    <w:rsid w:val="4DD9144E"/>
    <w:rsid w:val="4E7357FF"/>
    <w:rsid w:val="4ECE2238"/>
    <w:rsid w:val="5147169B"/>
    <w:rsid w:val="517730C9"/>
    <w:rsid w:val="52702884"/>
    <w:rsid w:val="538E5893"/>
    <w:rsid w:val="53C7244B"/>
    <w:rsid w:val="53CB084C"/>
    <w:rsid w:val="540124D8"/>
    <w:rsid w:val="544839A9"/>
    <w:rsid w:val="545E2D07"/>
    <w:rsid w:val="54F60F70"/>
    <w:rsid w:val="55BA1ACB"/>
    <w:rsid w:val="56D45E17"/>
    <w:rsid w:val="57037135"/>
    <w:rsid w:val="573C24C1"/>
    <w:rsid w:val="5A5D000C"/>
    <w:rsid w:val="5AB2425B"/>
    <w:rsid w:val="5B001146"/>
    <w:rsid w:val="5B315F76"/>
    <w:rsid w:val="5C2C6656"/>
    <w:rsid w:val="5C39088A"/>
    <w:rsid w:val="5C6862E5"/>
    <w:rsid w:val="5C8D3DA8"/>
    <w:rsid w:val="5CDB059E"/>
    <w:rsid w:val="5D4B2F3B"/>
    <w:rsid w:val="5E4E7869"/>
    <w:rsid w:val="5E807BDF"/>
    <w:rsid w:val="5FEF1BF7"/>
    <w:rsid w:val="60215DD3"/>
    <w:rsid w:val="60692FF0"/>
    <w:rsid w:val="627A7B8D"/>
    <w:rsid w:val="6442426F"/>
    <w:rsid w:val="644F18BE"/>
    <w:rsid w:val="64BA1BA4"/>
    <w:rsid w:val="65647EA0"/>
    <w:rsid w:val="65AF1E0A"/>
    <w:rsid w:val="666D1B25"/>
    <w:rsid w:val="66902E7A"/>
    <w:rsid w:val="67467BB1"/>
    <w:rsid w:val="67EC51AD"/>
    <w:rsid w:val="6A4701E7"/>
    <w:rsid w:val="6AD40A24"/>
    <w:rsid w:val="6B607FE8"/>
    <w:rsid w:val="6DB70BB6"/>
    <w:rsid w:val="6E652802"/>
    <w:rsid w:val="6FA67C4E"/>
    <w:rsid w:val="6FC95587"/>
    <w:rsid w:val="6FCA610D"/>
    <w:rsid w:val="6FEE1E89"/>
    <w:rsid w:val="70056618"/>
    <w:rsid w:val="71605E83"/>
    <w:rsid w:val="71C42C6D"/>
    <w:rsid w:val="72734D90"/>
    <w:rsid w:val="73A87225"/>
    <w:rsid w:val="74CA04C0"/>
    <w:rsid w:val="74D90704"/>
    <w:rsid w:val="74F87E33"/>
    <w:rsid w:val="75301178"/>
    <w:rsid w:val="75801FE1"/>
    <w:rsid w:val="758A5FF3"/>
    <w:rsid w:val="75B54796"/>
    <w:rsid w:val="75DE4516"/>
    <w:rsid w:val="7724356C"/>
    <w:rsid w:val="77380F33"/>
    <w:rsid w:val="778B5CF1"/>
    <w:rsid w:val="77D40315"/>
    <w:rsid w:val="77ED3D06"/>
    <w:rsid w:val="79BC70C5"/>
    <w:rsid w:val="7A191A9F"/>
    <w:rsid w:val="7A2A7CEF"/>
    <w:rsid w:val="7CB602E8"/>
    <w:rsid w:val="7DE6248C"/>
    <w:rsid w:val="7E764B0C"/>
    <w:rsid w:val="7F0C2F87"/>
    <w:rsid w:val="7F6E167F"/>
    <w:rsid w:val="7FAA5EC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100" w:beforeAutospacing="1" w:after="100"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2"/>
    <w:qFormat/>
    <w:uiPriority w:val="9"/>
    <w:rPr>
      <w:rFonts w:ascii="Times New Roman" w:hAnsi="Times New Roman"/>
      <w:b/>
      <w:bCs/>
      <w:kern w:val="44"/>
      <w:sz w:val="44"/>
      <w:szCs w:val="44"/>
    </w:rPr>
  </w:style>
  <w:style w:type="character" w:customStyle="1" w:styleId="26">
    <w:name w:val="标题 2 字符"/>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7"/>
    <w:semiHidden/>
    <w:qFormat/>
    <w:uiPriority w:val="99"/>
    <w:rPr>
      <w:rFonts w:ascii="Times New Roman" w:hAnsi="Times New Roman"/>
      <w:kern w:val="2"/>
      <w:sz w:val="18"/>
      <w:szCs w:val="18"/>
    </w:rPr>
  </w:style>
  <w:style w:type="character" w:customStyle="1" w:styleId="29">
    <w:name w:val="标题 3 字符"/>
    <w:basedOn w:val="14"/>
    <w:link w:val="4"/>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915;&#31639;&#22270;.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500" b="1" i="0" u="none" strike="noStrike" kern="1200" spc="0" baseline="0">
                <a:solidFill>
                  <a:schemeClr val="tx1">
                    <a:lumMod val="65000"/>
                    <a:lumOff val="35000"/>
                  </a:schemeClr>
                </a:solidFill>
                <a:latin typeface="+mn-lt"/>
                <a:ea typeface="+mn-ea"/>
                <a:cs typeface="+mn-cs"/>
              </a:defRPr>
            </a:pPr>
            <a:r>
              <a:rPr lang="zh-CN" altLang="en-US" sz="1500" b="1" i="0" baseline="0"/>
              <a:t>收入支出决算总体情况</a:t>
            </a:r>
            <a:endParaRPr lang="zh-CN" altLang="en-US" sz="1500" b="1" i="0" baseline="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收入总计</c:v>
                </c:pt>
                <c:pt idx="1">
                  <c:v>支出总计</c:v>
                </c:pt>
              </c:strCache>
            </c:strRef>
          </c:cat>
          <c:val>
            <c:numRef>
              <c:f>Sheet1!$B$2:$B$3</c:f>
              <c:numCache>
                <c:formatCode>General</c:formatCode>
                <c:ptCount val="2"/>
                <c:pt idx="0">
                  <c:v>51.63</c:v>
                </c:pt>
                <c:pt idx="1">
                  <c:v>52.44</c:v>
                </c:pt>
              </c:numCache>
            </c:numRef>
          </c:val>
        </c:ser>
        <c:ser>
          <c:idx val="1"/>
          <c:order val="1"/>
          <c:tx>
            <c:strRef>
              <c:f>Sheet1!$C$1</c:f>
              <c:strCache>
                <c:ptCount val="1"/>
                <c:pt idx="0">
                  <c:v>2020年度</c:v>
                </c:pt>
              </c:strCache>
            </c:strRef>
          </c:tx>
          <c:spPr>
            <a:solidFill>
              <a:srgbClr val="FFFF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收入总计</c:v>
                </c:pt>
                <c:pt idx="1">
                  <c:v>支出总计</c:v>
                </c:pt>
              </c:strCache>
            </c:strRef>
          </c:cat>
          <c:val>
            <c:numRef>
              <c:f>Sheet1!$C$2:$C$3</c:f>
              <c:numCache>
                <c:formatCode>General</c:formatCode>
                <c:ptCount val="2"/>
                <c:pt idx="0">
                  <c:v>87.47</c:v>
                </c:pt>
                <c:pt idx="1">
                  <c:v>74.13</c:v>
                </c:pt>
              </c:numCache>
            </c:numRef>
          </c:val>
        </c:ser>
        <c:dLbls>
          <c:showLegendKey val="0"/>
          <c:showVal val="0"/>
          <c:showCatName val="0"/>
          <c:showSerName val="0"/>
          <c:showPercent val="0"/>
          <c:showBubbleSize val="0"/>
        </c:dLbls>
        <c:gapWidth val="219"/>
        <c:axId val="127724160"/>
        <c:axId val="127800448"/>
      </c:barChart>
      <c:catAx>
        <c:axId val="12772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crossAx val="127800448"/>
        <c:crosses val="autoZero"/>
        <c:auto val="1"/>
        <c:lblAlgn val="ctr"/>
        <c:lblOffset val="100"/>
        <c:noMultiLvlLbl val="0"/>
      </c:catAx>
      <c:valAx>
        <c:axId val="1278004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77241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3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accent1">
        <a:lumMod val="20000"/>
        <a:lumOff val="80000"/>
      </a:schemeClr>
    </a:solidFill>
    <a:ln w="28575" cap="flat" cmpd="sng" algn="ctr">
      <a:solidFill>
        <a:schemeClr val="tx1">
          <a:lumMod val="95000"/>
          <a:lumOff val="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1800" b="1"/>
              <a:t>收入决算结构图</a:t>
            </a:r>
            <a:endParaRPr lang="zh-CN" altLang="en-US" sz="1800" b="1"/>
          </a:p>
        </c:rich>
      </c:tx>
      <c:layout>
        <c:manualLayout>
          <c:xMode val="edge"/>
          <c:yMode val="edge"/>
          <c:x val="0.372942937722145"/>
          <c:y val="0.016283679784945"/>
        </c:manualLayout>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00125028427830567"/>
                  <c:y val="-0.061741165459037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828931420187203"/>
                  <c:y val="-0.010478748249072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817800151440057"/>
                  <c:y val="0.017078468005014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231700640203099"/>
                  <c:y val="-0.028529917839075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108333567566771"/>
                  <c:y val="0.03193320790157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100284690816787"/>
                  <c:y val="0.050660554606124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0.0149830421456613"/>
                  <c:y val="-0.033589053128543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[决算图.xlsx]Sheet2!$A$2:$G$2</c:f>
              <c:strCache>
                <c:ptCount val="7"/>
                <c:pt idx="0">
                  <c:v>一般公共预算财政拨款</c:v>
                </c:pt>
                <c:pt idx="1">
                  <c:v>政府性基金预算财政拨款</c:v>
                </c:pt>
                <c:pt idx="2">
                  <c:v>上级补助</c:v>
                </c:pt>
                <c:pt idx="3">
                  <c:v>事业收入</c:v>
                </c:pt>
                <c:pt idx="4">
                  <c:v>经营收入</c:v>
                </c:pt>
                <c:pt idx="5">
                  <c:v>附属单位上缴收入</c:v>
                </c:pt>
                <c:pt idx="6">
                  <c:v>其他收入</c:v>
                </c:pt>
              </c:strCache>
            </c:strRef>
          </c:cat>
          <c:val>
            <c:numRef>
              <c:f>[决算图.xlsx]Sheet2!$A$3:$G$3</c:f>
              <c:numCache>
                <c:formatCode>General</c:formatCode>
                <c:ptCount val="7"/>
                <c:pt idx="0">
                  <c:v>51.63</c:v>
                </c:pt>
                <c:pt idx="1">
                  <c:v>0</c:v>
                </c:pt>
                <c:pt idx="2">
                  <c:v>0</c:v>
                </c:pt>
                <c:pt idx="3">
                  <c:v>0</c:v>
                </c:pt>
                <c:pt idx="4">
                  <c:v>0</c:v>
                </c:pt>
                <c:pt idx="5">
                  <c:v>0</c:v>
                </c:pt>
                <c:pt idx="6">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view3D>
      <c:rotX val="5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
          <c:y val="0.217794981112505"/>
          <c:w val="1"/>
          <c:h val="0.74208029936852"/>
        </c:manualLayout>
      </c:layout>
      <c:pie3DChart>
        <c:varyColors val="1"/>
        <c:ser>
          <c:idx val="0"/>
          <c:order val="0"/>
          <c:tx>
            <c:strRef>
              <c:f>Sheet1!$B$1</c:f>
              <c:strCache>
                <c:ptCount val="1"/>
                <c:pt idx="0">
                  <c:v>2020年支出</c:v>
                </c:pt>
              </c:strCache>
            </c:strRef>
          </c:tx>
          <c:explosion val="0"/>
          <c:dPt>
            <c:idx val="0"/>
            <c:bubble3D val="0"/>
            <c:spPr>
              <a:solidFill>
                <a:srgbClr val="9900CC"/>
              </a:solidFill>
              <a:ln>
                <a:noFill/>
              </a:ln>
              <a:effectLst>
                <a:outerShdw blurRad="254000" sx="102000" sy="102000" algn="ctr" rotWithShape="0">
                  <a:prstClr val="black">
                    <a:alpha val="20000"/>
                  </a:prstClr>
                </a:outerShdw>
              </a:effectLst>
              <a:scene3d>
                <a:camera prst="orthographicFront"/>
                <a:lightRig rig="threePt" dir="t"/>
              </a:scene3d>
              <a:sp3d/>
            </c:spPr>
          </c:dPt>
          <c:dPt>
            <c:idx val="1"/>
            <c:bubble3D val="0"/>
            <c:spPr>
              <a:solidFill>
                <a:srgbClr val="FF0000"/>
              </a:solidFill>
              <a:ln>
                <a:noFill/>
              </a:ln>
              <a:effectLst>
                <a:outerShdw blurRad="254000" sx="102000" sy="102000" algn="ctr" rotWithShape="0">
                  <a:prstClr val="black">
                    <a:alpha val="20000"/>
                  </a:prstClr>
                </a:outerShdw>
              </a:effectLst>
              <a:scene3d>
                <a:camera prst="orthographicFront"/>
                <a:lightRig rig="threePt" dir="t"/>
              </a:scene3d>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38.57</c:v>
                </c:pt>
                <c:pt idx="1">
                  <c:v>35.56</c:v>
                </c:pt>
              </c:numCache>
            </c:numRef>
          </c:val>
        </c:ser>
        <c:dLbls>
          <c:showLegendKey val="0"/>
          <c:showVal val="0"/>
          <c:showCatName val="0"/>
          <c:showSerName val="0"/>
          <c:showPercent val="1"/>
          <c:showBubbleSize val="0"/>
        </c:dLbls>
      </c:pie3DChart>
      <c:spPr>
        <a:noFill/>
        <a:ln>
          <a:noFill/>
        </a:ln>
        <a:effectLst/>
      </c:spPr>
    </c:plotArea>
    <c:legend>
      <c:legendPos val="r"/>
      <c:layout>
        <c:manualLayout>
          <c:xMode val="edge"/>
          <c:yMode val="edge"/>
          <c:x val="0.818784235846741"/>
          <c:y val="0.364677683309181"/>
          <c:w val="0.181215764153259"/>
          <c:h val="0.11809039965175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lang="zh-CN" sz="13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solidFill>
      <a:srgbClr val="FFFF00"/>
    </a:soli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500" b="1" i="0" u="none" strike="noStrike" kern="1200" spc="0" baseline="0">
                <a:solidFill>
                  <a:schemeClr val="tx1">
                    <a:lumMod val="65000"/>
                    <a:lumOff val="35000"/>
                  </a:schemeClr>
                </a:solidFill>
                <a:latin typeface="+mn-lt"/>
                <a:ea typeface="+mn-ea"/>
                <a:cs typeface="+mn-cs"/>
              </a:defRPr>
            </a:pPr>
            <a:r>
              <a:rPr lang="zh-CN" altLang="en-US" sz="1500" b="1" i="0" baseline="0"/>
              <a:t>财政拨款收、支决算总计</a:t>
            </a:r>
            <a:endParaRPr lang="zh-CN" altLang="en-US" sz="1500" b="1" i="0" baseline="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spPr>
            <a:solidFill>
              <a:srgbClr val="FF00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财政拨款收入</c:v>
                </c:pt>
                <c:pt idx="1">
                  <c:v>财政拨款支出</c:v>
                </c:pt>
              </c:strCache>
            </c:strRef>
          </c:cat>
          <c:val>
            <c:numRef>
              <c:f>Sheet1!$B$2:$B$3</c:f>
              <c:numCache>
                <c:formatCode>General</c:formatCode>
                <c:ptCount val="2"/>
                <c:pt idx="0">
                  <c:v>51.63</c:v>
                </c:pt>
                <c:pt idx="1">
                  <c:v>52.44</c:v>
                </c:pt>
              </c:numCache>
            </c:numRef>
          </c:val>
        </c:ser>
        <c:ser>
          <c:idx val="1"/>
          <c:order val="1"/>
          <c:tx>
            <c:strRef>
              <c:f>Sheet1!$C$1</c:f>
              <c:strCache>
                <c:ptCount val="1"/>
                <c:pt idx="0">
                  <c:v>2020年度</c:v>
                </c:pt>
              </c:strCache>
            </c:strRef>
          </c:tx>
          <c:spPr>
            <a:solidFill>
              <a:srgbClr val="FFFF00"/>
            </a:solidFill>
            <a:ln>
              <a:solidFill>
                <a:srgbClr val="00B050"/>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财政拨款收入</c:v>
                </c:pt>
                <c:pt idx="1">
                  <c:v>财政拨款支出</c:v>
                </c:pt>
              </c:strCache>
            </c:strRef>
          </c:cat>
          <c:val>
            <c:numRef>
              <c:f>Sheet1!$C$2:$C$3</c:f>
              <c:numCache>
                <c:formatCode>General</c:formatCode>
                <c:ptCount val="2"/>
                <c:pt idx="0">
                  <c:v>87.47</c:v>
                </c:pt>
                <c:pt idx="1">
                  <c:v>74.13</c:v>
                </c:pt>
              </c:numCache>
            </c:numRef>
          </c:val>
        </c:ser>
        <c:dLbls>
          <c:showLegendKey val="0"/>
          <c:showVal val="0"/>
          <c:showCatName val="0"/>
          <c:showSerName val="0"/>
          <c:showPercent val="0"/>
          <c:showBubbleSize val="0"/>
        </c:dLbls>
        <c:gapWidth val="219"/>
        <c:axId val="294325632"/>
        <c:axId val="307380224"/>
      </c:barChart>
      <c:catAx>
        <c:axId val="29432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1400" b="1" i="0" u="none" strike="noStrike" kern="1200" baseline="0">
                <a:solidFill>
                  <a:schemeClr val="tx1">
                    <a:lumMod val="65000"/>
                    <a:lumOff val="35000"/>
                  </a:schemeClr>
                </a:solidFill>
                <a:latin typeface="+mn-lt"/>
                <a:ea typeface="+mn-ea"/>
                <a:cs typeface="+mn-cs"/>
              </a:defRPr>
            </a:pPr>
          </a:p>
        </c:txPr>
        <c:crossAx val="307380224"/>
        <c:crosses val="autoZero"/>
        <c:auto val="1"/>
        <c:lblAlgn val="ctr"/>
        <c:lblOffset val="100"/>
        <c:noMultiLvlLbl val="0"/>
      </c:catAx>
      <c:valAx>
        <c:axId val="3073802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4325632"/>
        <c:crosses val="autoZero"/>
        <c:crossBetween val="between"/>
      </c:valAx>
      <c:spPr>
        <a:noFill/>
        <a:ln>
          <a:solidFill>
            <a:schemeClr val="accent5">
              <a:lumMod val="40000"/>
              <a:lumOff val="60000"/>
            </a:schemeClr>
          </a:solidFill>
        </a:ln>
        <a:effectLst/>
      </c:spPr>
    </c:plotArea>
    <c:legend>
      <c:legendPos val="b"/>
      <c:layout/>
      <c:overlay val="0"/>
      <c:spPr>
        <a:noFill/>
        <a:ln>
          <a:noFill/>
        </a:ln>
        <a:effectLst/>
      </c:spPr>
      <c:txPr>
        <a:bodyPr rot="0" spcFirstLastPara="1" vertOverflow="ellipsis" vert="horz" wrap="square" anchor="ctr" anchorCtr="1"/>
        <a:lstStyle/>
        <a:p>
          <a:pPr>
            <a:defRPr lang="zh-CN" sz="13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rgbClr val="92D050"/>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35110374627203"/>
          <c:y val="0.0881917421017843"/>
          <c:w val="0.90481788139112"/>
          <c:h val="0.72270467151299"/>
        </c:manualLayout>
      </c:layout>
      <c:barChart>
        <c:barDir val="col"/>
        <c:grouping val="clustered"/>
        <c:varyColors val="0"/>
        <c:ser>
          <c:idx val="0"/>
          <c:order val="0"/>
          <c:tx>
            <c:strRef>
              <c:f>Sheet1!$B$1</c:f>
              <c:strCache>
                <c:ptCount val="1"/>
                <c:pt idx="0">
                  <c:v>2019年度</c:v>
                </c:pt>
              </c:strCache>
            </c:strRef>
          </c:tx>
          <c:spPr>
            <a:solidFill>
              <a:srgbClr val="7030A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c:f>
              <c:strCache>
                <c:ptCount val="1"/>
                <c:pt idx="0">
                  <c:v>一般公共预算财政拨款支出</c:v>
                </c:pt>
              </c:strCache>
            </c:strRef>
          </c:cat>
          <c:val>
            <c:numRef>
              <c:f>Sheet1!$B$2</c:f>
              <c:numCache>
                <c:formatCode>General</c:formatCode>
                <c:ptCount val="1"/>
                <c:pt idx="0">
                  <c:v>52.44</c:v>
                </c:pt>
              </c:numCache>
            </c:numRef>
          </c:val>
        </c:ser>
        <c:ser>
          <c:idx val="1"/>
          <c:order val="1"/>
          <c:tx>
            <c:strRef>
              <c:f>Sheet1!$C$1</c:f>
              <c:strCache>
                <c:ptCount val="1"/>
                <c:pt idx="0">
                  <c:v>2020年度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c:f>
              <c:strCache>
                <c:ptCount val="1"/>
                <c:pt idx="0">
                  <c:v>一般公共预算财政拨款支出</c:v>
                </c:pt>
              </c:strCache>
            </c:strRef>
          </c:cat>
          <c:val>
            <c:numRef>
              <c:f>Sheet1!$C$2</c:f>
              <c:numCache>
                <c:formatCode>General</c:formatCode>
                <c:ptCount val="1"/>
                <c:pt idx="0">
                  <c:v>74.13</c:v>
                </c:pt>
              </c:numCache>
            </c:numRef>
          </c:val>
        </c:ser>
        <c:dLbls>
          <c:showLegendKey val="0"/>
          <c:showVal val="0"/>
          <c:showCatName val="0"/>
          <c:showSerName val="0"/>
          <c:showPercent val="0"/>
          <c:showBubbleSize val="0"/>
        </c:dLbls>
        <c:gapWidth val="219"/>
        <c:overlap val="-27"/>
        <c:axId val="133975424"/>
        <c:axId val="133977216"/>
      </c:barChart>
      <c:catAx>
        <c:axId val="13397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1400" b="1" i="0" u="none" strike="noStrike" kern="1200" baseline="0">
                <a:solidFill>
                  <a:schemeClr val="tx1">
                    <a:lumMod val="65000"/>
                    <a:lumOff val="35000"/>
                  </a:schemeClr>
                </a:solidFill>
                <a:latin typeface="+mn-lt"/>
                <a:ea typeface="+mn-ea"/>
                <a:cs typeface="+mn-cs"/>
              </a:defRPr>
            </a:pPr>
          </a:p>
        </c:txPr>
        <c:crossAx val="133977216"/>
        <c:crosses val="autoZero"/>
        <c:auto val="1"/>
        <c:lblAlgn val="ctr"/>
        <c:lblOffset val="100"/>
        <c:noMultiLvlLbl val="0"/>
      </c:catAx>
      <c:valAx>
        <c:axId val="1339772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39754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rgbClr val="92D050"/>
    </a:solidFill>
    <a:ln w="12700" cap="flat" cmpd="sng" algn="ctr">
      <a:solidFill>
        <a:schemeClr val="tx2">
          <a:lumMod val="7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40" b="1" i="0" u="none" strike="noStrike" kern="1200" cap="all" spc="5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0"/>
          <c:dPt>
            <c:idx val="0"/>
            <c:bubble3D val="0"/>
            <c:spPr>
              <a:solidFill>
                <a:srgbClr val="0070C0"/>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一般公共服务类支出</c:v>
                </c:pt>
                <c:pt idx="1">
                  <c:v>社会保障和就业支出</c:v>
                </c:pt>
                <c:pt idx="2">
                  <c:v>卫生健康支出</c:v>
                </c:pt>
                <c:pt idx="3">
                  <c:v>住房保障支出</c:v>
                </c:pt>
              </c:strCache>
            </c:strRef>
          </c:cat>
          <c:val>
            <c:numRef>
              <c:f>Sheet1!$B$2:$B$5</c:f>
              <c:numCache>
                <c:formatCode>0.00%</c:formatCode>
                <c:ptCount val="4"/>
                <c:pt idx="0">
                  <c:v>0.9144</c:v>
                </c:pt>
                <c:pt idx="1">
                  <c:v>0.0402</c:v>
                </c:pt>
                <c:pt idx="2">
                  <c:v>0.0175</c:v>
                </c:pt>
                <c:pt idx="3">
                  <c:v>0.0279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accent6">
        <a:lumMod val="20000"/>
        <a:lumOff val="80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DF393-ABBF-4752-B41E-2F419F3E1200}">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37</Pages>
  <Words>2481</Words>
  <Characters>14142</Characters>
  <Lines>117</Lines>
  <Paragraphs>33</Paragraphs>
  <TotalTime>296</TotalTime>
  <ScaleCrop>false</ScaleCrop>
  <LinksUpToDate>false</LinksUpToDate>
  <CharactersWithSpaces>16590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2021-09-20T14:54:00Z</dcterms:created>
  <dc:creator>曹颖</dc:creator>
  <cp:lastModifiedBy>然凉媚</cp:lastModifiedBy>
  <cp:lastPrinted>2021-09-27T05:37:00Z</cp:lastPrinted>
  <dcterms:modified xsi:type="dcterms:W3CDTF">2021-09-30T08:48:02Z</dcterms:modified>
  <dc:title>四川省***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6D4FB6EF6FF74505BD541EAC8729CF02</vt:lpwstr>
  </property>
</Properties>
</file>