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425"/>
      <w:bookmarkStart w:id="3" w:name="_Toc15377193"/>
      <w:bookmarkStart w:id="4" w:name="_Toc15396475"/>
      <w:bookmarkStart w:id="5" w:name="_Toc15378441"/>
      <w:r>
        <w:rPr>
          <w:rFonts w:ascii="黑体" w:hAnsi="黑体" w:eastAsia="黑体"/>
          <w:color w:val="000000"/>
          <w:sz w:val="72"/>
          <w:szCs w:val="72"/>
        </w:rPr>
        <w:t>20</w:t>
      </w:r>
      <w:r>
        <w:rPr>
          <w:rFonts w:hint="eastAsia" w:ascii="黑体" w:hAnsi="黑体" w:eastAsia="黑体"/>
          <w:color w:val="000000"/>
          <w:sz w:val="72"/>
          <w:szCs w:val="72"/>
          <w:lang w:val="en-US" w:eastAsia="zh-CN"/>
        </w:rPr>
        <w:t>20</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96476"/>
      <w:bookmarkStart w:id="8" w:name="_Toc15378442"/>
      <w:bookmarkStart w:id="9" w:name="_Toc15377426"/>
      <w:bookmarkStart w:id="10" w:name="_Toc15396598"/>
      <w:r>
        <w:rPr>
          <w:rFonts w:hint="eastAsia" w:ascii="方正小标宋简体" w:hAnsi="宋体" w:eastAsia="方正小标宋简体"/>
          <w:color w:val="000000"/>
          <w:sz w:val="72"/>
          <w:szCs w:val="72"/>
        </w:rPr>
        <w:t>中共广元市利州区</w:t>
      </w:r>
      <w:bookmarkEnd w:id="0"/>
      <w:bookmarkStart w:id="11" w:name="_Toc15306268"/>
      <w:r>
        <w:rPr>
          <w:rFonts w:hint="eastAsia" w:ascii="方正小标宋简体" w:hAnsi="宋体" w:eastAsia="方正小标宋简体"/>
          <w:color w:val="000000"/>
          <w:sz w:val="72"/>
          <w:szCs w:val="72"/>
        </w:rPr>
        <w:t>委机构编制委员会办公室</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w:t>
      </w:r>
      <w:r>
        <w:rPr>
          <w:rFonts w:hint="eastAsia"/>
          <w:lang w:val="en-US" w:eastAsia="zh-CN"/>
        </w:rPr>
        <w:t>1</w:t>
      </w:r>
      <w:r>
        <w:rPr>
          <w:rFonts w:hint="eastAsia"/>
        </w:rPr>
        <w:t>年9月</w:t>
      </w:r>
      <w:r>
        <w:rPr>
          <w:rFonts w:hint="eastAsia"/>
          <w:lang w:val="en-US" w:eastAsia="zh-CN"/>
        </w:rPr>
        <w:t>27</w:t>
      </w:r>
      <w:bookmarkStart w:id="74" w:name="_GoBack"/>
      <w:bookmarkEnd w:id="74"/>
      <w:r>
        <w:rPr>
          <w:rFonts w:hint="eastAsia"/>
        </w:rPr>
        <w:t>日</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黑体"/>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黑体"/>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w:t>
      </w:r>
      <w:r>
        <w:rPr>
          <w:rStyle w:val="16"/>
          <w:rFonts w:hint="eastAsia"/>
          <w:lang w:val="en-US" w:eastAsia="zh-CN"/>
        </w:rPr>
        <w:t>20</w:t>
      </w:r>
      <w:r>
        <w:rPr>
          <w:rStyle w:val="16"/>
          <w:rFonts w:hint="eastAsia"/>
        </w:rPr>
        <w:t>年度部门决算情况说明</w:t>
      </w:r>
      <w:r>
        <w:tab/>
      </w:r>
      <w:r>
        <w:rPr>
          <w:rFonts w:hint="eastAsia"/>
        </w:rPr>
        <w:t>9</w:t>
      </w:r>
      <w:r>
        <w:rPr>
          <w:rFonts w:hint="eastAsia"/>
        </w:rPr>
        <w:fldChar w:fldCharType="end"/>
      </w:r>
    </w:p>
    <w:p>
      <w:pPr>
        <w:pStyle w:val="11"/>
        <w:rPr>
          <w:rFonts w:ascii="仿宋" w:hAnsi="仿宋" w:eastAsia="仿宋" w:cs="黑体"/>
          <w:sz w:val="28"/>
          <w:szCs w:val="28"/>
        </w:rPr>
      </w:pPr>
      <w:r>
        <w:fldChar w:fldCharType="begin"/>
      </w:r>
      <w:r>
        <w:instrText xml:space="preserve"> HYPERLINK \l "_Toc15396603" </w:instrText>
      </w:r>
      <w:r>
        <w:fldChar w:fldCharType="separate"/>
      </w:r>
      <w:r>
        <w:rPr>
          <w:rStyle w:val="16"/>
          <w:rFonts w:hint="eastAsia" w:ascii="仿宋" w:hAnsi="仿宋" w:eastAsia="仿宋" w:cs="黑体"/>
          <w:bCs/>
          <w:sz w:val="28"/>
          <w:szCs w:val="28"/>
        </w:rPr>
        <w:t>一、</w:t>
      </w:r>
      <w:r>
        <w:rPr>
          <w:rStyle w:val="16"/>
          <w:rFonts w:hint="eastAsia" w:ascii="仿宋" w:hAnsi="仿宋" w:eastAsia="仿宋"/>
          <w:sz w:val="28"/>
          <w:szCs w:val="28"/>
        </w:rPr>
        <w:t>收</w:t>
      </w:r>
      <w:r>
        <w:rPr>
          <w:rStyle w:val="16"/>
          <w:rFonts w:hint="eastAsia" w:ascii="仿宋" w:hAnsi="仿宋" w:eastAsia="仿宋" w:cs="黑体"/>
          <w:bCs/>
          <w:sz w:val="28"/>
          <w:szCs w:val="28"/>
        </w:rPr>
        <w:t>入支出决算总体情况说明</w:t>
      </w:r>
      <w:r>
        <w:rPr>
          <w:rFonts w:ascii="仿宋" w:hAnsi="仿宋" w:eastAsia="仿宋"/>
          <w:sz w:val="28"/>
          <w:szCs w:val="28"/>
        </w:rPr>
        <w:tab/>
      </w:r>
      <w:r>
        <w:rPr>
          <w:rFonts w:hint="eastAsia" w:ascii="仿宋" w:hAnsi="仿宋" w:eastAsia="仿宋"/>
          <w:sz w:val="28"/>
          <w:szCs w:val="28"/>
        </w:rPr>
        <w:t>9</w:t>
      </w:r>
      <w:r>
        <w:rPr>
          <w:rFonts w:hint="eastAsia"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"_Toc15396604" </w:instrText>
      </w:r>
      <w:r>
        <w:fldChar w:fldCharType="separate"/>
      </w:r>
      <w:r>
        <w:rPr>
          <w:rStyle w:val="16"/>
          <w:rFonts w:hint="eastAsia" w:ascii="仿宋" w:hAnsi="仿宋" w:eastAsia="仿宋" w:cs="黑体"/>
          <w:bCs/>
          <w:sz w:val="28"/>
          <w:szCs w:val="28"/>
        </w:rPr>
        <w:t>二、</w:t>
      </w:r>
      <w:r>
        <w:rPr>
          <w:rStyle w:val="16"/>
          <w:rFonts w:hint="eastAsia" w:ascii="仿宋" w:hAnsi="仿宋" w:eastAsia="仿宋"/>
          <w:sz w:val="28"/>
          <w:szCs w:val="28"/>
        </w:rPr>
        <w:t>收</w:t>
      </w:r>
      <w:r>
        <w:rPr>
          <w:rStyle w:val="16"/>
          <w:rFonts w:hint="eastAsia" w:ascii="仿宋" w:hAnsi="仿宋" w:eastAsia="仿宋" w:cs="黑体"/>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"_Toc15396605" </w:instrText>
      </w:r>
      <w:r>
        <w:fldChar w:fldCharType="separate"/>
      </w:r>
      <w:r>
        <w:rPr>
          <w:rStyle w:val="16"/>
          <w:rFonts w:hint="eastAsia" w:ascii="仿宋" w:hAnsi="仿宋" w:eastAsia="仿宋" w:cs="黑体"/>
          <w:bCs/>
          <w:sz w:val="28"/>
          <w:szCs w:val="28"/>
        </w:rPr>
        <w:t>三、</w:t>
      </w:r>
      <w:r>
        <w:rPr>
          <w:rStyle w:val="16"/>
          <w:rFonts w:hint="eastAsia" w:ascii="仿宋" w:hAnsi="仿宋" w:eastAsia="仿宋"/>
          <w:sz w:val="28"/>
          <w:szCs w:val="28"/>
        </w:rPr>
        <w:t>支</w:t>
      </w:r>
      <w:r>
        <w:rPr>
          <w:rStyle w:val="16"/>
          <w:rFonts w:hint="eastAsia" w:ascii="仿宋" w:hAnsi="仿宋" w:eastAsia="仿宋" w:cs="黑体"/>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黑体"/>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黑体"/>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黑体"/>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黑体"/>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黑体"/>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"_Toc15396611" </w:instrText>
      </w:r>
      <w:r>
        <w:fldChar w:fldCharType="separate"/>
      </w:r>
      <w:r>
        <w:rPr>
          <w:rStyle w:val="16"/>
          <w:rFonts w:hint="eastAsia" w:ascii="仿宋" w:hAnsi="仿宋" w:eastAsia="仿宋" w:cs="黑体"/>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黑体"/>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黑体"/>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黑体"/>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25</w:t>
      </w:r>
      <w:r>
        <w:fldChar w:fldCharType="end"/>
      </w:r>
      <w:r>
        <w:fldChar w:fldCharType="end"/>
      </w:r>
    </w:p>
    <w:p>
      <w:pPr>
        <w:pStyle w:val="10"/>
        <w:rPr>
          <w:rFonts w:cs="黑体"/>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28</w:t>
      </w:r>
      <w:r>
        <w:fldChar w:fldCharType="end"/>
      </w:r>
      <w:r>
        <w:fldChar w:fldCharType="end"/>
      </w:r>
    </w:p>
    <w:p>
      <w:pPr>
        <w:pStyle w:val="11"/>
        <w:rPr>
          <w:rFonts w:ascii="仿宋" w:hAnsi="仿宋" w:eastAsia="仿宋" w:cs="黑体"/>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rPr>
        <w:t>28</w:t>
      </w:r>
      <w:r>
        <w:rPr>
          <w:rFonts w:hint="eastAsia" w:ascii="仿宋" w:hAnsi="仿宋" w:eastAsia="仿宋"/>
          <w:sz w:val="28"/>
          <w:szCs w:val="28"/>
        </w:rPr>
        <w:fldChar w:fldCharType="end"/>
      </w:r>
    </w:p>
    <w:p>
      <w:pPr>
        <w:pStyle w:val="11"/>
        <w:rPr>
          <w:rFonts w:ascii="仿宋" w:hAnsi="仿宋" w:eastAsia="仿宋" w:cs="黑体"/>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hint="eastAsia" w:ascii="仿宋" w:hAnsi="仿宋" w:eastAsia="仿宋"/>
          <w:sz w:val="28"/>
          <w:szCs w:val="28"/>
        </w:rPr>
        <w:t>31</w:t>
      </w:r>
      <w:r>
        <w:rPr>
          <w:rFonts w:hint="eastAsia" w:ascii="仿宋" w:hAnsi="仿宋" w:eastAsia="仿宋"/>
          <w:sz w:val="28"/>
          <w:szCs w:val="28"/>
        </w:rPr>
        <w:fldChar w:fldCharType="end"/>
      </w:r>
    </w:p>
    <w:p>
      <w:pPr>
        <w:pStyle w:val="10"/>
        <w:rPr>
          <w:rFonts w:cs="黑体"/>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fldChar w:fldCharType="begin"/>
      </w:r>
      <w:r>
        <w:instrText xml:space="preserve"> PAGEREF _Toc15396618 \h </w:instrText>
      </w:r>
      <w:r>
        <w:fldChar w:fldCharType="separate"/>
      </w:r>
      <w:r>
        <w:t>43</w:t>
      </w:r>
      <w:r>
        <w:fldChar w:fldCharType="end"/>
      </w:r>
      <w:r>
        <w:fldChar w:fldCharType="end"/>
      </w:r>
    </w:p>
    <w:p>
      <w:pPr>
        <w:pStyle w:val="11"/>
        <w:rPr>
          <w:rFonts w:ascii="仿宋" w:hAnsi="仿宋" w:eastAsia="仿宋" w:cs="黑体"/>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黑体"/>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43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adjustRightInd w:val="0"/>
        <w:snapToGrid w:val="0"/>
        <w:ind w:firstLine="1320" w:firstLineChars="550"/>
        <w:jc w:val="left"/>
        <w:rPr>
          <w:rFonts w:ascii="仿宋" w:hAnsi="仿宋" w:eastAsia="仿宋"/>
          <w:color w:val="FF0000"/>
          <w:sz w:val="24"/>
        </w:rPr>
      </w:pPr>
      <w:r>
        <w:rPr>
          <w:rFonts w:ascii="仿宋" w:hAnsi="仿宋" w:eastAsia="仿宋"/>
          <w:color w:val="FF0000"/>
          <w:sz w:val="24"/>
        </w:rPr>
        <w:t xml:space="preserve"> (注：</w:t>
      </w:r>
      <w:r>
        <w:rPr>
          <w:rFonts w:hint="eastAsia" w:ascii="仿宋" w:hAnsi="仿宋" w:eastAsia="仿宋"/>
          <w:color w:val="FF0000"/>
          <w:sz w:val="24"/>
        </w:rPr>
        <w:t>请部门根据实际注明页码</w:t>
      </w:r>
      <w:r>
        <w:rPr>
          <w:rFonts w:ascii="仿宋" w:hAnsi="仿宋" w:eastAsia="仿宋"/>
          <w:color w:val="FF0000"/>
          <w:sz w:val="24"/>
        </w:rPr>
        <w:t>)</w:t>
      </w:r>
      <w:r>
        <w:rPr>
          <w:rFonts w:ascii="宋体" w:hAnsi="宋体" w:cs="宋体"/>
          <w:kern w:val="0"/>
          <w:sz w:val="24"/>
        </w:rPr>
        <w:t xml:space="preserve"> </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pageBreakBefore w:val="0"/>
        <w:widowControl w:val="0"/>
        <w:kinsoku/>
        <w:wordWrap/>
        <w:overflowPunct/>
        <w:topLinePunct w:val="0"/>
        <w:autoSpaceDE/>
        <w:autoSpaceDN/>
        <w:bidi w:val="0"/>
        <w:adjustRightInd/>
        <w:snapToGrid/>
        <w:spacing w:before="0" w:after="0"/>
        <w:textAlignment w:val="auto"/>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ageBreakBefore w:val="0"/>
        <w:widowControl w:val="0"/>
        <w:kinsoku/>
        <w:wordWrap/>
        <w:overflowPunct/>
        <w:topLinePunct w:val="0"/>
        <w:autoSpaceDE/>
        <w:autoSpaceDN/>
        <w:bidi w:val="0"/>
        <w:adjustRightInd/>
        <w:snapToGrid/>
        <w:spacing w:line="550" w:lineRule="exact"/>
        <w:ind w:firstLine="645"/>
        <w:textAlignment w:val="auto"/>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7199"/>
      <w:bookmarkStart w:id="19" w:name="_Toc15378446"/>
      <w:r>
        <w:rPr>
          <w:rFonts w:hint="eastAsia" w:ascii="仿宋" w:hAnsi="仿宋" w:eastAsia="仿宋"/>
          <w:bCs/>
          <w:color w:val="000000"/>
          <w:sz w:val="32"/>
          <w:szCs w:val="32"/>
        </w:rPr>
        <w:t>中共广元市利州区委机构编制委员会办公室为区委工作机关，归口区委组织部管理。其主要职责：1.贯彻执行中央关于行政管理体制改革和机构改革、事业单位改革及机构编制管理的方针政策、法律法规规章，研究起草规章草案、规范性文件，制定相关政策并监督实施。2.研究拟订全区行政管理体制改革和机构改革方案，审核区级部门“三定”规定，开展机构改革效果评估工作。参与行政审批制度改革和行政区划调整的有关工作。3.拟订全区各级行政编制、政法专项编制总额分配方案，审核跨层级调整行政编制事项。负责全区行政事业编制总量控制和机关事业单位机构编制实名制管理工作。对全区各级党的机关、人大机关、行政机关、政协机关、审判机关、检察机关、工商联、人民团体机关和事业单位使用空缺编制补充人员进行核批。4.负责区委、区政府各部门，区人大、区政协机关，区法院、区检察院机关，各民主党派区委机关、区人民团体机关和全区乡镇（街道）的机构编制管理工作。协调区级部门之间及区级部门与乡镇之间的职责分工。5.审核全区股级或按照股级及以上规格管理机构的设置、调整。6.研究拟订全区事业单位改革方案和事业单位编制标准及实施意见，负责全区事业单位机构编制管理，审核全区事业单位的机构编制方案，负责参照《公务员法》管理事业单位职责的审核工作。7.监督检查全区行政管理体制改革和机构改革方案及机构编制规定执行情况，建立机构编制工作考核评估制度，会同有关部门查处机构编制违法违纪行为。8.负责全区事业单位登记管理工作。9.承办区委、区政府和区委编委交办的其他事项。</w:t>
      </w:r>
    </w:p>
    <w:p>
      <w:pPr>
        <w:overflowPunct w:val="0"/>
        <w:autoSpaceDE w:val="0"/>
        <w:autoSpaceDN w:val="0"/>
        <w:spacing w:line="56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20</w:t>
      </w:r>
      <w:r>
        <w:rPr>
          <w:rFonts w:hint="eastAsia" w:ascii="仿宋" w:hAnsi="仿宋" w:eastAsia="仿宋"/>
          <w:bCs/>
          <w:color w:val="000000"/>
          <w:sz w:val="32"/>
          <w:szCs w:val="32"/>
        </w:rPr>
        <w:t>年重点工作完成情况。</w:t>
      </w:r>
      <w:bookmarkEnd w:id="18"/>
      <w:bookmarkEnd w:id="19"/>
    </w:p>
    <w:p>
      <w:pPr>
        <w:overflowPunct w:val="0"/>
        <w:autoSpaceDE w:val="0"/>
        <w:autoSpaceDN w:val="0"/>
        <w:spacing w:line="576" w:lineRule="exact"/>
        <w:ind w:firstLine="640" w:firstLineChars="200"/>
        <w:rPr>
          <w:rFonts w:hint="eastAsia" w:ascii="仿宋_GB2312" w:hAnsi="仿宋_GB2312" w:eastAsia="仿宋_GB2312" w:cs="仿宋_GB2312"/>
          <w:b w:val="0"/>
          <w:bCs w:val="0"/>
          <w:sz w:val="32"/>
          <w:szCs w:val="32"/>
        </w:rPr>
      </w:pPr>
      <w:bookmarkStart w:id="20" w:name="_Toc15377200"/>
      <w:bookmarkStart w:id="21" w:name="_Toc15396601"/>
      <w:r>
        <w:rPr>
          <w:rFonts w:hint="eastAsia" w:ascii="楷体_GB2312" w:hAnsi="楷体_GB2312" w:eastAsia="楷体_GB2312" w:cs="楷体_GB2312"/>
          <w:b w:val="0"/>
          <w:bCs w:val="0"/>
          <w:sz w:val="32"/>
          <w:szCs w:val="32"/>
        </w:rPr>
        <w:t>（一）坚持把“政治建设”摆在突出位置，始终做到对党忠诚。</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rPr>
        <w:t>深入学习贯彻习近平新时代中国特色社会主义思想。坚持把深入学习贯彻习近平</w:t>
      </w:r>
      <w:r>
        <w:rPr>
          <w:rFonts w:hint="eastAsia" w:ascii="仿宋_GB2312" w:hAnsi="仿宋_GB2312" w:eastAsia="仿宋_GB2312" w:cs="仿宋_GB2312"/>
          <w:b w:val="0"/>
          <w:bCs w:val="0"/>
          <w:sz w:val="32"/>
          <w:szCs w:val="32"/>
          <w:lang w:eastAsia="zh-CN"/>
        </w:rPr>
        <w:t>新时代</w:t>
      </w:r>
      <w:r>
        <w:rPr>
          <w:rFonts w:hint="eastAsia" w:ascii="仿宋_GB2312" w:hAnsi="仿宋_GB2312" w:eastAsia="仿宋_GB2312" w:cs="仿宋_GB2312"/>
          <w:b w:val="0"/>
          <w:bCs w:val="0"/>
          <w:sz w:val="32"/>
          <w:szCs w:val="32"/>
        </w:rPr>
        <w:t>中国特色社会主义思想作为根本政治任务，注重加强系统性学习，准确把握方向性、根本性、全局性的重大问题，不断树牢“四个意识”，坚定“四个自信”，坚决做到“两个维护”。深刻认识把握新时代机构编制工作新形势新任务，建立健全机构编制部门持续深化“不忘初心、牢记使命”主题教育长效机制。</w:t>
      </w: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rPr>
        <w:t>坚持党对机构编制工作的集中统一领导。深入学习习近平总书记在中央编委第一次会议的讲话精神，坚持加强党的领导贯彻到机构编制工作的各方面和全过程，不断完善保障党的全面领导，健全党始终总揽全局、协调各方制度安排，有效实施党中央大政方针、省委、市委和区委的决策部署。</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rPr>
        <w:t>全面贯彻落实《中国共产党机构编制工作条例》和《四川省贯彻〈中国共产党机构编制工作条例〉实施办法》。持续深化《条例》</w:t>
      </w:r>
      <w:r>
        <w:rPr>
          <w:rFonts w:hint="eastAsia" w:ascii="仿宋_GB2312" w:hAnsi="仿宋_GB2312" w:eastAsia="仿宋_GB2312" w:cs="仿宋_GB2312"/>
          <w:b w:val="0"/>
          <w:bCs w:val="0"/>
          <w:sz w:val="32"/>
          <w:szCs w:val="32"/>
          <w:lang w:val="en-US" w:eastAsia="zh-CN"/>
        </w:rPr>
        <w:t>和《实施办法》</w:t>
      </w:r>
      <w:r>
        <w:rPr>
          <w:rFonts w:hint="eastAsia" w:ascii="仿宋_GB2312" w:hAnsi="仿宋_GB2312" w:eastAsia="仿宋_GB2312" w:cs="仿宋_GB2312"/>
          <w:b w:val="0"/>
          <w:bCs w:val="0"/>
          <w:sz w:val="32"/>
          <w:szCs w:val="32"/>
        </w:rPr>
        <w:t>学习、宣传、培训、执行。围绕“三定”规定制定和修改、编制统筹调配和动态调整、机构编制重大事项报告等工作，建立健全相关配套制度。加强与相关部门协作配合，全面开展《条例》</w:t>
      </w:r>
      <w:r>
        <w:rPr>
          <w:rFonts w:hint="eastAsia" w:ascii="仿宋_GB2312" w:hAnsi="仿宋_GB2312" w:eastAsia="仿宋_GB2312" w:cs="仿宋_GB2312"/>
          <w:b w:val="0"/>
          <w:bCs w:val="0"/>
          <w:sz w:val="32"/>
          <w:szCs w:val="32"/>
          <w:lang w:val="en-US" w:eastAsia="zh-CN"/>
        </w:rPr>
        <w:t>和《实施办法》</w:t>
      </w:r>
      <w:r>
        <w:rPr>
          <w:rFonts w:hint="eastAsia" w:ascii="仿宋_GB2312" w:hAnsi="仿宋_GB2312" w:eastAsia="仿宋_GB2312" w:cs="仿宋_GB2312"/>
          <w:b w:val="0"/>
          <w:bCs w:val="0"/>
          <w:sz w:val="32"/>
          <w:szCs w:val="32"/>
        </w:rPr>
        <w:t>贯彻落实督促检查。活动期间，共开展专题学习7次、集中讨论4次，深入区级部门和乡镇（街道）调研5次，收集建议意见45条，报送经验信息30余条。</w:t>
      </w:r>
    </w:p>
    <w:p>
      <w:pPr>
        <w:overflowPunct w:val="0"/>
        <w:autoSpaceDE w:val="0"/>
        <w:autoSpaceDN w:val="0"/>
        <w:spacing w:line="576" w:lineRule="exact"/>
        <w:ind w:firstLine="640" w:firstLineChars="200"/>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（二）坚持把“机构改革”作为有效抓手，始终做到服务大局。</w:t>
      </w:r>
      <w:bookmarkStart w:id="22" w:name="_Toc509414256"/>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rPr>
        <w:t>扎实做好机构改革“后半篇”文章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完善党的全面领导制度保障。健全党委对重大工作的领导体制机制，规范和加强区委议事协调机构管理，提升党委议事能力和协调水平。</w:t>
      </w:r>
      <w:r>
        <w:rPr>
          <w:rFonts w:hint="eastAsia" w:ascii="仿宋_GB2312" w:hAnsi="仿宋_GB2312" w:eastAsia="仿宋_GB2312" w:cs="仿宋_GB2312"/>
          <w:b w:val="0"/>
          <w:bCs w:val="0"/>
          <w:sz w:val="32"/>
          <w:szCs w:val="32"/>
          <w:lang w:val="en-US" w:eastAsia="zh-CN"/>
        </w:rPr>
        <w:t>采取</w:t>
      </w:r>
      <w:r>
        <w:rPr>
          <w:rFonts w:hint="eastAsia" w:ascii="仿宋_GB2312" w:hAnsi="仿宋_GB2312" w:eastAsia="仿宋_GB2312" w:cs="仿宋_GB2312"/>
          <w:b w:val="0"/>
          <w:bCs w:val="0"/>
          <w:color w:val="000000"/>
          <w:sz w:val="32"/>
          <w:szCs w:val="32"/>
        </w:rPr>
        <w:t>集体学习、专题研究、交流讨论等方式，教育引导编办干部精准理解政策无偏差、政策执行不走样。截至目前，召开专题学习会13次。</w:t>
      </w:r>
      <w:r>
        <w:rPr>
          <w:rFonts w:hint="eastAsia" w:ascii="仿宋_GB2312" w:hAnsi="仿宋_GB2312" w:eastAsia="仿宋_GB2312" w:cs="仿宋_GB2312"/>
          <w:b w:val="0"/>
          <w:bCs w:val="0"/>
          <w:sz w:val="32"/>
          <w:szCs w:val="32"/>
        </w:rPr>
        <w:t>健全完善党政机构职能统筹机制，进一步强化党对重点领域、重大工作的统筹领导，重点加强和优化党对深化改革、依法治区以及教育、审计等各方面工作的领导，加强党委职能部门统一归口协调管理职能。持续“三定”规定运行情况评估。坚持以理顺完善职能职责为引领，动态开展调研评估，推动部门全面正确履行“三定”规定，聚焦主责主业，实现内部职责、业务的有机融合，形成职责明确、协调高效的运转机制。加强对涉及部门“三定”规定执行情况和改革后部门履职情况的跟踪问效工作，研究解决部门运行中遇到的新情况新问题，对运行一段时间后确需完善的部门职责和机构编制事项予以调整优化，切实解决部门单位因职能配置导致的“不作为”“乱作为”等问题。 规范完善权责清单制度。对照省级行政权力指导清单，动态调整全区年度权责清单，并及时向社会公布。落实好“属地事项责任清单”。深化乡镇（街道）机制体制改革。统筹做好乡镇行政区划调整改革涉及的机构编制工作，抓好调整后乡镇机构挂牌、职责明晰、编制配置等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sz w:val="32"/>
          <w:szCs w:val="32"/>
        </w:rPr>
        <w:t>组建</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个调研组，深入宝轮镇、龙潭乡、</w:t>
      </w:r>
      <w:r>
        <w:rPr>
          <w:rFonts w:hint="eastAsia" w:ascii="仿宋_GB2312" w:hAnsi="仿宋_GB2312" w:eastAsia="仿宋_GB2312" w:cs="仿宋_GB2312"/>
          <w:b w:val="0"/>
          <w:bCs w:val="0"/>
          <w:color w:val="000000"/>
          <w:sz w:val="32"/>
          <w:szCs w:val="32"/>
          <w:lang w:val="en-US" w:eastAsia="zh-CN"/>
        </w:rPr>
        <w:t>嘉陵街道</w:t>
      </w:r>
      <w:r>
        <w:rPr>
          <w:rFonts w:hint="eastAsia" w:ascii="仿宋_GB2312" w:hAnsi="仿宋_GB2312" w:eastAsia="仿宋_GB2312" w:cs="仿宋_GB2312"/>
          <w:b w:val="0"/>
          <w:bCs w:val="0"/>
          <w:color w:val="000000"/>
          <w:sz w:val="32"/>
          <w:szCs w:val="32"/>
        </w:rPr>
        <w:t>等</w:t>
      </w:r>
      <w:r>
        <w:rPr>
          <w:rFonts w:hint="eastAsia" w:ascii="仿宋_GB2312" w:hAnsi="仿宋_GB2312" w:eastAsia="仿宋_GB2312" w:cs="仿宋_GB2312"/>
          <w:b w:val="0"/>
          <w:bCs w:val="0"/>
          <w:color w:val="000000"/>
          <w:sz w:val="32"/>
          <w:szCs w:val="32"/>
          <w:lang w:val="en-US" w:eastAsia="zh-CN"/>
        </w:rPr>
        <w:t>15</w:t>
      </w:r>
      <w:r>
        <w:rPr>
          <w:rFonts w:hint="eastAsia" w:ascii="仿宋_GB2312" w:hAnsi="仿宋_GB2312" w:eastAsia="仿宋_GB2312" w:cs="仿宋_GB2312"/>
          <w:b w:val="0"/>
          <w:bCs w:val="0"/>
          <w:color w:val="000000"/>
          <w:sz w:val="32"/>
          <w:szCs w:val="32"/>
        </w:rPr>
        <w:t>个单位开展专题调研，累计梳理问题</w:t>
      </w:r>
      <w:r>
        <w:rPr>
          <w:rFonts w:hint="eastAsia" w:ascii="仿宋_GB2312" w:hAnsi="仿宋_GB2312" w:eastAsia="仿宋_GB2312" w:cs="仿宋_GB2312"/>
          <w:b w:val="0"/>
          <w:bCs w:val="0"/>
          <w:color w:val="000000"/>
          <w:sz w:val="32"/>
          <w:szCs w:val="32"/>
          <w:lang w:val="en-US" w:eastAsia="zh-CN"/>
        </w:rPr>
        <w:t>88</w:t>
      </w:r>
      <w:r>
        <w:rPr>
          <w:rFonts w:hint="eastAsia" w:ascii="仿宋_GB2312" w:hAnsi="仿宋_GB2312" w:eastAsia="仿宋_GB2312" w:cs="仿宋_GB2312"/>
          <w:b w:val="0"/>
          <w:bCs w:val="0"/>
          <w:color w:val="000000"/>
          <w:sz w:val="32"/>
          <w:szCs w:val="32"/>
        </w:rPr>
        <w:t>个，收集意见建议</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2条，出台乡镇（街道）</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三定</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方案，</w:t>
      </w:r>
      <w:r>
        <w:rPr>
          <w:rFonts w:hint="eastAsia" w:ascii="仿宋_GB2312" w:hAnsi="仿宋_GB2312" w:eastAsia="仿宋_GB2312" w:cs="仿宋_GB2312"/>
          <w:b w:val="0"/>
          <w:bCs w:val="0"/>
          <w:sz w:val="32"/>
          <w:szCs w:val="32"/>
        </w:rPr>
        <w:t>明确街道职能定位。推进综合行政执法改革。全面</w:t>
      </w:r>
      <w:r>
        <w:rPr>
          <w:rFonts w:hint="eastAsia" w:ascii="仿宋_GB2312" w:hAnsi="仿宋_GB2312" w:eastAsia="仿宋_GB2312" w:cs="仿宋_GB2312"/>
          <w:b w:val="0"/>
          <w:bCs w:val="0"/>
          <w:sz w:val="32"/>
          <w:szCs w:val="32"/>
          <w:lang w:val="en-US" w:eastAsia="zh-CN"/>
        </w:rPr>
        <w:t>对照省市改革方案，推动</w:t>
      </w:r>
      <w:r>
        <w:rPr>
          <w:rFonts w:hint="eastAsia" w:ascii="仿宋_GB2312" w:hAnsi="仿宋_GB2312" w:eastAsia="仿宋_GB2312" w:cs="仿宋_GB2312"/>
          <w:b w:val="0"/>
          <w:bCs w:val="0"/>
          <w:sz w:val="32"/>
          <w:szCs w:val="32"/>
        </w:rPr>
        <w:t>“5+1”综合行政执法改革，理顺执法机构之间的运行管理机制，有序推进其他领域综合行政执法改革。</w:t>
      </w: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rPr>
        <w:t>深化重要领域体制机制改革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健全重大疫情防控体制。落实重大疫情应急协调配合机制，健全全区公共卫生应急管理体系，提高应对突发重大公共卫生事件的能力水平。构建基层治理服务体系。进一步落实城乡基层治理中涉及的机构编制工作，推进基层整合审批服务执法力量，完善城乡社区发展治理体系和工作机制，将便民服务平台向村（社区）延伸。构建基层便民服务体系，扎实推进司法体制改革，完善城乡基层“两所”设置。加强重点领域体制机制改革研究。强化对挂牌机构、派出机构运行等问题进行研究，进一步提出规范性意见。加强应急救援、多规合一等重点领域的调查研究。加强对文化旅游资源领域、贫困领域、农业领域等特色机构编制的跟踪调查、运行评估和优化完善。调整优化群团机关职能配置、机构设置和力量配备。</w:t>
      </w:r>
      <w:r>
        <w:rPr>
          <w:rFonts w:hint="eastAsia" w:ascii="仿宋_GB2312" w:hAnsi="仿宋_GB2312" w:eastAsia="仿宋_GB2312" w:cs="仿宋_GB2312"/>
          <w:b w:val="0"/>
          <w:bCs w:val="0"/>
          <w:sz w:val="32"/>
          <w:szCs w:val="32"/>
          <w:lang w:val="en-US" w:eastAsia="zh-CN"/>
        </w:rPr>
        <w:t>三是</w:t>
      </w:r>
      <w:r>
        <w:rPr>
          <w:rFonts w:hint="eastAsia" w:ascii="仿宋_GB2312" w:hAnsi="仿宋_GB2312" w:eastAsia="仿宋_GB2312" w:cs="仿宋_GB2312"/>
          <w:b w:val="0"/>
          <w:bCs w:val="0"/>
          <w:sz w:val="32"/>
          <w:szCs w:val="32"/>
        </w:rPr>
        <w:t>稳步推进事业单位改革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巩固承担行政职能事业单位改革成果。强化事业单位公益属性，</w:t>
      </w:r>
      <w:r>
        <w:rPr>
          <w:rFonts w:hint="eastAsia" w:ascii="仿宋_GB2312" w:hAnsi="仿宋_GB2312" w:eastAsia="仿宋_GB2312" w:cs="仿宋_GB2312"/>
          <w:b w:val="0"/>
          <w:bCs w:val="0"/>
          <w:color w:val="000000"/>
          <w:sz w:val="32"/>
          <w:szCs w:val="32"/>
        </w:rPr>
        <w:t>合理界定公益服务职能，不断提升公益服务供给质量。</w:t>
      </w:r>
      <w:r>
        <w:rPr>
          <w:rFonts w:hint="eastAsia" w:ascii="仿宋_GB2312" w:hAnsi="仿宋_GB2312" w:eastAsia="仿宋_GB2312" w:cs="仿宋_GB2312"/>
          <w:b w:val="0"/>
          <w:bCs w:val="0"/>
          <w:color w:val="000000"/>
          <w:sz w:val="32"/>
          <w:szCs w:val="32"/>
          <w:lang w:val="en-US" w:eastAsia="zh-CN"/>
        </w:rPr>
        <w:t>按照</w:t>
      </w:r>
      <w:r>
        <w:rPr>
          <w:rFonts w:hint="eastAsia" w:ascii="仿宋_GB2312" w:hAnsi="仿宋_GB2312" w:eastAsia="仿宋_GB2312" w:cs="仿宋_GB2312"/>
          <w:b w:val="0"/>
          <w:bCs w:val="0"/>
          <w:color w:val="000000"/>
          <w:sz w:val="32"/>
          <w:szCs w:val="32"/>
        </w:rPr>
        <w:t>“政策红线不突不破、基层编制不减不收、工作力量只增不减”原则，在卫生、教育等领域创新实施“岗编适度分离”，推动区级层面优质富集人力资源向基层流动，有力促进全区乡村振兴发展。截至目前，通过岗编适度分离下派干部567名人，覆盖全区1</w:t>
      </w: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个乡镇（街道）。深化公益性事业单位改革。认真落实市委编办有关部署和要求，积极做好深化事业单位改革试点工作，优化事业单位布局结构，探索实行政事权限清单、机构</w:t>
      </w:r>
      <w:r>
        <w:rPr>
          <w:rFonts w:hint="eastAsia" w:ascii="仿宋_GB2312" w:hAnsi="仿宋_GB2312" w:eastAsia="仿宋_GB2312" w:cs="仿宋_GB2312"/>
          <w:b w:val="0"/>
          <w:bCs w:val="0"/>
          <w:sz w:val="32"/>
          <w:szCs w:val="32"/>
        </w:rPr>
        <w:t>编制职能规定、章程管理等制度。坚持“瘦身”与“健身”相结合，对公益职能弱化、规模较小或者职能职责相近的，采取合并、撤销等方式进行整合；对机构编制规模与职能作用不匹配的，采取调剂、精简等方式压缩编制规模。加快补齐公共服务短板，对疾病防控、基本医疗、义务教育等所需编制按标准保障到位，做好城区小区配套幼儿园治理涉及事业机构编制调整工作。</w:t>
      </w:r>
      <w:r>
        <w:rPr>
          <w:rFonts w:hint="eastAsia" w:ascii="仿宋_GB2312" w:hAnsi="仿宋_GB2312" w:eastAsia="仿宋_GB2312" w:cs="仿宋_GB2312"/>
          <w:b w:val="0"/>
          <w:bCs w:val="0"/>
          <w:sz w:val="32"/>
          <w:szCs w:val="32"/>
          <w:lang w:val="en-US" w:eastAsia="zh-CN"/>
        </w:rPr>
        <w:t>四是</w:t>
      </w:r>
      <w:r>
        <w:rPr>
          <w:rFonts w:hint="eastAsia" w:ascii="仿宋_GB2312" w:hAnsi="仿宋_GB2312" w:eastAsia="仿宋_GB2312" w:cs="仿宋_GB2312"/>
          <w:b w:val="0"/>
          <w:bCs w:val="0"/>
          <w:sz w:val="32"/>
          <w:szCs w:val="32"/>
        </w:rPr>
        <w:t>持续做好事业单位登记管理工作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持续优化日常登记管理服务工作。统筹做好机关事业单位统一社会信用代码赋码颁（换）证工作，持续优化设立、变更、注销等日常登记管理服务。积极开展简易注销登记试行工作。强化事业单位登记监管力度。推进实施事业单位法人年度报告公示及公示信息抽查。继续参加事业单位法定代表人培训和事业单位绩效评估工作。强化信用承诺，坚持以“信用”为核心强化部门协同监管。完成本年度全区</w:t>
      </w:r>
      <w:r>
        <w:rPr>
          <w:rFonts w:hint="eastAsia" w:ascii="仿宋_GB2312" w:hAnsi="仿宋_GB2312" w:eastAsia="仿宋_GB2312" w:cs="仿宋_GB2312"/>
          <w:b w:val="0"/>
          <w:bCs w:val="0"/>
          <w:sz w:val="32"/>
          <w:szCs w:val="32"/>
          <w:lang w:val="en-US" w:eastAsia="zh-CN"/>
        </w:rPr>
        <w:t>230</w:t>
      </w:r>
      <w:r>
        <w:rPr>
          <w:rFonts w:hint="eastAsia" w:ascii="仿宋_GB2312" w:hAnsi="仿宋_GB2312" w:eastAsia="仿宋_GB2312" w:cs="仿宋_GB2312"/>
          <w:b w:val="0"/>
          <w:bCs w:val="0"/>
          <w:sz w:val="32"/>
          <w:szCs w:val="32"/>
        </w:rPr>
        <w:t>家事业单位年度报告工作，并在上述事业单位法人中随机抽取</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家开展公示信息抽查工作。深化登记管理服务标准化建设。加强登记服务标准化信息化建设。做好网上名称规范管理和网站挂标管理工作。</w:t>
      </w:r>
      <w:bookmarkEnd w:id="22"/>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）坚持“制度建设”作为成事之基，始终做到廉洁高效。</w:t>
      </w:r>
      <w:r>
        <w:rPr>
          <w:rFonts w:hint="eastAsia" w:ascii="仿宋_GB2312" w:hAnsi="仿宋_GB2312" w:eastAsia="仿宋_GB2312" w:cs="仿宋_GB2312"/>
          <w:b w:val="0"/>
          <w:bCs w:val="0"/>
          <w:sz w:val="32"/>
          <w:szCs w:val="32"/>
        </w:rPr>
        <w:t>一是强化党的建设。完善中心组学习等制度，对标习近平新时代中国特色社会主义思想，自觉用党的理论武装头脑。认真落实“三会一课”等制度，积极参加每月主题党日、“双报到”等活动。二是强化扶贫帮扶。制定《区委编办</w:t>
      </w:r>
      <w:r>
        <w:rPr>
          <w:rFonts w:hint="eastAsia" w:ascii="仿宋_GB2312" w:hAnsi="仿宋_GB2312" w:eastAsia="仿宋_GB2312" w:cs="仿宋_GB2312"/>
          <w:b w:val="0"/>
          <w:bCs w:val="0"/>
          <w:sz w:val="32"/>
          <w:szCs w:val="32"/>
          <w:lang w:eastAsia="zh-CN"/>
        </w:rPr>
        <w:t>2020</w:t>
      </w:r>
      <w:r>
        <w:rPr>
          <w:rFonts w:hint="eastAsia" w:ascii="仿宋_GB2312" w:hAnsi="仿宋_GB2312" w:eastAsia="仿宋_GB2312" w:cs="仿宋_GB2312"/>
          <w:b w:val="0"/>
          <w:bCs w:val="0"/>
          <w:sz w:val="32"/>
          <w:szCs w:val="32"/>
        </w:rPr>
        <w:t>年帮扶计划》，加大对三颗村七、八组扶贫帮扶力度。每月开展“部门帮扶周”“三同”活动不少于6次，每月定期研究脱贫攻坚工作，入户填写《帮扶手册》和阻击返贫预警监测户等报表。三是强化队伍建设。完善区委编办学习制度等10余项工作制度，规范机关运转。开展</w:t>
      </w:r>
      <w:r>
        <w:rPr>
          <w:rFonts w:hint="eastAsia" w:ascii="仿宋_GB2312" w:hAnsi="仿宋_GB2312" w:eastAsia="仿宋_GB2312" w:cs="仿宋_GB2312"/>
          <w:b w:val="0"/>
          <w:bCs w:val="0"/>
          <w:sz w:val="32"/>
          <w:szCs w:val="32"/>
          <w:lang w:val="en-US" w:eastAsia="zh-CN"/>
        </w:rPr>
        <w:t>调研</w:t>
      </w:r>
      <w:r>
        <w:rPr>
          <w:rFonts w:hint="eastAsia" w:ascii="仿宋_GB2312" w:hAnsi="仿宋_GB2312" w:eastAsia="仿宋_GB2312" w:cs="仿宋_GB2312"/>
          <w:b w:val="0"/>
          <w:bCs w:val="0"/>
          <w:sz w:val="32"/>
          <w:szCs w:val="32"/>
        </w:rPr>
        <w:t>能力提升活动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提高职工综合素质。</w:t>
      </w:r>
    </w:p>
    <w:p>
      <w:pPr>
        <w:pStyle w:val="3"/>
        <w:pageBreakBefore w:val="0"/>
        <w:widowControl w:val="0"/>
        <w:kinsoku/>
        <w:wordWrap/>
        <w:overflowPunct/>
        <w:topLinePunct w:val="0"/>
        <w:autoSpaceDE/>
        <w:autoSpaceDN/>
        <w:bidi w:val="0"/>
        <w:adjustRightInd/>
        <w:snapToGrid/>
        <w:spacing w:before="0" w:after="0"/>
        <w:ind w:firstLine="640" w:firstLineChars="200"/>
        <w:textAlignment w:val="auto"/>
        <w:rPr>
          <w:rStyle w:val="26"/>
          <w:b w:val="0"/>
          <w:bCs w:val="0"/>
        </w:rPr>
      </w:pPr>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keepNext w:val="0"/>
        <w:keepLines w:val="0"/>
        <w:pageBreakBefore w:val="0"/>
        <w:widowControl w:val="0"/>
        <w:kinsoku/>
        <w:wordWrap/>
        <w:overflowPunct/>
        <w:topLinePunct w:val="0"/>
        <w:autoSpaceDE/>
        <w:autoSpaceDN/>
        <w:bidi w:val="0"/>
        <w:adjustRightInd/>
        <w:snapToGrid/>
        <w:ind w:firstLine="800" w:firstLineChars="250"/>
        <w:textAlignment w:val="auto"/>
        <w:rPr>
          <w:rFonts w:ascii="仿宋" w:hAnsi="仿宋" w:eastAsia="仿宋"/>
          <w:sz w:val="32"/>
          <w:szCs w:val="32"/>
        </w:rPr>
      </w:pPr>
      <w:r>
        <w:rPr>
          <w:rFonts w:hint="eastAsia" w:ascii="仿宋" w:hAnsi="仿宋" w:eastAsia="仿宋"/>
          <w:sz w:val="32"/>
          <w:szCs w:val="32"/>
        </w:rPr>
        <w:t>中共广元市利州区委机构编制委员会办公室下属二级单位2个，其中行政单位1个，参照公务员法管理的事业单位</w:t>
      </w:r>
      <w:r>
        <w:rPr>
          <w:rFonts w:hint="eastAsia" w:ascii="仿宋" w:hAnsi="仿宋" w:eastAsia="仿宋"/>
          <w:bCs/>
          <w:sz w:val="32"/>
          <w:szCs w:val="32"/>
        </w:rPr>
        <w:t>1</w:t>
      </w:r>
      <w:r>
        <w:rPr>
          <w:rFonts w:hint="eastAsia" w:ascii="仿宋" w:hAnsi="仿宋" w:eastAsia="仿宋"/>
          <w:sz w:val="32"/>
          <w:szCs w:val="32"/>
        </w:rPr>
        <w:t>个，其他事业单位1个。</w:t>
      </w:r>
    </w:p>
    <w:p>
      <w:pPr>
        <w:pStyle w:val="5"/>
        <w:keepNext w:val="0"/>
        <w:keepLines w:val="0"/>
        <w:pageBreakBefore w:val="0"/>
        <w:widowControl w:val="0"/>
        <w:kinsoku/>
        <w:wordWrap/>
        <w:overflowPunct/>
        <w:topLinePunct w:val="0"/>
        <w:autoSpaceDE/>
        <w:autoSpaceDN/>
        <w:bidi w:val="0"/>
        <w:adjustRightInd w:val="0"/>
        <w:snapToGrid w:val="0"/>
        <w:spacing w:beforeLines="0" w:line="600" w:lineRule="exact"/>
        <w:ind w:firstLine="672" w:firstLineChars="210"/>
        <w:textAlignment w:val="auto"/>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 w:hAnsi="仿宋" w:eastAsia="仿宋"/>
          <w:sz w:val="32"/>
          <w:szCs w:val="32"/>
        </w:rPr>
        <w:t>中共广元市利州区委机构编制委员会办公室</w:t>
      </w:r>
      <w:r>
        <w:rPr>
          <w:rFonts w:hint="eastAsia" w:ascii="仿宋" w:hAnsi="仿宋" w:eastAsia="仿宋"/>
          <w:color w:val="000000"/>
          <w:sz w:val="32"/>
          <w:szCs w:val="32"/>
          <w:lang w:val="en-US" w:eastAsia="zh-CN"/>
        </w:rPr>
        <w:t>2020</w:t>
      </w:r>
      <w:r>
        <w:rPr>
          <w:rFonts w:hint="eastAsia" w:ascii="仿宋" w:hAnsi="仿宋" w:eastAsia="仿宋"/>
          <w:color w:val="000000"/>
          <w:sz w:val="32"/>
          <w:szCs w:val="32"/>
        </w:rPr>
        <w:t>年度部门决算编制范围的二级预算单位包括：</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1.无</w:t>
      </w:r>
    </w:p>
    <w:p>
      <w:pPr>
        <w:pStyle w:val="2"/>
        <w:ind w:right="440"/>
        <w:jc w:val="right"/>
      </w:pPr>
      <w:bookmarkStart w:id="23" w:name="_Toc15396602"/>
      <w:bookmarkStart w:id="24"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w:t>
      </w:r>
      <w:r>
        <w:rPr>
          <w:rStyle w:val="25"/>
          <w:rFonts w:hint="eastAsia" w:ascii="黑体" w:hAnsi="黑体" w:eastAsia="黑体"/>
          <w:b w:val="0"/>
          <w:bCs w:val="0"/>
          <w:lang w:val="en-US" w:eastAsia="zh-CN"/>
        </w:rPr>
        <w:t>20</w:t>
      </w:r>
      <w:r>
        <w:rPr>
          <w:rStyle w:val="25"/>
          <w:rFonts w:hint="eastAsia" w:ascii="黑体" w:hAnsi="黑体" w:eastAsia="黑体"/>
          <w:b w:val="0"/>
          <w:bCs w:val="0"/>
        </w:rPr>
        <w:t>年度部门决算情况说明</w:t>
      </w:r>
      <w:bookmarkEnd w:id="23"/>
      <w:bookmarkEnd w:id="24"/>
    </w:p>
    <w:p>
      <w:pPr>
        <w:pStyle w:val="24"/>
        <w:numPr>
          <w:ilvl w:val="0"/>
          <w:numId w:val="1"/>
        </w:numPr>
        <w:spacing w:line="600" w:lineRule="exact"/>
        <w:ind w:firstLineChars="0"/>
        <w:outlineLvl w:val="1"/>
        <w:rPr>
          <w:rStyle w:val="26"/>
          <w:rFonts w:ascii="黑体" w:hAnsi="黑体" w:eastAsia="黑体"/>
          <w:b w:val="0"/>
        </w:rPr>
      </w:pPr>
      <w:bookmarkStart w:id="25" w:name="_Toc15396603"/>
      <w:bookmarkStart w:id="26"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5"/>
      <w:bookmarkEnd w:id="26"/>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年度收入总计</w:t>
      </w:r>
      <w:r>
        <w:rPr>
          <w:rFonts w:hint="eastAsia" w:ascii="仿宋" w:hAnsi="仿宋" w:eastAsia="仿宋"/>
          <w:color w:val="000000"/>
          <w:sz w:val="32"/>
          <w:szCs w:val="32"/>
          <w:lang w:val="en-US" w:eastAsia="zh-CN"/>
        </w:rPr>
        <w:t>203.38</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209.14</w:t>
      </w:r>
      <w:r>
        <w:rPr>
          <w:rFonts w:hint="eastAsia" w:ascii="仿宋" w:hAnsi="仿宋" w:eastAsia="仿宋"/>
          <w:color w:val="000000"/>
          <w:sz w:val="32"/>
          <w:szCs w:val="32"/>
        </w:rPr>
        <w:t>万元。与20</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年相比，收入总计增加</w:t>
      </w:r>
      <w:r>
        <w:rPr>
          <w:rFonts w:hint="eastAsia" w:ascii="仿宋" w:hAnsi="仿宋" w:eastAsia="仿宋"/>
          <w:color w:val="000000"/>
          <w:sz w:val="32"/>
          <w:szCs w:val="32"/>
          <w:lang w:val="en-US" w:eastAsia="zh-CN"/>
        </w:rPr>
        <w:t>4.2</w:t>
      </w:r>
      <w:r>
        <w:rPr>
          <w:rFonts w:hint="eastAsia" w:ascii="仿宋" w:hAnsi="仿宋" w:eastAsia="仿宋"/>
          <w:color w:val="000000"/>
          <w:sz w:val="32"/>
          <w:szCs w:val="32"/>
        </w:rPr>
        <w:t>万元、支出总计增加22.</w:t>
      </w:r>
      <w:r>
        <w:rPr>
          <w:rFonts w:hint="eastAsia" w:ascii="仿宋" w:hAnsi="仿宋" w:eastAsia="仿宋"/>
          <w:color w:val="000000"/>
          <w:sz w:val="32"/>
          <w:szCs w:val="32"/>
          <w:lang w:val="en-US" w:eastAsia="zh-CN"/>
        </w:rPr>
        <w:t>91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、12%。主要变动原因是人员增加所致。</w:t>
      </w: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370070" cy="2583180"/>
            <wp:effectExtent l="19050" t="0" r="11430" b="762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4"/>
        <w:numPr>
          <w:ilvl w:val="0"/>
          <w:numId w:val="1"/>
        </w:numPr>
        <w:spacing w:line="600" w:lineRule="exact"/>
        <w:ind w:firstLineChars="0"/>
        <w:outlineLvl w:val="1"/>
        <w:rPr>
          <w:rStyle w:val="26"/>
          <w:rFonts w:ascii="黑体" w:hAnsi="黑体" w:eastAsia="黑体"/>
          <w:b w:val="0"/>
        </w:rPr>
      </w:pPr>
      <w:bookmarkStart w:id="27" w:name="_Toc15396604"/>
      <w:bookmarkStart w:id="28"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7"/>
      <w:bookmarkEnd w:id="28"/>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203.38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203.38</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14:textFill>
            <w14:solidFill>
              <w14:schemeClr w14:val="tx1"/>
            </w14:solidFill>
          </w14:textFill>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ind w:firstLine="640" w:firstLineChars="200"/>
        <w:outlineLvl w:val="1"/>
        <w:rPr>
          <w:rFonts w:ascii="仿宋" w:hAnsi="仿宋" w:eastAsia="仿宋"/>
          <w:color w:val="000000"/>
          <w:sz w:val="32"/>
          <w:szCs w:val="32"/>
        </w:rPr>
      </w:pPr>
      <w:r>
        <w:rPr>
          <w:rFonts w:ascii="仿宋" w:hAnsi="仿宋" w:eastAsia="仿宋"/>
          <w:color w:val="000000"/>
          <w:sz w:val="32"/>
          <w:szCs w:val="32"/>
        </w:rPr>
        <w:object>
          <v:shape id="_x0000_i1025" o:spt="75" type="#_x0000_t75" style="height:223.2pt;width:382.2pt;" o:ole="t" filled="f" o:preferrelative="t" stroked="f" coordsize="21600,21600">
            <v:path/>
            <v:fill on="f" focussize="0,0"/>
            <v:stroke on="f" joinstyle="miter"/>
            <v:imagedata r:id="rId8" o:title=""/>
            <o:lock v:ext="edit" aspectratio="t"/>
            <w10:wrap type="none"/>
            <w10:anchorlock/>
          </v:shape>
          <o:OLEObject Type="Embed" ProgID="MSGraph.Chart.8" ShapeID="_x0000_i1025" DrawAspect="Content" ObjectID="_1468075725" r:id="rId7">
            <o:LockedField>false</o:LockedField>
          </o:OLEObject>
        </w:objec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4"/>
        <w:numPr>
          <w:ilvl w:val="0"/>
          <w:numId w:val="1"/>
        </w:numPr>
        <w:spacing w:line="600" w:lineRule="exact"/>
        <w:ind w:firstLineChars="0"/>
        <w:outlineLvl w:val="1"/>
        <w:rPr>
          <w:rStyle w:val="26"/>
          <w:rFonts w:ascii="黑体" w:hAnsi="黑体" w:eastAsia="黑体"/>
          <w:b w:val="0"/>
        </w:rPr>
      </w:pPr>
      <w:bookmarkStart w:id="29" w:name="_Toc15396605"/>
      <w:bookmarkStart w:id="30"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9"/>
      <w:bookmarkEnd w:id="30"/>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209.14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162.18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46.96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drawing>
          <wp:inline distT="0" distB="0" distL="0" distR="0">
            <wp:extent cx="4735830" cy="2080260"/>
            <wp:effectExtent l="19050" t="0" r="2667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6"/>
          <w:rFonts w:ascii="黑体" w:hAnsi="黑体" w:eastAsia="黑体"/>
          <w:b w:val="0"/>
        </w:rPr>
      </w:pPr>
      <w:bookmarkStart w:id="31" w:name="_Toc15377208"/>
      <w:bookmarkStart w:id="32"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1"/>
      <w:bookmarkEnd w:id="3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年财政拨款收入总计</w:t>
      </w:r>
      <w:r>
        <w:rPr>
          <w:rFonts w:hint="eastAsia" w:ascii="仿宋" w:hAnsi="仿宋" w:eastAsia="仿宋"/>
          <w:color w:val="000000"/>
          <w:sz w:val="32"/>
          <w:szCs w:val="32"/>
          <w:lang w:val="en-US" w:eastAsia="zh-CN"/>
        </w:rPr>
        <w:t>203.38</w:t>
      </w:r>
      <w:r>
        <w:rPr>
          <w:rFonts w:hint="eastAsia" w:ascii="仿宋" w:hAnsi="仿宋" w:eastAsia="仿宋"/>
          <w:color w:val="000000"/>
          <w:sz w:val="32"/>
          <w:szCs w:val="32"/>
        </w:rPr>
        <w:t>万元、支出总计</w:t>
      </w:r>
      <w:r>
        <w:rPr>
          <w:rFonts w:hint="eastAsia" w:ascii="仿宋" w:hAnsi="仿宋" w:eastAsia="仿宋"/>
          <w:color w:val="000000"/>
          <w:sz w:val="32"/>
          <w:szCs w:val="32"/>
          <w:lang w:val="en-US" w:eastAsia="zh-CN"/>
        </w:rPr>
        <w:t>209.14</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年相比，财政拨款收入总计增加</w:t>
      </w:r>
      <w:r>
        <w:rPr>
          <w:rFonts w:hint="eastAsia" w:ascii="仿宋" w:hAnsi="仿宋" w:eastAsia="仿宋"/>
          <w:color w:val="000000"/>
          <w:sz w:val="32"/>
          <w:szCs w:val="32"/>
          <w:lang w:val="en-US" w:eastAsia="zh-CN"/>
        </w:rPr>
        <w:t>4.2</w:t>
      </w:r>
      <w:r>
        <w:rPr>
          <w:rFonts w:hint="eastAsia" w:ascii="仿宋" w:hAnsi="仿宋" w:eastAsia="仿宋"/>
          <w:color w:val="000000"/>
          <w:sz w:val="32"/>
          <w:szCs w:val="32"/>
        </w:rPr>
        <w:t>万元、支出总计增加22.</w:t>
      </w:r>
      <w:r>
        <w:rPr>
          <w:rFonts w:hint="eastAsia" w:ascii="仿宋" w:hAnsi="仿宋" w:eastAsia="仿宋"/>
          <w:color w:val="000000"/>
          <w:sz w:val="32"/>
          <w:szCs w:val="32"/>
          <w:lang w:val="en-US" w:eastAsia="zh-CN"/>
        </w:rPr>
        <w:t>91</w:t>
      </w:r>
      <w:r>
        <w:rPr>
          <w:rFonts w:hint="eastAsia" w:ascii="仿宋" w:hAnsi="仿宋" w:eastAsia="仿宋"/>
          <w:color w:val="000000"/>
          <w:sz w:val="32"/>
          <w:szCs w:val="32"/>
        </w:rPr>
        <w:t>万元，增长2</w:t>
      </w:r>
      <w:r>
        <w:rPr>
          <w:rFonts w:ascii="仿宋" w:hAnsi="仿宋" w:eastAsia="仿宋"/>
          <w:color w:val="000000"/>
          <w:sz w:val="32"/>
          <w:szCs w:val="32"/>
        </w:rPr>
        <w:t>%</w:t>
      </w:r>
      <w:r>
        <w:rPr>
          <w:rFonts w:hint="eastAsia" w:ascii="仿宋" w:hAnsi="仿宋" w:eastAsia="仿宋"/>
          <w:color w:val="000000"/>
          <w:sz w:val="32"/>
          <w:szCs w:val="32"/>
        </w:rPr>
        <w:t>、12%。主要变动原因是人员增加所致。</w:t>
      </w: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370070" cy="2583180"/>
            <wp:effectExtent l="19050" t="0" r="11430" b="7620"/>
            <wp:docPr id="1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6"/>
          <w:rFonts w:ascii="黑体" w:hAnsi="黑体" w:eastAsia="黑体"/>
          <w:b w:val="0"/>
        </w:rPr>
      </w:pPr>
      <w:bookmarkStart w:id="33" w:name="_Toc15396607"/>
      <w:bookmarkStart w:id="34"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3"/>
      <w:bookmarkEnd w:id="34"/>
    </w:p>
    <w:p>
      <w:pPr>
        <w:spacing w:line="600" w:lineRule="exact"/>
        <w:ind w:firstLine="643" w:firstLineChars="200"/>
        <w:outlineLvl w:val="2"/>
        <w:rPr>
          <w:rFonts w:ascii="仿宋" w:hAnsi="仿宋" w:eastAsia="仿宋"/>
          <w:b/>
          <w:color w:val="000000"/>
          <w:sz w:val="32"/>
          <w:szCs w:val="32"/>
        </w:rPr>
      </w:pPr>
      <w:bookmarkStart w:id="35" w:name="_Toc15377210"/>
      <w:r>
        <w:rPr>
          <w:rFonts w:hint="eastAsia" w:ascii="仿宋" w:hAnsi="仿宋" w:eastAsia="仿宋"/>
          <w:b/>
          <w:color w:val="000000"/>
          <w:sz w:val="32"/>
          <w:szCs w:val="32"/>
        </w:rPr>
        <w:t>（一）一般公共预算财政拨款支出决算总体情况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209.14</w:t>
      </w:r>
      <w:r>
        <w:rPr>
          <w:rFonts w:hint="eastAsia" w:ascii="仿宋" w:hAnsi="仿宋" w:eastAsia="仿宋"/>
          <w:color w:val="000000"/>
          <w:sz w:val="32"/>
          <w:szCs w:val="32"/>
        </w:rPr>
        <w:t>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年相比，一般公共预算财政拨款增加22.</w:t>
      </w:r>
      <w:r>
        <w:rPr>
          <w:rFonts w:hint="eastAsia" w:ascii="仿宋" w:hAnsi="仿宋" w:eastAsia="仿宋"/>
          <w:color w:val="000000"/>
          <w:sz w:val="32"/>
          <w:szCs w:val="32"/>
          <w:lang w:val="en-US" w:eastAsia="zh-CN"/>
        </w:rPr>
        <w:t>91</w:t>
      </w:r>
      <w:r>
        <w:rPr>
          <w:rFonts w:hint="eastAsia" w:ascii="仿宋" w:hAnsi="仿宋" w:eastAsia="仿宋"/>
          <w:color w:val="000000"/>
          <w:sz w:val="32"/>
          <w:szCs w:val="32"/>
        </w:rPr>
        <w:t>万元，增长12</w:t>
      </w:r>
      <w:r>
        <w:rPr>
          <w:rFonts w:ascii="仿宋" w:hAnsi="仿宋" w:eastAsia="仿宋"/>
          <w:color w:val="000000"/>
          <w:sz w:val="32"/>
          <w:szCs w:val="32"/>
        </w:rPr>
        <w:t>%</w:t>
      </w:r>
      <w:r>
        <w:rPr>
          <w:rFonts w:hint="eastAsia" w:ascii="仿宋" w:hAnsi="仿宋" w:eastAsia="仿宋"/>
          <w:color w:val="000000"/>
          <w:sz w:val="32"/>
          <w:szCs w:val="32"/>
        </w:rPr>
        <w:t>。主要变动原因是增加所致。</w:t>
      </w:r>
    </w:p>
    <w:p>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4370070" cy="2126615"/>
            <wp:effectExtent l="4445" t="4445" r="6985" b="2159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36" w:name="_Toc15377211"/>
      <w:r>
        <w:rPr>
          <w:rFonts w:hint="eastAsia" w:ascii="仿宋" w:hAnsi="仿宋" w:eastAsia="仿宋"/>
          <w:b/>
          <w:color w:val="000000"/>
          <w:sz w:val="32"/>
          <w:szCs w:val="32"/>
        </w:rPr>
        <w:t>（二）一般公共预算财政拨款支出决算结构情况</w:t>
      </w:r>
      <w:bookmarkEnd w:id="36"/>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209.14</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184.34</w:t>
      </w:r>
      <w:r>
        <w:rPr>
          <w:rFonts w:hint="eastAsia" w:ascii="仿宋" w:hAnsi="仿宋" w:eastAsia="仿宋"/>
          <w:color w:val="000000" w:themeColor="text1"/>
          <w:sz w:val="32"/>
          <w:szCs w:val="32"/>
          <w14:textFill>
            <w14:solidFill>
              <w14:schemeClr w14:val="tx1"/>
            </w14:solidFill>
          </w14:textFill>
        </w:rPr>
        <w:t>万元，占8</w:t>
      </w:r>
      <w:r>
        <w:rPr>
          <w:rFonts w:hint="eastAsia" w:ascii="仿宋" w:hAnsi="仿宋" w:eastAsia="仿宋"/>
          <w:color w:val="000000" w:themeColor="text1"/>
          <w:sz w:val="32"/>
          <w:szCs w:val="32"/>
          <w:lang w:val="en-US" w:eastAsia="zh-CN"/>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14:textFill>
            <w14:solidFill>
              <w14:schemeClr w14:val="tx1"/>
            </w14:solidFill>
          </w14:textFill>
        </w:rPr>
        <w:t>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支出0万元，占0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文化旅游体育与传媒（类）支出0万元，占0</w:t>
      </w:r>
      <w:r>
        <w:rPr>
          <w:rFonts w:ascii="仿宋" w:hAnsi="仿宋" w:eastAsia="仿宋"/>
          <w:b/>
          <w:bCs/>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11.67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5.6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14:textFill>
            <w14:solidFill>
              <w14:schemeClr w14:val="tx1"/>
            </w14:solidFill>
          </w14:textFill>
        </w:rPr>
        <w:t>5.</w:t>
      </w:r>
      <w:r>
        <w:rPr>
          <w:rFonts w:hint="eastAsia" w:ascii="仿宋" w:hAnsi="仿宋" w:eastAsia="仿宋"/>
          <w:color w:val="000000" w:themeColor="text1"/>
          <w:sz w:val="32"/>
          <w:szCs w:val="32"/>
          <w:lang w:val="en-US" w:eastAsia="zh-CN"/>
          <w14:textFill>
            <w14:solidFill>
              <w14:schemeClr w14:val="tx1"/>
            </w14:solidFill>
          </w14:textFill>
        </w:rPr>
        <w:t>05</w:t>
      </w:r>
      <w:r>
        <w:rPr>
          <w:rFonts w:hint="eastAsia" w:ascii="仿宋" w:hAnsi="仿宋" w:eastAsia="仿宋"/>
          <w:color w:val="000000" w:themeColor="text1"/>
          <w:sz w:val="32"/>
          <w:szCs w:val="32"/>
          <w14:textFill>
            <w14:solidFill>
              <w14:schemeClr w14:val="tx1"/>
            </w14:solidFill>
          </w14:textFill>
        </w:rPr>
        <w:t>万元，占2.</w:t>
      </w:r>
      <w:r>
        <w:rPr>
          <w:rFonts w:hint="eastAsia" w:ascii="仿宋" w:hAnsi="仿宋" w:eastAsia="仿宋"/>
          <w:color w:val="000000" w:themeColor="text1"/>
          <w:sz w:val="32"/>
          <w:szCs w:val="32"/>
          <w:lang w:val="en-US" w:eastAsia="zh-CN"/>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；住房保障支出8.</w:t>
      </w:r>
      <w:r>
        <w:rPr>
          <w:rFonts w:hint="eastAsia" w:ascii="仿宋" w:hAnsi="仿宋" w:eastAsia="仿宋"/>
          <w:color w:val="000000" w:themeColor="text1"/>
          <w:sz w:val="32"/>
          <w:szCs w:val="32"/>
          <w:lang w:val="en-US" w:eastAsia="zh-CN"/>
          <w14:textFill>
            <w14:solidFill>
              <w14:schemeClr w14:val="tx1"/>
            </w14:solidFill>
          </w14:textFill>
        </w:rPr>
        <w:t>08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（罗列全部功能分类科目，至类级。）</w:t>
      </w:r>
    </w:p>
    <w:p>
      <w:pPr>
        <w:spacing w:line="600" w:lineRule="exact"/>
        <w:ind w:firstLine="640"/>
        <w:rPr>
          <w:rFonts w:ascii="仿宋" w:hAnsi="仿宋" w:eastAsia="仿宋"/>
          <w:b/>
          <w:color w:val="000000" w:themeColor="text1"/>
          <w:sz w:val="32"/>
          <w:szCs w:val="32"/>
          <w14:textFill>
            <w14:solidFill>
              <w14:schemeClr w14:val="tx1"/>
            </w14:solidFill>
          </w14:textFill>
        </w:rPr>
      </w:pPr>
    </w:p>
    <w:p>
      <w:pPr>
        <w:ind w:firstLine="641"/>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drawing>
          <wp:inline distT="0" distB="0" distL="0" distR="0">
            <wp:extent cx="4743450" cy="2956560"/>
            <wp:effectExtent l="4445" t="4445" r="14605" b="10795"/>
            <wp:docPr id="2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37" w:name="_Toc15377212"/>
      <w:r>
        <w:rPr>
          <w:rFonts w:hint="eastAsia" w:ascii="仿宋" w:hAnsi="仿宋" w:eastAsia="仿宋"/>
          <w:b/>
          <w:color w:val="000000"/>
          <w:sz w:val="32"/>
          <w:szCs w:val="32"/>
        </w:rPr>
        <w:t>（三）一般公共预算财政拨款支出决算具体情况</w:t>
      </w:r>
      <w:bookmarkEnd w:id="37"/>
    </w:p>
    <w:p>
      <w:pPr>
        <w:spacing w:line="600" w:lineRule="exact"/>
        <w:ind w:firstLine="643" w:firstLineChars="200"/>
        <w:outlineLvl w:val="2"/>
        <w:rPr>
          <w:rFonts w:ascii="仿宋" w:hAnsi="仿宋" w:eastAsia="仿宋"/>
          <w:color w:val="FF0000"/>
          <w:sz w:val="32"/>
          <w:szCs w:val="32"/>
        </w:rPr>
      </w:pPr>
      <w:bookmarkStart w:id="38" w:name="_Toc15377444"/>
      <w:bookmarkStart w:id="39" w:name="_Toc15378460"/>
      <w:bookmarkStart w:id="40" w:name="_Toc15377213"/>
      <w:r>
        <w:rPr>
          <w:rFonts w:hint="eastAsia" w:ascii="仿宋" w:hAnsi="仿宋" w:eastAsia="仿宋"/>
          <w:b/>
          <w:color w:val="000000" w:themeColor="text1"/>
          <w:sz w:val="32"/>
          <w:szCs w:val="32"/>
          <w14:textFill>
            <w14:solidFill>
              <w14:schemeClr w14:val="tx1"/>
            </w14:solidFill>
          </w14:textFill>
        </w:rPr>
        <w:t>20</w:t>
      </w:r>
      <w:r>
        <w:rPr>
          <w:rFonts w:hint="eastAsia" w:ascii="仿宋" w:hAnsi="仿宋" w:eastAsia="仿宋"/>
          <w:b/>
          <w:color w:val="000000" w:themeColor="text1"/>
          <w:sz w:val="32"/>
          <w:szCs w:val="32"/>
          <w:lang w:val="en-US" w:eastAsia="zh-CN"/>
          <w14:textFill>
            <w14:solidFill>
              <w14:schemeClr w14:val="tx1"/>
            </w14:solidFill>
          </w14:textFill>
        </w:rPr>
        <w:t>20</w:t>
      </w:r>
      <w:r>
        <w:rPr>
          <w:rFonts w:hint="eastAsia" w:ascii="仿宋" w:hAnsi="仿宋" w:eastAsia="仿宋"/>
          <w:b/>
          <w:color w:val="000000" w:themeColor="text1"/>
          <w:sz w:val="32"/>
          <w:szCs w:val="32"/>
          <w14:textFill>
            <w14:solidFill>
              <w14:schemeClr w14:val="tx1"/>
            </w14:solidFill>
          </w14:textFill>
        </w:rPr>
        <w:t>年一般公共预算支出决算数为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209.14</w:t>
      </w:r>
      <w:r>
        <w:rPr>
          <w:rFonts w:hint="eastAsia" w:ascii="仿宋" w:hAnsi="仿宋" w:eastAsia="仿宋"/>
          <w:b/>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8"/>
      <w:bookmarkEnd w:id="39"/>
      <w:bookmarkEnd w:id="40"/>
    </w:p>
    <w:p>
      <w:pPr>
        <w:spacing w:line="576" w:lineRule="exact"/>
        <w:ind w:firstLine="643" w:firstLineChars="200"/>
        <w:rPr>
          <w:rFonts w:ascii="仿宋" w:hAnsi="仿宋" w:eastAsia="仿宋"/>
          <w:b/>
          <w:color w:val="FF0000"/>
          <w:sz w:val="32"/>
          <w:szCs w:val="32"/>
        </w:rPr>
      </w:pPr>
      <w:r>
        <w:rPr>
          <w:rStyle w:val="15"/>
          <w:rFonts w:ascii="仿宋" w:hAnsi="仿宋" w:eastAsia="仿宋"/>
          <w:bCs/>
          <w:color w:val="000000"/>
          <w:sz w:val="32"/>
          <w:szCs w:val="32"/>
        </w:rPr>
        <w:t>1.</w:t>
      </w:r>
      <w:r>
        <w:rPr>
          <w:rStyle w:val="15"/>
          <w:rFonts w:ascii="仿宋" w:hAnsi="仿宋" w:eastAsia="仿宋"/>
          <w:b w:val="0"/>
          <w:bCs/>
          <w:color w:val="000000"/>
          <w:sz w:val="32"/>
          <w:szCs w:val="32"/>
        </w:rPr>
        <w:t xml:space="preserve"> </w:t>
      </w:r>
      <w:r>
        <w:rPr>
          <w:rStyle w:val="15"/>
          <w:rFonts w:hint="eastAsia" w:ascii="仿宋" w:hAnsi="仿宋" w:eastAsia="仿宋"/>
          <w:bCs/>
          <w:color w:val="FF0000"/>
          <w:sz w:val="32"/>
          <w:szCs w:val="32"/>
        </w:rPr>
        <w:t>一般公共服务</w:t>
      </w:r>
      <w:r>
        <w:rPr>
          <w:rStyle w:val="15"/>
          <w:rFonts w:hint="eastAsia" w:ascii="仿宋" w:hAnsi="仿宋" w:eastAsia="仿宋"/>
          <w:b w:val="0"/>
          <w:color w:val="000000"/>
          <w:sz w:val="32"/>
          <w:szCs w:val="32"/>
        </w:rPr>
        <w:t>（201）党委办公厅（室）及相关机构事务（31）行政运行（01）</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w:t>
      </w:r>
      <w:r>
        <w:rPr>
          <w:rStyle w:val="15"/>
          <w:rFonts w:hint="eastAsia" w:ascii="仿宋" w:hAnsi="仿宋" w:eastAsia="仿宋"/>
          <w:b w:val="0"/>
          <w:bCs/>
          <w:color w:val="FF0000"/>
          <w:sz w:val="32"/>
          <w:szCs w:val="32"/>
          <w:lang w:val="en-US" w:eastAsia="zh-CN"/>
        </w:rPr>
        <w:t>184.34</w:t>
      </w:r>
      <w:r>
        <w:rPr>
          <w:rStyle w:val="15"/>
          <w:rFonts w:hint="eastAsia" w:ascii="仿宋" w:hAnsi="仿宋" w:eastAsia="仿宋"/>
          <w:b w:val="0"/>
          <w:bCs/>
          <w:color w:val="FF0000"/>
          <w:sz w:val="32"/>
          <w:szCs w:val="32"/>
        </w:rPr>
        <w:t>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，主要用于</w:t>
      </w:r>
      <w:r>
        <w:rPr>
          <w:rFonts w:hint="eastAsia" w:ascii="仿宋" w:hAnsi="仿宋" w:eastAsia="仿宋"/>
          <w:sz w:val="32"/>
          <w:szCs w:val="32"/>
        </w:rPr>
        <w:t>人员工资及工作经费支出</w:t>
      </w:r>
      <w:r>
        <w:rPr>
          <w:rStyle w:val="15"/>
          <w:rFonts w:hint="eastAsia" w:ascii="仿宋" w:hAnsi="仿宋" w:eastAsia="仿宋"/>
          <w:b w:val="0"/>
          <w:bCs/>
          <w:color w:val="FF0000"/>
          <w:sz w:val="32"/>
          <w:szCs w:val="32"/>
        </w:rPr>
        <w:t>。</w:t>
      </w:r>
    </w:p>
    <w:p>
      <w:pPr>
        <w:spacing w:line="600" w:lineRule="exact"/>
        <w:ind w:firstLine="643" w:firstLineChars="200"/>
        <w:rPr>
          <w:rFonts w:ascii="仿宋" w:hAnsi="仿宋" w:eastAsia="仿宋"/>
          <w:b/>
          <w:color w:val="FF0000"/>
          <w:sz w:val="32"/>
          <w:szCs w:val="32"/>
        </w:rPr>
      </w:pPr>
      <w:r>
        <w:rPr>
          <w:rStyle w:val="15"/>
          <w:rFonts w:ascii="仿宋" w:hAnsi="仿宋" w:eastAsia="仿宋"/>
          <w:bCs/>
          <w:color w:val="FF0000"/>
          <w:sz w:val="32"/>
          <w:szCs w:val="32"/>
        </w:rPr>
        <w:t>2.</w:t>
      </w:r>
      <w:r>
        <w:rPr>
          <w:rStyle w:val="15"/>
          <w:rFonts w:hint="eastAsia" w:ascii="仿宋" w:hAnsi="仿宋" w:eastAsia="仿宋"/>
          <w:bCs/>
          <w:color w:val="FF0000"/>
          <w:sz w:val="32"/>
          <w:szCs w:val="32"/>
        </w:rPr>
        <w:t>教育（类）0（款）0（项）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支出决算为0万元，完成预算0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w:t>
      </w:r>
    </w:p>
    <w:p>
      <w:pPr>
        <w:spacing w:line="600" w:lineRule="exact"/>
        <w:ind w:firstLine="643" w:firstLineChars="200"/>
        <w:rPr>
          <w:rFonts w:ascii="仿宋" w:hAnsi="仿宋" w:eastAsia="仿宋"/>
          <w:b/>
          <w:color w:val="FF0000"/>
          <w:sz w:val="32"/>
          <w:szCs w:val="32"/>
        </w:rPr>
      </w:pPr>
      <w:r>
        <w:rPr>
          <w:rStyle w:val="15"/>
          <w:rFonts w:ascii="仿宋" w:hAnsi="仿宋" w:eastAsia="仿宋"/>
          <w:bCs/>
          <w:color w:val="FF0000"/>
          <w:sz w:val="32"/>
          <w:szCs w:val="32"/>
        </w:rPr>
        <w:t>3.</w:t>
      </w:r>
      <w:r>
        <w:rPr>
          <w:rStyle w:val="15"/>
          <w:rFonts w:hint="eastAsia" w:ascii="仿宋" w:hAnsi="仿宋" w:eastAsia="仿宋"/>
          <w:bCs/>
          <w:color w:val="FF0000"/>
          <w:sz w:val="32"/>
          <w:szCs w:val="32"/>
        </w:rPr>
        <w:t>科学技术（类）0（款）0（项）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支出决算为0万元，完成预算0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w:t>
      </w:r>
    </w:p>
    <w:p>
      <w:pPr>
        <w:spacing w:line="600" w:lineRule="exact"/>
        <w:ind w:firstLine="643" w:firstLineChars="200"/>
        <w:rPr>
          <w:rFonts w:ascii="仿宋" w:hAnsi="仿宋" w:eastAsia="仿宋"/>
          <w:b/>
          <w:color w:val="FF0000"/>
          <w:sz w:val="32"/>
          <w:szCs w:val="32"/>
        </w:rPr>
      </w:pPr>
      <w:r>
        <w:rPr>
          <w:rStyle w:val="15"/>
          <w:rFonts w:ascii="仿宋" w:hAnsi="仿宋" w:eastAsia="仿宋"/>
          <w:bCs/>
          <w:color w:val="FF0000"/>
          <w:sz w:val="32"/>
          <w:szCs w:val="32"/>
        </w:rPr>
        <w:t>4.</w:t>
      </w:r>
      <w:r>
        <w:rPr>
          <w:rStyle w:val="15"/>
          <w:rFonts w:hint="eastAsia" w:ascii="仿宋" w:hAnsi="仿宋" w:eastAsia="仿宋"/>
          <w:bCs/>
          <w:color w:val="FF0000"/>
          <w:sz w:val="32"/>
          <w:szCs w:val="32"/>
        </w:rPr>
        <w:t>文化体育与传媒（类）0（款）0（项）</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支出决算为0万元，完成预算0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w:t>
      </w:r>
    </w:p>
    <w:p>
      <w:pPr>
        <w:spacing w:line="576" w:lineRule="exact"/>
        <w:ind w:firstLine="643" w:firstLineChars="200"/>
        <w:rPr>
          <w:rFonts w:ascii="仿宋" w:hAnsi="仿宋" w:eastAsia="仿宋"/>
          <w:b/>
          <w:color w:val="FF0000"/>
          <w:sz w:val="32"/>
          <w:szCs w:val="32"/>
        </w:rPr>
      </w:pPr>
      <w:r>
        <w:rPr>
          <w:rStyle w:val="15"/>
          <w:rFonts w:ascii="仿宋" w:hAnsi="仿宋" w:eastAsia="仿宋"/>
          <w:bCs/>
          <w:color w:val="FF0000"/>
          <w:sz w:val="32"/>
          <w:szCs w:val="32"/>
        </w:rPr>
        <w:t>5.</w:t>
      </w:r>
      <w:r>
        <w:rPr>
          <w:rStyle w:val="15"/>
          <w:rFonts w:hint="eastAsia" w:ascii="仿宋" w:hAnsi="仿宋" w:eastAsia="仿宋"/>
          <w:bCs/>
          <w:color w:val="FF0000"/>
          <w:sz w:val="32"/>
          <w:szCs w:val="32"/>
        </w:rPr>
        <w:t>社会保障和就业</w:t>
      </w:r>
      <w:r>
        <w:rPr>
          <w:rStyle w:val="15"/>
          <w:rFonts w:hint="eastAsia" w:ascii="仿宋" w:hAnsi="仿宋" w:eastAsia="仿宋"/>
          <w:b w:val="0"/>
          <w:color w:val="000000"/>
          <w:sz w:val="32"/>
          <w:szCs w:val="32"/>
        </w:rPr>
        <w:t>（208）行政事业单位离退休（05）机关事业单位基本养老保险缴费支出（05）</w:t>
      </w:r>
      <w:r>
        <w:rPr>
          <w:rStyle w:val="15"/>
          <w:rFonts w:ascii="仿宋" w:hAnsi="仿宋" w:eastAsia="仿宋"/>
          <w:bCs/>
          <w:color w:val="FF0000"/>
          <w:sz w:val="32"/>
          <w:szCs w:val="32"/>
        </w:rPr>
        <w:t>:</w:t>
      </w:r>
      <w:r>
        <w:rPr>
          <w:rStyle w:val="15"/>
          <w:rFonts w:ascii="仿宋" w:hAnsi="仿宋" w:eastAsia="仿宋"/>
          <w:b w:val="0"/>
          <w:bCs/>
          <w:color w:val="FF0000"/>
          <w:sz w:val="32"/>
          <w:szCs w:val="32"/>
        </w:rPr>
        <w:t xml:space="preserve"> </w:t>
      </w:r>
      <w:r>
        <w:rPr>
          <w:rStyle w:val="15"/>
          <w:rFonts w:hint="eastAsia" w:ascii="仿宋" w:hAnsi="仿宋" w:eastAsia="仿宋"/>
          <w:b w:val="0"/>
          <w:bCs/>
          <w:color w:val="FF0000"/>
          <w:sz w:val="32"/>
          <w:szCs w:val="32"/>
        </w:rPr>
        <w:t>支出决算为</w:t>
      </w:r>
      <w:r>
        <w:rPr>
          <w:rStyle w:val="15"/>
          <w:rFonts w:hint="eastAsia" w:ascii="仿宋" w:hAnsi="仿宋" w:eastAsia="仿宋"/>
          <w:b w:val="0"/>
          <w:bCs/>
          <w:color w:val="FF0000"/>
          <w:sz w:val="32"/>
          <w:szCs w:val="32"/>
          <w:lang w:val="en-US" w:eastAsia="zh-CN"/>
        </w:rPr>
        <w:t>11.14</w:t>
      </w:r>
      <w:r>
        <w:rPr>
          <w:rStyle w:val="15"/>
          <w:rFonts w:hint="eastAsia" w:ascii="仿宋" w:hAnsi="仿宋" w:eastAsia="仿宋"/>
          <w:b w:val="0"/>
          <w:bCs/>
          <w:color w:val="FF0000"/>
          <w:sz w:val="32"/>
          <w:szCs w:val="32"/>
        </w:rPr>
        <w:t>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w:t>
      </w:r>
      <w:r>
        <w:rPr>
          <w:rFonts w:hint="eastAsia" w:ascii="仿宋" w:hAnsi="仿宋" w:eastAsia="仿宋"/>
          <w:sz w:val="32"/>
          <w:szCs w:val="32"/>
        </w:rPr>
        <w:t>主要用于在编人员养老保险缴费支出</w:t>
      </w:r>
      <w:r>
        <w:rPr>
          <w:rStyle w:val="15"/>
          <w:rFonts w:hint="eastAsia" w:ascii="仿宋" w:hAnsi="仿宋" w:eastAsia="仿宋"/>
          <w:b w:val="0"/>
          <w:bCs/>
          <w:color w:val="FF0000"/>
          <w:sz w:val="32"/>
          <w:szCs w:val="32"/>
        </w:rPr>
        <w:t>。</w:t>
      </w:r>
    </w:p>
    <w:p>
      <w:pPr>
        <w:spacing w:line="600" w:lineRule="exact"/>
        <w:ind w:firstLine="643" w:firstLineChars="200"/>
        <w:rPr>
          <w:rFonts w:ascii="仿宋" w:hAnsi="仿宋" w:eastAsia="仿宋"/>
          <w:b/>
          <w:color w:val="FF0000"/>
          <w:sz w:val="32"/>
          <w:szCs w:val="32"/>
        </w:rPr>
      </w:pPr>
      <w:r>
        <w:rPr>
          <w:rStyle w:val="15"/>
          <w:rFonts w:ascii="仿宋" w:hAnsi="仿宋" w:eastAsia="仿宋"/>
          <w:bCs/>
          <w:color w:val="FF0000"/>
          <w:sz w:val="32"/>
          <w:szCs w:val="32"/>
        </w:rPr>
        <w:t>6.</w:t>
      </w:r>
      <w:r>
        <w:rPr>
          <w:rStyle w:val="15"/>
          <w:rFonts w:hint="eastAsia" w:ascii="仿宋" w:hAnsi="仿宋" w:eastAsia="仿宋"/>
          <w:bCs/>
          <w:color w:val="FF0000"/>
          <w:sz w:val="32"/>
          <w:szCs w:val="32"/>
        </w:rPr>
        <w:t>医疗卫生与计划生育</w:t>
      </w:r>
      <w:r>
        <w:rPr>
          <w:rStyle w:val="15"/>
          <w:rFonts w:hint="eastAsia" w:ascii="仿宋" w:hAnsi="仿宋" w:eastAsia="仿宋"/>
          <w:b w:val="0"/>
          <w:color w:val="000000"/>
          <w:sz w:val="32"/>
          <w:szCs w:val="32"/>
        </w:rPr>
        <w:t>（210）医疗保障（11）行政单位医疗（01）</w:t>
      </w:r>
      <w:r>
        <w:rPr>
          <w:rStyle w:val="15"/>
          <w:rFonts w:ascii="仿宋" w:hAnsi="仿宋" w:eastAsia="仿宋"/>
          <w:bCs/>
          <w:color w:val="FF0000"/>
          <w:sz w:val="32"/>
          <w:szCs w:val="32"/>
        </w:rPr>
        <w:t>:</w:t>
      </w:r>
      <w:r>
        <w:rPr>
          <w:rStyle w:val="15"/>
          <w:rFonts w:hint="eastAsia" w:ascii="仿宋" w:hAnsi="仿宋" w:eastAsia="仿宋"/>
          <w:b w:val="0"/>
          <w:bCs/>
          <w:color w:val="FF0000"/>
          <w:sz w:val="32"/>
          <w:szCs w:val="32"/>
        </w:rPr>
        <w:t>支出决算为5.</w:t>
      </w:r>
      <w:r>
        <w:rPr>
          <w:rStyle w:val="15"/>
          <w:rFonts w:hint="eastAsia" w:ascii="仿宋" w:hAnsi="仿宋" w:eastAsia="仿宋"/>
          <w:b w:val="0"/>
          <w:bCs/>
          <w:color w:val="FF0000"/>
          <w:sz w:val="32"/>
          <w:szCs w:val="32"/>
          <w:lang w:val="en-US" w:eastAsia="zh-CN"/>
        </w:rPr>
        <w:t>05</w:t>
      </w:r>
      <w:r>
        <w:rPr>
          <w:rStyle w:val="15"/>
          <w:rFonts w:hint="eastAsia" w:ascii="仿宋" w:hAnsi="仿宋" w:eastAsia="仿宋"/>
          <w:b w:val="0"/>
          <w:bCs/>
          <w:color w:val="FF0000"/>
          <w:sz w:val="32"/>
          <w:szCs w:val="32"/>
        </w:rPr>
        <w:t>万元，完成预算100</w:t>
      </w:r>
      <w:r>
        <w:rPr>
          <w:rStyle w:val="15"/>
          <w:rFonts w:ascii="仿宋" w:hAnsi="仿宋" w:eastAsia="仿宋"/>
          <w:b w:val="0"/>
          <w:bCs/>
          <w:color w:val="FF0000"/>
          <w:sz w:val="32"/>
          <w:szCs w:val="32"/>
        </w:rPr>
        <w:t>%</w:t>
      </w:r>
      <w:r>
        <w:rPr>
          <w:rStyle w:val="15"/>
          <w:rFonts w:hint="eastAsia" w:ascii="仿宋" w:hAnsi="仿宋" w:eastAsia="仿宋"/>
          <w:b w:val="0"/>
          <w:bCs/>
          <w:color w:val="FF0000"/>
          <w:sz w:val="32"/>
          <w:szCs w:val="32"/>
        </w:rPr>
        <w:t>，</w:t>
      </w:r>
      <w:r>
        <w:rPr>
          <w:rFonts w:hint="eastAsia" w:ascii="仿宋" w:hAnsi="仿宋" w:eastAsia="仿宋"/>
          <w:sz w:val="32"/>
          <w:szCs w:val="32"/>
        </w:rPr>
        <w:t>主要用于行政事业单位医疗保险缴费支出</w:t>
      </w:r>
      <w:r>
        <w:rPr>
          <w:rStyle w:val="15"/>
          <w:rFonts w:hint="eastAsia" w:ascii="仿宋" w:hAnsi="仿宋" w:eastAsia="仿宋"/>
          <w:b w:val="0"/>
          <w:bCs/>
          <w:color w:val="FF0000"/>
          <w:sz w:val="32"/>
          <w:szCs w:val="32"/>
        </w:rPr>
        <w:t>。</w:t>
      </w:r>
    </w:p>
    <w:p>
      <w:pPr>
        <w:spacing w:line="576" w:lineRule="exact"/>
        <w:ind w:firstLine="640" w:firstLineChars="200"/>
        <w:rPr>
          <w:rFonts w:ascii="仿宋" w:hAnsi="仿宋" w:eastAsia="仿宋"/>
          <w:sz w:val="32"/>
          <w:szCs w:val="32"/>
        </w:rPr>
      </w:pPr>
      <w:r>
        <w:rPr>
          <w:rFonts w:hint="eastAsia" w:ascii="仿宋" w:hAnsi="仿宋" w:eastAsia="仿宋"/>
          <w:color w:val="FF0000"/>
          <w:sz w:val="32"/>
          <w:szCs w:val="32"/>
        </w:rPr>
        <w:t>7.</w:t>
      </w:r>
      <w:r>
        <w:rPr>
          <w:rStyle w:val="15"/>
          <w:rFonts w:hint="eastAsia" w:ascii="仿宋" w:hAnsi="仿宋" w:eastAsia="仿宋"/>
          <w:b w:val="0"/>
          <w:color w:val="000000"/>
          <w:sz w:val="32"/>
          <w:szCs w:val="32"/>
        </w:rPr>
        <w:t>住房保障支出（221）住房改革支出（02）住房公积金（01）:</w:t>
      </w:r>
      <w:r>
        <w:rPr>
          <w:rFonts w:hint="eastAsia" w:ascii="仿宋" w:hAnsi="仿宋" w:eastAsia="仿宋"/>
          <w:sz w:val="32"/>
          <w:szCs w:val="32"/>
        </w:rPr>
        <w:t>支出决算数为8.</w:t>
      </w:r>
      <w:r>
        <w:rPr>
          <w:rFonts w:hint="eastAsia" w:ascii="仿宋" w:hAnsi="仿宋" w:eastAsia="仿宋"/>
          <w:sz w:val="32"/>
          <w:szCs w:val="32"/>
          <w:lang w:val="en-US" w:eastAsia="zh-CN"/>
        </w:rPr>
        <w:t>08</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，主要用于住房公积金缴费支出。</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6"/>
        </w:rPr>
      </w:pPr>
      <w:bookmarkStart w:id="41" w:name="_Toc15396608"/>
      <w:bookmarkStart w:id="42"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1"/>
      <w:bookmarkEnd w:id="42"/>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209.14</w:t>
      </w:r>
      <w:r>
        <w:rPr>
          <w:rFonts w:hint="eastAsia" w:ascii="仿宋" w:hAnsi="仿宋" w:eastAsia="仿宋"/>
          <w:color w:val="000000"/>
          <w:sz w:val="32"/>
          <w:szCs w:val="32"/>
        </w:rPr>
        <w:t>万元，其中：</w:t>
      </w:r>
    </w:p>
    <w:p>
      <w:pPr>
        <w:spacing w:line="600" w:lineRule="exact"/>
        <w:ind w:firstLine="645"/>
        <w:rPr>
          <w:rFonts w:ascii="仿宋" w:hAnsi="仿宋" w:eastAsia="仿宋"/>
          <w:sz w:val="32"/>
          <w:szCs w:val="32"/>
        </w:rPr>
      </w:pPr>
      <w:r>
        <w:rPr>
          <w:rFonts w:hint="eastAsia" w:ascii="仿宋" w:hAnsi="仿宋" w:eastAsia="仿宋"/>
          <w:color w:val="000000"/>
          <w:sz w:val="32"/>
          <w:szCs w:val="32"/>
        </w:rPr>
        <w:t>人员经费1</w:t>
      </w:r>
      <w:r>
        <w:rPr>
          <w:rFonts w:hint="eastAsia" w:ascii="仿宋" w:hAnsi="仿宋" w:eastAsia="仿宋"/>
          <w:color w:val="000000"/>
          <w:sz w:val="32"/>
          <w:szCs w:val="32"/>
          <w:lang w:val="en-US" w:eastAsia="zh-CN"/>
        </w:rPr>
        <w:t>45.47</w:t>
      </w:r>
      <w:r>
        <w:rPr>
          <w:rFonts w:hint="eastAsia" w:ascii="仿宋" w:hAnsi="仿宋" w:eastAsia="仿宋"/>
          <w:color w:val="000000"/>
          <w:sz w:val="32"/>
          <w:szCs w:val="32"/>
        </w:rPr>
        <w:t>万元，主要包括：基本工资支出</w:t>
      </w:r>
      <w:r>
        <w:rPr>
          <w:rFonts w:hint="eastAsia" w:ascii="仿宋" w:hAnsi="仿宋" w:eastAsia="仿宋"/>
          <w:color w:val="000000"/>
          <w:sz w:val="32"/>
          <w:szCs w:val="32"/>
          <w:lang w:val="en-US" w:eastAsia="zh-CN"/>
        </w:rPr>
        <w:t>41.41</w:t>
      </w:r>
      <w:r>
        <w:rPr>
          <w:rFonts w:hint="eastAsia" w:ascii="仿宋" w:hAnsi="仿宋" w:eastAsia="仿宋"/>
          <w:color w:val="000000"/>
          <w:sz w:val="32"/>
          <w:szCs w:val="32"/>
        </w:rPr>
        <w:t>万元、津贴补贴</w:t>
      </w:r>
      <w:r>
        <w:rPr>
          <w:rFonts w:hint="eastAsia" w:ascii="仿宋" w:hAnsi="仿宋" w:eastAsia="仿宋"/>
          <w:color w:val="000000"/>
          <w:sz w:val="32"/>
          <w:szCs w:val="32"/>
          <w:lang w:val="en-US" w:eastAsia="zh-CN"/>
        </w:rPr>
        <w:t>21.85</w:t>
      </w:r>
      <w:r>
        <w:rPr>
          <w:rFonts w:hint="eastAsia" w:ascii="仿宋" w:hAnsi="仿宋" w:eastAsia="仿宋"/>
          <w:color w:val="000000"/>
          <w:sz w:val="32"/>
          <w:szCs w:val="32"/>
        </w:rPr>
        <w:t>万元、奖金</w:t>
      </w:r>
      <w:r>
        <w:rPr>
          <w:rFonts w:hint="eastAsia" w:ascii="仿宋" w:hAnsi="仿宋" w:eastAsia="仿宋"/>
          <w:color w:val="000000"/>
          <w:sz w:val="32"/>
          <w:szCs w:val="32"/>
          <w:lang w:val="en-US" w:eastAsia="zh-CN"/>
        </w:rPr>
        <w:t>24.3</w:t>
      </w:r>
      <w:r>
        <w:rPr>
          <w:rFonts w:hint="eastAsia" w:ascii="仿宋" w:hAnsi="仿宋" w:eastAsia="仿宋"/>
          <w:color w:val="000000"/>
          <w:sz w:val="32"/>
          <w:szCs w:val="32"/>
        </w:rPr>
        <w:t>万元、伙食补助费0万元、绩效工资7.</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万元、机关事业单位基本养老保险缴费1</w:t>
      </w:r>
      <w:r>
        <w:rPr>
          <w:rFonts w:hint="eastAsia" w:ascii="仿宋" w:hAnsi="仿宋" w:eastAsia="仿宋"/>
          <w:color w:val="000000"/>
          <w:sz w:val="32"/>
          <w:szCs w:val="32"/>
          <w:lang w:val="en-US" w:eastAsia="zh-CN"/>
        </w:rPr>
        <w:t>1.14</w:t>
      </w:r>
      <w:r>
        <w:rPr>
          <w:rFonts w:hint="eastAsia" w:ascii="仿宋" w:hAnsi="仿宋" w:eastAsia="仿宋"/>
          <w:color w:val="000000"/>
          <w:sz w:val="32"/>
          <w:szCs w:val="32"/>
        </w:rPr>
        <w:t>万元、职业年金缴费0万元、其他社会保障缴费</w:t>
      </w:r>
      <w:r>
        <w:rPr>
          <w:rFonts w:hint="eastAsia" w:ascii="仿宋" w:hAnsi="仿宋" w:eastAsia="仿宋"/>
          <w:color w:val="000000"/>
          <w:sz w:val="32"/>
          <w:szCs w:val="32"/>
          <w:lang w:val="en-US" w:eastAsia="zh-CN"/>
        </w:rPr>
        <w:t>0.53</w:t>
      </w:r>
      <w:r>
        <w:rPr>
          <w:rFonts w:hint="eastAsia" w:ascii="仿宋" w:hAnsi="仿宋" w:eastAsia="仿宋"/>
          <w:color w:val="000000"/>
          <w:sz w:val="32"/>
          <w:szCs w:val="32"/>
        </w:rPr>
        <w:t>万元、其他工资福利支出</w:t>
      </w:r>
      <w:r>
        <w:rPr>
          <w:rFonts w:hint="eastAsia" w:ascii="仿宋" w:hAnsi="仿宋" w:eastAsia="仿宋"/>
          <w:color w:val="000000"/>
          <w:sz w:val="32"/>
          <w:szCs w:val="32"/>
          <w:lang w:val="en-US" w:eastAsia="zh-CN"/>
        </w:rPr>
        <w:t>23.96</w:t>
      </w:r>
      <w:r>
        <w:rPr>
          <w:rFonts w:hint="eastAsia" w:ascii="仿宋" w:hAnsi="仿宋" w:eastAsia="仿宋"/>
          <w:color w:val="000000"/>
          <w:sz w:val="32"/>
          <w:szCs w:val="32"/>
        </w:rPr>
        <w:t>万元、离休费0万元、退休费0万元、抚恤金0万元、生活补助0万元、医疗费5.</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万元、奖励金0.05万元、住房公积金8.</w:t>
      </w:r>
      <w:r>
        <w:rPr>
          <w:rFonts w:hint="eastAsia" w:ascii="仿宋" w:hAnsi="仿宋" w:eastAsia="仿宋"/>
          <w:color w:val="000000"/>
          <w:sz w:val="32"/>
          <w:szCs w:val="32"/>
          <w:lang w:val="en-US" w:eastAsia="zh-CN"/>
        </w:rPr>
        <w:t>08</w:t>
      </w:r>
      <w:r>
        <w:rPr>
          <w:rFonts w:hint="eastAsia" w:ascii="仿宋" w:hAnsi="仿宋" w:eastAsia="仿宋"/>
          <w:color w:val="000000"/>
          <w:sz w:val="32"/>
          <w:szCs w:val="32"/>
        </w:rPr>
        <w:t>万元、提租补贴0万元、购房补贴0万元、其他对个人和家庭的补助支出</w:t>
      </w:r>
      <w:r>
        <w:rPr>
          <w:rFonts w:hint="eastAsia" w:ascii="仿宋" w:hAnsi="仿宋" w:eastAsia="仿宋"/>
          <w:color w:val="000000"/>
          <w:sz w:val="32"/>
          <w:szCs w:val="32"/>
          <w:lang w:val="en-US" w:eastAsia="zh-CN"/>
        </w:rPr>
        <w:t>1.45</w:t>
      </w:r>
      <w:r>
        <w:rPr>
          <w:rFonts w:hint="eastAsia" w:ascii="仿宋" w:hAnsi="仿宋" w:eastAsia="仿宋"/>
          <w:color w:val="000000"/>
          <w:sz w:val="32"/>
          <w:szCs w:val="32"/>
        </w:rPr>
        <w:t>万元等</w:t>
      </w:r>
      <w:r>
        <w:rPr>
          <w:rFonts w:hint="eastAsia" w:ascii="仿宋" w:hAnsi="仿宋" w:eastAsia="仿宋"/>
          <w:sz w:val="32"/>
          <w:szCs w:val="32"/>
        </w:rPr>
        <w:t>。</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日常公用经费</w:t>
      </w:r>
      <w:r>
        <w:rPr>
          <w:rFonts w:hint="eastAsia" w:ascii="仿宋" w:hAnsi="仿宋" w:eastAsia="仿宋"/>
          <w:color w:val="000000"/>
          <w:sz w:val="32"/>
          <w:szCs w:val="32"/>
          <w:lang w:val="en-US" w:eastAsia="zh-CN"/>
        </w:rPr>
        <w:t>16.71</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6.22</w:t>
      </w:r>
      <w:r>
        <w:rPr>
          <w:rFonts w:hint="eastAsia" w:ascii="仿宋" w:hAnsi="仿宋" w:eastAsia="仿宋"/>
          <w:color w:val="000000"/>
          <w:sz w:val="32"/>
          <w:szCs w:val="32"/>
        </w:rPr>
        <w:t>万元、印刷费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万元、咨询费0万元、手续费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万元、水费0万元、电费0万元、邮电费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万元、取暖费0万元、物业管理费0万元、差旅费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万元、因公出国（境）费用0万元、维修（护）费0万元、租赁费0万元、会议费0万元、培训费0万元、公务接待费0.</w:t>
      </w:r>
      <w:r>
        <w:rPr>
          <w:rFonts w:hint="eastAsia" w:ascii="仿宋" w:hAnsi="仿宋" w:eastAsia="仿宋"/>
          <w:color w:val="000000"/>
          <w:sz w:val="32"/>
          <w:szCs w:val="32"/>
          <w:lang w:val="en-US" w:eastAsia="zh-CN"/>
        </w:rPr>
        <w:t>73</w:t>
      </w:r>
      <w:r>
        <w:rPr>
          <w:rFonts w:hint="eastAsia" w:ascii="仿宋" w:hAnsi="仿宋" w:eastAsia="仿宋"/>
          <w:color w:val="000000"/>
          <w:sz w:val="32"/>
          <w:szCs w:val="32"/>
        </w:rPr>
        <w:t>万元、劳务费0万元、委托业务费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万元、工会经费0.6</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万元、福利费2.1</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万元、公务用车运行维护费0万元、其他交通费6.</w:t>
      </w:r>
      <w:r>
        <w:rPr>
          <w:rFonts w:hint="eastAsia" w:ascii="仿宋" w:hAnsi="仿宋" w:eastAsia="仿宋"/>
          <w:color w:val="000000"/>
          <w:sz w:val="32"/>
          <w:szCs w:val="32"/>
          <w:lang w:val="en-US" w:eastAsia="zh-CN"/>
        </w:rPr>
        <w:t>95</w:t>
      </w:r>
      <w:r>
        <w:rPr>
          <w:rFonts w:hint="eastAsia" w:ascii="仿宋" w:hAnsi="仿宋" w:eastAsia="仿宋"/>
          <w:color w:val="000000"/>
          <w:sz w:val="32"/>
          <w:szCs w:val="32"/>
        </w:rPr>
        <w:t>万元、税金及附加费用0万元、其他商品和服务支出0万元、办公设备购置0万元、专用设备购置0万元、信息网络及软件购置更新0万元、其他资本性支出0万元等。</w:t>
      </w:r>
    </w:p>
    <w:p>
      <w:pPr>
        <w:spacing w:line="600" w:lineRule="exact"/>
        <w:ind w:firstLine="640"/>
        <w:outlineLvl w:val="1"/>
        <w:rPr>
          <w:rStyle w:val="26"/>
          <w:rFonts w:ascii="黑体" w:hAnsi="黑体" w:eastAsia="黑体"/>
          <w:b w:val="0"/>
        </w:rPr>
      </w:pPr>
      <w:bookmarkStart w:id="43" w:name="_Toc15396609"/>
      <w:bookmarkStart w:id="44" w:name="_Toc15377215"/>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3"/>
      <w:bookmarkEnd w:id="44"/>
    </w:p>
    <w:p>
      <w:pPr>
        <w:spacing w:line="600" w:lineRule="exact"/>
        <w:ind w:firstLine="640"/>
        <w:outlineLvl w:val="2"/>
        <w:rPr>
          <w:rFonts w:ascii="仿宋" w:hAnsi="仿宋" w:eastAsia="仿宋"/>
          <w:b/>
          <w:color w:val="000000"/>
          <w:sz w:val="32"/>
          <w:szCs w:val="32"/>
        </w:rPr>
      </w:pPr>
      <w:bookmarkStart w:id="45" w:name="_Toc15377216"/>
      <w:r>
        <w:rPr>
          <w:rFonts w:hint="eastAsia" w:ascii="仿宋" w:hAnsi="仿宋" w:eastAsia="仿宋"/>
          <w:b/>
          <w:color w:val="000000"/>
          <w:sz w:val="32"/>
          <w:szCs w:val="32"/>
        </w:rPr>
        <w:t>（一）“三公”经费财政拨款支出决算总体情况说明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年“三公”经费财政拨款支出决算为0.</w:t>
      </w:r>
      <w:r>
        <w:rPr>
          <w:rFonts w:hint="eastAsia" w:ascii="仿宋" w:hAnsi="仿宋" w:eastAsia="仿宋"/>
          <w:color w:val="000000"/>
          <w:sz w:val="32"/>
          <w:szCs w:val="32"/>
          <w:lang w:val="en-US" w:eastAsia="zh-CN"/>
        </w:rPr>
        <w:t>73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46" w:name="_Toc15377217"/>
      <w:r>
        <w:rPr>
          <w:rFonts w:hint="eastAsia" w:ascii="仿宋" w:hAnsi="仿宋" w:eastAsia="仿宋"/>
          <w:b/>
          <w:color w:val="000000"/>
          <w:sz w:val="32"/>
          <w:szCs w:val="32"/>
        </w:rPr>
        <w:t>（二）“三公”经费财政拨款支出决算具体情况说明</w:t>
      </w:r>
      <w:bookmarkEnd w:id="46"/>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；公务用车购置及运行维护费支出决算0万元，占0</w:t>
      </w:r>
      <w:r>
        <w:rPr>
          <w:rFonts w:ascii="仿宋" w:hAnsi="仿宋" w:eastAsia="仿宋"/>
          <w:color w:val="000000"/>
          <w:sz w:val="32"/>
          <w:szCs w:val="32"/>
        </w:rPr>
        <w:t>%</w:t>
      </w:r>
      <w:r>
        <w:rPr>
          <w:rFonts w:hint="eastAsia" w:ascii="仿宋" w:hAnsi="仿宋" w:eastAsia="仿宋"/>
          <w:color w:val="000000"/>
          <w:sz w:val="32"/>
          <w:szCs w:val="32"/>
        </w:rPr>
        <w:t>；公务接待费支出决算0.</w:t>
      </w:r>
      <w:r>
        <w:rPr>
          <w:rFonts w:hint="eastAsia" w:ascii="仿宋" w:hAnsi="仿宋" w:eastAsia="仿宋"/>
          <w:color w:val="000000"/>
          <w:sz w:val="32"/>
          <w:szCs w:val="32"/>
          <w:lang w:val="en-US" w:eastAsia="zh-CN"/>
        </w:rPr>
        <w:t>73</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。具体情况如下：</w:t>
      </w:r>
    </w:p>
    <w:p>
      <w:pPr>
        <w:ind w:firstLine="641"/>
        <w:rPr>
          <w:rFonts w:ascii="仿宋" w:hAnsi="仿宋" w:eastAsia="仿宋"/>
          <w:color w:val="000000"/>
          <w:sz w:val="32"/>
          <w:szCs w:val="32"/>
        </w:rPr>
      </w:pPr>
      <w:r>
        <w:rPr>
          <w:rFonts w:ascii="仿宋" w:hAnsi="仿宋" w:eastAsia="仿宋"/>
          <w:color w:val="000000"/>
          <w:sz w:val="32"/>
          <w:szCs w:val="32"/>
        </w:rPr>
        <w:object>
          <v:shape id="_x0000_i1026" o:spt="75" type="#_x0000_t75" style="height:144.6pt;width:367.8pt;" o:ole="t" filled="f" o:preferrelative="t" stroked="f" coordsize="21600,21600">
            <v:path/>
            <v:fill on="f" focussize="0,0"/>
            <v:stroke on="f" joinstyle="miter"/>
            <v:imagedata r:id="rId14" o:title=""/>
            <o:lock v:ext="edit" aspectratio="t"/>
            <w10:wrap type="none"/>
            <w10:anchorlock/>
          </v:shape>
          <o:OLEObject Type="Embed" ProgID="MSGraph.Chart.8" ShapeID="_x0000_i1026" DrawAspect="Content" ObjectID="_1468075726" r:id="rId13">
            <o:LockedField>false</o:LockedField>
          </o:OLEObject>
        </w:objec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因公出国（境）经费支出0万元，</w:t>
      </w:r>
      <w:r>
        <w:rPr>
          <w:rFonts w:hint="eastAsia" w:ascii="仿宋" w:hAnsi="仿宋" w:eastAsia="仿宋"/>
          <w:sz w:val="32"/>
          <w:szCs w:val="32"/>
        </w:rPr>
        <w:t>完成预算0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全年安排因公出国（境）团组0次，出国（境）0人。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公务用车购置及运行维护费支出0万元,</w:t>
      </w:r>
      <w:r>
        <w:rPr>
          <w:rFonts w:hint="eastAsia" w:ascii="仿宋" w:hAnsi="仿宋" w:eastAsia="仿宋"/>
          <w:sz w:val="32"/>
          <w:szCs w:val="32"/>
        </w:rPr>
        <w:t>完成预算0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年增加</w:t>
      </w:r>
      <w:r>
        <w:rPr>
          <w:rFonts w:ascii="仿宋" w:hAnsi="仿宋" w:eastAsia="仿宋"/>
          <w:color w:val="000000"/>
          <w:sz w:val="32"/>
          <w:szCs w:val="32"/>
        </w:rPr>
        <w:t>/</w:t>
      </w:r>
      <w:r>
        <w:rPr>
          <w:rFonts w:hint="eastAsia" w:ascii="仿宋" w:hAnsi="仿宋" w:eastAsia="仿宋"/>
          <w:color w:val="000000"/>
          <w:sz w:val="32"/>
          <w:szCs w:val="32"/>
        </w:rPr>
        <w:t>减少0万元，增长</w:t>
      </w:r>
      <w:r>
        <w:rPr>
          <w:rFonts w:ascii="仿宋" w:hAnsi="仿宋" w:eastAsia="仿宋"/>
          <w:color w:val="000000"/>
          <w:sz w:val="32"/>
          <w:szCs w:val="32"/>
        </w:rPr>
        <w:t>/</w:t>
      </w:r>
      <w:r>
        <w:rPr>
          <w:rFonts w:hint="eastAsia" w:ascii="仿宋" w:hAnsi="仿宋" w:eastAsia="仿宋"/>
          <w:color w:val="000000"/>
          <w:sz w:val="32"/>
          <w:szCs w:val="32"/>
        </w:rPr>
        <w:t>下降0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其中：公务用车购置支出0万元。全年按规定更新购置公务用车0辆，金额0</w:t>
      </w:r>
      <w:r>
        <w:rPr>
          <w:rFonts w:ascii="仿宋" w:hAnsi="仿宋" w:eastAsia="仿宋"/>
          <w:color w:val="000000"/>
          <w:sz w:val="32"/>
          <w:szCs w:val="32"/>
        </w:rPr>
        <w:t>元。</w:t>
      </w:r>
      <w:r>
        <w:rPr>
          <w:rFonts w:hint="eastAsia" w:ascii="仿宋" w:hAnsi="仿宋" w:eastAsia="仿宋"/>
          <w:color w:val="000000"/>
          <w:sz w:val="32"/>
          <w:szCs w:val="32"/>
        </w:rPr>
        <w:t>截至</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月底，单位共有公务用车0辆，其中：主要领导干部用车0辆、机要通信用车0辆、应急保障用车0辆、执法执勤用车0辆</w:t>
      </w:r>
      <w:r>
        <w:rPr>
          <w:rFonts w:hint="eastAsia" w:ascii="仿宋" w:hAnsi="仿宋" w:eastAsia="仿宋"/>
          <w:color w:val="000000"/>
          <w:sz w:val="32"/>
          <w:szCs w:val="32"/>
          <w:lang w:eastAsia="zh-CN"/>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公务用车运行维护费支出0万元。</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公务接待费支出0.</w:t>
      </w:r>
      <w:r>
        <w:rPr>
          <w:rFonts w:hint="eastAsia" w:ascii="仿宋" w:hAnsi="仿宋" w:eastAsia="仿宋"/>
          <w:color w:val="000000"/>
          <w:sz w:val="32"/>
          <w:szCs w:val="32"/>
          <w:lang w:val="en-US" w:eastAsia="zh-CN"/>
        </w:rPr>
        <w:t>73</w:t>
      </w:r>
      <w:r>
        <w:rPr>
          <w:rFonts w:hint="eastAsia" w:ascii="仿宋" w:hAnsi="仿宋" w:eastAsia="仿宋"/>
          <w:color w:val="000000"/>
          <w:sz w:val="32"/>
          <w:szCs w:val="32"/>
        </w:rPr>
        <w:t>万元，</w:t>
      </w:r>
      <w:r>
        <w:rPr>
          <w:rFonts w:hint="eastAsia" w:ascii="仿宋" w:hAnsi="仿宋" w:eastAsia="仿宋"/>
          <w:sz w:val="32"/>
          <w:szCs w:val="32"/>
        </w:rPr>
        <w:t>完成预算</w:t>
      </w:r>
      <w:r>
        <w:rPr>
          <w:rFonts w:hint="eastAsia" w:ascii="仿宋" w:hAnsi="仿宋" w:eastAsia="仿宋"/>
          <w:sz w:val="32"/>
          <w:szCs w:val="32"/>
          <w:lang w:val="en-US" w:eastAsia="zh-CN"/>
        </w:rPr>
        <w:t>82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年持平，其中：</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国内公务接待支出0.</w:t>
      </w:r>
      <w:r>
        <w:rPr>
          <w:rFonts w:hint="eastAsia" w:ascii="仿宋" w:hAnsi="仿宋" w:eastAsia="仿宋"/>
          <w:color w:val="000000"/>
          <w:sz w:val="32"/>
          <w:szCs w:val="32"/>
          <w:lang w:val="en-US" w:eastAsia="zh-CN"/>
        </w:rPr>
        <w:t>73</w:t>
      </w:r>
      <w:r>
        <w:rPr>
          <w:rFonts w:hint="eastAsia" w:ascii="仿宋" w:hAnsi="仿宋" w:eastAsia="仿宋"/>
          <w:color w:val="000000"/>
          <w:sz w:val="32"/>
          <w:szCs w:val="32"/>
        </w:rPr>
        <w:t>万元，用于执行公务、开展业务活动开支的交通费、住宿费、用餐费等。国内公务接待1</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批次，9</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人次（不包括陪同人员），共计支出0.</w:t>
      </w:r>
      <w:r>
        <w:rPr>
          <w:rFonts w:hint="eastAsia" w:ascii="仿宋" w:hAnsi="仿宋" w:eastAsia="仿宋"/>
          <w:color w:val="000000"/>
          <w:sz w:val="32"/>
          <w:szCs w:val="32"/>
          <w:lang w:val="en-US" w:eastAsia="zh-CN"/>
        </w:rPr>
        <w:t>73</w:t>
      </w:r>
      <w:r>
        <w:rPr>
          <w:rFonts w:hint="eastAsia" w:ascii="仿宋" w:hAnsi="仿宋" w:eastAsia="仿宋"/>
          <w:color w:val="000000"/>
          <w:sz w:val="32"/>
          <w:szCs w:val="32"/>
        </w:rPr>
        <w:t>万元，具体内容包括：</w:t>
      </w:r>
      <w:r>
        <w:rPr>
          <w:rFonts w:hint="eastAsia" w:ascii="仿宋" w:hAnsi="仿宋" w:eastAsia="仿宋"/>
          <w:sz w:val="32"/>
          <w:szCs w:val="32"/>
        </w:rPr>
        <w:t>主要用于区外单位学习交流考察调研工作接待支出。</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外事接待支出0万元</w:t>
      </w:r>
      <w:r>
        <w:rPr>
          <w:rFonts w:hint="eastAsia" w:ascii="仿宋" w:hAnsi="仿宋" w:eastAsia="仿宋"/>
          <w:sz w:val="32"/>
          <w:szCs w:val="32"/>
        </w:rPr>
        <w:t>，外事接待0批次，0人，共计支出0万元</w:t>
      </w:r>
      <w:bookmarkStart w:id="47" w:name="_Toc15396610"/>
      <w:bookmarkStart w:id="48" w:name="_Toc15377218"/>
      <w:r>
        <w:rPr>
          <w:rFonts w:hint="eastAsia" w:ascii="仿宋" w:hAnsi="仿宋" w:eastAsia="仿宋"/>
          <w:sz w:val="32"/>
          <w:szCs w:val="32"/>
        </w:rPr>
        <w:t>。</w:t>
      </w:r>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7"/>
      <w:bookmarkEnd w:id="4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年政府性基金预算拨款支出0万元。</w:t>
      </w:r>
    </w:p>
    <w:p>
      <w:pPr>
        <w:numPr>
          <w:ilvl w:val="0"/>
          <w:numId w:val="2"/>
        </w:numPr>
        <w:spacing w:line="600" w:lineRule="exact"/>
        <w:ind w:firstLine="640"/>
        <w:outlineLvl w:val="1"/>
        <w:rPr>
          <w:rStyle w:val="26"/>
          <w:rFonts w:ascii="黑体" w:hAnsi="黑体" w:eastAsia="黑体"/>
          <w:b w:val="0"/>
        </w:rPr>
      </w:pPr>
      <w:bookmarkStart w:id="49" w:name="_Toc15396611"/>
      <w:bookmarkStart w:id="50" w:name="_Toc15377219"/>
      <w:r>
        <w:rPr>
          <w:rStyle w:val="26"/>
          <w:rFonts w:hint="eastAsia" w:ascii="黑体" w:hAnsi="黑体" w:eastAsia="黑体"/>
          <w:b w:val="0"/>
        </w:rPr>
        <w:t>国有资本经营预算支出决算情况说明</w:t>
      </w:r>
      <w:bookmarkEnd w:id="49"/>
      <w:bookmarkEnd w:id="5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年国有资本经营预算拨款支出0万元。</w:t>
      </w:r>
    </w:p>
    <w:p>
      <w:pPr>
        <w:spacing w:line="600" w:lineRule="exact"/>
        <w:ind w:firstLine="800" w:firstLineChars="250"/>
        <w:outlineLvl w:val="1"/>
        <w:rPr>
          <w:rStyle w:val="26"/>
          <w:rFonts w:ascii="黑体" w:hAnsi="黑体" w:eastAsia="黑体"/>
        </w:rPr>
      </w:pPr>
      <w:bookmarkStart w:id="51" w:name="_Toc15377221"/>
      <w:bookmarkStart w:id="52" w:name="_Toc15396612"/>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1"/>
      <w:bookmarkEnd w:id="52"/>
    </w:p>
    <w:p>
      <w:pPr>
        <w:spacing w:line="600" w:lineRule="exact"/>
        <w:ind w:firstLine="643" w:firstLineChars="200"/>
        <w:outlineLvl w:val="2"/>
        <w:rPr>
          <w:rFonts w:ascii="仿宋" w:hAnsi="仿宋" w:eastAsia="仿宋"/>
          <w:color w:val="000000"/>
          <w:sz w:val="32"/>
          <w:szCs w:val="32"/>
        </w:rPr>
      </w:pPr>
      <w:bookmarkStart w:id="53" w:name="_Toc15377222"/>
      <w:r>
        <w:rPr>
          <w:rFonts w:hint="eastAsia" w:ascii="仿宋" w:hAnsi="仿宋" w:eastAsia="仿宋"/>
          <w:b/>
          <w:color w:val="000000"/>
          <w:sz w:val="32"/>
          <w:szCs w:val="32"/>
        </w:rPr>
        <w:t>（一）机关运行经费支出情况</w:t>
      </w:r>
      <w:bookmarkEnd w:id="53"/>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年，区委编办机关运行经费支出</w:t>
      </w:r>
      <w:r>
        <w:rPr>
          <w:rFonts w:hint="eastAsia" w:ascii="仿宋" w:hAnsi="仿宋" w:eastAsia="仿宋"/>
          <w:sz w:val="32"/>
          <w:szCs w:val="32"/>
          <w:lang w:val="en-US" w:eastAsia="zh-CN"/>
        </w:rPr>
        <w:t>16.71</w:t>
      </w:r>
      <w:r>
        <w:rPr>
          <w:rFonts w:hint="eastAsia" w:ascii="仿宋" w:hAnsi="仿宋" w:eastAsia="仿宋"/>
          <w:sz w:val="32"/>
          <w:szCs w:val="32"/>
        </w:rPr>
        <w:t>万元，比</w:t>
      </w:r>
      <w:r>
        <w:rPr>
          <w:rFonts w:ascii="仿宋" w:hAnsi="仿宋" w:eastAsia="仿宋"/>
          <w:sz w:val="32"/>
          <w:szCs w:val="32"/>
        </w:rPr>
        <w:t>201</w:t>
      </w:r>
      <w:r>
        <w:rPr>
          <w:rFonts w:hint="eastAsia" w:ascii="仿宋" w:hAnsi="仿宋" w:eastAsia="仿宋"/>
          <w:sz w:val="32"/>
          <w:szCs w:val="32"/>
          <w:lang w:val="en-US" w:eastAsia="zh-CN"/>
        </w:rPr>
        <w:t>9</w:t>
      </w:r>
      <w:r>
        <w:rPr>
          <w:rFonts w:hint="eastAsia" w:ascii="仿宋" w:hAnsi="仿宋" w:eastAsia="仿宋"/>
          <w:sz w:val="32"/>
          <w:szCs w:val="32"/>
        </w:rPr>
        <w:t>年减少4.61万元，减少1</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val="en-US" w:eastAsia="zh-CN"/>
        </w:rPr>
        <w:t>9</w:t>
      </w:r>
      <w:r>
        <w:rPr>
          <w:rFonts w:ascii="仿宋" w:hAnsi="仿宋" w:eastAsia="仿宋"/>
          <w:sz w:val="32"/>
          <w:szCs w:val="32"/>
        </w:rPr>
        <w:t>%</w:t>
      </w:r>
      <w:r>
        <w:rPr>
          <w:rFonts w:hint="eastAsia" w:ascii="仿宋" w:hAnsi="仿宋" w:eastAsia="仿宋"/>
          <w:sz w:val="32"/>
          <w:szCs w:val="32"/>
        </w:rPr>
        <w:t>。主要原因一是20</w:t>
      </w:r>
      <w:r>
        <w:rPr>
          <w:rFonts w:hint="eastAsia" w:ascii="仿宋" w:hAnsi="仿宋" w:eastAsia="仿宋"/>
          <w:sz w:val="32"/>
          <w:szCs w:val="32"/>
          <w:lang w:val="en-US" w:eastAsia="zh-CN"/>
        </w:rPr>
        <w:t>20</w:t>
      </w:r>
      <w:r>
        <w:rPr>
          <w:rFonts w:hint="eastAsia" w:ascii="仿宋" w:hAnsi="仿宋" w:eastAsia="仿宋"/>
          <w:sz w:val="32"/>
          <w:szCs w:val="32"/>
        </w:rPr>
        <w:t>年下半年打印费未结算，二是厉行节约减少各项办公支出。</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3"/>
      <w:r>
        <w:rPr>
          <w:rFonts w:hint="eastAsia" w:ascii="仿宋" w:hAnsi="仿宋" w:eastAsia="仿宋"/>
          <w:b/>
          <w:color w:val="000000"/>
          <w:sz w:val="32"/>
          <w:szCs w:val="32"/>
        </w:rPr>
        <w:t>（二）政府采购支出情况</w:t>
      </w:r>
      <w:bookmarkEnd w:id="54"/>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年，区委编办政府采购支出总额0万元，其中：政府采购货物支出0万元、政府采购工程支出0万元、政府采购服务支出0万元。授予中小企业合同金额0万元，占政府采购支出总额的0</w:t>
      </w:r>
      <w:r>
        <w:rPr>
          <w:rFonts w:ascii="仿宋" w:hAnsi="仿宋" w:eastAsia="仿宋"/>
          <w:sz w:val="32"/>
          <w:szCs w:val="32"/>
        </w:rPr>
        <w:t>%</w:t>
      </w:r>
      <w:r>
        <w:rPr>
          <w:rFonts w:hint="eastAsia" w:ascii="仿宋" w:hAnsi="仿宋" w:eastAsia="仿宋"/>
          <w:sz w:val="32"/>
          <w:szCs w:val="32"/>
        </w:rPr>
        <w:t>，其中：授予小微企业合同金额0万元，占政府采购支出总额的0</w:t>
      </w:r>
      <w:r>
        <w:rPr>
          <w:rFonts w:ascii="仿宋" w:hAnsi="仿宋" w:eastAsia="仿宋"/>
          <w:sz w:val="32"/>
          <w:szCs w:val="32"/>
        </w:rPr>
        <w:t>%</w:t>
      </w:r>
      <w:r>
        <w:rPr>
          <w:rFonts w:hint="eastAsia" w:ascii="仿宋" w:hAnsi="仿宋" w:eastAsia="仿宋"/>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5" w:name="_Toc15377224"/>
      <w:r>
        <w:rPr>
          <w:rFonts w:hint="eastAsia" w:ascii="仿宋" w:hAnsi="仿宋" w:eastAsia="仿宋"/>
          <w:b/>
          <w:color w:val="000000"/>
          <w:sz w:val="32"/>
          <w:szCs w:val="32"/>
        </w:rPr>
        <w:t>（三）国有资产占有使用情况</w:t>
      </w:r>
      <w:bookmarkEnd w:id="55"/>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日，区委编办共有车辆0辆，其中：主要领导干部用车0辆、机要通信用车0辆、应急保障用车0辆、其他用车0辆。单价</w:t>
      </w:r>
      <w:r>
        <w:rPr>
          <w:rFonts w:ascii="仿宋" w:hAnsi="仿宋" w:eastAsia="仿宋"/>
          <w:sz w:val="32"/>
          <w:szCs w:val="32"/>
        </w:rPr>
        <w:t>50</w:t>
      </w:r>
      <w:r>
        <w:rPr>
          <w:rFonts w:hint="eastAsia" w:ascii="仿宋" w:hAnsi="仿宋" w:eastAsia="仿宋"/>
          <w:sz w:val="32"/>
          <w:szCs w:val="32"/>
        </w:rPr>
        <w:t>万元以上通用设备0台（套），单价</w:t>
      </w:r>
      <w:r>
        <w:rPr>
          <w:rFonts w:ascii="仿宋" w:hAnsi="仿宋" w:eastAsia="仿宋"/>
          <w:sz w:val="32"/>
          <w:szCs w:val="32"/>
        </w:rPr>
        <w:t>100</w:t>
      </w:r>
      <w:r>
        <w:rPr>
          <w:rFonts w:hint="eastAsia" w:ascii="仿宋" w:hAnsi="仿宋" w:eastAsia="仿宋"/>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根据预算绩效管理要求，本部门（单位）在年初预算编制阶段，组织对全区机关事业单位中文域名运行费，机构编制实名制管理、督查、评估、公开、维护及财政供养审核，机构改革工作项目开展了预算事前绩效评估，对3个项目编制了绩效目标，预算执行过程中，选取3个项目开展绩效监控，年终执行完毕后，对3个项目开展了绩效目标完成情况梳理填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本部门按要求对20</w:t>
      </w:r>
      <w:r>
        <w:rPr>
          <w:rFonts w:hint="eastAsia" w:ascii="仿宋" w:hAnsi="仿宋" w:eastAsia="仿宋"/>
          <w:sz w:val="32"/>
          <w:szCs w:val="32"/>
          <w:lang w:val="en-US" w:eastAsia="zh-CN"/>
        </w:rPr>
        <w:t>20</w:t>
      </w:r>
      <w:r>
        <w:rPr>
          <w:rFonts w:hint="eastAsia" w:ascii="仿宋" w:hAnsi="仿宋" w:eastAsia="仿宋"/>
          <w:sz w:val="32"/>
          <w:szCs w:val="32"/>
        </w:rPr>
        <w:t>年部门整体支出开展绩效自评，从评价情况来看区委编办整体预算管理情况良好，各种资金使用公正公开，不徇私舞弊，不违规违纪。全年坚持把“深化改革”作为有效抓手，积极推进</w:t>
      </w:r>
      <w:r>
        <w:rPr>
          <w:rFonts w:ascii="仿宋" w:hAnsi="仿宋" w:eastAsia="仿宋"/>
          <w:sz w:val="32"/>
          <w:szCs w:val="32"/>
        </w:rPr>
        <w:t>治理体系和治理能力现代化</w:t>
      </w:r>
      <w:r>
        <w:rPr>
          <w:rFonts w:hint="eastAsia" w:ascii="仿宋" w:hAnsi="仿宋" w:eastAsia="仿宋"/>
          <w:sz w:val="32"/>
          <w:szCs w:val="32"/>
        </w:rPr>
        <w:t>；坚持把“机构编制管理”作为立身之本，保持专注发展定力，用好用活编制资源，助力决胜“九项工作大比武”和“九个争先、三年攀高”攻坚行动，圆满完成各项目标任务。本部门还自行组织了3个项目绩效评价，从评价情况来看这3个项目都已圆满完成，达到预期目标，有效保障了区委编办各项重点工作有序开展。</w:t>
      </w:r>
    </w:p>
    <w:p>
      <w:pPr>
        <w:spacing w:line="580" w:lineRule="exact"/>
        <w:ind w:firstLine="643" w:firstLineChars="200"/>
        <w:rPr>
          <w:rFonts w:ascii="仿宋" w:hAnsi="仿宋" w:eastAsia="仿宋"/>
          <w:sz w:val="32"/>
          <w:szCs w:val="32"/>
        </w:rPr>
      </w:pPr>
      <w:r>
        <w:rPr>
          <w:rFonts w:hint="eastAsia" w:ascii="仿宋" w:hAnsi="仿宋" w:eastAsia="仿宋"/>
          <w:b/>
          <w:color w:val="000000"/>
          <w:sz w:val="32"/>
          <w:szCs w:val="32"/>
        </w:rPr>
        <w:t>1.</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w:t>
      </w:r>
      <w:r>
        <w:rPr>
          <w:rFonts w:hint="eastAsia" w:ascii="仿宋" w:hAnsi="仿宋" w:eastAsia="仿宋"/>
          <w:sz w:val="32"/>
          <w:szCs w:val="32"/>
        </w:rPr>
        <w:t>本部门在20</w:t>
      </w:r>
      <w:r>
        <w:rPr>
          <w:rFonts w:hint="eastAsia" w:ascii="仿宋" w:hAnsi="仿宋" w:eastAsia="仿宋"/>
          <w:sz w:val="32"/>
          <w:szCs w:val="32"/>
          <w:lang w:val="en-US" w:eastAsia="zh-CN"/>
        </w:rPr>
        <w:t>20</w:t>
      </w:r>
      <w:r>
        <w:rPr>
          <w:rFonts w:hint="eastAsia" w:ascii="仿宋" w:hAnsi="仿宋" w:eastAsia="仿宋"/>
          <w:sz w:val="32"/>
          <w:szCs w:val="32"/>
        </w:rPr>
        <w:t>年度部门决算中反映“全区机关事业单位中文域名运行费</w:t>
      </w:r>
      <w:r>
        <w:rPr>
          <w:rFonts w:ascii="仿宋" w:hAnsi="仿宋" w:eastAsia="仿宋"/>
          <w:sz w:val="32"/>
          <w:szCs w:val="32"/>
        </w:rPr>
        <w:t>”</w:t>
      </w:r>
      <w:r>
        <w:rPr>
          <w:rFonts w:hint="eastAsia" w:ascii="仿宋" w:hAnsi="仿宋" w:eastAsia="仿宋"/>
          <w:sz w:val="32"/>
          <w:szCs w:val="32"/>
        </w:rPr>
        <w:t>、“ 全区机构编制实名制管理、督查、评估、公开、维护及财政供养审核”、“全区机构改革工作”3个项目绩效目标实际完成情况。（本单位部门项目绩效目标个数在5个以上的，选取5个项目进行公开，目标个数在5个以下的，全部进行公开，公开内容包括完成情况综述和完成情况表）。</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⑴全区机关事业单位中文域名运行费项目绩效目标完成情况综述。项目全年预算数4万元，执行数为4万元，完成预算的100%。通过项目实施，保障了全区机关事业单位中文域名的缴费。</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⑵全区机构编制实名制管理、督查、评估、公开、维护及财政供养审核项目绩效目标完成情况综述。项目全年预算数12万元，执行数为5.6万元，完成预算的47%。通过项目实施，保障了全区机构编制实名制管理、督查等工作的正常运行。发现的主要问题：经费使用过程中，对资金监管不严。下一步改进措施：进一步加强项目资金管理，进一步提高资金使用效率。</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⑶全区机构改革工作经费项目绩效目标完成情况综述。项目全年预算数17万元，执行数为17万元，完成预算的100%。通过项目实施，全面完成了党政机构改革、事业单位改革等。因地制宜设置三江办、民营经济服务中心等特色机构，统筹设置党政机构35个、挂牌机构20个，审定印发“三定”规定26个、“一事一议”调整文件13个。新设事业单位13个、撤销10个、规范名称30个、优化设置8个，调整事业编制75名，有效根除“事业局”。规范事业单位登记管理，完成设立、变更、注销等298次，机关群团统一社会信用代码赋码颁证率100%。发现的主要问题：综合执法改革、乡镇街道改革等工作尚未完成。下一步改进措施：向上争取资金，进一步保障机构改革工作经费。</w:t>
      </w:r>
    </w:p>
    <w:tbl>
      <w:tblPr>
        <w:tblStyle w:val="12"/>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1"/>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全区机关事业单位中文域名运行费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中共广元市利州区委机构编制委员会办公室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2019年向政务和公益机构域名注册管理中心缴纳全区行政事业单位中文域名费用。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已向政务和公益机构域名注册管理中心缴纳全区行政事业单位中文域名费用。</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400个行政事业单位缴费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向政务和公益机构域名注册管理中心缴费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已向政务和公益机构域名注册管理中心缴费</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群众满意度、项目实施单位满意度</w:t>
            </w:r>
            <w:r>
              <w:rPr>
                <w:rFonts w:hint="eastAsia" w:ascii="宋体" w:hAnsi="宋体" w:cs="宋体"/>
                <w:color w:val="000000"/>
                <w:sz w:val="24"/>
              </w:rPr>
              <w:t>10</w:t>
            </w:r>
            <w:r>
              <w:rPr>
                <w:rFonts w:hint="eastAsia" w:ascii="宋体" w:cs="宋体"/>
                <w:color w:val="000000"/>
                <w:sz w:val="24"/>
              </w:rPr>
              <w:t>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群众满意度、项目实施单位满意度</w:t>
            </w:r>
            <w:r>
              <w:rPr>
                <w:rFonts w:hint="eastAsia" w:ascii="宋体" w:hAnsi="宋体" w:cs="宋体"/>
                <w:color w:val="000000"/>
                <w:sz w:val="24"/>
              </w:rPr>
              <w:t>10</w:t>
            </w:r>
            <w:r>
              <w:rPr>
                <w:rFonts w:hint="eastAsia" w:ascii="宋体" w:cs="宋体"/>
                <w:color w:val="000000"/>
                <w:sz w:val="24"/>
              </w:rPr>
              <w:t>0%</w:t>
            </w:r>
          </w:p>
        </w:tc>
      </w:tr>
    </w:tbl>
    <w:p>
      <w:pPr>
        <w:spacing w:line="580" w:lineRule="exact"/>
        <w:ind w:firstLine="640" w:firstLineChars="200"/>
        <w:rPr>
          <w:rFonts w:ascii="仿宋_GB2312" w:hAnsi="仿宋_GB2312" w:eastAsia="仿宋_GB2312" w:cs="仿宋_GB2312"/>
          <w:sz w:val="32"/>
          <w:szCs w:val="32"/>
        </w:rPr>
      </w:pPr>
    </w:p>
    <w:p>
      <w:pPr>
        <w:tabs>
          <w:tab w:val="left" w:pos="617"/>
        </w:tabs>
        <w:overflowPunct w:val="0"/>
        <w:autoSpaceDE w:val="0"/>
        <w:autoSpaceDN w:val="0"/>
        <w:spacing w:line="576" w:lineRule="exact"/>
        <w:ind w:right="23"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1"/>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机构编制实名制管理、督查、评估、公开、维护及财政供养审核</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中共广元市利州区委机构编制委员会办公室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5.6万元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严格机构编制管理，依托实名制系统，全面提升督查、评估、公开、维护及财政供养审核水平，减少和防范机构编制违规违纪行为的发生，强化机构编制刚性约束，为加强和创新机构编制管理提供有力纪律保障。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严格执行机构编制管理，依托实名制系统，全面提升督查、评估、公开、维护及财政供养审核水平，无机构编制违规违纪行为的发生。</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全面落实上下编管理程序和月报、季报、年报工作。拓宽社会监督渠道、充分发挥社会监督作用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提高机构编制督查力度，切实维护权威性，增强各部门工作人员“编制就是法”意识，提升依法依规办事水平。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办理人员的上下编，按要求报送月报、季报、年报。全年完成了2次以上专项督查。组织对涉改部门“三定”规定执行、部门履职情况开展了1次综合评估。</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群众满意度、项目实施单位满意度</w:t>
            </w:r>
            <w:r>
              <w:rPr>
                <w:rFonts w:hint="eastAsia" w:ascii="宋体" w:hAnsi="宋体" w:cs="宋体"/>
                <w:color w:val="000000"/>
                <w:sz w:val="24"/>
              </w:rPr>
              <w:t>10</w:t>
            </w:r>
            <w:r>
              <w:rPr>
                <w:rFonts w:hint="eastAsia" w:ascii="宋体" w:cs="宋体"/>
                <w:color w:val="000000"/>
                <w:sz w:val="24"/>
              </w:rPr>
              <w:t>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群众满意度、项目实施单位满意度</w:t>
            </w:r>
            <w:r>
              <w:rPr>
                <w:rFonts w:hint="eastAsia" w:ascii="宋体" w:hAnsi="宋体" w:cs="宋体"/>
                <w:color w:val="000000"/>
                <w:sz w:val="24"/>
              </w:rPr>
              <w:t>10</w:t>
            </w:r>
            <w:r>
              <w:rPr>
                <w:rFonts w:hint="eastAsia" w:ascii="宋体" w:cs="宋体"/>
                <w:color w:val="000000"/>
                <w:sz w:val="24"/>
              </w:rPr>
              <w:t>0%</w:t>
            </w: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31"/>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w:t>
            </w:r>
            <w:r>
              <w:rPr>
                <w:rFonts w:hint="eastAsia" w:ascii="宋体" w:hAnsi="宋体" w:cs="宋体"/>
                <w:color w:val="000000"/>
                <w:kern w:val="0"/>
                <w:sz w:val="36"/>
                <w:szCs w:val="36"/>
                <w:lang w:val="en-US" w:eastAsia="zh-CN"/>
              </w:rPr>
              <w:t>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全区</w:t>
            </w:r>
            <w:r>
              <w:rPr>
                <w:rFonts w:hint="eastAsia" w:ascii="宋体" w:hAnsi="宋体" w:cs="宋体"/>
                <w:color w:val="000000"/>
                <w:sz w:val="24"/>
              </w:rPr>
              <w:t>机构改革工作经费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中共广元市利州区委机构编制委员会办公室</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17万元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全面完成党政机构改革。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统筹设置党政机构35个、挂牌机构20个。新设事业单位13个、撤销10个、规范名称30个、优化设置8个，调整事业编制75名。</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全面完成党政机构改革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全面完成党政机构改革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统筹设置党政机构35个、挂牌机构20个。新设事业单位13个、撤销10个、规范名称30个、优化设置8个，调整事业编制75名。</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群众满意度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群众满意度、项目实施单位满意度</w:t>
            </w:r>
            <w:r>
              <w:rPr>
                <w:rFonts w:hint="eastAsia" w:ascii="宋体" w:hAnsi="宋体" w:cs="宋体"/>
                <w:color w:val="000000"/>
                <w:sz w:val="24"/>
              </w:rPr>
              <w:t>10</w:t>
            </w:r>
            <w:r>
              <w:rPr>
                <w:rFonts w:hint="eastAsia" w:ascii="宋体" w:cs="宋体"/>
                <w:color w:val="000000"/>
                <w:sz w:val="24"/>
              </w:rPr>
              <w:t>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cs="宋体"/>
                <w:color w:val="000000"/>
                <w:sz w:val="24"/>
              </w:rPr>
              <w:t>群众满意度、项目实施单位满意度</w:t>
            </w:r>
            <w:r>
              <w:rPr>
                <w:rFonts w:hint="eastAsia" w:ascii="宋体" w:hAnsi="宋体" w:cs="宋体"/>
                <w:color w:val="000000"/>
                <w:sz w:val="24"/>
              </w:rPr>
              <w:t>10</w:t>
            </w:r>
            <w:r>
              <w:rPr>
                <w:rFonts w:hint="eastAsia" w:ascii="宋体" w:cs="宋体"/>
                <w:color w:val="000000"/>
                <w:sz w:val="24"/>
              </w:rPr>
              <w:t>0%</w:t>
            </w:r>
          </w:p>
        </w:tc>
      </w:tr>
    </w:tbl>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年部门整体支出绩效评价情况开展自评，《中共广元市利州区委机构编制委员会办公室20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本部门自行组织对“中文域名运行费”，“机构编制实名制督查”，“机构改革”项目展了绩效评价，《全区机关事业单位中文域名运行费项目20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年绩效评价报告》、《全区机构编制实名制管理、督查、评估、公开、维护及财政供养审核项目20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年绩效评价报告》、《机构改革工作项目20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年绩效评价报告》见附件（附件2）。（非涉密部门均需公开部门整体支出评价报告，部门自行组织的绩效评价情况根据部门实际公开，若未组织项目绩效评价，则只需说明部门整体支出绩效评价情况）</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6" w:name="_Toc15396613"/>
      <w:bookmarkStart w:id="57"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56"/>
      <w:bookmarkEnd w:id="57"/>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FF0000"/>
          <w:sz w:val="32"/>
          <w:szCs w:val="32"/>
        </w:rPr>
      </w:pPr>
      <w:r>
        <w:rPr>
          <w:rFonts w:ascii="仿宋_GB2312" w:eastAsia="仿宋_GB2312"/>
          <w:color w:val="FF0000"/>
          <w:sz w:val="32"/>
          <w:szCs w:val="32"/>
        </w:rPr>
        <w:t>9.</w:t>
      </w:r>
      <w:r>
        <w:rPr>
          <w:rFonts w:hint="eastAsia" w:ascii="仿宋_GB2312" w:eastAsia="仿宋_GB2312"/>
          <w:color w:val="FF0000"/>
          <w:sz w:val="32"/>
          <w:szCs w:val="32"/>
        </w:rPr>
        <w:t>一般公共服务（201）党委办公厅（室）及相关机构事务（31）行政运行（01）：指单位的基本支出。</w:t>
      </w:r>
    </w:p>
    <w:p>
      <w:pPr>
        <w:ind w:firstLine="640" w:firstLineChars="200"/>
        <w:rPr>
          <w:rFonts w:ascii="仿宋_GB2312" w:eastAsia="仿宋_GB2312"/>
          <w:color w:val="FF0000"/>
          <w:sz w:val="32"/>
          <w:szCs w:val="32"/>
        </w:rPr>
      </w:pPr>
      <w:r>
        <w:rPr>
          <w:rFonts w:ascii="仿宋_GB2312" w:eastAsia="仿宋_GB2312"/>
          <w:color w:val="FF0000"/>
          <w:sz w:val="32"/>
          <w:szCs w:val="32"/>
        </w:rPr>
        <w:t>1</w:t>
      </w:r>
      <w:r>
        <w:rPr>
          <w:rFonts w:hint="eastAsia" w:ascii="仿宋_GB2312" w:eastAsia="仿宋_GB2312"/>
          <w:color w:val="FF0000"/>
          <w:sz w:val="32"/>
          <w:szCs w:val="32"/>
        </w:rPr>
        <w:t>0</w:t>
      </w:r>
      <w:r>
        <w:rPr>
          <w:rFonts w:ascii="仿宋_GB2312" w:eastAsia="仿宋_GB2312"/>
          <w:color w:val="FF0000"/>
          <w:sz w:val="32"/>
          <w:szCs w:val="32"/>
        </w:rPr>
        <w:t>.</w:t>
      </w:r>
      <w:r>
        <w:rPr>
          <w:rFonts w:hint="eastAsia" w:ascii="仿宋_GB2312" w:eastAsia="仿宋_GB2312"/>
          <w:color w:val="FF0000"/>
          <w:sz w:val="32"/>
          <w:szCs w:val="32"/>
        </w:rPr>
        <w:t>社会保障和就业（208）行政事业单位离退休（05）机关事业单位基本养老保险缴费支出（05）：指机关事业单位实施养老保险制度由单位缴纳的基本养老保险费支出。</w:t>
      </w:r>
    </w:p>
    <w:p>
      <w:pPr>
        <w:spacing w:line="600" w:lineRule="exact"/>
        <w:ind w:firstLine="640" w:firstLineChars="200"/>
        <w:rPr>
          <w:rFonts w:ascii="仿宋" w:hAnsi="仿宋" w:eastAsia="仿宋"/>
          <w:b/>
          <w:color w:val="FF0000"/>
          <w:sz w:val="32"/>
          <w:szCs w:val="32"/>
        </w:rPr>
      </w:pPr>
      <w:r>
        <w:rPr>
          <w:rFonts w:ascii="仿宋_GB2312" w:eastAsia="仿宋_GB2312"/>
          <w:color w:val="FF0000"/>
          <w:sz w:val="32"/>
          <w:szCs w:val="32"/>
        </w:rPr>
        <w:t>1</w:t>
      </w:r>
      <w:r>
        <w:rPr>
          <w:rFonts w:hint="eastAsia" w:ascii="仿宋_GB2312" w:eastAsia="仿宋_GB2312"/>
          <w:color w:val="FF0000"/>
          <w:sz w:val="32"/>
          <w:szCs w:val="32"/>
        </w:rPr>
        <w:t>1</w:t>
      </w:r>
      <w:r>
        <w:rPr>
          <w:rFonts w:ascii="仿宋_GB2312" w:eastAsia="仿宋_GB2312"/>
          <w:color w:val="FF0000"/>
          <w:sz w:val="32"/>
          <w:szCs w:val="32"/>
        </w:rPr>
        <w:t>.</w:t>
      </w:r>
      <w:r>
        <w:rPr>
          <w:rStyle w:val="15"/>
          <w:rFonts w:hint="eastAsia" w:ascii="仿宋" w:hAnsi="仿宋" w:eastAsia="仿宋"/>
          <w:bCs/>
          <w:color w:val="FF0000"/>
          <w:sz w:val="32"/>
          <w:szCs w:val="32"/>
        </w:rPr>
        <w:t>医疗卫生与计划生育</w:t>
      </w:r>
      <w:r>
        <w:rPr>
          <w:rStyle w:val="15"/>
          <w:rFonts w:hint="eastAsia" w:ascii="仿宋" w:hAnsi="仿宋" w:eastAsia="仿宋"/>
          <w:b w:val="0"/>
          <w:color w:val="000000"/>
          <w:sz w:val="32"/>
          <w:szCs w:val="32"/>
        </w:rPr>
        <w:t>（210）医疗保障（11）行政单位医疗（01）</w:t>
      </w:r>
      <w:r>
        <w:rPr>
          <w:rStyle w:val="15"/>
          <w:rFonts w:ascii="仿宋" w:hAnsi="仿宋" w:eastAsia="仿宋"/>
          <w:bCs/>
          <w:color w:val="FF0000"/>
          <w:sz w:val="32"/>
          <w:szCs w:val="32"/>
        </w:rPr>
        <w:t>:</w:t>
      </w:r>
      <w:r>
        <w:rPr>
          <w:rStyle w:val="15"/>
          <w:rFonts w:hint="eastAsia" w:ascii="仿宋" w:hAnsi="仿宋" w:eastAsia="仿宋"/>
          <w:b w:val="0"/>
          <w:bCs/>
          <w:color w:val="FF0000"/>
          <w:sz w:val="32"/>
          <w:szCs w:val="32"/>
        </w:rPr>
        <w:t>指</w:t>
      </w:r>
      <w:r>
        <w:rPr>
          <w:rFonts w:hint="eastAsia" w:ascii="仿宋" w:hAnsi="仿宋" w:eastAsia="仿宋"/>
          <w:sz w:val="32"/>
          <w:szCs w:val="32"/>
        </w:rPr>
        <w:t>行政事业单位医疗方面的支出</w:t>
      </w:r>
      <w:r>
        <w:rPr>
          <w:rStyle w:val="15"/>
          <w:rFonts w:hint="eastAsia" w:ascii="仿宋" w:hAnsi="仿宋" w:eastAsia="仿宋"/>
          <w:b w:val="0"/>
          <w:bCs/>
          <w:color w:val="FF0000"/>
          <w:sz w:val="32"/>
          <w:szCs w:val="32"/>
        </w:rPr>
        <w:t>。</w:t>
      </w:r>
    </w:p>
    <w:p>
      <w:pPr>
        <w:spacing w:line="576" w:lineRule="exact"/>
        <w:ind w:firstLine="640" w:firstLineChars="200"/>
        <w:rPr>
          <w:rFonts w:ascii="仿宋_GB2312" w:eastAsia="仿宋_GB2312"/>
          <w:color w:val="000000"/>
          <w:sz w:val="32"/>
          <w:szCs w:val="32"/>
        </w:rPr>
      </w:pPr>
      <w:r>
        <w:rPr>
          <w:rFonts w:ascii="仿宋_GB2312" w:eastAsia="仿宋_GB2312"/>
          <w:color w:val="FF0000"/>
          <w:sz w:val="32"/>
          <w:szCs w:val="32"/>
        </w:rPr>
        <w:t>1</w:t>
      </w:r>
      <w:r>
        <w:rPr>
          <w:rFonts w:hint="eastAsia" w:ascii="仿宋_GB2312" w:eastAsia="仿宋_GB2312"/>
          <w:color w:val="FF0000"/>
          <w:sz w:val="32"/>
          <w:szCs w:val="32"/>
        </w:rPr>
        <w:t>2</w:t>
      </w:r>
      <w:r>
        <w:rPr>
          <w:rFonts w:ascii="仿宋_GB2312" w:eastAsia="仿宋_GB2312"/>
          <w:color w:val="FF0000"/>
          <w:sz w:val="32"/>
          <w:szCs w:val="32"/>
        </w:rPr>
        <w:t>.</w:t>
      </w:r>
      <w:r>
        <w:rPr>
          <w:rStyle w:val="15"/>
          <w:rFonts w:hint="eastAsia" w:ascii="仿宋" w:hAnsi="仿宋" w:eastAsia="仿宋"/>
          <w:b w:val="0"/>
          <w:color w:val="000000"/>
          <w:sz w:val="32"/>
          <w:szCs w:val="32"/>
        </w:rPr>
        <w:t>住房保障支出（221）住房改革支出（02）住房公积金（01）:指行政事业单位按人力资源和社会保障部、财政部规定的基本工资和津贴补贴以及规定比例为职工缴纳的</w:t>
      </w:r>
      <w:r>
        <w:rPr>
          <w:rFonts w:hint="eastAsia" w:ascii="仿宋" w:hAnsi="仿宋" w:eastAsia="仿宋"/>
          <w:sz w:val="32"/>
          <w:szCs w:val="32"/>
        </w:rPr>
        <w:t>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8年政府收支分类科目》增减内容。）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年政府收支分类科目》增减内容。）</w:t>
      </w:r>
    </w:p>
    <w:p>
      <w:pPr>
        <w:spacing w:line="600" w:lineRule="exact"/>
        <w:jc w:val="center"/>
        <w:outlineLvl w:val="0"/>
        <w:rPr>
          <w:rFonts w:ascii="黑体" w:hAnsi="黑体" w:eastAsia="黑体"/>
          <w:color w:val="000000"/>
          <w:sz w:val="44"/>
          <w:szCs w:val="44"/>
        </w:rPr>
      </w:pPr>
      <w:bookmarkStart w:id="58" w:name="_Toc15396614"/>
      <w:bookmarkStart w:id="59" w:name="_Toc15377226"/>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中共广元市利州区委机构编制委员会办公室</w:t>
      </w: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20</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r>
        <w:rPr>
          <w:rFonts w:hint="eastAsia" w:ascii="仿宋" w:hAnsi="仿宋" w:eastAsia="仿宋" w:cs="仿宋_GB2312"/>
          <w:sz w:val="32"/>
          <w:szCs w:val="32"/>
        </w:rPr>
        <w:t>区委编办内设4个内设机构：综合股、行政机构编制股、事业机构编制股、监督检查股。区委编办下属2个事业单位：区事业单位登记服务中心（参公管理）、区机构编制信息中心。</w:t>
      </w:r>
    </w:p>
    <w:p>
      <w:pPr>
        <w:spacing w:line="550" w:lineRule="exact"/>
        <w:ind w:firstLine="645"/>
        <w:rPr>
          <w:rFonts w:ascii="仿宋" w:hAnsi="仿宋" w:eastAsia="仿宋" w:cs="仿宋_GB2312"/>
          <w:sz w:val="32"/>
          <w:szCs w:val="32"/>
        </w:rPr>
      </w:pPr>
      <w:r>
        <w:rPr>
          <w:rFonts w:ascii="仿宋" w:hAnsi="仿宋" w:eastAsia="仿宋" w:cs="仿宋_GB2312"/>
          <w:sz w:val="32"/>
          <w:szCs w:val="32"/>
        </w:rPr>
        <w:t>（二）机构职能。</w:t>
      </w:r>
      <w:r>
        <w:rPr>
          <w:rFonts w:hint="eastAsia" w:ascii="仿宋" w:hAnsi="仿宋" w:eastAsia="仿宋" w:cs="仿宋_GB2312"/>
          <w:sz w:val="32"/>
          <w:szCs w:val="32"/>
        </w:rPr>
        <w:t>中共广元市利州区委机构编制委员会办公室为区委工作机关，归口区委组织部管理。其主要职责：1.贯彻执行中央关于行政管理体制改革和机构改革、事业单位改革及机构编制管理的方针政策、法律法规规章，研究起草规章草案、规范性文件，制定相关政策并监督实施。2.研究拟订全区行政管理体制改革和机构改革方案，审核区级部门“三定”规定，开展机构改革效果评估工作。参与行政审批制度改革和行政区划调整的有关工作。3.拟订全区各级行政编制、政法专项编制总额分配方案，审核跨层级调整行政编制事项。负责全区行政事业编制总量控制和机关事业单位机构编制实名制管理工作。对全区各级党的机关、人大机关、行政机关、政协机关、审判机关、检察机关、工商联、人民团体机关和事业单位使用空缺编制补充人员进行核批。4.负责区委、区政府各部门，区人大、区政协机关，区法院、区检察院机关，各民主党派区委机关、区人民团体机关和全区乡镇（街道）的机构编制管理工作。协调区级部门之间及区级部门与乡镇之间的职责分工。5.审核全区股级或按照股级及以上规格管理机构的设置、调整。6.研究拟订全区事业单位改革方案和事业单位编制标准及实施意见，负责全区事业单位机构编制管理，审核全区事业单位的机构编制方案，负责参照《公务员法》管理事业单位职责的审核工作。7.监督检查全区行政管理体制改革和机构改革方案及机构编制规定执行情况，建立机构编制工作考核评估制度，会同有关部门查处机构编制违法违纪行为。8.负责全区事业单位登记管理工作。9.承办区委、区政府和区委编委交办的其他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区委编办共有编制数</w:t>
      </w:r>
      <w:r>
        <w:rPr>
          <w:rFonts w:ascii="仿宋" w:hAnsi="仿宋" w:eastAsia="仿宋" w:cs="仿宋_GB2312"/>
          <w:sz w:val="32"/>
          <w:szCs w:val="32"/>
        </w:rPr>
        <w:t>为</w:t>
      </w:r>
      <w:r>
        <w:rPr>
          <w:rFonts w:hint="eastAsia" w:ascii="仿宋" w:hAnsi="仿宋" w:eastAsia="仿宋" w:cs="仿宋_GB2312"/>
          <w:sz w:val="32"/>
          <w:szCs w:val="32"/>
        </w:rPr>
        <w:t>14</w:t>
      </w:r>
      <w:r>
        <w:rPr>
          <w:rFonts w:ascii="仿宋" w:hAnsi="仿宋" w:eastAsia="仿宋" w:cs="仿宋_GB2312"/>
          <w:sz w:val="32"/>
          <w:szCs w:val="32"/>
        </w:rPr>
        <w:t>名。其中，行政编制</w:t>
      </w:r>
      <w:r>
        <w:rPr>
          <w:rFonts w:hint="eastAsia" w:ascii="仿宋" w:hAnsi="仿宋" w:eastAsia="仿宋" w:cs="仿宋_GB2312"/>
          <w:sz w:val="32"/>
          <w:szCs w:val="32"/>
        </w:rPr>
        <w:t>7</w:t>
      </w:r>
      <w:r>
        <w:rPr>
          <w:rFonts w:ascii="仿宋" w:hAnsi="仿宋" w:eastAsia="仿宋" w:cs="仿宋_GB2312"/>
          <w:sz w:val="32"/>
          <w:szCs w:val="32"/>
        </w:rPr>
        <w:t>名，</w:t>
      </w:r>
      <w:r>
        <w:rPr>
          <w:rFonts w:hint="eastAsia" w:ascii="仿宋" w:hAnsi="仿宋" w:eastAsia="仿宋" w:cs="仿宋_GB2312"/>
          <w:sz w:val="32"/>
          <w:szCs w:val="32"/>
        </w:rPr>
        <w:t>参公事业编制4名，</w:t>
      </w:r>
      <w:r>
        <w:rPr>
          <w:rFonts w:ascii="仿宋" w:hAnsi="仿宋" w:eastAsia="仿宋" w:cs="仿宋_GB2312"/>
          <w:sz w:val="32"/>
          <w:szCs w:val="32"/>
        </w:rPr>
        <w:t>事业编制</w:t>
      </w:r>
      <w:r>
        <w:rPr>
          <w:rFonts w:hint="eastAsia" w:ascii="仿宋" w:hAnsi="仿宋" w:eastAsia="仿宋" w:cs="仿宋_GB2312"/>
          <w:sz w:val="32"/>
          <w:szCs w:val="32"/>
        </w:rPr>
        <w:t>3</w:t>
      </w:r>
      <w:r>
        <w:rPr>
          <w:rFonts w:ascii="仿宋" w:hAnsi="仿宋" w:eastAsia="仿宋" w:cs="仿宋_GB2312"/>
          <w:sz w:val="32"/>
          <w:szCs w:val="32"/>
        </w:rPr>
        <w:t>名。</w:t>
      </w:r>
      <w:r>
        <w:rPr>
          <w:rFonts w:hint="eastAsia" w:ascii="仿宋" w:hAnsi="仿宋" w:eastAsia="仿宋" w:cs="仿宋_GB2312"/>
          <w:sz w:val="32"/>
          <w:szCs w:val="32"/>
        </w:rPr>
        <w:t>实有人员11名，其中行政人员7名，参公人员1名，事业人员3名。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203.38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203.38</w:t>
      </w:r>
      <w:r>
        <w:rPr>
          <w:rFonts w:hint="eastAsia" w:ascii="仿宋" w:hAnsi="仿宋" w:eastAsia="仿宋"/>
          <w:color w:val="000000"/>
          <w:sz w:val="32"/>
          <w:szCs w:val="32"/>
        </w:rPr>
        <w:t>万元，占100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r>
        <w:rPr>
          <w:rFonts w:ascii="仿宋" w:hAnsi="仿宋" w:eastAsia="仿宋" w:cs="仿宋_GB2312"/>
          <w:sz w:val="32"/>
          <w:szCs w:val="32"/>
        </w:rPr>
        <w:t>（二）部门财政资金支出情况。</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209.14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162.18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78</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46.96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20</w:t>
      </w:r>
      <w:r>
        <w:rPr>
          <w:rFonts w:hint="eastAsia" w:ascii="仿宋" w:hAnsi="仿宋" w:eastAsia="仿宋" w:cs="仿宋_GB2312"/>
          <w:sz w:val="32"/>
          <w:szCs w:val="32"/>
          <w:lang w:val="en-US" w:eastAsia="zh-CN"/>
        </w:rPr>
        <w:t>20</w:t>
      </w:r>
      <w:r>
        <w:rPr>
          <w:rFonts w:ascii="仿宋" w:hAnsi="仿宋" w:eastAsia="仿宋" w:cs="仿宋_GB2312"/>
          <w:sz w:val="32"/>
          <w:szCs w:val="32"/>
        </w:rPr>
        <w:t>年区委编办部门整体支出资金绩效评价总体良好，主要体现在：预算编制及时，认真执行各项财经纪律，财务管理内控制度健全，资金使用规范，无乱发津补贴、奖金现象。</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我办专项资金按照文件规定申请申报；所提交的文件、材料符合相关要求，事前经过了内部控制领导小组审核，分管财务领导审核、主任审批，并达到预期效果。同时，我办严格按照上级部门及本级财政专项工作资金的相关规定办法进行开支，做到专款专用，无挪用、占用、套取的现象发生。</w:t>
      </w:r>
    </w:p>
    <w:p>
      <w:pPr>
        <w:numPr>
          <w:ilvl w:val="0"/>
          <w:numId w:val="4"/>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根据自评结果，20</w:t>
      </w:r>
      <w:r>
        <w:rPr>
          <w:rFonts w:hint="eastAsia" w:ascii="仿宋" w:hAnsi="仿宋" w:eastAsia="仿宋" w:cs="仿宋_GB2312"/>
          <w:sz w:val="32"/>
          <w:szCs w:val="32"/>
          <w:lang w:val="en-US" w:eastAsia="zh-CN"/>
        </w:rPr>
        <w:t>20</w:t>
      </w:r>
      <w:r>
        <w:rPr>
          <w:rFonts w:ascii="仿宋" w:hAnsi="仿宋" w:eastAsia="仿宋" w:cs="仿宋_GB2312"/>
          <w:sz w:val="32"/>
          <w:szCs w:val="32"/>
        </w:rPr>
        <w:t>年度部门整体预算绩效质量好，既保障了本单位职工正常办公和生活秩序，工资薪金正常发放，又顺利完成各项统计工作任务，同时严肃预算管理，保障各项工作顺利开展，严格履行法定职责，圆满完成了区委、区政府部署的工作任务，准确评价了各项指标的完成情况，群众满意度高。</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（一）评价结论。20</w:t>
      </w:r>
      <w:r>
        <w:rPr>
          <w:rFonts w:hint="eastAsia" w:ascii="仿宋" w:hAnsi="仿宋" w:eastAsia="仿宋" w:cs="仿宋_GB2312"/>
          <w:sz w:val="32"/>
          <w:szCs w:val="32"/>
          <w:lang w:val="en-US" w:eastAsia="zh-CN"/>
        </w:rPr>
        <w:t>20</w:t>
      </w:r>
      <w:r>
        <w:rPr>
          <w:rFonts w:ascii="仿宋" w:hAnsi="仿宋" w:eastAsia="仿宋" w:cs="仿宋_GB2312"/>
          <w:sz w:val="32"/>
          <w:szCs w:val="32"/>
        </w:rPr>
        <w:t>年度，本部门在部门绩效目标制定、目标完成、预算编制准确、支出控制、预算动态调整、执行进度、预算完成都严格按照各项制度和规定按时保质完成，无任何违规记录。及时、准确、优质地完成了预算编制；预算执行情况良好，支出管理规范，资金管理制度较为完善，会计核算和账务处理规范，会计资料完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（二）存在问题。在资金使用计划上有待进一步加强,要进一步细化预算编制,编制范围尽可能全面，不漏项。进一步提高预算编制的科学性、合理性、严谨性和可控性。</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加强预算编制的前瞻性，进一步优化预算编制，避免项目支出与基本支出划分不准或预算支出与实际执行出现较大偏差的情况，执行中确需调剂预算的，按规定程序报经批准。包括部门绩效目标制定、目标完成、预算编制准确、支出控制、预算动态调整、执行进度、预算完成情况和违规记录等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w:t>
      </w:r>
      <w:r>
        <w:rPr>
          <w:rFonts w:hint="eastAsia" w:ascii="黑体" w:hAnsi="黑体" w:eastAsia="黑体" w:cs="方正小标宋简体"/>
          <w:sz w:val="44"/>
          <w:szCs w:val="44"/>
          <w:lang w:val="en-US" w:eastAsia="zh-CN"/>
        </w:rPr>
        <w:t>20</w:t>
      </w:r>
      <w:r>
        <w:rPr>
          <w:rFonts w:hint="eastAsia" w:ascii="黑体" w:hAnsi="黑体" w:eastAsia="黑体" w:cs="方正小标宋简体"/>
          <w:sz w:val="44"/>
          <w:szCs w:val="44"/>
        </w:rPr>
        <w:t>年全区机关事业单位中文域名运行费项目支出绩效评价报告</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1．该项目主管部门区委编办，负责该项目具体实施，过程监管，事后评价。</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2．该项目为保障利州区行政事业单位个数向政务与公益中文域名注册管理中心缴费需要立项，以实际开支情况作为资金申报的依据。</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3．区委编办制定了项目资金管理办法，明确了资金支持具体项目的条件、范围与支持方式概况。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1．项目主要内容：向政务与公益中文域名注册管理中心缴费。</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2．项目应实现的具体绩效目标：保护党政群机关、事业单位等机构名称，使其更好地履行社会管理职能和提供社会公共服务。</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3．项目申报内容与实际相符，申报目标合理可行，达到预期目的。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项目绩效自评采用的组织实施步骤及方法：该项目组织具体由车辆驾驶员申报具体实施，分管财务领导初审，常务副主任审批，项目资金实行一事一审，分事前、事中、事后控制，达到项目预期目的。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项目资金申报：项目资金预算申报时实行“两上两下”，使用进实行一事一申报。</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项目资金批复：项目预算由人大批复，项目资金使用严格按财政资金批复程序实施。</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预算调整：该项目未实行预算调整。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rPr>
          <w:rFonts w:ascii="楷体_GB2312" w:hAnsi="宋体" w:eastAsia="楷体_GB2312"/>
          <w:sz w:val="32"/>
          <w:szCs w:val="32"/>
          <w:lang w:val="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30" w:type="dxa"/>
            <w:vAlign w:val="center"/>
          </w:tcPr>
          <w:p>
            <w:pPr>
              <w:adjustRightInd w:val="0"/>
              <w:snapToGrid w:val="0"/>
              <w:spacing w:line="600" w:lineRule="exact"/>
              <w:jc w:val="center"/>
              <w:rPr>
                <w:rFonts w:ascii="楷体_GB2312" w:hAnsi="宋体" w:eastAsia="楷体_GB2312" w:cstheme="minorBidi"/>
                <w:sz w:val="28"/>
                <w:szCs w:val="28"/>
                <w:lang w:val="zh-CN"/>
              </w:rPr>
            </w:pPr>
            <w:r>
              <w:rPr>
                <w:rFonts w:hint="eastAsia" w:ascii="楷体_GB2312" w:hAnsi="宋体" w:eastAsia="楷体_GB2312" w:cstheme="minorBidi"/>
                <w:sz w:val="28"/>
                <w:szCs w:val="28"/>
                <w:lang w:val="zh-CN"/>
              </w:rPr>
              <w:t>项目名称</w:t>
            </w:r>
          </w:p>
        </w:tc>
        <w:tc>
          <w:tcPr>
            <w:tcW w:w="6392" w:type="dxa"/>
            <w:gridSpan w:val="2"/>
            <w:vAlign w:val="center"/>
          </w:tcPr>
          <w:p>
            <w:pPr>
              <w:spacing w:line="580" w:lineRule="exact"/>
              <w:jc w:val="center"/>
              <w:rPr>
                <w:rFonts w:ascii="楷体_GB2312" w:hAnsi="宋体" w:eastAsia="楷体_GB2312" w:cstheme="minorBidi"/>
                <w:sz w:val="32"/>
                <w:szCs w:val="32"/>
                <w:lang w:val="zh-CN"/>
              </w:rPr>
            </w:pPr>
            <w:r>
              <w:rPr>
                <w:rFonts w:hint="eastAsia" w:ascii="仿宋_GB2312" w:hAnsi="仿宋_GB2312" w:eastAsia="仿宋_GB2312" w:cs="仿宋_GB2312"/>
                <w:sz w:val="32"/>
                <w:szCs w:val="32"/>
              </w:rPr>
              <w:t>全区机关事业单位中文域名运行费项目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adjustRightInd w:val="0"/>
              <w:snapToGrid w:val="0"/>
              <w:spacing w:line="600" w:lineRule="exact"/>
              <w:jc w:val="center"/>
              <w:rPr>
                <w:rFonts w:ascii="楷体_GB2312" w:hAnsi="宋体" w:eastAsia="楷体_GB2312" w:cstheme="minorBidi"/>
                <w:sz w:val="32"/>
                <w:szCs w:val="32"/>
                <w:lang w:val="zh-CN"/>
              </w:rPr>
            </w:pPr>
            <w:r>
              <w:rPr>
                <w:rFonts w:hint="eastAsia" w:ascii="楷体_GB2312" w:hAnsi="宋体" w:eastAsia="楷体_GB2312" w:cstheme="minorBidi"/>
                <w:sz w:val="28"/>
                <w:szCs w:val="28"/>
                <w:lang w:val="zh-CN"/>
              </w:rPr>
              <w:t>资金计划</w:t>
            </w: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财政资金：</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adjustRightInd w:val="0"/>
              <w:snapToGrid w:val="0"/>
              <w:spacing w:line="600" w:lineRule="exact"/>
              <w:jc w:val="center"/>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其他资金：</w:t>
            </w:r>
          </w:p>
        </w:tc>
        <w:tc>
          <w:tcPr>
            <w:tcW w:w="4262" w:type="dxa"/>
          </w:tcPr>
          <w:p>
            <w:pPr>
              <w:adjustRightInd w:val="0"/>
              <w:snapToGrid w:val="0"/>
              <w:spacing w:line="600" w:lineRule="exact"/>
              <w:rPr>
                <w:rFonts w:ascii="楷体_GB2312" w:hAnsi="宋体" w:eastAsia="楷体_GB2312" w:cstheme="minorBidi"/>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adjustRightInd w:val="0"/>
              <w:snapToGrid w:val="0"/>
              <w:spacing w:line="600" w:lineRule="exact"/>
              <w:jc w:val="center"/>
              <w:rPr>
                <w:rFonts w:ascii="楷体_GB2312" w:hAnsi="宋体" w:eastAsia="楷体_GB2312" w:cstheme="minorBidi"/>
                <w:sz w:val="32"/>
                <w:szCs w:val="32"/>
                <w:lang w:val="zh-CN"/>
              </w:rPr>
            </w:pPr>
            <w:r>
              <w:rPr>
                <w:rFonts w:hint="eastAsia" w:ascii="楷体_GB2312" w:hAnsi="宋体" w:eastAsia="楷体_GB2312" w:cstheme="minorBidi"/>
                <w:sz w:val="28"/>
                <w:szCs w:val="28"/>
                <w:lang w:val="zh-CN"/>
              </w:rPr>
              <w:t>资金到位</w:t>
            </w: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到位金额：</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adjustRightInd w:val="0"/>
              <w:snapToGrid w:val="0"/>
              <w:spacing w:line="600" w:lineRule="exact"/>
              <w:jc w:val="center"/>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到位率：</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adjustRightInd w:val="0"/>
              <w:snapToGrid w:val="0"/>
              <w:spacing w:line="600" w:lineRule="exact"/>
              <w:jc w:val="center"/>
              <w:rPr>
                <w:rFonts w:ascii="楷体_GB2312" w:hAnsi="宋体" w:eastAsia="楷体_GB2312" w:cstheme="minorBidi"/>
                <w:sz w:val="32"/>
                <w:szCs w:val="32"/>
                <w:lang w:val="zh-CN"/>
              </w:rPr>
            </w:pPr>
            <w:r>
              <w:rPr>
                <w:rFonts w:hint="eastAsia" w:ascii="楷体_GB2312" w:hAnsi="宋体" w:eastAsia="楷体_GB2312" w:cstheme="minorBidi"/>
                <w:sz w:val="32"/>
                <w:szCs w:val="32"/>
                <w:lang w:val="zh-CN"/>
              </w:rPr>
              <w:t>资金使用</w:t>
            </w:r>
          </w:p>
        </w:tc>
        <w:tc>
          <w:tcPr>
            <w:tcW w:w="2130" w:type="dxa"/>
          </w:tcPr>
          <w:p>
            <w:pPr>
              <w:adjustRightInd w:val="0"/>
              <w:snapToGrid w:val="0"/>
              <w:spacing w:line="600" w:lineRule="exact"/>
              <w:rPr>
                <w:rFonts w:ascii="楷体_GB2312" w:hAnsi="宋体" w:eastAsia="楷体_GB2312" w:cstheme="minorBidi"/>
                <w:sz w:val="32"/>
                <w:szCs w:val="32"/>
              </w:rPr>
            </w:pPr>
            <w:r>
              <w:rPr>
                <w:rFonts w:hint="eastAsia" w:ascii="楷体_GB2312" w:hAnsi="宋体" w:eastAsia="楷体_GB2312" w:cstheme="minorBidi"/>
                <w:sz w:val="24"/>
              </w:rPr>
              <w:t>20</w:t>
            </w:r>
            <w:r>
              <w:rPr>
                <w:rFonts w:hint="eastAsia" w:ascii="楷体_GB2312" w:hAnsi="宋体" w:eastAsia="楷体_GB2312" w:cstheme="minorBidi"/>
                <w:sz w:val="24"/>
                <w:lang w:val="en-US" w:eastAsia="zh-CN"/>
              </w:rPr>
              <w:t>20</w:t>
            </w:r>
            <w:r>
              <w:rPr>
                <w:rFonts w:hint="eastAsia" w:ascii="楷体_GB2312" w:hAnsi="宋体" w:eastAsia="楷体_GB2312" w:cstheme="minorBidi"/>
                <w:sz w:val="24"/>
              </w:rPr>
              <w:t>年使用额：</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30" w:type="dxa"/>
            <w:vMerge w:val="continue"/>
          </w:tcPr>
          <w:p>
            <w:pPr>
              <w:adjustRightInd w:val="0"/>
              <w:snapToGrid w:val="0"/>
              <w:spacing w:line="600" w:lineRule="exact"/>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rPr>
              <w:t>使用范围：</w:t>
            </w:r>
          </w:p>
        </w:tc>
        <w:tc>
          <w:tcPr>
            <w:tcW w:w="4262" w:type="dxa"/>
          </w:tcPr>
          <w:p>
            <w:pPr>
              <w:adjustRightInd w:val="0"/>
              <w:snapToGrid w:val="0"/>
              <w:spacing w:line="600" w:lineRule="exact"/>
              <w:rPr>
                <w:rFonts w:ascii="楷体_GB2312" w:hAnsi="宋体" w:eastAsia="楷体_GB2312" w:cstheme="minorBidi"/>
                <w:sz w:val="32"/>
                <w:szCs w:val="32"/>
                <w:lang w:val="zh-CN"/>
              </w:rPr>
            </w:pPr>
            <w:r>
              <w:rPr>
                <w:rFonts w:hint="eastAsia" w:ascii="仿宋" w:hAnsi="仿宋" w:eastAsia="仿宋" w:cs="仿宋_GB2312"/>
                <w:sz w:val="32"/>
                <w:szCs w:val="32"/>
              </w:rPr>
              <w:t>向政务与公益中文域名注册管理中心缴费</w:t>
            </w:r>
            <w:r>
              <w:rPr>
                <w:rFonts w:hint="eastAsia" w:ascii="仿宋_GB2312" w:hAnsi="宋体" w:eastAsia="仿宋_GB2312" w:cstheme="minorBidi"/>
                <w:sz w:val="32"/>
                <w:szCs w:val="3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30" w:type="dxa"/>
            <w:vMerge w:val="continue"/>
          </w:tcPr>
          <w:p>
            <w:pPr>
              <w:adjustRightInd w:val="0"/>
              <w:snapToGrid w:val="0"/>
              <w:spacing w:line="600" w:lineRule="exact"/>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24"/>
              </w:rPr>
            </w:pPr>
            <w:r>
              <w:rPr>
                <w:rFonts w:hint="eastAsia" w:ascii="楷体_GB2312" w:hAnsi="宋体" w:eastAsia="楷体_GB2312" w:cstheme="minorBidi"/>
                <w:sz w:val="24"/>
              </w:rPr>
              <w:t>自评发现问题：</w:t>
            </w:r>
          </w:p>
        </w:tc>
        <w:tc>
          <w:tcPr>
            <w:tcW w:w="4262" w:type="dxa"/>
          </w:tcPr>
          <w:p>
            <w:pPr>
              <w:adjustRightInd w:val="0"/>
              <w:snapToGrid w:val="0"/>
              <w:spacing w:line="600" w:lineRule="exact"/>
              <w:rPr>
                <w:rFonts w:ascii="楷体_GB2312" w:hAnsi="宋体" w:eastAsia="楷体_GB2312" w:cstheme="minorBidi"/>
                <w:sz w:val="24"/>
                <w:lang w:val="zh-CN"/>
              </w:rPr>
            </w:pPr>
          </w:p>
        </w:tc>
      </w:tr>
    </w:tbl>
    <w:p>
      <w:pPr>
        <w:adjustRightInd w:val="0"/>
        <w:snapToGrid w:val="0"/>
        <w:spacing w:line="600" w:lineRule="exact"/>
        <w:rPr>
          <w:rFonts w:ascii="楷体_GB2312" w:hAnsi="宋体" w:eastAsia="楷体_GB2312"/>
          <w:sz w:val="32"/>
          <w:szCs w:val="32"/>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该项目实施单位财务管理制度健全，严格执行财务管理制度，账务处理及时，会计核算规范。该项目全年预算数4万元，20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年向政务与公益中文域名注册管理中心缴费4万元。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结合项目组织实施管理办法，重点围绕以下内容进行分析评价，并对自评中发现的问题分析说明。</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（一）项目组织架构及实施流程。该项目由内部股室实施。</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（二）项目管理情况。该项目为内部业务工作经费，严格执行相关法律法规及项目管理制度。</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（三）项目监管情况。为加强全区机关事业单位中文域名注册、网站挂标和网站名称规范工作。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年向政务与公益中文域名注册管理中心缴费4万元</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在改革完成的同时，实现实名制系统内的党政群机关及其各类事业单位中文域名注册全覆盖、开办网站挂标工作全覆盖。</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实现实名制系统内的党政群机关及其各类事业单位中文域名注册全覆盖、开办网站挂标工作全覆盖。该项目目标绩效管理较好。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在资金使用计划上有待进一步加强,要进一步细化预算编制,编制范围尽可能全面，不漏项。进一步提高预算编制的科学性、合理性、严谨性和可控性。</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加强预算编制的前瞻性，进一步优化预算编制，避免项目支出与基本支出划分不准或预算支出与实际执行出现较大偏差的情况，执行中确需调剂预算的，按规定程序报经批准。</w:t>
      </w:r>
    </w:p>
    <w:p>
      <w:pPr>
        <w:spacing w:line="580" w:lineRule="exact"/>
        <w:jc w:val="center"/>
        <w:rPr>
          <w:rFonts w:hint="eastAsia" w:ascii="黑体" w:hAnsi="黑体" w:eastAsia="黑体" w:cs="方正小标宋简体"/>
          <w:sz w:val="44"/>
          <w:szCs w:val="44"/>
        </w:rPr>
      </w:pPr>
    </w:p>
    <w:p>
      <w:pPr>
        <w:spacing w:line="580" w:lineRule="exact"/>
        <w:jc w:val="center"/>
        <w:rPr>
          <w:rFonts w:hint="eastAsia" w:ascii="黑体" w:hAnsi="黑体" w:eastAsia="黑体" w:cs="方正小标宋简体"/>
          <w:sz w:val="44"/>
          <w:szCs w:val="44"/>
        </w:rPr>
      </w:pPr>
      <w:r>
        <w:rPr>
          <w:rFonts w:hint="eastAsia" w:ascii="黑体" w:hAnsi="黑体" w:eastAsia="黑体" w:cs="方正小标宋简体"/>
          <w:sz w:val="44"/>
          <w:szCs w:val="44"/>
        </w:rPr>
        <w:t>20</w:t>
      </w:r>
      <w:r>
        <w:rPr>
          <w:rFonts w:hint="eastAsia" w:ascii="黑体" w:hAnsi="黑体" w:eastAsia="黑体" w:cs="方正小标宋简体"/>
          <w:sz w:val="44"/>
          <w:szCs w:val="44"/>
          <w:lang w:val="en-US" w:eastAsia="zh-CN"/>
        </w:rPr>
        <w:t>20</w:t>
      </w:r>
      <w:r>
        <w:rPr>
          <w:rFonts w:hint="eastAsia" w:ascii="黑体" w:hAnsi="黑体" w:eastAsia="黑体" w:cs="方正小标宋简体"/>
          <w:sz w:val="44"/>
          <w:szCs w:val="44"/>
        </w:rPr>
        <w:t>年机构编制实名制管理、督查、评估、公开、维护及财政供养审核项目支出绩效</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评价报告</w:t>
      </w:r>
    </w:p>
    <w:p>
      <w:pPr>
        <w:spacing w:line="58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1．该项目主管部门区委编办，负责该项目具体实施，过程监管，事后评价。</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2．该项目为保障利州区健全完善机构编制管理机制，持续加强机构编制督查需要立项，以实际开支情况作为资金申报的依据。</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3．区委编办制定了项目资金管理办法，明确了资金支持具体项目的条件、范围与支持方式概况。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 w:hAnsi="仿宋" w:eastAsia="仿宋" w:cs="仿宋_GB2312"/>
          <w:sz w:val="32"/>
          <w:szCs w:val="32"/>
        </w:rPr>
      </w:pPr>
      <w:r>
        <w:rPr>
          <w:rFonts w:hint="eastAsia" w:ascii="仿宋_GB2312" w:hAnsi="宋体" w:eastAsia="仿宋_GB2312"/>
          <w:sz w:val="32"/>
          <w:szCs w:val="32"/>
          <w:lang w:val="zh-CN"/>
        </w:rPr>
        <w:t>1．项目主要内容：</w:t>
      </w:r>
      <w:r>
        <w:rPr>
          <w:rFonts w:hint="eastAsia" w:ascii="仿宋" w:hAnsi="仿宋" w:eastAsia="仿宋" w:cs="仿宋_GB2312"/>
          <w:sz w:val="32"/>
          <w:szCs w:val="32"/>
        </w:rPr>
        <w:t xml:space="preserve">严格机构编制管理，依托实名制系统，全面提升督查、评估、公开、维护及财政供养审核水平，减少和防范机构编制违规违纪行为的发生，强化机构编制刚性约束，为加强和创新机构编制管理提供有力纪律保障。 </w:t>
      </w:r>
    </w:p>
    <w:p>
      <w:pPr>
        <w:adjustRightInd w:val="0"/>
        <w:snapToGrid w:val="0"/>
        <w:spacing w:line="600" w:lineRule="exact"/>
        <w:ind w:firstLine="720"/>
        <w:rPr>
          <w:sz w:val="32"/>
          <w:szCs w:val="32"/>
        </w:rPr>
      </w:pPr>
      <w:r>
        <w:rPr>
          <w:rFonts w:hint="eastAsia" w:ascii="仿宋_GB2312" w:hAnsi="宋体" w:eastAsia="仿宋_GB2312"/>
          <w:sz w:val="32"/>
          <w:szCs w:val="32"/>
          <w:lang w:val="zh-CN"/>
        </w:rPr>
        <w:t>2．项目应实现的具体绩效目标：</w:t>
      </w:r>
      <w:r>
        <w:rPr>
          <w:rFonts w:hint="eastAsia" w:ascii="仿宋" w:hAnsi="仿宋" w:eastAsia="仿宋" w:cs="仿宋_GB2312"/>
          <w:sz w:val="32"/>
          <w:szCs w:val="32"/>
        </w:rPr>
        <w:t>全年完成了2次以上专项督查。组织对涉改部门“三定”规定执行、部门履职情况开展1次综合评估，查漏补缺，进一步优化体制机制。</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3．项目申报内容与实际相符，申报目标合理可行，达到预期目的</w:t>
      </w:r>
      <w:r>
        <w:rPr>
          <w:rFonts w:hint="eastAsia" w:ascii="仿宋_GB2312" w:hAnsi="仿宋_GB2312" w:eastAsia="仿宋_GB2312"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项目绩效自评采用的组织实施步骤及方法：该项目组织具体由车辆驾驶员申报具体实施，分管财务领导初审，常务副主任审批，项目资金实行一事一审，分事前、事中、事后控制，达到项目预期目的。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项目资金申报：项目资金预算申报时实行“两上两下”，使用进实行一事一申报。</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项目资金批复：项目预算由人大批复，项目资金使用严格按财政资金批复程序实施。</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预算调整：该项目未实行预算调整。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rPr>
          <w:rFonts w:ascii="楷体_GB2312" w:hAnsi="宋体" w:eastAsia="楷体_GB2312"/>
          <w:sz w:val="32"/>
          <w:szCs w:val="32"/>
          <w:lang w:val="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30" w:type="dxa"/>
            <w:vAlign w:val="center"/>
          </w:tcPr>
          <w:p>
            <w:pPr>
              <w:adjustRightInd w:val="0"/>
              <w:snapToGrid w:val="0"/>
              <w:spacing w:line="600" w:lineRule="exact"/>
              <w:jc w:val="center"/>
              <w:rPr>
                <w:rFonts w:ascii="楷体_GB2312" w:hAnsi="宋体" w:eastAsia="楷体_GB2312" w:cstheme="minorBidi"/>
                <w:sz w:val="28"/>
                <w:szCs w:val="28"/>
                <w:lang w:val="zh-CN"/>
              </w:rPr>
            </w:pPr>
            <w:r>
              <w:rPr>
                <w:rFonts w:hint="eastAsia" w:ascii="楷体_GB2312" w:hAnsi="宋体" w:eastAsia="楷体_GB2312" w:cstheme="minorBidi"/>
                <w:sz w:val="28"/>
                <w:szCs w:val="28"/>
                <w:lang w:val="zh-CN"/>
              </w:rPr>
              <w:t>项目名称</w:t>
            </w:r>
          </w:p>
        </w:tc>
        <w:tc>
          <w:tcPr>
            <w:tcW w:w="6392" w:type="dxa"/>
            <w:gridSpan w:val="2"/>
            <w:vAlign w:val="center"/>
          </w:tcPr>
          <w:p>
            <w:pPr>
              <w:spacing w:line="580" w:lineRule="exact"/>
              <w:jc w:val="center"/>
              <w:rPr>
                <w:rFonts w:ascii="楷体_GB2312" w:hAnsi="宋体" w:eastAsia="楷体_GB2312" w:cstheme="minorBidi"/>
                <w:sz w:val="32"/>
                <w:szCs w:val="32"/>
                <w:lang w:val="zh-CN"/>
              </w:rPr>
            </w:pPr>
            <w:r>
              <w:rPr>
                <w:rFonts w:hint="eastAsia" w:ascii="仿宋_GB2312" w:hAnsi="仿宋_GB2312" w:eastAsia="仿宋_GB2312" w:cs="仿宋_GB2312"/>
                <w:sz w:val="32"/>
                <w:szCs w:val="32"/>
              </w:rPr>
              <w:t>机构编制实名制管理、督查、评估、公开、维护及财政供养审核</w:t>
            </w:r>
            <w:r>
              <w:rPr>
                <w:rFonts w:hint="eastAsia" w:ascii="黑体" w:hAnsi="黑体" w:eastAsia="黑体" w:cs="方正小标宋简体"/>
                <w:sz w:val="32"/>
                <w:szCs w:val="32"/>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adjustRightInd w:val="0"/>
              <w:snapToGrid w:val="0"/>
              <w:spacing w:line="600" w:lineRule="exact"/>
              <w:jc w:val="center"/>
              <w:rPr>
                <w:rFonts w:ascii="楷体_GB2312" w:hAnsi="宋体" w:eastAsia="楷体_GB2312" w:cstheme="minorBidi"/>
                <w:sz w:val="32"/>
                <w:szCs w:val="32"/>
                <w:lang w:val="zh-CN"/>
              </w:rPr>
            </w:pPr>
            <w:r>
              <w:rPr>
                <w:rFonts w:hint="eastAsia" w:ascii="楷体_GB2312" w:hAnsi="宋体" w:eastAsia="楷体_GB2312" w:cstheme="minorBidi"/>
                <w:sz w:val="28"/>
                <w:szCs w:val="28"/>
                <w:lang w:val="zh-CN"/>
              </w:rPr>
              <w:t>资金计划</w:t>
            </w: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财政资金：</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adjustRightInd w:val="0"/>
              <w:snapToGrid w:val="0"/>
              <w:spacing w:line="600" w:lineRule="exact"/>
              <w:jc w:val="center"/>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其他资金：</w:t>
            </w:r>
          </w:p>
        </w:tc>
        <w:tc>
          <w:tcPr>
            <w:tcW w:w="4262" w:type="dxa"/>
          </w:tcPr>
          <w:p>
            <w:pPr>
              <w:adjustRightInd w:val="0"/>
              <w:snapToGrid w:val="0"/>
              <w:spacing w:line="600" w:lineRule="exact"/>
              <w:rPr>
                <w:rFonts w:ascii="楷体_GB2312" w:hAnsi="宋体" w:eastAsia="楷体_GB2312" w:cstheme="minorBidi"/>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adjustRightInd w:val="0"/>
              <w:snapToGrid w:val="0"/>
              <w:spacing w:line="600" w:lineRule="exact"/>
              <w:jc w:val="center"/>
              <w:rPr>
                <w:rFonts w:ascii="楷体_GB2312" w:hAnsi="宋体" w:eastAsia="楷体_GB2312" w:cstheme="minorBidi"/>
                <w:sz w:val="32"/>
                <w:szCs w:val="32"/>
                <w:lang w:val="zh-CN"/>
              </w:rPr>
            </w:pPr>
            <w:r>
              <w:rPr>
                <w:rFonts w:hint="eastAsia" w:ascii="楷体_GB2312" w:hAnsi="宋体" w:eastAsia="楷体_GB2312" w:cstheme="minorBidi"/>
                <w:sz w:val="28"/>
                <w:szCs w:val="28"/>
                <w:lang w:val="zh-CN"/>
              </w:rPr>
              <w:t>资金到位</w:t>
            </w: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到位金额：</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adjustRightInd w:val="0"/>
              <w:snapToGrid w:val="0"/>
              <w:spacing w:line="600" w:lineRule="exact"/>
              <w:jc w:val="center"/>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到位率：</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adjustRightInd w:val="0"/>
              <w:snapToGrid w:val="0"/>
              <w:spacing w:line="600" w:lineRule="exact"/>
              <w:jc w:val="center"/>
              <w:rPr>
                <w:rFonts w:ascii="楷体_GB2312" w:hAnsi="宋体" w:eastAsia="楷体_GB2312" w:cstheme="minorBidi"/>
                <w:sz w:val="32"/>
                <w:szCs w:val="32"/>
                <w:lang w:val="zh-CN"/>
              </w:rPr>
            </w:pPr>
            <w:r>
              <w:rPr>
                <w:rFonts w:hint="eastAsia" w:ascii="楷体_GB2312" w:hAnsi="宋体" w:eastAsia="楷体_GB2312" w:cstheme="minorBidi"/>
                <w:sz w:val="32"/>
                <w:szCs w:val="32"/>
                <w:lang w:val="zh-CN"/>
              </w:rPr>
              <w:t>资金使用</w:t>
            </w:r>
          </w:p>
        </w:tc>
        <w:tc>
          <w:tcPr>
            <w:tcW w:w="2130" w:type="dxa"/>
          </w:tcPr>
          <w:p>
            <w:pPr>
              <w:adjustRightInd w:val="0"/>
              <w:snapToGrid w:val="0"/>
              <w:spacing w:line="600" w:lineRule="exact"/>
              <w:rPr>
                <w:rFonts w:ascii="楷体_GB2312" w:hAnsi="宋体" w:eastAsia="楷体_GB2312" w:cstheme="minorBidi"/>
                <w:sz w:val="32"/>
                <w:szCs w:val="32"/>
              </w:rPr>
            </w:pPr>
            <w:r>
              <w:rPr>
                <w:rFonts w:hint="eastAsia" w:ascii="楷体_GB2312" w:hAnsi="宋体" w:eastAsia="楷体_GB2312" w:cstheme="minorBidi"/>
                <w:sz w:val="24"/>
              </w:rPr>
              <w:t>20</w:t>
            </w:r>
            <w:r>
              <w:rPr>
                <w:rFonts w:hint="eastAsia" w:ascii="楷体_GB2312" w:hAnsi="宋体" w:eastAsia="楷体_GB2312" w:cstheme="minorBidi"/>
                <w:sz w:val="24"/>
                <w:lang w:val="en-US" w:eastAsia="zh-CN"/>
              </w:rPr>
              <w:t>20</w:t>
            </w:r>
            <w:r>
              <w:rPr>
                <w:rFonts w:hint="eastAsia" w:ascii="楷体_GB2312" w:hAnsi="宋体" w:eastAsia="楷体_GB2312" w:cstheme="minorBidi"/>
                <w:sz w:val="24"/>
              </w:rPr>
              <w:t>年使用额：</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lang w:val="en-US" w:eastAsia="zh-CN"/>
              </w:rPr>
              <w:t>8.5</w:t>
            </w:r>
            <w:r>
              <w:rPr>
                <w:rFonts w:hint="eastAsia" w:ascii="楷体_GB2312" w:hAnsi="宋体" w:eastAsia="楷体_GB2312" w:cstheme="minorBidi"/>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30" w:type="dxa"/>
            <w:vMerge w:val="continue"/>
          </w:tcPr>
          <w:p>
            <w:pPr>
              <w:adjustRightInd w:val="0"/>
              <w:snapToGrid w:val="0"/>
              <w:spacing w:line="600" w:lineRule="exact"/>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rPr>
              <w:t>使用范围：</w:t>
            </w:r>
          </w:p>
        </w:tc>
        <w:tc>
          <w:tcPr>
            <w:tcW w:w="4262"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机构编制实名制管理、督查等日常工作经费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30" w:type="dxa"/>
            <w:vMerge w:val="continue"/>
          </w:tcPr>
          <w:p>
            <w:pPr>
              <w:adjustRightInd w:val="0"/>
              <w:snapToGrid w:val="0"/>
              <w:spacing w:line="600" w:lineRule="exact"/>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24"/>
              </w:rPr>
            </w:pPr>
            <w:r>
              <w:rPr>
                <w:rFonts w:hint="eastAsia" w:ascii="楷体_GB2312" w:hAnsi="宋体" w:eastAsia="楷体_GB2312" w:cstheme="minorBidi"/>
                <w:sz w:val="24"/>
              </w:rPr>
              <w:t>自评发现问题：</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lang w:val="zh-CN"/>
              </w:rPr>
              <w:t>经费使用过程中，对资金监管不严</w:t>
            </w:r>
          </w:p>
        </w:tc>
      </w:tr>
    </w:tbl>
    <w:p>
      <w:pPr>
        <w:adjustRightInd w:val="0"/>
        <w:snapToGrid w:val="0"/>
        <w:spacing w:line="600" w:lineRule="exact"/>
        <w:rPr>
          <w:rFonts w:ascii="楷体_GB2312" w:hAnsi="宋体" w:eastAsia="楷体_GB2312"/>
          <w:sz w:val="32"/>
          <w:szCs w:val="32"/>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cs="仿宋_GB2312"/>
          <w:sz w:val="32"/>
          <w:szCs w:val="32"/>
        </w:rPr>
        <w:t>该项目实施单位财务管理制度健全，严格执行财务管理制度，账务处理及时，会计核算规范。该项目全年预算数12万元，20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年分别安排办公费</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万元、印刷费</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.5万元、差旅费</w:t>
      </w:r>
      <w:r>
        <w:rPr>
          <w:rFonts w:hint="eastAsia" w:ascii="仿宋" w:hAnsi="仿宋" w:eastAsia="仿宋" w:cs="仿宋_GB2312"/>
          <w:sz w:val="32"/>
          <w:szCs w:val="32"/>
          <w:lang w:val="en-US" w:eastAsia="zh-CN"/>
        </w:rPr>
        <w:t>2.6</w:t>
      </w:r>
      <w:r>
        <w:rPr>
          <w:rFonts w:hint="eastAsia" w:ascii="仿宋" w:hAnsi="仿宋" w:eastAsia="仿宋" w:cs="仿宋_GB2312"/>
          <w:sz w:val="32"/>
          <w:szCs w:val="32"/>
        </w:rPr>
        <w:t>万元。全年支出合计</w:t>
      </w:r>
      <w:r>
        <w:rPr>
          <w:rFonts w:hint="eastAsia" w:ascii="仿宋" w:hAnsi="仿宋" w:eastAsia="仿宋" w:cs="仿宋_GB2312"/>
          <w:sz w:val="32"/>
          <w:szCs w:val="32"/>
          <w:lang w:val="en-US" w:eastAsia="zh-CN"/>
        </w:rPr>
        <w:t>8.5</w:t>
      </w:r>
      <w:r>
        <w:rPr>
          <w:rFonts w:hint="eastAsia" w:ascii="仿宋" w:hAnsi="仿宋" w:eastAsia="仿宋" w:cs="仿宋_GB2312"/>
          <w:sz w:val="32"/>
          <w:szCs w:val="32"/>
        </w:rPr>
        <w:t>万元，严格安排项目进度支付项目资金。</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结合项目组织实施管理办法，重点围绕以下内容进行分析评价，并对自评中发现的问题分析说明。</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（一）项目组织架构及实施流程。该项目由内部股室实施。</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（二）项目管理情况。该项目为内部业务工作经费，严格执行相关法律法规及项目管理制度。</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（三）项目监管情况。为加强项目管理区委编办加强了办公用品、会议、差旅等费用的事前审批，事中控制和事后监督，实现了该项目的最终目的。自评发现该项目资金管理规范性还有待进一步加强。</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年开展了机构编制监督检查，统筹用好编制资源。认真落实区委编委会议、区委编办室务会议精神，加强各类编制资源管控，拟订年度用编计划，并严格执行落实。加强机构编制数据管理和分析。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全区机构编制工作正常进行。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区委编委会、机构编制督查等全区机构编制各项工作扎实有效开展，该项目目标绩效管理较好。</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经费使用过程中，对资金监管不严。</w:t>
      </w:r>
      <w:r>
        <w:rPr>
          <w:rFonts w:hint="eastAsia" w:ascii="仿宋" w:hAnsi="仿宋" w:eastAsia="仿宋" w:cs="仿宋_GB2312"/>
          <w:sz w:val="32"/>
          <w:szCs w:val="32"/>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我单位将进一步加强项目资金管理，进一步提高资金使用效率。</w:t>
      </w:r>
    </w:p>
    <w:p>
      <w:pPr>
        <w:spacing w:line="580" w:lineRule="exact"/>
        <w:jc w:val="center"/>
        <w:rPr>
          <w:rFonts w:hint="eastAsia" w:ascii="方正小标宋简体" w:hAnsi="宋体" w:eastAsia="方正小标宋简体"/>
          <w:color w:val="000000"/>
          <w:kern w:val="0"/>
          <w:sz w:val="44"/>
          <w:szCs w:val="44"/>
        </w:rPr>
      </w:pPr>
    </w:p>
    <w:p>
      <w:pPr>
        <w:spacing w:line="580" w:lineRule="exact"/>
        <w:jc w:val="center"/>
        <w:rPr>
          <w:rFonts w:hint="eastAsia" w:ascii="方正小标宋简体" w:hAnsi="宋体" w:eastAsia="方正小标宋简体"/>
          <w:color w:val="000000"/>
          <w:kern w:val="0"/>
          <w:sz w:val="44"/>
          <w:szCs w:val="44"/>
        </w:rPr>
      </w:pPr>
    </w:p>
    <w:p>
      <w:pPr>
        <w:spacing w:line="58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全区机构改革工作</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w:t>
      </w:r>
      <w:r>
        <w:rPr>
          <w:rFonts w:hint="eastAsia" w:ascii="方正小标宋简体" w:hAnsi="宋体" w:eastAsia="方正小标宋简体"/>
          <w:color w:val="000000"/>
          <w:kern w:val="0"/>
          <w:sz w:val="44"/>
          <w:szCs w:val="44"/>
          <w:lang w:val="en-US" w:eastAsia="zh-CN"/>
        </w:rPr>
        <w:t>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w:t>
      </w:r>
    </w:p>
    <w:p>
      <w:pPr>
        <w:spacing w:line="58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报告</w:t>
      </w:r>
    </w:p>
    <w:p>
      <w:pPr>
        <w:spacing w:line="580" w:lineRule="exact"/>
        <w:ind w:firstLine="640"/>
        <w:rPr>
          <w:rFonts w:ascii="仿宋_GB2312" w:hAnsi="仿宋_GB2312" w:eastAsia="仿宋_GB2312" w:cs="仿宋_GB2312"/>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1．该项目主管部门区委编办，负责该项目具体实施，过程监管，事后评价。</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2．该项目为保障利州区机构改革工作需要立项，以实际开支情况作为资金申报的依据。</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3．区委编办制定了项目资金管理办法，明确了资金支持具体项目的条件、范围与支持方式概况。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 xml:space="preserve">1．项目主要内容：推进党政机构改革、事业单位改革工作。 </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2．项目应实现的具体绩效目标：设置党政机构35个、挂牌机构20个，审定印发“三定”规定26个、“一事一议”调整文件13个。新设事业单位13个、撤销10个、规范名称30个、优化设置8个，调整事业编制75名。</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3．项目申报内容与实际相符，申报目标合理可行，达到预期目的。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项目绩效自评采用的组织实施步骤及方法：该项目组织具体由车辆驾驶员申报具体实施，分管财务领导初审，常务副主任审批，项目资金实行一事一审，分事前、事中、事后控制，达到项目预期目的。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项目资金申报：项目资金预算申报时实行“两上两下”，使用进实行一事一申报。</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项目资金批复：项目预算由人大批复，项目资金使用严格按财政资金批复程序实施。</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预算调整：该项目未实行预算调整。</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rPr>
          <w:rFonts w:ascii="楷体_GB2312" w:hAnsi="宋体" w:eastAsia="楷体_GB2312"/>
          <w:sz w:val="32"/>
          <w:szCs w:val="32"/>
          <w:lang w:val="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30" w:type="dxa"/>
            <w:vAlign w:val="center"/>
          </w:tcPr>
          <w:p>
            <w:pPr>
              <w:adjustRightInd w:val="0"/>
              <w:snapToGrid w:val="0"/>
              <w:spacing w:line="600" w:lineRule="exact"/>
              <w:jc w:val="center"/>
              <w:rPr>
                <w:rFonts w:ascii="楷体_GB2312" w:hAnsi="宋体" w:eastAsia="楷体_GB2312" w:cstheme="minorBidi"/>
                <w:sz w:val="28"/>
                <w:szCs w:val="28"/>
                <w:lang w:val="zh-CN"/>
              </w:rPr>
            </w:pPr>
            <w:r>
              <w:rPr>
                <w:rFonts w:hint="eastAsia" w:ascii="楷体_GB2312" w:hAnsi="宋体" w:eastAsia="楷体_GB2312" w:cstheme="minorBidi"/>
                <w:sz w:val="28"/>
                <w:szCs w:val="28"/>
                <w:lang w:val="zh-CN"/>
              </w:rPr>
              <w:t>项目名称</w:t>
            </w:r>
          </w:p>
        </w:tc>
        <w:tc>
          <w:tcPr>
            <w:tcW w:w="6392" w:type="dxa"/>
            <w:gridSpan w:val="2"/>
            <w:vAlign w:val="center"/>
          </w:tcPr>
          <w:p>
            <w:pPr>
              <w:spacing w:line="580" w:lineRule="exact"/>
              <w:jc w:val="center"/>
              <w:rPr>
                <w:rFonts w:ascii="楷体_GB2312" w:hAnsi="宋体" w:eastAsia="楷体_GB2312" w:cstheme="minorBidi"/>
                <w:sz w:val="32"/>
                <w:szCs w:val="32"/>
                <w:lang w:val="zh-CN"/>
              </w:rPr>
            </w:pPr>
            <w:r>
              <w:rPr>
                <w:rFonts w:hint="eastAsia" w:ascii="楷体_GB2312" w:hAnsi="宋体" w:eastAsia="楷体_GB2312" w:cs="Times New Roman"/>
                <w:b/>
                <w:sz w:val="32"/>
                <w:szCs w:val="32"/>
                <w:lang w:val="zh-CN"/>
              </w:rPr>
              <w:t>全区机构改革工作项目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adjustRightInd w:val="0"/>
              <w:snapToGrid w:val="0"/>
              <w:spacing w:line="600" w:lineRule="exact"/>
              <w:jc w:val="center"/>
              <w:rPr>
                <w:rFonts w:ascii="楷体_GB2312" w:hAnsi="宋体" w:eastAsia="楷体_GB2312" w:cstheme="minorBidi"/>
                <w:sz w:val="32"/>
                <w:szCs w:val="32"/>
                <w:lang w:val="zh-CN"/>
              </w:rPr>
            </w:pPr>
            <w:r>
              <w:rPr>
                <w:rFonts w:hint="eastAsia" w:ascii="楷体_GB2312" w:hAnsi="宋体" w:eastAsia="楷体_GB2312" w:cstheme="minorBidi"/>
                <w:sz w:val="28"/>
                <w:szCs w:val="28"/>
                <w:lang w:val="zh-CN"/>
              </w:rPr>
              <w:t>资金计划</w:t>
            </w: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财政资金：</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adjustRightInd w:val="0"/>
              <w:snapToGrid w:val="0"/>
              <w:spacing w:line="600" w:lineRule="exact"/>
              <w:jc w:val="center"/>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其他资金：</w:t>
            </w:r>
          </w:p>
        </w:tc>
        <w:tc>
          <w:tcPr>
            <w:tcW w:w="4262" w:type="dxa"/>
          </w:tcPr>
          <w:p>
            <w:pPr>
              <w:adjustRightInd w:val="0"/>
              <w:snapToGrid w:val="0"/>
              <w:spacing w:line="600" w:lineRule="exact"/>
              <w:rPr>
                <w:rFonts w:ascii="楷体_GB2312" w:hAnsi="宋体" w:eastAsia="楷体_GB2312" w:cstheme="minorBidi"/>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adjustRightInd w:val="0"/>
              <w:snapToGrid w:val="0"/>
              <w:spacing w:line="600" w:lineRule="exact"/>
              <w:jc w:val="center"/>
              <w:rPr>
                <w:rFonts w:ascii="楷体_GB2312" w:hAnsi="宋体" w:eastAsia="楷体_GB2312" w:cstheme="minorBidi"/>
                <w:sz w:val="32"/>
                <w:szCs w:val="32"/>
                <w:lang w:val="zh-CN"/>
              </w:rPr>
            </w:pPr>
            <w:r>
              <w:rPr>
                <w:rFonts w:hint="eastAsia" w:ascii="楷体_GB2312" w:hAnsi="宋体" w:eastAsia="楷体_GB2312" w:cstheme="minorBidi"/>
                <w:sz w:val="28"/>
                <w:szCs w:val="28"/>
                <w:lang w:val="zh-CN"/>
              </w:rPr>
              <w:t>资金到位</w:t>
            </w: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到位金额：</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adjustRightInd w:val="0"/>
              <w:snapToGrid w:val="0"/>
              <w:spacing w:line="600" w:lineRule="exact"/>
              <w:jc w:val="center"/>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到位率：</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adjustRightInd w:val="0"/>
              <w:snapToGrid w:val="0"/>
              <w:spacing w:line="600" w:lineRule="exact"/>
              <w:jc w:val="center"/>
              <w:rPr>
                <w:rFonts w:ascii="楷体_GB2312" w:hAnsi="宋体" w:eastAsia="楷体_GB2312" w:cstheme="minorBidi"/>
                <w:sz w:val="32"/>
                <w:szCs w:val="32"/>
                <w:lang w:val="zh-CN"/>
              </w:rPr>
            </w:pPr>
            <w:r>
              <w:rPr>
                <w:rFonts w:hint="eastAsia" w:ascii="楷体_GB2312" w:hAnsi="宋体" w:eastAsia="楷体_GB2312" w:cstheme="minorBidi"/>
                <w:sz w:val="32"/>
                <w:szCs w:val="32"/>
                <w:lang w:val="zh-CN"/>
              </w:rPr>
              <w:t>资金使用</w:t>
            </w:r>
          </w:p>
        </w:tc>
        <w:tc>
          <w:tcPr>
            <w:tcW w:w="2130" w:type="dxa"/>
          </w:tcPr>
          <w:p>
            <w:pPr>
              <w:adjustRightInd w:val="0"/>
              <w:snapToGrid w:val="0"/>
              <w:spacing w:line="600" w:lineRule="exact"/>
              <w:rPr>
                <w:rFonts w:ascii="楷体_GB2312" w:hAnsi="宋体" w:eastAsia="楷体_GB2312" w:cstheme="minorBidi"/>
                <w:sz w:val="32"/>
                <w:szCs w:val="32"/>
              </w:rPr>
            </w:pPr>
            <w:r>
              <w:rPr>
                <w:rFonts w:hint="eastAsia" w:ascii="楷体_GB2312" w:hAnsi="宋体" w:eastAsia="楷体_GB2312" w:cstheme="minorBidi"/>
                <w:sz w:val="24"/>
              </w:rPr>
              <w:t>2019年使用额：</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30" w:type="dxa"/>
            <w:vMerge w:val="continue"/>
          </w:tcPr>
          <w:p>
            <w:pPr>
              <w:adjustRightInd w:val="0"/>
              <w:snapToGrid w:val="0"/>
              <w:spacing w:line="600" w:lineRule="exact"/>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rPr>
              <w:t>使用范围：</w:t>
            </w:r>
          </w:p>
        </w:tc>
        <w:tc>
          <w:tcPr>
            <w:tcW w:w="4262" w:type="dxa"/>
          </w:tcPr>
          <w:p>
            <w:pPr>
              <w:adjustRightInd w:val="0"/>
              <w:snapToGrid w:val="0"/>
              <w:spacing w:line="600" w:lineRule="exact"/>
              <w:rPr>
                <w:rFonts w:ascii="楷体_GB2312" w:hAnsi="宋体" w:eastAsia="楷体_GB2312" w:cstheme="minorBidi"/>
                <w:sz w:val="32"/>
                <w:szCs w:val="32"/>
                <w:lang w:val="zh-CN"/>
              </w:rPr>
            </w:pPr>
            <w:r>
              <w:rPr>
                <w:rFonts w:hint="eastAsia" w:ascii="楷体_GB2312" w:hAnsi="宋体" w:eastAsia="楷体_GB2312" w:cstheme="minorBidi"/>
                <w:sz w:val="24"/>
                <w:lang w:val="zh-CN"/>
              </w:rPr>
              <w:t>机构改革日常工作经费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30" w:type="dxa"/>
            <w:vMerge w:val="continue"/>
          </w:tcPr>
          <w:p>
            <w:pPr>
              <w:adjustRightInd w:val="0"/>
              <w:snapToGrid w:val="0"/>
              <w:spacing w:line="600" w:lineRule="exact"/>
              <w:rPr>
                <w:rFonts w:ascii="楷体_GB2312" w:hAnsi="宋体" w:eastAsia="楷体_GB2312" w:cstheme="minorBidi"/>
                <w:sz w:val="32"/>
                <w:szCs w:val="32"/>
                <w:lang w:val="zh-CN"/>
              </w:rPr>
            </w:pPr>
          </w:p>
        </w:tc>
        <w:tc>
          <w:tcPr>
            <w:tcW w:w="2130" w:type="dxa"/>
          </w:tcPr>
          <w:p>
            <w:pPr>
              <w:adjustRightInd w:val="0"/>
              <w:snapToGrid w:val="0"/>
              <w:spacing w:line="600" w:lineRule="exact"/>
              <w:rPr>
                <w:rFonts w:ascii="楷体_GB2312" w:hAnsi="宋体" w:eastAsia="楷体_GB2312" w:cstheme="minorBidi"/>
                <w:sz w:val="24"/>
              </w:rPr>
            </w:pPr>
            <w:r>
              <w:rPr>
                <w:rFonts w:hint="eastAsia" w:ascii="楷体_GB2312" w:hAnsi="宋体" w:eastAsia="楷体_GB2312" w:cstheme="minorBidi"/>
                <w:sz w:val="24"/>
              </w:rPr>
              <w:t>自评发现问题：</w:t>
            </w:r>
          </w:p>
        </w:tc>
        <w:tc>
          <w:tcPr>
            <w:tcW w:w="4262" w:type="dxa"/>
          </w:tcPr>
          <w:p>
            <w:pPr>
              <w:adjustRightInd w:val="0"/>
              <w:snapToGrid w:val="0"/>
              <w:spacing w:line="600" w:lineRule="exact"/>
              <w:rPr>
                <w:rFonts w:ascii="楷体_GB2312" w:hAnsi="宋体" w:eastAsia="楷体_GB2312" w:cstheme="minorBidi"/>
                <w:sz w:val="24"/>
                <w:lang w:val="zh-CN"/>
              </w:rPr>
            </w:pPr>
            <w:r>
              <w:rPr>
                <w:rFonts w:hint="eastAsia" w:ascii="楷体_GB2312" w:hAnsi="宋体" w:eastAsia="楷体_GB2312" w:cstheme="minorBidi"/>
                <w:sz w:val="24"/>
              </w:rPr>
              <w:t>机构改革工作经费不足</w:t>
            </w:r>
          </w:p>
        </w:tc>
      </w:tr>
    </w:tbl>
    <w:p>
      <w:pPr>
        <w:adjustRightInd w:val="0"/>
        <w:snapToGrid w:val="0"/>
        <w:spacing w:line="600" w:lineRule="exact"/>
        <w:rPr>
          <w:rFonts w:ascii="楷体_GB2312" w:hAnsi="宋体" w:eastAsia="楷体_GB2312"/>
          <w:sz w:val="32"/>
          <w:szCs w:val="32"/>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该项目实施单位财务管理制度健全，严格执行财务管理制度，账务处理及时，会计核算规范。该项目全年预算数17万元，20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年实际支出办公费、印刷费、差旅费等17万元，严格安排项目进度支付项目资金。</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结合项目组织实施管理办法，重点围绕以下内容进行分析评价，并对自评中发现的问题分析说明。</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（一）项目组织架构及实施流程。该项目由内部股室实施。</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（二）项目管理情况。该项目为内部业务工作经费，严格执行相关法律法规及项目管理制度。</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（三）项目监管情况。为加强项目管理区委编办加强了办公用品、会议、差旅等费用的事前审批，事中控制和事后监督，实现了该项目的最终目的。自评发现该项目资金管理规范性还有待进一步加强。</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年认真执行了《市县机构改革总体意见》和市委批复的机构改革方案，对应中央、省、市设置国家安全、财经、审计、教育等9个议事协调机构。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全区机构改革工作正常进行。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坚持把“深化改革”作为有效抓手，紧抓此次系统性、整体性机构改革重大历史机遇，积极推进</w:t>
      </w:r>
      <w:r>
        <w:rPr>
          <w:rFonts w:ascii="仿宋" w:hAnsi="仿宋" w:eastAsia="仿宋" w:cs="仿宋_GB2312"/>
          <w:sz w:val="32"/>
          <w:szCs w:val="32"/>
        </w:rPr>
        <w:t>治理体系和治理能力现代化</w:t>
      </w:r>
      <w:r>
        <w:rPr>
          <w:rFonts w:hint="eastAsia" w:ascii="仿宋" w:hAnsi="仿宋" w:eastAsia="仿宋" w:cs="仿宋_GB2312"/>
          <w:sz w:val="32"/>
          <w:szCs w:val="32"/>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机构改革工作经费不足。</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720"/>
        <w:rPr>
          <w:rFonts w:ascii="仿宋" w:hAnsi="仿宋" w:eastAsia="仿宋" w:cs="仿宋_GB2312"/>
          <w:sz w:val="32"/>
          <w:szCs w:val="32"/>
        </w:rPr>
      </w:pPr>
      <w:r>
        <w:rPr>
          <w:rFonts w:hint="eastAsia" w:ascii="仿宋" w:hAnsi="仿宋" w:eastAsia="仿宋" w:cs="仿宋_GB2312"/>
          <w:sz w:val="32"/>
          <w:szCs w:val="32"/>
        </w:rPr>
        <w:t>向上争取资金，进一步保障机构改革工作经费。</w:t>
      </w:r>
    </w:p>
    <w:p>
      <w:pPr>
        <w:widowControl/>
        <w:jc w:val="left"/>
        <w:rPr>
          <w:rStyle w:val="25"/>
          <w:rFonts w:ascii="黑体" w:hAnsi="黑体" w:eastAsia="黑体"/>
          <w:b w:val="0"/>
        </w:rPr>
      </w:pP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p>
    <w:p>
      <w:pPr>
        <w:spacing w:line="600" w:lineRule="exact"/>
        <w:jc w:val="center"/>
        <w:outlineLvl w:val="0"/>
        <w:rPr>
          <w:rStyle w:val="25"/>
          <w:rFonts w:ascii="黑体" w:hAnsi="黑体" w:eastAsia="黑体"/>
          <w:b w:val="0"/>
        </w:rPr>
      </w:pPr>
      <w:bookmarkStart w:id="60"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9"/>
      <w:bookmarkEnd w:id="60"/>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1"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1"/>
    </w:p>
    <w:p>
      <w:pPr>
        <w:pStyle w:val="3"/>
        <w:rPr>
          <w:rFonts w:ascii="仿宋" w:hAnsi="仿宋" w:eastAsia="仿宋"/>
          <w:color w:val="000000"/>
        </w:rPr>
      </w:pPr>
      <w:bookmarkStart w:id="62"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2"/>
    </w:p>
    <w:p>
      <w:pPr>
        <w:pStyle w:val="3"/>
        <w:rPr>
          <w:rFonts w:ascii="仿宋" w:hAnsi="仿宋" w:eastAsia="仿宋"/>
          <w:color w:val="000000"/>
        </w:rPr>
      </w:pPr>
      <w:bookmarkStart w:id="63"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3"/>
    </w:p>
    <w:p>
      <w:pPr>
        <w:pStyle w:val="3"/>
        <w:rPr>
          <w:rFonts w:ascii="仿宋" w:hAnsi="仿宋" w:eastAsia="仿宋"/>
          <w:b w:val="0"/>
          <w:color w:val="000000"/>
        </w:rPr>
      </w:pPr>
      <w:bookmarkStart w:id="64"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4"/>
    </w:p>
    <w:p>
      <w:pPr>
        <w:pStyle w:val="3"/>
        <w:rPr>
          <w:rStyle w:val="26"/>
          <w:rFonts w:ascii="仿宋" w:hAnsi="仿宋" w:eastAsia="仿宋"/>
          <w:b w:val="0"/>
          <w:bCs w:val="0"/>
        </w:rPr>
      </w:pPr>
      <w:bookmarkStart w:id="65"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5"/>
      <w:bookmarkStart w:id="66" w:name="_Toc15396624"/>
    </w:p>
    <w:p>
      <w:pPr>
        <w:pStyle w:val="3"/>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6"/>
    </w:p>
    <w:p>
      <w:pPr>
        <w:pStyle w:val="3"/>
        <w:rPr>
          <w:rFonts w:ascii="仿宋" w:hAnsi="仿宋" w:eastAsia="仿宋"/>
          <w:color w:val="000000"/>
        </w:rPr>
      </w:pPr>
      <w:bookmarkStart w:id="67"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7"/>
    </w:p>
    <w:p>
      <w:pPr>
        <w:pStyle w:val="3"/>
        <w:rPr>
          <w:rFonts w:ascii="仿宋" w:hAnsi="仿宋" w:eastAsia="仿宋"/>
          <w:color w:val="000000"/>
        </w:rPr>
      </w:pPr>
      <w:bookmarkStart w:id="68"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8"/>
    </w:p>
    <w:p>
      <w:pPr>
        <w:pStyle w:val="3"/>
        <w:rPr>
          <w:rFonts w:ascii="仿宋" w:hAnsi="仿宋" w:eastAsia="仿宋"/>
          <w:color w:val="000000"/>
        </w:rPr>
      </w:pPr>
      <w:bookmarkStart w:id="69"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9"/>
    </w:p>
    <w:p>
      <w:pPr>
        <w:pStyle w:val="3"/>
        <w:rPr>
          <w:rFonts w:ascii="仿宋" w:hAnsi="仿宋" w:eastAsia="仿宋"/>
          <w:color w:val="000000"/>
        </w:rPr>
      </w:pPr>
      <w:bookmarkStart w:id="70"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0"/>
    </w:p>
    <w:p>
      <w:pPr>
        <w:pStyle w:val="3"/>
        <w:rPr>
          <w:rFonts w:ascii="仿宋" w:hAnsi="仿宋" w:eastAsia="仿宋"/>
          <w:color w:val="000000"/>
        </w:rPr>
      </w:pPr>
      <w:bookmarkStart w:id="71"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1"/>
    </w:p>
    <w:p>
      <w:pPr>
        <w:pStyle w:val="3"/>
        <w:rPr>
          <w:rFonts w:ascii="仿宋" w:hAnsi="仿宋" w:eastAsia="仿宋"/>
          <w:color w:val="000000"/>
        </w:rPr>
      </w:pPr>
      <w:bookmarkStart w:id="72"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2"/>
    </w:p>
    <w:p>
      <w:pPr>
        <w:pStyle w:val="3"/>
        <w:rPr>
          <w:rFonts w:ascii="仿宋" w:hAnsi="仿宋" w:eastAsia="仿宋"/>
          <w:color w:val="000000" w:themeColor="text1"/>
          <w14:textFill>
            <w14:solidFill>
              <w14:schemeClr w14:val="tx1"/>
            </w14:solidFill>
          </w14:textFill>
        </w:rPr>
      </w:pPr>
      <w:bookmarkStart w:id="73"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20</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0000005"/>
    <w:multiLevelType w:val="singleLevel"/>
    <w:tmpl w:val="00000005"/>
    <w:lvl w:ilvl="0" w:tentative="0">
      <w:start w:val="2"/>
      <w:numFmt w:val="chineseCounting"/>
      <w:suff w:val="nothing"/>
      <w:lvlText w:val="（%1）"/>
      <w:lvlJc w:val="left"/>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YjEzOTUwOWRlYjg2MDE1MzkwYTc0Zjg2YTQ2ZTkifQ=="/>
  </w:docVars>
  <w:rsids>
    <w:rsidRoot w:val="00F1361C"/>
    <w:rsid w:val="00000C79"/>
    <w:rsid w:val="00012A90"/>
    <w:rsid w:val="000222C6"/>
    <w:rsid w:val="0002549F"/>
    <w:rsid w:val="000468DB"/>
    <w:rsid w:val="0006487A"/>
    <w:rsid w:val="00065F8F"/>
    <w:rsid w:val="00070A43"/>
    <w:rsid w:val="00070C26"/>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3939"/>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6C15"/>
    <w:rsid w:val="001B7DD7"/>
    <w:rsid w:val="001C0962"/>
    <w:rsid w:val="001D7531"/>
    <w:rsid w:val="001E2492"/>
    <w:rsid w:val="001E737D"/>
    <w:rsid w:val="001E7910"/>
    <w:rsid w:val="001F0592"/>
    <w:rsid w:val="001F7506"/>
    <w:rsid w:val="002006CD"/>
    <w:rsid w:val="00202B36"/>
    <w:rsid w:val="00204B7A"/>
    <w:rsid w:val="00204CDE"/>
    <w:rsid w:val="0021101A"/>
    <w:rsid w:val="0021212F"/>
    <w:rsid w:val="00220536"/>
    <w:rsid w:val="00235629"/>
    <w:rsid w:val="00260C38"/>
    <w:rsid w:val="002616C0"/>
    <w:rsid w:val="00265372"/>
    <w:rsid w:val="002662AA"/>
    <w:rsid w:val="00280496"/>
    <w:rsid w:val="00286CE6"/>
    <w:rsid w:val="00294DC9"/>
    <w:rsid w:val="00295495"/>
    <w:rsid w:val="002A31DE"/>
    <w:rsid w:val="002B22A0"/>
    <w:rsid w:val="002B2613"/>
    <w:rsid w:val="002C238F"/>
    <w:rsid w:val="002D19B0"/>
    <w:rsid w:val="002D6D05"/>
    <w:rsid w:val="002F1818"/>
    <w:rsid w:val="002F567B"/>
    <w:rsid w:val="003216A9"/>
    <w:rsid w:val="00330AF3"/>
    <w:rsid w:val="00335A74"/>
    <w:rsid w:val="0036561B"/>
    <w:rsid w:val="0037013F"/>
    <w:rsid w:val="003737BB"/>
    <w:rsid w:val="00380C92"/>
    <w:rsid w:val="00395178"/>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024"/>
    <w:rsid w:val="00416CD4"/>
    <w:rsid w:val="004223DE"/>
    <w:rsid w:val="00434489"/>
    <w:rsid w:val="00437085"/>
    <w:rsid w:val="00443880"/>
    <w:rsid w:val="004464F4"/>
    <w:rsid w:val="00452075"/>
    <w:rsid w:val="00471401"/>
    <w:rsid w:val="00473F31"/>
    <w:rsid w:val="0048263A"/>
    <w:rsid w:val="00487E5D"/>
    <w:rsid w:val="004A711F"/>
    <w:rsid w:val="004B199D"/>
    <w:rsid w:val="004B4690"/>
    <w:rsid w:val="004C2707"/>
    <w:rsid w:val="004E0A2D"/>
    <w:rsid w:val="004E206B"/>
    <w:rsid w:val="004E44A6"/>
    <w:rsid w:val="004E6DF7"/>
    <w:rsid w:val="004F0FBD"/>
    <w:rsid w:val="004F403E"/>
    <w:rsid w:val="00503601"/>
    <w:rsid w:val="00505A47"/>
    <w:rsid w:val="00512FDA"/>
    <w:rsid w:val="00520DA0"/>
    <w:rsid w:val="005420ED"/>
    <w:rsid w:val="005664BB"/>
    <w:rsid w:val="00566FFA"/>
    <w:rsid w:val="0057481D"/>
    <w:rsid w:val="00575F0B"/>
    <w:rsid w:val="0058486E"/>
    <w:rsid w:val="005857C2"/>
    <w:rsid w:val="00585B33"/>
    <w:rsid w:val="0059014D"/>
    <w:rsid w:val="005B5C64"/>
    <w:rsid w:val="005C24D7"/>
    <w:rsid w:val="005C3E59"/>
    <w:rsid w:val="005C6BD0"/>
    <w:rsid w:val="005C6C4C"/>
    <w:rsid w:val="005D1C8B"/>
    <w:rsid w:val="005D468D"/>
    <w:rsid w:val="005D5CED"/>
    <w:rsid w:val="005F15C9"/>
    <w:rsid w:val="005F1A4C"/>
    <w:rsid w:val="005F2C2F"/>
    <w:rsid w:val="00605688"/>
    <w:rsid w:val="006070AF"/>
    <w:rsid w:val="00607E6C"/>
    <w:rsid w:val="006101B1"/>
    <w:rsid w:val="00614E44"/>
    <w:rsid w:val="0062270A"/>
    <w:rsid w:val="00622830"/>
    <w:rsid w:val="00623DA0"/>
    <w:rsid w:val="00630AEF"/>
    <w:rsid w:val="006325F8"/>
    <w:rsid w:val="00633463"/>
    <w:rsid w:val="00634C9A"/>
    <w:rsid w:val="006440E4"/>
    <w:rsid w:val="0065067F"/>
    <w:rsid w:val="0066343B"/>
    <w:rsid w:val="00664777"/>
    <w:rsid w:val="006748A4"/>
    <w:rsid w:val="006767C9"/>
    <w:rsid w:val="00681A31"/>
    <w:rsid w:val="00683E73"/>
    <w:rsid w:val="00695638"/>
    <w:rsid w:val="006A3141"/>
    <w:rsid w:val="006A5E34"/>
    <w:rsid w:val="006B2422"/>
    <w:rsid w:val="006B2B9A"/>
    <w:rsid w:val="006C1937"/>
    <w:rsid w:val="006E01A5"/>
    <w:rsid w:val="006E6E40"/>
    <w:rsid w:val="006F020C"/>
    <w:rsid w:val="007127B7"/>
    <w:rsid w:val="0071798E"/>
    <w:rsid w:val="00727533"/>
    <w:rsid w:val="007377CC"/>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03B0A"/>
    <w:rsid w:val="00813348"/>
    <w:rsid w:val="00817EDF"/>
    <w:rsid w:val="008253BB"/>
    <w:rsid w:val="00833962"/>
    <w:rsid w:val="00836D72"/>
    <w:rsid w:val="0083706E"/>
    <w:rsid w:val="008408F6"/>
    <w:rsid w:val="008423A5"/>
    <w:rsid w:val="00850625"/>
    <w:rsid w:val="00853718"/>
    <w:rsid w:val="00855221"/>
    <w:rsid w:val="008552D0"/>
    <w:rsid w:val="00860645"/>
    <w:rsid w:val="00871F71"/>
    <w:rsid w:val="00872FD8"/>
    <w:rsid w:val="0088016B"/>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256F8"/>
    <w:rsid w:val="009315F9"/>
    <w:rsid w:val="00933499"/>
    <w:rsid w:val="00935C98"/>
    <w:rsid w:val="009463C4"/>
    <w:rsid w:val="00946945"/>
    <w:rsid w:val="00951248"/>
    <w:rsid w:val="0095152F"/>
    <w:rsid w:val="00954C49"/>
    <w:rsid w:val="00955E37"/>
    <w:rsid w:val="00970733"/>
    <w:rsid w:val="0097099F"/>
    <w:rsid w:val="00971997"/>
    <w:rsid w:val="00971FFC"/>
    <w:rsid w:val="00972B14"/>
    <w:rsid w:val="009820A0"/>
    <w:rsid w:val="0098660A"/>
    <w:rsid w:val="009931C3"/>
    <w:rsid w:val="009B2C43"/>
    <w:rsid w:val="009B4EAE"/>
    <w:rsid w:val="009B7573"/>
    <w:rsid w:val="009B7EA0"/>
    <w:rsid w:val="009C22F4"/>
    <w:rsid w:val="009C2E98"/>
    <w:rsid w:val="009C37FB"/>
    <w:rsid w:val="009D3447"/>
    <w:rsid w:val="009D4711"/>
    <w:rsid w:val="009F1185"/>
    <w:rsid w:val="009F18CD"/>
    <w:rsid w:val="009F2A13"/>
    <w:rsid w:val="009F7527"/>
    <w:rsid w:val="00A039ED"/>
    <w:rsid w:val="00A04EB0"/>
    <w:rsid w:val="00A13CC1"/>
    <w:rsid w:val="00A16847"/>
    <w:rsid w:val="00A22EC9"/>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AE51F7"/>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6BE0"/>
    <w:rsid w:val="00B944D6"/>
    <w:rsid w:val="00BB4DF0"/>
    <w:rsid w:val="00BB66DB"/>
    <w:rsid w:val="00BC289F"/>
    <w:rsid w:val="00BC2D50"/>
    <w:rsid w:val="00BC5361"/>
    <w:rsid w:val="00BC5460"/>
    <w:rsid w:val="00BC6B50"/>
    <w:rsid w:val="00BD0E25"/>
    <w:rsid w:val="00BE4077"/>
    <w:rsid w:val="00BF011A"/>
    <w:rsid w:val="00BF5BD6"/>
    <w:rsid w:val="00C03E31"/>
    <w:rsid w:val="00C13219"/>
    <w:rsid w:val="00C30E69"/>
    <w:rsid w:val="00C33E72"/>
    <w:rsid w:val="00C354B2"/>
    <w:rsid w:val="00C35554"/>
    <w:rsid w:val="00C42709"/>
    <w:rsid w:val="00C533CC"/>
    <w:rsid w:val="00C565DD"/>
    <w:rsid w:val="00C5751C"/>
    <w:rsid w:val="00C61BFC"/>
    <w:rsid w:val="00C62B85"/>
    <w:rsid w:val="00C65438"/>
    <w:rsid w:val="00C820B5"/>
    <w:rsid w:val="00C91CBB"/>
    <w:rsid w:val="00CB4E70"/>
    <w:rsid w:val="00CC09B6"/>
    <w:rsid w:val="00CC1DF5"/>
    <w:rsid w:val="00CC666F"/>
    <w:rsid w:val="00CD1E3F"/>
    <w:rsid w:val="00CE44F6"/>
    <w:rsid w:val="00CE49DA"/>
    <w:rsid w:val="00CE7B61"/>
    <w:rsid w:val="00D00095"/>
    <w:rsid w:val="00D0189D"/>
    <w:rsid w:val="00D114F0"/>
    <w:rsid w:val="00D20620"/>
    <w:rsid w:val="00D254F7"/>
    <w:rsid w:val="00D26091"/>
    <w:rsid w:val="00D2685C"/>
    <w:rsid w:val="00D34E7C"/>
    <w:rsid w:val="00D35489"/>
    <w:rsid w:val="00D36AFE"/>
    <w:rsid w:val="00D51276"/>
    <w:rsid w:val="00D52D80"/>
    <w:rsid w:val="00D7035F"/>
    <w:rsid w:val="00D739E9"/>
    <w:rsid w:val="00DA634F"/>
    <w:rsid w:val="00DA65AC"/>
    <w:rsid w:val="00DB1913"/>
    <w:rsid w:val="00DB4D63"/>
    <w:rsid w:val="00DB76C7"/>
    <w:rsid w:val="00DC410D"/>
    <w:rsid w:val="00DC5A81"/>
    <w:rsid w:val="00DC68CA"/>
    <w:rsid w:val="00DC7CBA"/>
    <w:rsid w:val="00DD73B7"/>
    <w:rsid w:val="00DF28BC"/>
    <w:rsid w:val="00DF34B9"/>
    <w:rsid w:val="00E01053"/>
    <w:rsid w:val="00E07ACF"/>
    <w:rsid w:val="00E27074"/>
    <w:rsid w:val="00E331A1"/>
    <w:rsid w:val="00E33202"/>
    <w:rsid w:val="00E336A9"/>
    <w:rsid w:val="00E472B1"/>
    <w:rsid w:val="00E50624"/>
    <w:rsid w:val="00E568DF"/>
    <w:rsid w:val="00E64269"/>
    <w:rsid w:val="00E66797"/>
    <w:rsid w:val="00E82267"/>
    <w:rsid w:val="00E853CE"/>
    <w:rsid w:val="00E867B6"/>
    <w:rsid w:val="00E87F08"/>
    <w:rsid w:val="00EA010F"/>
    <w:rsid w:val="00EB5165"/>
    <w:rsid w:val="00ED1B63"/>
    <w:rsid w:val="00ED3C1F"/>
    <w:rsid w:val="00ED4085"/>
    <w:rsid w:val="00ED420E"/>
    <w:rsid w:val="00ED6FBE"/>
    <w:rsid w:val="00EE2F57"/>
    <w:rsid w:val="00EF4365"/>
    <w:rsid w:val="00EF4C34"/>
    <w:rsid w:val="00EF5240"/>
    <w:rsid w:val="00EF575D"/>
    <w:rsid w:val="00EF77C6"/>
    <w:rsid w:val="00F05438"/>
    <w:rsid w:val="00F12FA9"/>
    <w:rsid w:val="00F1361C"/>
    <w:rsid w:val="00F156F0"/>
    <w:rsid w:val="00F160C7"/>
    <w:rsid w:val="00F2408F"/>
    <w:rsid w:val="00F240E9"/>
    <w:rsid w:val="00F36D8F"/>
    <w:rsid w:val="00F417B1"/>
    <w:rsid w:val="00F45853"/>
    <w:rsid w:val="00F4798E"/>
    <w:rsid w:val="00F5478E"/>
    <w:rsid w:val="00F54872"/>
    <w:rsid w:val="00F602DF"/>
    <w:rsid w:val="00F754A1"/>
    <w:rsid w:val="00F81FD9"/>
    <w:rsid w:val="00F841AA"/>
    <w:rsid w:val="00F84A94"/>
    <w:rsid w:val="00F87E6B"/>
    <w:rsid w:val="00F87E96"/>
    <w:rsid w:val="00F95220"/>
    <w:rsid w:val="00FA23E8"/>
    <w:rsid w:val="00FC6727"/>
    <w:rsid w:val="00FD3CC1"/>
    <w:rsid w:val="00FF1E02"/>
    <w:rsid w:val="00FF30B4"/>
    <w:rsid w:val="09D844CF"/>
    <w:rsid w:val="0BA05AB7"/>
    <w:rsid w:val="10C055FF"/>
    <w:rsid w:val="16BB723D"/>
    <w:rsid w:val="240371BF"/>
    <w:rsid w:val="29FD04D3"/>
    <w:rsid w:val="319F7F4E"/>
    <w:rsid w:val="353E67AD"/>
    <w:rsid w:val="42641245"/>
    <w:rsid w:val="4ECE2238"/>
    <w:rsid w:val="5DD178D1"/>
    <w:rsid w:val="6D1E3366"/>
    <w:rsid w:val="72734D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0"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0"/>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0"/>
    <w:pPr>
      <w:tabs>
        <w:tab w:val="right" w:leader="dot" w:pos="8296"/>
      </w:tabs>
      <w:ind w:left="420" w:leftChars="200"/>
    </w:pPr>
  </w:style>
  <w:style w:type="table" w:styleId="13">
    <w:name w:val="Table Grid"/>
    <w:basedOn w:val="12"/>
    <w:qFormat/>
    <w:uiPriority w:val="59"/>
    <w:pPr>
      <w:widowControl w:val="0"/>
      <w:jc w:val="both"/>
    </w:pPr>
    <w:rPr>
      <w:rFonts w:eastAsia="微软雅黑"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2.emf"/><Relationship Id="rId13" Type="http://schemas.openxmlformats.org/officeDocument/2006/relationships/oleObject" Target="embeddings/oleObject2.bin"/><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199.18</c:v>
                </c:pt>
                <c:pt idx="1">
                  <c:v>186.23</c:v>
                </c:pt>
              </c:numCache>
            </c:numRef>
          </c:val>
        </c:ser>
        <c:ser>
          <c:idx val="1"/>
          <c:order val="1"/>
          <c:tx>
            <c:strRef>
              <c:f>Sheet1!$C$1</c:f>
              <c:strCache>
                <c:ptCount val="1"/>
                <c:pt idx="0">
                  <c:v>2020</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203.38</c:v>
                </c:pt>
                <c:pt idx="1">
                  <c:v>209.14</c:v>
                </c:pt>
              </c:numCache>
            </c:numRef>
          </c:val>
        </c:ser>
        <c:dLbls>
          <c:showLegendKey val="0"/>
          <c:showVal val="0"/>
          <c:showCatName val="0"/>
          <c:showSerName val="0"/>
          <c:showPercent val="0"/>
          <c:showBubbleSize val="0"/>
        </c:dLbls>
        <c:gapWidth val="150"/>
        <c:axId val="183737344"/>
        <c:axId val="134460160"/>
      </c:barChart>
      <c:catAx>
        <c:axId val="183737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4460160"/>
        <c:crosses val="autoZero"/>
        <c:auto val="1"/>
        <c:lblAlgn val="ctr"/>
        <c:lblOffset val="100"/>
        <c:noMultiLvlLbl val="0"/>
      </c:catAx>
      <c:valAx>
        <c:axId val="134460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373734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78</c:v>
                </c:pt>
                <c:pt idx="1">
                  <c:v>22</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c:v>
                </c:pt>
              </c:strCache>
            </c:strRef>
          </c:tx>
          <c:invertIfNegative val="0"/>
          <c:dLbls>
            <c:delete val="1"/>
          </c:dLbls>
          <c:cat>
            <c:strRef>
              <c:f>Sheet1!$A$2:$A$3</c:f>
              <c:strCache>
                <c:ptCount val="2"/>
                <c:pt idx="0">
                  <c:v>收入</c:v>
                </c:pt>
                <c:pt idx="1">
                  <c:v>支出</c:v>
                </c:pt>
              </c:strCache>
            </c:strRef>
          </c:cat>
          <c:val>
            <c:numRef>
              <c:f>Sheet1!$B$2:$B$3</c:f>
              <c:numCache>
                <c:formatCode>General</c:formatCode>
                <c:ptCount val="2"/>
                <c:pt idx="0">
                  <c:v>199.18</c:v>
                </c:pt>
                <c:pt idx="1">
                  <c:v>186.23</c:v>
                </c:pt>
              </c:numCache>
            </c:numRef>
          </c:val>
        </c:ser>
        <c:ser>
          <c:idx val="1"/>
          <c:order val="1"/>
          <c:tx>
            <c:strRef>
              <c:f>Sheet1!$C$1</c:f>
              <c:strCache>
                <c:ptCount val="1"/>
                <c:pt idx="0">
                  <c:v>2020</c:v>
                </c:pt>
              </c:strCache>
            </c:strRef>
          </c:tx>
          <c:invertIfNegative val="0"/>
          <c:dLbls>
            <c:delete val="1"/>
          </c:dLbls>
          <c:cat>
            <c:strRef>
              <c:f>Sheet1!$A$2:$A$3</c:f>
              <c:strCache>
                <c:ptCount val="2"/>
                <c:pt idx="0">
                  <c:v>收入</c:v>
                </c:pt>
                <c:pt idx="1">
                  <c:v>支出</c:v>
                </c:pt>
              </c:strCache>
            </c:strRef>
          </c:cat>
          <c:val>
            <c:numRef>
              <c:f>Sheet1!$C$2:$C$3</c:f>
              <c:numCache>
                <c:formatCode>General</c:formatCode>
                <c:ptCount val="2"/>
                <c:pt idx="0">
                  <c:v>203.38</c:v>
                </c:pt>
                <c:pt idx="1">
                  <c:v>209.14</c:v>
                </c:pt>
              </c:numCache>
            </c:numRef>
          </c:val>
        </c:ser>
        <c:dLbls>
          <c:showLegendKey val="0"/>
          <c:showVal val="0"/>
          <c:showCatName val="0"/>
          <c:showSerName val="0"/>
          <c:showPercent val="0"/>
          <c:showBubbleSize val="0"/>
        </c:dLbls>
        <c:gapWidth val="150"/>
        <c:axId val="137906816"/>
        <c:axId val="137908608"/>
      </c:barChart>
      <c:catAx>
        <c:axId val="1379068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7908608"/>
        <c:crosses val="autoZero"/>
        <c:auto val="1"/>
        <c:lblAlgn val="ctr"/>
        <c:lblOffset val="100"/>
        <c:noMultiLvlLbl val="0"/>
      </c:catAx>
      <c:valAx>
        <c:axId val="1379086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7906816"/>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c:v>
                </c:pt>
              </c:strCache>
            </c:strRef>
          </c:tx>
          <c:invertIfNegative val="0"/>
          <c:dLbls>
            <c:delete val="1"/>
          </c:dLbls>
          <c:cat>
            <c:strRef>
              <c:f>Sheet1!$A$2</c:f>
              <c:strCache>
                <c:ptCount val="1"/>
                <c:pt idx="0">
                  <c:v>支出</c:v>
                </c:pt>
              </c:strCache>
            </c:strRef>
          </c:cat>
          <c:val>
            <c:numRef>
              <c:f>Sheet1!$B$2</c:f>
              <c:numCache>
                <c:formatCode>General</c:formatCode>
                <c:ptCount val="1"/>
                <c:pt idx="0">
                  <c:v>186.23</c:v>
                </c:pt>
              </c:numCache>
            </c:numRef>
          </c:val>
        </c:ser>
        <c:ser>
          <c:idx val="1"/>
          <c:order val="1"/>
          <c:tx>
            <c:strRef>
              <c:f>Sheet1!$C$1</c:f>
              <c:strCache>
                <c:ptCount val="1"/>
                <c:pt idx="0">
                  <c:v>2020</c:v>
                </c:pt>
              </c:strCache>
            </c:strRef>
          </c:tx>
          <c:invertIfNegative val="0"/>
          <c:dLbls>
            <c:delete val="1"/>
          </c:dLbls>
          <c:cat>
            <c:strRef>
              <c:f>Sheet1!$A$2</c:f>
              <c:strCache>
                <c:ptCount val="1"/>
                <c:pt idx="0">
                  <c:v>支出</c:v>
                </c:pt>
              </c:strCache>
            </c:strRef>
          </c:cat>
          <c:val>
            <c:numRef>
              <c:f>Sheet1!$C$2</c:f>
              <c:numCache>
                <c:formatCode>General</c:formatCode>
                <c:ptCount val="1"/>
                <c:pt idx="0">
                  <c:v>209.14</c:v>
                </c:pt>
              </c:numCache>
            </c:numRef>
          </c:val>
        </c:ser>
        <c:dLbls>
          <c:showLegendKey val="0"/>
          <c:showVal val="0"/>
          <c:showCatName val="0"/>
          <c:showSerName val="0"/>
          <c:showPercent val="0"/>
          <c:showBubbleSize val="0"/>
        </c:dLbls>
        <c:gapWidth val="150"/>
        <c:axId val="183737344"/>
        <c:axId val="134460160"/>
      </c:barChart>
      <c:catAx>
        <c:axId val="1837373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4460160"/>
        <c:crosses val="autoZero"/>
        <c:auto val="1"/>
        <c:lblAlgn val="ctr"/>
        <c:lblOffset val="100"/>
        <c:noMultiLvlLbl val="0"/>
      </c:catAx>
      <c:valAx>
        <c:axId val="134460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373734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410977242302544"/>
          <c:y val="0.040807560137457"/>
          <c:w val="0.564390896921017"/>
          <c:h val="0.905498281786942"/>
        </c:manualLayout>
      </c:layout>
      <c:pie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Lbls>
            <c:delete val="1"/>
          </c:dLbls>
          <c:cat>
            <c:strRef>
              <c:f>Sheet1!$A$2:$A$11</c:f>
              <c:strCache>
                <c:ptCount val="7"/>
                <c:pt idx="0">
                  <c:v>一般公共服务（类）</c:v>
                </c:pt>
                <c:pt idx="1">
                  <c:v>教育支出（类）</c:v>
                </c:pt>
                <c:pt idx="2">
                  <c:v>科学技术（类）</c:v>
                </c:pt>
                <c:pt idx="3">
                  <c:v>文化旅游体育与传媒（类）</c:v>
                </c:pt>
                <c:pt idx="4">
                  <c:v>社会保障和就业（类）</c:v>
                </c:pt>
                <c:pt idx="5">
                  <c:v>卫生健康</c:v>
                </c:pt>
                <c:pt idx="6">
                  <c:v>住房保障</c:v>
                </c:pt>
              </c:strCache>
            </c:strRef>
          </c:cat>
          <c:val>
            <c:numRef>
              <c:f>Sheet1!$B$2:$B$11</c:f>
              <c:numCache>
                <c:formatCode>General</c:formatCode>
                <c:ptCount val="10"/>
                <c:pt idx="0">
                  <c:v>84</c:v>
                </c:pt>
                <c:pt idx="1">
                  <c:v>0</c:v>
                </c:pt>
                <c:pt idx="2">
                  <c:v>0</c:v>
                </c:pt>
                <c:pt idx="3">
                  <c:v>0</c:v>
                </c:pt>
                <c:pt idx="4">
                  <c:v>8.5</c:v>
                </c:pt>
                <c:pt idx="5">
                  <c:v>2.9</c:v>
                </c:pt>
                <c:pt idx="6">
                  <c:v>8.6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0892-59E7-4C8D-924F-FB548A3F4787}">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42</Pages>
  <Words>16581</Words>
  <Characters>17324</Characters>
  <Lines>140</Lines>
  <Paragraphs>39</Paragraphs>
  <TotalTime>16</TotalTime>
  <ScaleCrop>false</ScaleCrop>
  <LinksUpToDate>false</LinksUpToDate>
  <CharactersWithSpaces>17392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2020-08-28T01:19:00Z</dcterms:created>
  <dc:creator>曹颖</dc:creator>
  <cp:lastModifiedBy>Captain_</cp:lastModifiedBy>
  <cp:lastPrinted>2020-09-07T08:50:00Z</cp:lastPrinted>
  <dcterms:modified xsi:type="dcterms:W3CDTF">2022-09-01T08:43:14Z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C47CEC2F1F084D9E9CF30A61DEC32793</vt:lpwstr>
  </property>
</Properties>
</file>