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6" w:lineRule="exact"/>
        <w:ind w:left="0"/>
        <w:contextualSpacing/>
        <w:jc w:val="both"/>
        <w:textAlignment w:val="auto"/>
        <w:outlineLvl w:val="9"/>
        <w:rPr>
          <w:rFonts w:hint="default" w:ascii="Times New Roman" w:hAnsi="Times New Roman" w:eastAsia="仿宋_GB2312" w:cs="Times New Roman"/>
          <w:b w:val="0"/>
          <w:bCs w:val="0"/>
          <w:color w:val="auto"/>
          <w:spacing w:val="0"/>
          <w:w w:val="100"/>
          <w:kern w:val="2"/>
          <w:sz w:val="32"/>
          <w:szCs w:val="32"/>
          <w:highlight w:val="none"/>
          <w:shd w:val="clear" w:color="auto" w:fill="FFFFFF"/>
        </w:rPr>
      </w:pPr>
      <w:r>
        <w:rPr>
          <w:rFonts w:hint="default" w:ascii="Times New Roman" w:hAnsi="Times New Roman" w:eastAsia="黑体" w:cs="Times New Roman"/>
          <w:b w:val="0"/>
          <w:bCs w:val="0"/>
          <w:color w:val="auto"/>
          <w:spacing w:val="0"/>
          <w:w w:val="100"/>
          <w:kern w:val="2"/>
          <w:sz w:val="32"/>
          <w:szCs w:val="32"/>
          <w:highlight w:val="none"/>
          <w:lang w:val="zh-CN"/>
        </w:rPr>
        <w:t>附表</w:t>
      </w:r>
      <w:r>
        <w:rPr>
          <w:rFonts w:hint="default" w:ascii="Times New Roman" w:hAnsi="Times New Roman" w:eastAsia="黑体" w:cs="Times New Roman"/>
          <w:b w:val="0"/>
          <w:bCs w:val="0"/>
          <w:color w:val="auto"/>
          <w:spacing w:val="0"/>
          <w:w w:val="100"/>
          <w:kern w:val="2"/>
          <w:sz w:val="32"/>
          <w:szCs w:val="32"/>
          <w:highlight w:val="none"/>
          <w:lang w:val="en-US" w:eastAsia="zh-CN"/>
        </w:rPr>
        <w:t>1</w:t>
      </w:r>
    </w:p>
    <w:p>
      <w:pPr>
        <w:pStyle w:val="3"/>
        <w:keepNext w:val="0"/>
        <w:keepLines w:val="0"/>
        <w:pageBreakBefore w:val="0"/>
        <w:widowControl w:val="0"/>
        <w:kinsoku/>
        <w:wordWrap/>
        <w:overflowPunct w:val="0"/>
        <w:topLinePunct w:val="0"/>
        <w:autoSpaceDE/>
        <w:autoSpaceDN/>
        <w:bidi w:val="0"/>
        <w:adjustRightInd/>
        <w:snapToGrid/>
        <w:spacing w:beforeLines="0" w:afterLines="0" w:line="576" w:lineRule="exact"/>
        <w:ind w:left="0"/>
        <w:jc w:val="center"/>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rPr>
        <w:t>部门预算绩效自评打分表</w:t>
      </w:r>
    </w:p>
    <w:tbl>
      <w:tblPr>
        <w:tblStyle w:val="8"/>
        <w:tblpPr w:leftFromText="180" w:rightFromText="180" w:vertAnchor="text" w:horzAnchor="page" w:tblpX="1404" w:tblpY="80"/>
        <w:tblOverlap w:val="never"/>
        <w:tblW w:w="51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044"/>
        <w:gridCol w:w="1365"/>
        <w:gridCol w:w="757"/>
        <w:gridCol w:w="2102"/>
        <w:gridCol w:w="669"/>
        <w:gridCol w:w="5143"/>
        <w:gridCol w:w="785"/>
        <w:gridCol w:w="74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1448"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绩效评价指标指标分值</w:t>
            </w:r>
          </w:p>
        </w:tc>
        <w:tc>
          <w:tcPr>
            <w:tcW w:w="733"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指标解释</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lang w:val="en-US" w:eastAsia="zh-CN"/>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评分</w:t>
            </w:r>
          </w:p>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方法</w:t>
            </w:r>
          </w:p>
        </w:tc>
        <w:tc>
          <w:tcPr>
            <w:tcW w:w="1794"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评分说明</w:t>
            </w:r>
          </w:p>
        </w:tc>
        <w:tc>
          <w:tcPr>
            <w:tcW w:w="273"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lang w:val="en-US" w:eastAsia="zh-CN"/>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是否涉及</w:t>
            </w:r>
          </w:p>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此项指标</w:t>
            </w:r>
          </w:p>
        </w:tc>
        <w:tc>
          <w:tcPr>
            <w:tcW w:w="25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lang w:val="en-US" w:eastAsia="zh-CN"/>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单位</w:t>
            </w:r>
          </w:p>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自评</w:t>
            </w:r>
            <w:r>
              <w:rPr>
                <w:rFonts w:hint="default" w:ascii="Times New Roman" w:hAnsi="Times New Roman" w:eastAsia="方正黑体简体" w:cs="Times New Roman"/>
                <w:b w:val="0"/>
                <w:bCs w:val="0"/>
                <w:color w:val="auto"/>
                <w:spacing w:val="0"/>
                <w:w w:val="100"/>
                <w:kern w:val="2"/>
                <w:sz w:val="24"/>
                <w:szCs w:val="32"/>
                <w:highlight w:val="none"/>
                <w:lang w:val="en-US" w:eastAsia="zh-CN"/>
              </w:rPr>
              <w:br w:type="textWrapping"/>
            </w:r>
            <w:r>
              <w:rPr>
                <w:rFonts w:hint="default" w:ascii="Times New Roman" w:hAnsi="Times New Roman" w:eastAsia="方正黑体简体" w:cs="Times New Roman"/>
                <w:b w:val="0"/>
                <w:bCs w:val="0"/>
                <w:color w:val="auto"/>
                <w:spacing w:val="0"/>
                <w:w w:val="100"/>
                <w:kern w:val="2"/>
                <w:sz w:val="24"/>
                <w:szCs w:val="32"/>
                <w:highlight w:val="none"/>
                <w:lang w:val="en-US" w:eastAsia="zh-CN"/>
              </w:rPr>
              <w:t>得分</w:t>
            </w:r>
          </w:p>
        </w:tc>
        <w:tc>
          <w:tcPr>
            <w:tcW w:w="25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b w:val="0"/>
                <w:bCs w:val="0"/>
                <w:color w:val="auto"/>
                <w:spacing w:val="0"/>
                <w:w w:val="100"/>
                <w:kern w:val="2"/>
                <w:sz w:val="24"/>
                <w:szCs w:val="32"/>
                <w:highlight w:val="none"/>
              </w:rPr>
            </w:pPr>
            <w:r>
              <w:rPr>
                <w:rFonts w:hint="default" w:ascii="Times New Roman" w:hAnsi="Times New Roman" w:eastAsia="方正黑体简体" w:cs="Times New Roman"/>
                <w:b w:val="0"/>
                <w:bCs w:val="0"/>
                <w:color w:val="auto"/>
                <w:spacing w:val="0"/>
                <w:w w:val="100"/>
                <w:kern w:val="2"/>
                <w:sz w:val="24"/>
                <w:szCs w:val="32"/>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blHeader/>
        </w:trPr>
        <w:tc>
          <w:tcPr>
            <w:tcW w:w="34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lang w:val="en-US" w:eastAsia="zh-CN"/>
              </w:rPr>
            </w:pPr>
            <w:r>
              <w:rPr>
                <w:rFonts w:hint="default" w:ascii="Times New Roman" w:hAnsi="Times New Roman" w:eastAsia="方正黑体简体" w:cs="Times New Roman"/>
                <w:color w:val="auto"/>
                <w:spacing w:val="0"/>
                <w:w w:val="100"/>
                <w:kern w:val="2"/>
                <w:sz w:val="24"/>
                <w:szCs w:val="32"/>
                <w:highlight w:val="none"/>
                <w:lang w:val="en-US" w:eastAsia="zh-CN"/>
              </w:rPr>
              <w:t>一级</w:t>
            </w:r>
          </w:p>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r>
              <w:rPr>
                <w:rFonts w:hint="default" w:ascii="Times New Roman" w:hAnsi="Times New Roman" w:eastAsia="方正黑体简体" w:cs="Times New Roman"/>
                <w:color w:val="auto"/>
                <w:spacing w:val="0"/>
                <w:w w:val="100"/>
                <w:kern w:val="2"/>
                <w:sz w:val="24"/>
                <w:szCs w:val="32"/>
                <w:highlight w:val="none"/>
                <w:lang w:val="en-US" w:eastAsia="zh-CN"/>
              </w:rPr>
              <w:t>指标</w:t>
            </w:r>
          </w:p>
        </w:tc>
        <w:tc>
          <w:tcPr>
            <w:tcW w:w="36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lang w:val="en-US" w:eastAsia="zh-CN"/>
              </w:rPr>
            </w:pPr>
            <w:r>
              <w:rPr>
                <w:rFonts w:hint="default" w:ascii="Times New Roman" w:hAnsi="Times New Roman" w:eastAsia="方正黑体简体" w:cs="Times New Roman"/>
                <w:color w:val="auto"/>
                <w:spacing w:val="0"/>
                <w:w w:val="100"/>
                <w:kern w:val="2"/>
                <w:sz w:val="24"/>
                <w:szCs w:val="32"/>
                <w:highlight w:val="none"/>
                <w:lang w:val="en-US" w:eastAsia="zh-CN"/>
              </w:rPr>
              <w:t>二级</w:t>
            </w:r>
          </w:p>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r>
              <w:rPr>
                <w:rFonts w:hint="default" w:ascii="Times New Roman" w:hAnsi="Times New Roman" w:eastAsia="方正黑体简体" w:cs="Times New Roman"/>
                <w:color w:val="auto"/>
                <w:spacing w:val="0"/>
                <w:w w:val="100"/>
                <w:kern w:val="2"/>
                <w:sz w:val="24"/>
                <w:szCs w:val="32"/>
                <w:highlight w:val="none"/>
                <w:lang w:val="en-US" w:eastAsia="zh-CN"/>
              </w:rPr>
              <w:t>指标</w:t>
            </w:r>
          </w:p>
        </w:tc>
        <w:tc>
          <w:tcPr>
            <w:tcW w:w="476"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r>
              <w:rPr>
                <w:rFonts w:hint="default" w:ascii="Times New Roman" w:hAnsi="Times New Roman" w:eastAsia="方正黑体简体" w:cs="Times New Roman"/>
                <w:color w:val="auto"/>
                <w:spacing w:val="0"/>
                <w:w w:val="100"/>
                <w:kern w:val="2"/>
                <w:sz w:val="24"/>
                <w:szCs w:val="32"/>
                <w:highlight w:val="none"/>
                <w:lang w:val="en-US" w:eastAsia="zh-CN"/>
              </w:rPr>
              <w:t>三级指标</w:t>
            </w:r>
          </w:p>
        </w:tc>
        <w:tc>
          <w:tcPr>
            <w:tcW w:w="26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r>
              <w:rPr>
                <w:rFonts w:hint="default" w:ascii="Times New Roman" w:hAnsi="Times New Roman" w:eastAsia="方正黑体简体" w:cs="Times New Roman"/>
                <w:color w:val="auto"/>
                <w:spacing w:val="0"/>
                <w:w w:val="100"/>
                <w:kern w:val="2"/>
                <w:sz w:val="24"/>
                <w:szCs w:val="32"/>
                <w:highlight w:val="none"/>
                <w:lang w:val="en-US" w:eastAsia="zh-CN"/>
              </w:rPr>
              <w:t>指标</w:t>
            </w:r>
            <w:r>
              <w:rPr>
                <w:rFonts w:hint="default" w:ascii="Times New Roman" w:hAnsi="Times New Roman" w:eastAsia="方正黑体简体" w:cs="Times New Roman"/>
                <w:color w:val="auto"/>
                <w:spacing w:val="0"/>
                <w:w w:val="100"/>
                <w:kern w:val="2"/>
                <w:sz w:val="24"/>
                <w:szCs w:val="32"/>
                <w:highlight w:val="none"/>
                <w:lang w:val="en-US" w:eastAsia="zh-CN"/>
              </w:rPr>
              <w:br w:type="textWrapping"/>
            </w:r>
            <w:r>
              <w:rPr>
                <w:rFonts w:hint="default" w:ascii="Times New Roman" w:hAnsi="Times New Roman" w:eastAsia="方正黑体简体" w:cs="Times New Roman"/>
                <w:color w:val="auto"/>
                <w:spacing w:val="0"/>
                <w:w w:val="100"/>
                <w:kern w:val="2"/>
                <w:sz w:val="24"/>
                <w:szCs w:val="32"/>
                <w:highlight w:val="none"/>
                <w:lang w:val="en-US" w:eastAsia="zh-CN"/>
              </w:rPr>
              <w:t>分值</w:t>
            </w:r>
          </w:p>
        </w:tc>
        <w:tc>
          <w:tcPr>
            <w:tcW w:w="733"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both"/>
              <w:textAlignment w:val="auto"/>
              <w:rPr>
                <w:rFonts w:hint="default" w:ascii="Times New Roman" w:hAnsi="Times New Roman" w:eastAsia="方正黑体简体" w:cs="Times New Roman"/>
                <w:color w:val="auto"/>
                <w:spacing w:val="0"/>
                <w:w w:val="100"/>
                <w:kern w:val="2"/>
                <w:sz w:val="24"/>
                <w:szCs w:val="32"/>
                <w:highlight w:val="none"/>
              </w:rPr>
            </w:pPr>
          </w:p>
        </w:tc>
        <w:tc>
          <w:tcPr>
            <w:tcW w:w="233"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p>
        </w:tc>
        <w:tc>
          <w:tcPr>
            <w:tcW w:w="1794"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both"/>
              <w:textAlignment w:val="auto"/>
              <w:rPr>
                <w:rFonts w:hint="default" w:ascii="Times New Roman" w:hAnsi="Times New Roman" w:eastAsia="方正黑体简体" w:cs="Times New Roman"/>
                <w:color w:val="auto"/>
                <w:spacing w:val="0"/>
                <w:w w:val="100"/>
                <w:kern w:val="2"/>
                <w:sz w:val="24"/>
                <w:szCs w:val="32"/>
                <w:highlight w:val="none"/>
              </w:rPr>
            </w:pPr>
          </w:p>
        </w:tc>
        <w:tc>
          <w:tcPr>
            <w:tcW w:w="273"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p>
        </w:tc>
        <w:tc>
          <w:tcPr>
            <w:tcW w:w="258"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20" w:lineRule="exact"/>
              <w:ind w:left="0"/>
              <w:jc w:val="center"/>
              <w:textAlignment w:val="auto"/>
              <w:rPr>
                <w:rFonts w:hint="default" w:ascii="Times New Roman" w:hAnsi="Times New Roman" w:eastAsia="方正黑体简体" w:cs="Times New Roman"/>
                <w:color w:val="auto"/>
                <w:spacing w:val="0"/>
                <w:w w:val="100"/>
                <w:kern w:val="2"/>
                <w:sz w:val="24"/>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总体</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（65分）</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履职</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效能</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（15分）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推进巡察全覆盖履职效果</w:t>
            </w:r>
          </w:p>
        </w:tc>
        <w:tc>
          <w:tcPr>
            <w:tcW w:w="2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15</w:t>
            </w:r>
          </w:p>
        </w:tc>
        <w:tc>
          <w:tcPr>
            <w:tcW w:w="733"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部门整体绩效目标中选定3—5个核心职能目标，反映该项职能目标完成效果情况</w:t>
            </w:r>
          </w:p>
        </w:tc>
        <w:tc>
          <w:tcPr>
            <w:tcW w:w="233"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整体绩效目标中选定3-5个可量化计算、可评价的核心职能目标，分别设定指标分值、指标解释、评分方法和评分说明，总分值不超过15分。该项指标得分=年终完成履职效果目标数量÷年初目标设置总数×100%×指标分值。履职效能总分为各项履职效果得分的和。</w:t>
            </w:r>
          </w:p>
        </w:tc>
        <w:tc>
          <w:tcPr>
            <w:tcW w:w="27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5</w:t>
            </w:r>
          </w:p>
        </w:tc>
        <w:tc>
          <w:tcPr>
            <w:tcW w:w="258" w:type="pct"/>
            <w:vMerge w:val="restart"/>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科学谋划区委巡察工作履职效果</w:t>
            </w:r>
          </w:p>
        </w:tc>
        <w:tc>
          <w:tcPr>
            <w:tcW w:w="2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733"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p>
        </w:tc>
        <w:tc>
          <w:tcPr>
            <w:tcW w:w="233"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179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5</w:t>
            </w:r>
          </w:p>
        </w:tc>
        <w:tc>
          <w:tcPr>
            <w:tcW w:w="258" w:type="pct"/>
            <w:vMerge w:val="continue"/>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全面加强巡察工作信息化建设履职效果</w:t>
            </w:r>
          </w:p>
        </w:tc>
        <w:tc>
          <w:tcPr>
            <w:tcW w:w="2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733"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p>
        </w:tc>
        <w:tc>
          <w:tcPr>
            <w:tcW w:w="233"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179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p>
        </w:tc>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5</w:t>
            </w:r>
          </w:p>
        </w:tc>
        <w:tc>
          <w:tcPr>
            <w:tcW w:w="258" w:type="pct"/>
            <w:vMerge w:val="continue"/>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预算</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管理</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（25分）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预算编制</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质量</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8</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部门是否严格按要求编制年初部门预算，年初预算编制的科学性和准确性</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该项指标得分=（1-财政拨款预算偏离度）×100%×4+（1-政府采购预算偏离度）×100%×4。偏离度=|年初部门预算执行数-年初部门预算数|÷年初部门预算数。</w:t>
            </w:r>
          </w:p>
        </w:tc>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8</w:t>
            </w:r>
          </w:p>
        </w:tc>
        <w:tc>
          <w:tcPr>
            <w:tcW w:w="258" w:type="pct"/>
            <w:vMerge w:val="restart"/>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344" w:type="pct"/>
            <w:vMerge w:val="continue"/>
            <w:tcBorders>
              <w:top w:val="single" w:color="auto" w:sz="4" w:space="0"/>
              <w:left w:val="single" w:color="auto"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支出执行</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进度</w:t>
            </w:r>
          </w:p>
        </w:tc>
        <w:tc>
          <w:tcPr>
            <w:tcW w:w="264"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6</w:t>
            </w:r>
          </w:p>
        </w:tc>
        <w:tc>
          <w:tcPr>
            <w:tcW w:w="733"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部门1至6月、1至10月预算执行情况</w:t>
            </w:r>
          </w:p>
        </w:tc>
        <w:tc>
          <w:tcPr>
            <w:tcW w:w="233"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1至6月预算执行数÷（部门预算数×50%）×2）+（1-1至6月支出预警金额占比×0.8-1至6月支出违规金额占比×0.2）+（1至10月预算执行数÷（部门预算数×83.33%）×2）+（1-1至10月支出预警金额占比×0.8-1至10月支出违规金额占比×0.2）。</w:t>
            </w:r>
          </w:p>
        </w:tc>
        <w:tc>
          <w:tcPr>
            <w:tcW w:w="27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6</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总体</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（65分）</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预算</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管理</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（25分）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预算年终</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结余</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5</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部门整体年终预算结余情况</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该项指标得分=（1-部门整体预算结余率）×100%×5。部门整体预算结余率为当年年终部门预算注销金额和结转金额占部门预算总金额的比率。</w:t>
            </w:r>
          </w:p>
        </w:tc>
        <w:tc>
          <w:tcPr>
            <w:tcW w:w="2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5</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严控一般性支出</w:t>
            </w:r>
          </w:p>
        </w:tc>
        <w:tc>
          <w:tcPr>
            <w:tcW w:w="264" w:type="pct"/>
            <w:tcBorders>
              <w:top w:val="single" w:color="auto"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6</w:t>
            </w:r>
          </w:p>
        </w:tc>
        <w:tc>
          <w:tcPr>
            <w:tcW w:w="733"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部门严控“三公”经费、会议、培训、差旅、办节办展、办公设备购置、信息网络及软件购置更新、课题经费等8项一般性支出情况</w:t>
            </w:r>
          </w:p>
        </w:tc>
        <w:tc>
          <w:tcPr>
            <w:tcW w:w="233"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该项指标得分=基础分值+加分值。</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1.基础分值。一般性支出财政拨款年初预算较上年实现压减得1分；一般性支出财政拨款预算执行较上年实现压减得2分。</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2.加分值。一般性支出财政拨款年初预算较上年每压减1%得0.2分，累计不超过1分；一般性支出财政拨款预算执行较上年每压减1%得0.4分，累计不超过2分。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6</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44" w:type="pct"/>
            <w:vMerge w:val="continue"/>
            <w:tcBorders>
              <w:top w:val="single" w:color="auto" w:sz="4" w:space="0"/>
              <w:left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restar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财务</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管理</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（10分）</w:t>
            </w:r>
          </w:p>
        </w:tc>
        <w:tc>
          <w:tcPr>
            <w:tcW w:w="476"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财务管理</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制度</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部门财务管理制度建立情况</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缺（错）项扣分法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部门已制定内部财务管理制度等制度机制的，得2分。财务管理制度得到落实，得2分。否则该项不得分。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44" w:type="pct"/>
            <w:vMerge w:val="continue"/>
            <w:tcBorders>
              <w:left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财务岗位</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设置</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2</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部门财务岗位设置是否符合相关财务管理制度要求</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是否</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6"/>
                <w:w w:val="100"/>
                <w:kern w:val="2"/>
                <w:sz w:val="21"/>
                <w:highlight w:val="none"/>
                <w:lang w:val="en-US" w:eastAsia="zh-CN"/>
              </w:rPr>
              <w:t>部门合理设置财务工作岗位，明确职责权限，并严格实行不相容岗位分离的，得2分。否则该项不得分。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2</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44" w:type="pct"/>
            <w:vMerge w:val="continue"/>
            <w:tcBorders>
              <w:left w:val="single" w:color="auto"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资金使用</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规范</w:t>
            </w:r>
          </w:p>
        </w:tc>
        <w:tc>
          <w:tcPr>
            <w:tcW w:w="26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部门资金使用是否符合相关财务管理制度规定</w:t>
            </w:r>
          </w:p>
        </w:tc>
        <w:tc>
          <w:tcPr>
            <w:tcW w:w="233"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缺（错）项扣分法</w:t>
            </w:r>
          </w:p>
        </w:tc>
        <w:tc>
          <w:tcPr>
            <w:tcW w:w="179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部门资金使用不符合相关财务管理制度规定的，发现一处扣1分，扣完为止。</w:t>
            </w:r>
          </w:p>
        </w:tc>
        <w:tc>
          <w:tcPr>
            <w:tcW w:w="27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总体</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（65分）</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资产</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管理</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（9分）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人均资产</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变化率</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部门人均资产变化情况</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分级</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评分法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人均资产变化率为X，区级行政事业单位人均资产变化率为N（2024年N为9.56%），则：X≤N，得1.5分；N＜X≤1.2N，得0.9分；1.2N＜X≤1.4N，得0.6分；X＞1.4N，得0.3分。部门人均资产增长率为X，同期区级财政收入增长率为N（2024年N为8.64%），则：X≤0，得1.5分；0＜X≤N，得0.9分；N＜X≤2N，得0.6分；X＞2N，不得分。</w:t>
            </w:r>
          </w:p>
        </w:tc>
        <w:tc>
          <w:tcPr>
            <w:tcW w:w="2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9"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资产利用率</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部门资产超最低使用年限情况（计算利用率时，家具和设备的资产用途须选择办公。）</w:t>
            </w:r>
          </w:p>
        </w:tc>
        <w:tc>
          <w:tcPr>
            <w:tcW w:w="233" w:type="pct"/>
            <w:tcBorders>
              <w:top w:val="single" w:color="auto"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分级</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评分法</w:t>
            </w:r>
          </w:p>
        </w:tc>
        <w:tc>
          <w:tcPr>
            <w:tcW w:w="1794"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办公家具超最低使用年限资产利用率=超最低使用年限的办公家具账面价值÷办公家具账面价值×100%。办公家具超最低使用年限资产利用率为X，区级行政事业单位平均值为N（2024年N为16.44%），则：X＞N，得1.5分；0.8N＜X≤N，得0.9分；0.6N＜X≤0.8N，得0.6分；X≤0.6N，得0.3分。部门办公设备超最低使用年限资产利用率=超最低使用年限的办公设备账面价值÷办公设备账面价值×100%。办公设备超最低使用年限资产利用率为X，区级行政事业单位平均值为N（2024年N为62.14%），则：X＞N，得1.5分；0.8N＜X≤N，得0.9分；0.6N＜X≤0.8N，得0.6分；X≤0.6N，得0.3分。</w:t>
            </w:r>
          </w:p>
        </w:tc>
        <w:tc>
          <w:tcPr>
            <w:tcW w:w="27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9" w:hRule="atLeast"/>
        </w:trPr>
        <w:tc>
          <w:tcPr>
            <w:tcW w:w="344" w:type="pct"/>
            <w:vMerge w:val="continue"/>
            <w:tcBorders>
              <w:top w:val="single" w:color="auto"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资产盘活率</w:t>
            </w:r>
          </w:p>
        </w:tc>
        <w:tc>
          <w:tcPr>
            <w:tcW w:w="264"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部门闲置一年以上的资产盘活情况</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分级</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44" w:type="pct"/>
            <w:vMerge w:val="restart"/>
            <w:tcBorders>
              <w:top w:val="single" w:color="000000" w:sz="4" w:space="0"/>
              <w:left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总体</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（65分）</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采购</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管理</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（6分）</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支持中小</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企业发展</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部门是否严格执行政府采购促进中小企业发展相关管理办法</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是否</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对适宜由中小企业提供的采购项目和采购包，预留采购份额专门面向中小企业采购，并在采购预算中单独列示，不符合要求的扣3分。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344" w:type="pct"/>
            <w:vMerge w:val="continue"/>
            <w:tcBorders>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采购执行率</w:t>
            </w:r>
          </w:p>
        </w:tc>
        <w:tc>
          <w:tcPr>
            <w:tcW w:w="26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部门政府采购项目资金支付比例情况</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该项指标得分=当年政府采购实际支付总金额÷（当年政府采购总预算数-当年已完成采购项目节约金额）×100%×3。</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项目</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（35分）</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项目</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决策</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（12分）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决策程序</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部门预算项目设立是否按规定履行评估论证、申报程序</w:t>
            </w:r>
          </w:p>
        </w:tc>
        <w:tc>
          <w:tcPr>
            <w:tcW w:w="233" w:type="pct"/>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该项指标得分=4-部门未履行事前评估程序的部门预算特定目标类项目数量÷部门预算特定目标类项目总数×100%×4。抽评的部门预算特定目标类项目总数10个以下的全部纳入，每增加5个多纳入1</w:t>
            </w:r>
            <w:r>
              <w:rPr>
                <w:rFonts w:hint="default" w:ascii="Times New Roman" w:hAnsi="Times New Roman" w:cs="Times New Roman"/>
                <w:color w:val="auto"/>
                <w:spacing w:val="-6"/>
                <w:w w:val="100"/>
                <w:kern w:val="2"/>
                <w:sz w:val="21"/>
                <w:highlight w:val="none"/>
                <w:lang w:val="en-US" w:eastAsia="zh-CN"/>
              </w:rPr>
              <w:t>个，最多不超过30个，下同。若无部门预算特定</w:t>
            </w:r>
            <w:r>
              <w:rPr>
                <w:rFonts w:hint="default" w:ascii="Times New Roman" w:hAnsi="Times New Roman" w:cs="Times New Roman"/>
                <w:color w:val="auto"/>
                <w:spacing w:val="0"/>
                <w:w w:val="100"/>
                <w:kern w:val="2"/>
                <w:highlight w:val="none"/>
                <w:lang w:val="en-US" w:eastAsia="zh-CN"/>
              </w:rPr>
              <w:t>目标类项目，则主要查看部门预算项目整体决策程序。</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目标设置</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部门预算项目绩效目标与计划期内的任务量、预算安排的资金量匹配情况，绩效目标设置是否科学合理、规范完整、量化细化、预算匹配</w:t>
            </w:r>
          </w:p>
        </w:tc>
        <w:tc>
          <w:tcPr>
            <w:tcW w:w="233" w:type="pct"/>
            <w:tcBorders>
              <w:top w:val="single" w:color="000000" w:sz="4" w:space="0"/>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4-绩效目标与计划期内的任务量、预算安排不相匹配的部门预算特定目标类项目数量÷部门预算特定目标类项目总数×100%×4。若无部门预算特定目标类项目，则抽评涉及核心业务、资金量大的其他部门预算项目，下同。</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44" w:type="pct"/>
            <w:vMerge w:val="continue"/>
            <w:tcBorders>
              <w:top w:val="single" w:color="auto" w:sz="4" w:space="0"/>
              <w:left w:val="single" w:color="auto"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项目入库</w:t>
            </w:r>
          </w:p>
        </w:tc>
        <w:tc>
          <w:tcPr>
            <w:tcW w:w="264"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部门预算项目是否在规定时间完成项目入库</w:t>
            </w:r>
          </w:p>
        </w:tc>
        <w:tc>
          <w:tcPr>
            <w:tcW w:w="233"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000000" w:sz="4" w:space="0"/>
              <w:left w:val="single" w:color="000000" w:sz="4" w:space="0"/>
              <w:bottom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该项指标得分=4-规定时间未入财政库部门预算特定目标类项目数量÷最终安排部门预算特定目标类项目总数×100%×4。</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项目</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绩效</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（35分）</w:t>
            </w: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项目</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执行</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（12分）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执行同向</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部门预算项目实际列支内容是否与绩效目标设置方向相符</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该项指标得分=4-实际列支内容与绩效目标设置方向不相符的部门预算特定目标类项目数量÷部门预算特定目标类项目总数×100%×4。</w:t>
            </w:r>
          </w:p>
        </w:tc>
        <w:tc>
          <w:tcPr>
            <w:tcW w:w="2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项目调整</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部门预算项目是否采取对应调整措施</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该项指标得分=4-应采取未采取收回预算、调整目标等处置措施的部门预算特定目标类项目数量÷应采取收回预算、调整目标等处置措施的部门预算特定目标类项目总数×100%×4。</w:t>
            </w:r>
          </w:p>
        </w:tc>
        <w:tc>
          <w:tcPr>
            <w:tcW w:w="2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执行结果</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部门预算项目预算执行情况</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该项指标得分=预算结余率小于10%的项目数量÷部门预算项目总数×100%×4。</w:t>
            </w:r>
          </w:p>
        </w:tc>
        <w:tc>
          <w:tcPr>
            <w:tcW w:w="2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目标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实现</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（11分）</w:t>
            </w:r>
          </w:p>
        </w:tc>
        <w:tc>
          <w:tcPr>
            <w:tcW w:w="476"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目标完成</w:t>
            </w:r>
          </w:p>
        </w:tc>
        <w:tc>
          <w:tcPr>
            <w:tcW w:w="26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部门预算项目绩效目标数量指标完成情况</w:t>
            </w:r>
          </w:p>
        </w:tc>
        <w:tc>
          <w:tcPr>
            <w:tcW w:w="233"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该项指标得分=完成绩效目标数量指标的部门预算特定目标类项目数量÷部门预算特定目标类项目总数×100%×4。</w:t>
            </w:r>
          </w:p>
        </w:tc>
        <w:tc>
          <w:tcPr>
            <w:tcW w:w="273"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344" w:type="pct"/>
            <w:vMerge w:val="continue"/>
            <w:tcBorders>
              <w:top w:val="single" w:color="auto" w:sz="4" w:space="0"/>
              <w:left w:val="single" w:color="auto"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目标偏离</w:t>
            </w:r>
          </w:p>
        </w:tc>
        <w:tc>
          <w:tcPr>
            <w:tcW w:w="264"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4</w:t>
            </w:r>
          </w:p>
        </w:tc>
        <w:tc>
          <w:tcPr>
            <w:tcW w:w="733"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部门预算项目绩效目标数量指标实现程度与预期目标的偏离情况</w:t>
            </w:r>
          </w:p>
        </w:tc>
        <w:tc>
          <w:tcPr>
            <w:tcW w:w="233"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auto"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已完成预期指标值的数量指标中偏离度在30%内的指标个数÷已完成预期指标值的数量指标个数×100%×4。偏离度=|（绩效指标实际完成值-设定预期指标值）÷设定预期指标值|。部门预算特定目标类项目绩效目标实际完成值偏离预期指标30%以上（含30%）的，不计分。</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4</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344" w:type="pct"/>
            <w:vMerge w:val="continue"/>
            <w:tcBorders>
              <w:left w:val="single" w:color="auto"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实现效果</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3</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部门预算项目绩效目标效益指标实施效果</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比率</w:t>
            </w:r>
          </w:p>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分值法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该项指标得分=完成绩效目标效益指标的部门预算特定目标类项目数量÷部门预算特定目标类项目总数×100%×3。</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是</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3</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扣分项</w:t>
            </w:r>
            <w:r>
              <w:rPr>
                <w:rFonts w:hint="default" w:ascii="Times New Roman" w:hAnsi="Times New Roman" w:cs="Times New Roman"/>
                <w:color w:val="auto"/>
                <w:spacing w:val="0"/>
                <w:w w:val="100"/>
                <w:kern w:val="2"/>
                <w:highlight w:val="none"/>
                <w:lang w:val="en-US" w:eastAsia="zh-CN"/>
              </w:rPr>
              <w:br w:type="textWrapping"/>
            </w:r>
            <w:r>
              <w:rPr>
                <w:rFonts w:hint="default" w:ascii="Times New Roman" w:hAnsi="Times New Roman" w:cs="Times New Roman"/>
                <w:color w:val="auto"/>
                <w:spacing w:val="0"/>
                <w:w w:val="100"/>
                <w:kern w:val="2"/>
                <w:highlight w:val="none"/>
                <w:lang w:val="en-US" w:eastAsia="zh-CN"/>
              </w:rPr>
              <w:t>（10分）</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预算绩效存在问题</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预算管理和绩效管理工作存在问题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缺（错）项扣分法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否</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60" w:lineRule="exact"/>
              <w:ind w:left="0"/>
              <w:jc w:val="center"/>
              <w:textAlignment w:val="auto"/>
              <w:rPr>
                <w:rFonts w:hint="default" w:ascii="Times New Roman" w:hAnsi="Times New Roman" w:cs="Times New Roman"/>
                <w:color w:val="auto"/>
                <w:spacing w:val="0"/>
                <w:w w:val="100"/>
                <w:kern w:val="2"/>
                <w:highlight w:val="none"/>
              </w:rPr>
            </w:pP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被评价部门配合度</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被评价对象工作配合情况</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缺（错）项扣分法</w:t>
            </w:r>
          </w:p>
        </w:tc>
        <w:tc>
          <w:tcPr>
            <w:tcW w:w="179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both"/>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评价工作开展过程中，被评价对象拖延推诿、提交资料不及时等拒不配合评价工作的，每发现一次扣1分，扣完为止。</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lang w:val="en-US" w:eastAsia="zh-CN"/>
              </w:rPr>
              <w:t>否</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jc w:val="center"/>
              <w:textAlignment w:val="auto"/>
              <w:rPr>
                <w:rFonts w:hint="default" w:ascii="Times New Roman" w:hAnsi="Times New Roman" w:eastAsia="宋体" w:cs="Times New Roman"/>
                <w:color w:val="auto"/>
                <w:spacing w:val="0"/>
                <w:w w:val="100"/>
                <w:kern w:val="2"/>
                <w:highlight w:val="none"/>
                <w:lang w:val="en-US" w:eastAsia="zh-CN"/>
              </w:rPr>
            </w:pPr>
            <w:r>
              <w:rPr>
                <w:rFonts w:hint="default" w:ascii="Times New Roman" w:hAnsi="Times New Roman" w:cs="Times New Roman"/>
                <w:color w:val="auto"/>
                <w:spacing w:val="0"/>
                <w:w w:val="100"/>
                <w:kern w:val="2"/>
                <w:highlight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pageBreakBefore w:val="0"/>
              <w:widowControl w:val="0"/>
              <w:kinsoku/>
              <w:wordWrap/>
              <w:overflowPunct w:val="0"/>
              <w:topLinePunct w:val="0"/>
              <w:autoSpaceDE/>
              <w:autoSpaceDN/>
              <w:bidi w:val="0"/>
              <w:adjustRightInd/>
              <w:snapToGrid/>
              <w:spacing w:beforeLines="0" w:afterLines="0" w:line="340" w:lineRule="exact"/>
              <w:ind w:left="0"/>
              <w:jc w:val="center"/>
              <w:textAlignment w:val="auto"/>
              <w:rPr>
                <w:rFonts w:hint="default" w:ascii="Times New Roman" w:hAnsi="Times New Roman" w:cs="Times New Roman"/>
                <w:color w:val="auto"/>
                <w:spacing w:val="0"/>
                <w:w w:val="100"/>
                <w:kern w:val="2"/>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highlight w:val="none"/>
        </w:rPr>
      </w:pPr>
    </w:p>
    <w:p>
      <w:pPr>
        <w:pStyle w:val="2"/>
        <w:keepNext w:val="0"/>
        <w:keepLines w:val="0"/>
        <w:pageBreakBefore w:val="0"/>
        <w:widowControl w:val="0"/>
        <w:kinsoku/>
        <w:wordWrap/>
        <w:overflowPunct/>
        <w:topLinePunct w:val="0"/>
        <w:autoSpaceDE/>
        <w:autoSpaceDN/>
        <w:bidi w:val="0"/>
        <w:adjustRightInd w:val="0"/>
        <w:snapToGrid/>
        <w:spacing w:line="20" w:lineRule="exact"/>
        <w:ind w:left="0" w:leftChars="0" w:firstLine="0" w:firstLineChars="0"/>
        <w:textAlignment w:val="auto"/>
        <w:rPr>
          <w:rFonts w:hint="default" w:ascii="Times New Roman" w:hAnsi="Times New Roman" w:cs="Times New Roman"/>
          <w:color w:val="auto"/>
          <w:highlight w:val="none"/>
        </w:rPr>
        <w:sectPr>
          <w:footerReference r:id="rId3" w:type="default"/>
          <w:pgSz w:w="16838" w:h="11906" w:orient="landscape"/>
          <w:pgMar w:top="2098" w:right="1474" w:bottom="1984" w:left="1587" w:header="851" w:footer="992" w:gutter="0"/>
          <w:pgNumType w:fmt="decimal" w:start="10"/>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6" w:lineRule="exact"/>
        <w:ind w:left="0"/>
        <w:contextualSpacing/>
        <w:jc w:val="both"/>
        <w:textAlignment w:val="auto"/>
        <w:outlineLvl w:val="9"/>
        <w:rPr>
          <w:rFonts w:hint="default" w:ascii="Times New Roman" w:hAnsi="Times New Roman" w:eastAsia="方正黑体简体" w:cs="Times New Roman"/>
          <w:b w:val="0"/>
          <w:bCs w:val="0"/>
          <w:color w:val="auto"/>
          <w:spacing w:val="0"/>
          <w:w w:val="100"/>
          <w:kern w:val="2"/>
          <w:sz w:val="32"/>
          <w:szCs w:val="32"/>
          <w:highlight w:val="none"/>
          <w:lang w:val="zh-CN" w:eastAsia="zh-CN"/>
        </w:rPr>
      </w:pPr>
      <w:r>
        <w:rPr>
          <w:rFonts w:hint="default" w:ascii="Times New Roman" w:hAnsi="Times New Roman" w:eastAsia="方正黑体简体" w:cs="Times New Roman"/>
          <w:b w:val="0"/>
          <w:bCs w:val="0"/>
          <w:color w:val="auto"/>
          <w:spacing w:val="0"/>
          <w:w w:val="100"/>
          <w:kern w:val="2"/>
          <w:sz w:val="32"/>
          <w:szCs w:val="32"/>
          <w:highlight w:val="none"/>
          <w:lang w:val="zh-CN"/>
        </w:rPr>
        <w:t>附表</w:t>
      </w:r>
      <w:r>
        <w:rPr>
          <w:rFonts w:hint="default" w:ascii="Times New Roman" w:hAnsi="Times New Roman" w:eastAsia="方正黑体简体" w:cs="Times New Roman"/>
          <w:b w:val="0"/>
          <w:bCs w:val="0"/>
          <w:color w:val="auto"/>
          <w:spacing w:val="0"/>
          <w:w w:val="100"/>
          <w:kern w:val="2"/>
          <w:sz w:val="32"/>
          <w:szCs w:val="32"/>
          <w:highlight w:val="none"/>
          <w:lang w:val="en-US" w:eastAsia="zh-CN"/>
        </w:rPr>
        <w:t>2</w:t>
      </w:r>
    </w:p>
    <w:p>
      <w:pPr>
        <w:pStyle w:val="3"/>
        <w:keepNext w:val="0"/>
        <w:keepLines w:val="0"/>
        <w:pageBreakBefore w:val="0"/>
        <w:widowControl w:val="0"/>
        <w:kinsoku/>
        <w:wordWrap/>
        <w:overflowPunct w:val="0"/>
        <w:topLinePunct w:val="0"/>
        <w:autoSpaceDE/>
        <w:autoSpaceDN/>
        <w:bidi w:val="0"/>
        <w:adjustRightInd/>
        <w:snapToGrid/>
        <w:spacing w:beforeLines="0" w:afterLines="0" w:line="576" w:lineRule="exact"/>
        <w:ind w:left="0"/>
        <w:jc w:val="center"/>
        <w:textAlignment w:val="auto"/>
        <w:rPr>
          <w:rFonts w:hint="default" w:ascii="Times New Roman" w:hAnsi="Times New Roman" w:cs="Times New Roman"/>
          <w:color w:val="auto"/>
          <w:spacing w:val="0"/>
          <w:w w:val="100"/>
          <w:kern w:val="2"/>
          <w:highlight w:val="none"/>
        </w:rPr>
      </w:pPr>
      <w:r>
        <w:rPr>
          <w:rFonts w:hint="default" w:ascii="Times New Roman" w:hAnsi="Times New Roman" w:cs="Times New Roman"/>
          <w:color w:val="auto"/>
          <w:spacing w:val="0"/>
          <w:w w:val="100"/>
          <w:kern w:val="2"/>
          <w:highlight w:val="none"/>
        </w:rPr>
        <w:t>部门整体支出绩效目标完成情况自评表</w:t>
      </w:r>
    </w:p>
    <w:p>
      <w:pPr>
        <w:keepNext w:val="0"/>
        <w:keepLines w:val="0"/>
        <w:pageBreakBefore w:val="0"/>
        <w:widowControl w:val="0"/>
        <w:kinsoku/>
        <w:wordWrap/>
        <w:topLinePunct w:val="0"/>
        <w:autoSpaceDE/>
        <w:autoSpaceDN/>
        <w:bidi w:val="0"/>
        <w:adjustRightInd/>
        <w:snapToGrid/>
        <w:spacing w:line="576" w:lineRule="exact"/>
        <w:jc w:val="center"/>
        <w:textAlignment w:val="auto"/>
        <w:rPr>
          <w:rFonts w:hint="default" w:ascii="Times New Roman" w:hAnsi="Times New Roman" w:eastAsia="方正楷体简体" w:cs="Times New Roman"/>
          <w:color w:val="auto"/>
          <w:sz w:val="32"/>
          <w:szCs w:val="32"/>
          <w:highlight w:val="none"/>
          <w:lang w:eastAsia="zh-CN"/>
        </w:rPr>
      </w:pPr>
      <w:r>
        <w:rPr>
          <w:rFonts w:hint="default" w:ascii="Times New Roman" w:hAnsi="Times New Roman" w:eastAsia="方正楷体简体" w:cs="Times New Roman"/>
          <w:color w:val="auto"/>
          <w:spacing w:val="0"/>
          <w:w w:val="100"/>
          <w:kern w:val="2"/>
          <w:sz w:val="32"/>
          <w:szCs w:val="32"/>
          <w:highlight w:val="none"/>
          <w:lang w:eastAsia="zh-CN"/>
        </w:rPr>
        <w:t>（</w:t>
      </w:r>
      <w:r>
        <w:rPr>
          <w:rFonts w:hint="default" w:ascii="Times New Roman" w:hAnsi="Times New Roman" w:eastAsia="方正楷体简体" w:cs="Times New Roman"/>
          <w:color w:val="auto"/>
          <w:spacing w:val="0"/>
          <w:w w:val="100"/>
          <w:kern w:val="2"/>
          <w:sz w:val="32"/>
          <w:szCs w:val="32"/>
          <w:highlight w:val="none"/>
          <w:lang w:val="en-US" w:eastAsia="zh-CN"/>
        </w:rPr>
        <w:t>2024年度</w:t>
      </w:r>
      <w:r>
        <w:rPr>
          <w:rFonts w:hint="default" w:ascii="Times New Roman" w:hAnsi="Times New Roman" w:eastAsia="方正楷体简体" w:cs="Times New Roman"/>
          <w:color w:val="auto"/>
          <w:spacing w:val="0"/>
          <w:w w:val="100"/>
          <w:kern w:val="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spacing w:line="576" w:lineRule="exact"/>
        <w:ind w:left="0" w:leftChars="0" w:firstLine="0" w:firstLineChars="0"/>
        <w:jc w:val="right"/>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金额单位：万元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613"/>
        <w:gridCol w:w="2814"/>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621"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部门名称</w:t>
            </w:r>
          </w:p>
        </w:tc>
        <w:tc>
          <w:tcPr>
            <w:tcW w:w="5440"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8"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年度部门整体支出预算</w:t>
            </w:r>
          </w:p>
        </w:tc>
        <w:tc>
          <w:tcPr>
            <w:tcW w:w="261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资金总额</w:t>
            </w:r>
          </w:p>
        </w:tc>
        <w:tc>
          <w:tcPr>
            <w:tcW w:w="281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财政拨款</w:t>
            </w:r>
          </w:p>
        </w:tc>
        <w:tc>
          <w:tcPr>
            <w:tcW w:w="262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261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righ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421.61</w:t>
            </w:r>
          </w:p>
        </w:tc>
        <w:tc>
          <w:tcPr>
            <w:tcW w:w="281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righ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421.61</w:t>
            </w:r>
          </w:p>
        </w:tc>
        <w:tc>
          <w:tcPr>
            <w:tcW w:w="2626"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ind w:left="0" w:leftChars="0"/>
              <w:jc w:val="righ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年度总体目标</w:t>
            </w:r>
          </w:p>
        </w:tc>
        <w:tc>
          <w:tcPr>
            <w:tcW w:w="805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（一）有序推进巡察全覆盖。开展常规巡察两轮，巡察乡镇（街道）、区级部门，发现被巡察单位存在的问题，移交重点人问题线索。</w:t>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br w:type="textWrapping"/>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（二）科学谋划区委巡察工作。严格对标对表省市巡视巡察工作规划部署要求，结合我区实际，科学制定全覆盖巡察倒排工期作战计划，进一步明确了巡察工作任务和路线图。</w:t>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br w:type="textWrapping"/>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三）全面加强巡察工作信息化建设。严格按照工作要求，扎实抓好巡察单机系统和巡视巡察网络平台信息录入，深入开展巡察信息管理不规范专项整治工作，完善九届区委以来巡视巡察工作网络平台基础数据认真做好了全省涉密信息系统检测工作，及时整改问题。</w:t>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br w:type="textWrapping"/>
            </w: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四）持续推进利州巡察品牌建设。始终坚持“创品牌、争一流”工作思路，围绕办组一体化建设、监督协同联动、巡察整改和成果运用、对村（社区）巡察等重点工作，持续深化“三强三化”组织建设、“纪巡审+N”监督联动贯通、“1131”利剑惠民、“543”提质增优四大巡察品牌建设。</w:t>
            </w:r>
          </w:p>
        </w:tc>
      </w:tr>
    </w:tbl>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840"/>
        <w:gridCol w:w="813"/>
        <w:gridCol w:w="1867"/>
        <w:gridCol w:w="946"/>
        <w:gridCol w:w="1587"/>
        <w:gridCol w:w="733"/>
        <w:gridCol w:w="72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75"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年度主要任务</w:t>
            </w: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任务名称</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保障巡察工作基本支出运行正常</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确保日常水电网络等费用及时缴纳，耗材等零件损坏及时维修，确保正常运转。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常规巡察、联动巡察、专项巡察、巡察“回头看”工作专项</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开展常规巡察2轮，结合上级巡察工作安排，适时开展联动巡察、专项巡察、巡察“回头看”工作，配合开展“市带县”巡察。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巡察工作联系点建设与维护</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打造新的巡察示范点，持续维持原有示范点建设现状。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巡察信息化维护</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确保视频会商系统、巡察单机系统、巡察网络平台等正常运转。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653" w:type="dxa"/>
            <w:gridSpan w:val="2"/>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开展日常帮扶工作</w:t>
            </w:r>
          </w:p>
        </w:tc>
        <w:tc>
          <w:tcPr>
            <w:tcW w:w="6533" w:type="dxa"/>
            <w:gridSpan w:val="6"/>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做好三堆镇舞凤村、七里村帮扶工作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年度绩效指标</w:t>
            </w:r>
          </w:p>
        </w:tc>
        <w:tc>
          <w:tcPr>
            <w:tcW w:w="84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一级指标</w:t>
            </w:r>
          </w:p>
        </w:tc>
        <w:tc>
          <w:tcPr>
            <w:tcW w:w="81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二级指标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三级指标</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绩效指标性质</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绩效指标值</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绩效度量单位</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产出指标</w:t>
            </w: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数量指标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参与巡察整改评估</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持续开展帮扶村工作</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配合开展“市带县”巡察乡镇社区</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配合迎接省委巡视和专项检查</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全年巡察部门、乡镇/街道数量</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12</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全年巡察轮次</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确保信息系统正常运转数</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巡察村社区个数</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质量指标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查找问题数量</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600</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整改质效</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迎接省委巡视和专项检查相关工作</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时效指标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九届区委第六轮巡察进驻完成时间</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2024年12月前</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九届区委第五轮巡察进驻完成时间</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2024年7月前</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巡察各环节时间要求</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按照巡察时间各节点有序推进</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效益指标</w:t>
            </w:r>
          </w:p>
        </w:tc>
        <w:tc>
          <w:tcPr>
            <w:tcW w:w="81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经济效益指标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资金使用效益</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社会效益指标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被巡察党组织管理水平</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巡察高质量发展水平</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有序推进</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巡察信息化建设</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可持续影响指标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发现巡察对象问题</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发现问题客观精准、实事求是、定性准确</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提出巡察整改建议</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提出意见建议科学合理，针对性和操作性强</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81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帮扶对象满意度指标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帮扶村群众满意度</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群众满意度</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被巡单位满意度</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73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成本指标</w:t>
            </w:r>
          </w:p>
        </w:tc>
        <w:tc>
          <w:tcPr>
            <w:tcW w:w="813" w:type="dxa"/>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经济成本指标</w:t>
            </w: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办公用品、耗材、广告宣传费用</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在年初预算范围内，根据实际巡察轮次、品牌创建、信息化建设情况，实报实销</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40"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813" w:type="dxa"/>
            <w:vMerge w:val="continue"/>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left"/>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186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left"/>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人员差旅、食宿、交通费用</w:t>
            </w:r>
          </w:p>
        </w:tc>
        <w:tc>
          <w:tcPr>
            <w:tcW w:w="946"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1587"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在年初预算范围内，根据实际巡察轮次、品牌创建、信息化建设情况，实报实销</w:t>
            </w:r>
          </w:p>
        </w:tc>
        <w:tc>
          <w:tcPr>
            <w:tcW w:w="733" w:type="dxa"/>
            <w:noWrap w:val="0"/>
            <w:vAlign w:val="center"/>
          </w:tcPr>
          <w:p>
            <w:pPr>
              <w:keepNext w:val="0"/>
              <w:keepLines w:val="0"/>
              <w:pageBreakBefore w:val="0"/>
              <w:widowControl w:val="0"/>
              <w:kinsoku/>
              <w:wordWrap/>
              <w:overflowPunct w:val="0"/>
              <w:topLinePunct w:val="0"/>
              <w:autoSpaceDE/>
              <w:autoSpaceDN/>
              <w:bidi w:val="0"/>
              <w:adjustRightInd/>
              <w:snapToGrid/>
              <w:spacing w:line="340" w:lineRule="exact"/>
              <w:ind w:left="0" w:leftChars="0"/>
              <w:jc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p>
        </w:tc>
        <w:tc>
          <w:tcPr>
            <w:tcW w:w="72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680"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40" w:lineRule="exact"/>
              <w:ind w:left="0" w:leftChars="0"/>
              <w:jc w:val="center"/>
              <w:textAlignment w:val="center"/>
              <w:rPr>
                <w:rFonts w:hint="default" w:ascii="Times New Roman" w:hAnsi="Times New Roman" w:eastAsia="宋体" w:cs="Times New Roman"/>
                <w:i w:val="0"/>
                <w:iCs w:val="0"/>
                <w:color w:val="auto"/>
                <w:spacing w:val="0"/>
                <w:w w:val="100"/>
                <w:kern w:val="2"/>
                <w:sz w:val="21"/>
                <w:szCs w:val="21"/>
                <w:highlight w:val="none"/>
                <w:u w:val="none"/>
                <w:vertAlign w:val="baseli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r>
    </w:tbl>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jc w:val="both"/>
        <w:textAlignment w:val="auto"/>
        <w:rPr>
          <w:rFonts w:hint="default" w:ascii="Times New Roman" w:hAnsi="Times New Roman" w:eastAsia="方正黑体简体" w:cs="Times New Roman"/>
          <w:i w:val="0"/>
          <w:iCs w:val="0"/>
          <w:color w:val="auto"/>
          <w:spacing w:val="0"/>
          <w:w w:val="100"/>
          <w:kern w:val="2"/>
          <w:sz w:val="21"/>
          <w:szCs w:val="21"/>
          <w:highlight w:val="none"/>
          <w:u w:val="none"/>
          <w:lang w:val="en-US" w:eastAsia="zh-CN" w:bidi="ar"/>
        </w:rPr>
      </w:pP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both"/>
        <w:textAlignment w:val="auto"/>
        <w:rPr>
          <w:rFonts w:hint="default" w:ascii="Times New Roman" w:hAnsi="Times New Roman" w:eastAsia="方正黑体简体" w:cs="Times New Roman"/>
          <w:i w:val="0"/>
          <w:iCs w:val="0"/>
          <w:color w:val="auto"/>
          <w:spacing w:val="0"/>
          <w:w w:val="100"/>
          <w:kern w:val="2"/>
          <w:sz w:val="32"/>
          <w:szCs w:val="32"/>
          <w:highlight w:val="none"/>
          <w:u w:val="none"/>
          <w:lang w:val="en-US" w:eastAsia="zh-CN" w:bidi="ar"/>
        </w:rPr>
      </w:pPr>
      <w:r>
        <w:rPr>
          <w:rFonts w:hint="default" w:ascii="Times New Roman" w:hAnsi="Times New Roman" w:eastAsia="方正黑体简体" w:cs="Times New Roman"/>
          <w:i w:val="0"/>
          <w:iCs w:val="0"/>
          <w:color w:val="auto"/>
          <w:spacing w:val="0"/>
          <w:w w:val="100"/>
          <w:kern w:val="2"/>
          <w:sz w:val="32"/>
          <w:szCs w:val="32"/>
          <w:highlight w:val="none"/>
          <w:u w:val="none"/>
          <w:lang w:val="en-US" w:eastAsia="zh-CN" w:bidi="ar"/>
        </w:rPr>
        <w:t>附</w:t>
      </w:r>
      <w:r>
        <w:rPr>
          <w:rFonts w:hint="eastAsia" w:ascii="Times New Roman" w:hAnsi="Times New Roman" w:eastAsia="方正黑体简体" w:cs="Times New Roman"/>
          <w:i w:val="0"/>
          <w:iCs w:val="0"/>
          <w:color w:val="auto"/>
          <w:spacing w:val="0"/>
          <w:w w:val="100"/>
          <w:kern w:val="2"/>
          <w:sz w:val="32"/>
          <w:szCs w:val="32"/>
          <w:highlight w:val="none"/>
          <w:u w:val="none"/>
          <w:lang w:val="en-US" w:eastAsia="zh-CN" w:bidi="ar"/>
        </w:rPr>
        <w:t>表</w:t>
      </w:r>
      <w:r>
        <w:rPr>
          <w:rFonts w:hint="default" w:ascii="Times New Roman" w:hAnsi="Times New Roman" w:eastAsia="方正黑体简体" w:cs="Times New Roman"/>
          <w:i w:val="0"/>
          <w:iCs w:val="0"/>
          <w:color w:val="auto"/>
          <w:spacing w:val="0"/>
          <w:w w:val="100"/>
          <w:kern w:val="2"/>
          <w:sz w:val="32"/>
          <w:szCs w:val="32"/>
          <w:highlight w:val="none"/>
          <w:u w:val="none"/>
          <w:lang w:val="en-US" w:eastAsia="zh-CN" w:bidi="ar"/>
        </w:rPr>
        <w:t>3</w:t>
      </w:r>
    </w:p>
    <w:tbl>
      <w:tblPr>
        <w:tblStyle w:val="8"/>
        <w:tblpPr w:leftFromText="180" w:rightFromText="180" w:vertAnchor="text" w:horzAnchor="page" w:tblpX="1636" w:tblpY="202"/>
        <w:tblOverlap w:val="never"/>
        <w:tblW w:w="50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7"/>
        <w:gridCol w:w="773"/>
        <w:gridCol w:w="1113"/>
        <w:gridCol w:w="1080"/>
        <w:gridCol w:w="982"/>
        <w:gridCol w:w="846"/>
        <w:gridCol w:w="684"/>
        <w:gridCol w:w="898"/>
        <w:gridCol w:w="682"/>
        <w:gridCol w:w="568"/>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76" w:lineRule="exact"/>
              <w:ind w:left="0"/>
              <w:jc w:val="center"/>
              <w:textAlignment w:val="center"/>
              <w:rPr>
                <w:rFonts w:hint="default" w:ascii="Times New Roman" w:hAnsi="Times New Roman" w:eastAsia="黑体" w:cs="Times New Roman"/>
                <w:b/>
                <w:bCs/>
                <w:i w:val="0"/>
                <w:iCs w:val="0"/>
                <w:color w:val="auto"/>
                <w:spacing w:val="0"/>
                <w:w w:val="100"/>
                <w:kern w:val="2"/>
                <w:sz w:val="21"/>
                <w:szCs w:val="21"/>
                <w:highlight w:val="none"/>
                <w:u w:val="none"/>
              </w:rPr>
            </w:pPr>
            <w:r>
              <w:rPr>
                <w:rFonts w:hint="default" w:ascii="Times New Roman" w:hAnsi="Times New Roman" w:eastAsia="方正黑体简体" w:cs="Times New Roman"/>
                <w:b/>
                <w:bCs/>
                <w:i w:val="0"/>
                <w:iCs w:val="0"/>
                <w:color w:val="auto"/>
                <w:spacing w:val="0"/>
                <w:w w:val="100"/>
                <w:kern w:val="2"/>
                <w:sz w:val="28"/>
                <w:szCs w:val="28"/>
                <w:highlight w:val="none"/>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51080224T000011492981-2024年部门履职经费区委巡察办常规巡察、联动巡察、专项巡察、巡察“回头看”工作专项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主管部门</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中共广元市利州区委巡察工作领导小组办公室本级</w:t>
            </w:r>
          </w:p>
        </w:tc>
        <w:tc>
          <w:tcPr>
            <w:tcW w:w="488" w:type="pct"/>
            <w:tcBorders>
              <w:top w:val="nil"/>
              <w:left w:val="nil"/>
              <w:bottom w:val="nil"/>
              <w:right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实施单位（盖章）</w:t>
            </w:r>
          </w:p>
        </w:tc>
        <w:tc>
          <w:tcPr>
            <w:tcW w:w="102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项目基本情况</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1.项目年度目标完成情况</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项目年度目标</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开展2轮常规巡察，根据省委、市委和区委安排，灵活开展专项巡察、机动巡察、巡察“回头看”等，做到统筹谋划、同步推进。</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both"/>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开展2轮常规巡察，根据省委、市委和区委安排，灵活开展专项巡察、机动巡察、巡察“回头看”等，做到统筹谋划、同步推进。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坚持板块轮动与常专结合，开展常规巡察2轮、校园餐”领域专项巡察和巡察“回头看”各1次，共巡察乡镇（街道）5个、区级部门15个、公立中小学校（含幼儿园）64所、村（社区）28个，发现问题702个，移交问题线索40件，分别累计完成常规巡察全覆盖任务的76.8%、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预算执行情况（10分）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年度预算数（万元）</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年初预算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调整后预算数</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预算执行数</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总额</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48.00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47.96</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47.96</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其中：财政资金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48.00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47.96</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47.96</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财政专户管理资金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单位资金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其他资金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绩效指标（90分）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二级指标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三级指标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度量单位</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产出指标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数量指标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联动巡察、专项巡察、巡察“回头看”工作</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3</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配合市级开展“市带县”巡察</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常规巡察轮次</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2</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配合迎接省委巡视及专项检查</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次</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质量指标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整改质效</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迎接省委巡视相关工作</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按要求完成</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按要求完成</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查找问题数量</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600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702</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时效指标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巡察完成时间</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全年</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全年</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效益指标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社会效益指标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被巡察单位管理水平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群众满意度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90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被巡单位满意度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90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成本指标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经济成本指标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坚持厉行节约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坚持厉行节约</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坚持厉行节约</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979"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合计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评价结论</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总分100分，自评得分100分。开展常规巡察2轮、校园餐”领域专项巡察和巡察“回头看”各1次，共巡察乡镇（街道）5个、区级部门15个、公立中小学校（含幼儿园）64所、村（社区）28个，发现问题702个，移交问题线索40件，分别累计完成常规巡察全覆盖任务的76.8%、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存在问题</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还存在绩效目标编制不精准的问题，主要原因是年初编制预算绩效目标时未充分考虑工作任务增加，导致绩效指标不精准。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改进措施</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下一步将坚持规划引领，切实加强巡前调查研究，结合全区实际，科学谋划并推进九届区委巡察工作，逐步推进完成九届区委巡察全覆盖任务。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rPr>
            </w:pPr>
          </w:p>
        </w:tc>
        <w:tc>
          <w:tcPr>
            <w:tcW w:w="604"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533"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59"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1"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0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4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533"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59"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1"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0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4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76" w:lineRule="exact"/>
              <w:ind w:left="0"/>
              <w:jc w:val="center"/>
              <w:textAlignment w:val="center"/>
              <w:rPr>
                <w:rFonts w:hint="default" w:ascii="Times New Roman" w:hAnsi="Times New Roman" w:eastAsia="黑体" w:cs="Times New Roman"/>
                <w:b/>
                <w:bCs/>
                <w:i w:val="0"/>
                <w:iCs w:val="0"/>
                <w:color w:val="auto"/>
                <w:spacing w:val="0"/>
                <w:w w:val="100"/>
                <w:kern w:val="2"/>
                <w:sz w:val="21"/>
                <w:szCs w:val="21"/>
                <w:highlight w:val="none"/>
                <w:u w:val="none"/>
              </w:rPr>
            </w:pPr>
            <w:r>
              <w:rPr>
                <w:rFonts w:hint="default" w:ascii="Times New Roman" w:hAnsi="Times New Roman" w:eastAsia="方正黑体简体" w:cs="Times New Roman"/>
                <w:b/>
                <w:bCs/>
                <w:i w:val="0"/>
                <w:iCs w:val="0"/>
                <w:color w:val="auto"/>
                <w:spacing w:val="0"/>
                <w:w w:val="100"/>
                <w:kern w:val="2"/>
                <w:sz w:val="28"/>
                <w:szCs w:val="28"/>
                <w:highlight w:val="none"/>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51080224T000011493016-2024年部门履职经费区委巡察办巡察工作联系点建设与维护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主管部门</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中共广元市利州区委巡察工作领导小组办公室本级</w:t>
            </w:r>
          </w:p>
        </w:tc>
        <w:tc>
          <w:tcPr>
            <w:tcW w:w="488" w:type="pct"/>
            <w:tcBorders>
              <w:top w:val="nil"/>
              <w:left w:val="nil"/>
              <w:bottom w:val="nil"/>
              <w:right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实施单位（盖章）</w:t>
            </w:r>
          </w:p>
        </w:tc>
        <w:tc>
          <w:tcPr>
            <w:tcW w:w="102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项目基本情况</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1.项目年度目标完成情况</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项目年度目标</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加强巡察机构队伍建设，打造规范化标准化办公阵地，健全工作机制，加大巡察工作新闻宣传信息力度，进一步提升利州巡察影响力。</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黑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加强巡察机构队伍建设，打造规范化标准化办公阵地，健全工作机制，加大巡察工作新闻宣传信息力度，进一步提升利州巡察影响力。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从巡前培训、巡中实战、巡后复盘三个阶段发力，深化运用巡察单机系统、巡视巡察网络平台以及“四川码上巡”管理平台，规范录入巡察单机系统和网络平台信息2万余条，收到“四川码上巡”信访信息7条，进一步拓宽群众投诉举报渠道。深入开展巡察信息管理不规范专项整治工作，完善九届区委以来巡视巡察工作网络平台基础数据认真做好了全省涉密信息系统检测工作，及时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预算执行情况（10分）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年度预算数（万元）</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年初预算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调整后预算数</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预算执行数</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总额</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黑体"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其中：财政资金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财政专户管理资金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单位资金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其他资金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绩效指标（90分）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二级指标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三级指标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度量单位</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产出指标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数量指标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巡察品牌宣传</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篇（部）</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打造示范点个数</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巩固巡察品牌</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质量指标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打造标准化办公阵地</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打造标准化办公阵地</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打造标准化办公阵地</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时效指标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完成时间</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全年</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全年</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效益指标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社会效益指标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提升利州巡察影响力</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可持续发展指标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品牌创建工作推动深化改革发展</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群众满意度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巡察对象满意度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979"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合计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评价结论</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微软雅黑"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总分100分，自评得分100分。严格按照工作要求，持续深化“三强三化”组织品牌、“纪巡审＋N”监督联动贯通品牌、“1131”利剑惠民品牌、“543”提质增优品牌建设。同时，扎实抓好巡察单机系统和巡视巡察网络平台信息录入，深入开展巡察信息管理不规范专项整治工作，完善九届区委以来巡视巡察工作网络平台基础数据认真做好了全省涉密信息系统检测工作，及时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存在问题</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微软雅黑"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还存在绩效目标编制不精准的问题，主要原因是年初编制预算绩效目标时未充分考虑工作任务增加，导致绩效指标不精准。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改进措施</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微软雅黑" w:cs="Times New Roman"/>
                <w:i/>
                <w:iCs/>
                <w:color w:val="auto"/>
                <w:spacing w:val="0"/>
                <w:w w:val="100"/>
                <w:kern w:val="2"/>
                <w:sz w:val="21"/>
                <w:szCs w:val="21"/>
                <w:highlight w:val="none"/>
                <w:u w:val="none"/>
                <w:lang w:val="en-US"/>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下一步将切实加强信息价建设调查研究，结合我区实际，不断总结经验做法，扎实做好巡察联系点建设和信息化建设工作。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14" w:type="pct"/>
            <w:tcBorders>
              <w:top w:val="nil"/>
              <w:left w:val="nil"/>
              <w:bottom w:val="nil"/>
              <w:right w:val="nil"/>
            </w:tcBorders>
            <w:noWrap w:val="0"/>
            <w:vAlign w:val="center"/>
          </w:tcPr>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nil"/>
              <w:left w:val="nil"/>
              <w:bottom w:val="nil"/>
              <w:right w:val="nil"/>
            </w:tcBorders>
            <w:noWrap w:val="0"/>
            <w:vAlign w:val="center"/>
          </w:tcPr>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pStyle w:val="2"/>
              <w:ind w:left="0" w:leftChars="0" w:firstLine="0" w:firstLineChars="0"/>
              <w:rPr>
                <w:rFonts w:hint="default"/>
              </w:rPr>
            </w:pPr>
          </w:p>
        </w:tc>
        <w:tc>
          <w:tcPr>
            <w:tcW w:w="586"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533"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59"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1"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7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p>
            <w:pPr>
              <w:pStyle w:val="2"/>
              <w:ind w:left="0" w:leftChars="0" w:firstLine="0" w:firstLineChars="0"/>
              <w:rPr>
                <w:rFonts w:hint="default" w:ascii="Times New Roman" w:hAnsi="Times New Roman" w:eastAsia="宋体" w:cs="Times New Roman"/>
                <w:i w:val="0"/>
                <w:iCs w:val="0"/>
                <w:color w:val="auto"/>
                <w:spacing w:val="0"/>
                <w:w w:val="100"/>
                <w:kern w:val="2"/>
                <w:sz w:val="21"/>
                <w:szCs w:val="21"/>
                <w:highlight w:val="none"/>
                <w:u w:val="none"/>
              </w:rPr>
            </w:pPr>
          </w:p>
          <w:p>
            <w:pPr>
              <w:pStyle w:val="2"/>
              <w:rPr>
                <w:rFonts w:hint="default" w:ascii="Times New Roman" w:hAnsi="Times New Roman" w:eastAsia="宋体" w:cs="Times New Roman"/>
                <w:i w:val="0"/>
                <w:iCs w:val="0"/>
                <w:color w:val="auto"/>
                <w:spacing w:val="0"/>
                <w:w w:val="100"/>
                <w:kern w:val="2"/>
                <w:sz w:val="21"/>
                <w:szCs w:val="21"/>
                <w:highlight w:val="none"/>
                <w:u w:val="none"/>
              </w:rPr>
            </w:pPr>
          </w:p>
        </w:tc>
        <w:tc>
          <w:tcPr>
            <w:tcW w:w="308"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340" w:type="pct"/>
            <w:tcBorders>
              <w:top w:val="nil"/>
              <w:left w:val="nil"/>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576" w:lineRule="exact"/>
              <w:ind w:left="0"/>
              <w:jc w:val="center"/>
              <w:textAlignment w:val="center"/>
              <w:rPr>
                <w:rFonts w:hint="default" w:ascii="Times New Roman" w:hAnsi="Times New Roman" w:eastAsia="黑体" w:cs="Times New Roman"/>
                <w:b/>
                <w:bCs/>
                <w:i w:val="0"/>
                <w:iCs w:val="0"/>
                <w:color w:val="auto"/>
                <w:spacing w:val="0"/>
                <w:w w:val="100"/>
                <w:kern w:val="2"/>
                <w:sz w:val="21"/>
                <w:szCs w:val="21"/>
                <w:highlight w:val="none"/>
                <w:u w:val="none"/>
              </w:rPr>
            </w:pPr>
            <w:r>
              <w:rPr>
                <w:rFonts w:hint="default" w:ascii="Times New Roman" w:hAnsi="Times New Roman" w:eastAsia="方正黑体简体" w:cs="Times New Roman"/>
                <w:b/>
                <w:bCs/>
                <w:i w:val="0"/>
                <w:iCs w:val="0"/>
                <w:color w:val="auto"/>
                <w:spacing w:val="0"/>
                <w:w w:val="100"/>
                <w:kern w:val="2"/>
                <w:sz w:val="28"/>
                <w:szCs w:val="28"/>
                <w:highlight w:val="none"/>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51080225T000012327097-2024年预留项目-区委巡察办-追加2024年巡察工作经费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主管部门</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中共广元市利州区委巡察工作领导小组办公室本级</w:t>
            </w:r>
          </w:p>
        </w:tc>
        <w:tc>
          <w:tcPr>
            <w:tcW w:w="488" w:type="pct"/>
            <w:tcBorders>
              <w:top w:val="nil"/>
              <w:left w:val="nil"/>
              <w:bottom w:val="nil"/>
              <w:right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黑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实施单位（盖章）</w:t>
            </w:r>
          </w:p>
        </w:tc>
        <w:tc>
          <w:tcPr>
            <w:tcW w:w="102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中共广元市利州区委巡察工作领导小组办公室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项目基本情况</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1.项目年度目标完成情况</w:t>
            </w: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项目年度目标</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黑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255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是2023年以来，先后抽调24人组建区委第五巡察组，对区属国企、教育系统开展板块轮动巡察；二是保障巡察单机系统、网络平台的正常运转，定期开展安全检查；三是落实巡察保密规定，购置办公设备，降低行政成本，提高工作效率。</w:t>
            </w:r>
          </w:p>
        </w:tc>
        <w:tc>
          <w:tcPr>
            <w:tcW w:w="150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黑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先后抽调24人组建区委第五巡察组，对区属国企、教育系统开展板块轮动巡察；保障巡察单机系统、网络平台的正常运转，定期开展安全检查；落实巡察保密规定，购置办公设备，降低行政成本，提高工作效率。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left"/>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2023年先后抽调24人组建区委第五巡察组，对区属国企、教育系统开展板块轮动巡察保障巡察单机系统、网络平台的正常运转，定期开展安全检查；三是落实巡察保密规定，购置办公设备，降低行政成本，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预算执行情况（10分）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年度预算数（万元）</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年初预算</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调整后预算数</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预算执行数</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预算执行率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总额</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45.50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45.23</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99.41%</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其中：财政资金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45.50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45.23</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99.41%</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财政专户管理资金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单位资金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其他资金</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13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3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黑体"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绩效指标（90分）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二级指标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三级指标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度量单位</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完成值</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得分</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产出指标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数量指标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购置办公设备</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台</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抽调干部</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25</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巡察单位</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个</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质量指标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提升巡察质效</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时效指标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巡察时间</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按巡察节点要求完成推进</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按巡察节点要求完成推进</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完成时间</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2024年12月</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2024年12月</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效益指标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社会效益指标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提升巡察信息化建设水平</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进一步提升</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可持续影响指标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推动巡察全覆盖</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稳步推进</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稳步推进</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满意度指标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干部职工满意度</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95</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95</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成本指标</w:t>
            </w:r>
          </w:p>
        </w:tc>
        <w:tc>
          <w:tcPr>
            <w:tcW w:w="60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经济成本指标</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巡察专项费用</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万元</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28</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巡察信息化费用</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万元</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60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rPr>
            </w:pP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办公设备购置</w:t>
            </w:r>
          </w:p>
        </w:tc>
        <w:tc>
          <w:tcPr>
            <w:tcW w:w="5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万元</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7.5</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5</w:t>
            </w:r>
          </w:p>
        </w:tc>
        <w:tc>
          <w:tcPr>
            <w:tcW w:w="340"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微软雅黑" w:cs="Times New Roman"/>
                <w:i/>
                <w:iCs/>
                <w:color w:val="auto"/>
                <w:spacing w:val="0"/>
                <w:w w:val="100"/>
                <w:kern w:val="2"/>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79"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合计</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jc w:val="center"/>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r>
              <w:rPr>
                <w:rFonts w:hint="default" w:ascii="Times New Roman" w:hAnsi="Times New Roman" w:eastAsia="宋体" w:cs="Times New Roman"/>
                <w:i w:val="0"/>
                <w:iCs w:val="0"/>
                <w:color w:val="auto"/>
                <w:spacing w:val="0"/>
                <w:w w:val="100"/>
                <w:kern w:val="2"/>
                <w:sz w:val="21"/>
                <w:szCs w:val="21"/>
                <w:highlight w:val="none"/>
                <w:u w:val="none"/>
                <w:lang w:val="en-US" w:eastAsia="zh-CN"/>
              </w:rPr>
              <w:t>100</w:t>
            </w:r>
          </w:p>
        </w:tc>
        <w:tc>
          <w:tcPr>
            <w:tcW w:w="340"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rPr>
                <w:rFonts w:hint="default" w:ascii="Times New Roman" w:hAnsi="Times New Roman" w:eastAsia="宋体" w:cs="Times New Roman"/>
                <w:i w:val="0"/>
                <w:iCs w:val="0"/>
                <w:color w:val="auto"/>
                <w:spacing w:val="0"/>
                <w:w w:val="1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评价结论</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20" w:firstLineChars="200"/>
              <w:jc w:val="left"/>
              <w:textAlignment w:val="center"/>
              <w:rPr>
                <w:rFonts w:hint="default" w:ascii="Times New Roman" w:hAnsi="Times New Roman" w:eastAsia="微软雅黑"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满分100分，自评得分100分。聚焦重点领域，全力配合开展集中整治。已发现群众身边不正之风和腐败问题78个，涉及群众急难愁盼问题16个。三是坚持边巡边改边移。通过个别谈话、受理信访、抽查核实、走访调研等方式，发现并督促立行立改安全生产、民生保障等领域群众反映突出问题5个，及时移交有关问题线索31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存在问题</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20" w:firstLineChars="200"/>
              <w:jc w:val="left"/>
              <w:textAlignment w:val="center"/>
              <w:rPr>
                <w:rFonts w:hint="default" w:ascii="Times New Roman" w:hAnsi="Times New Roman" w:eastAsia="微软雅黑"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还存在绩效目标编制不精准的问题，主要原因是年初编制预算绩效目标时未充分考虑工作任务增加，导致绩效指标不精准。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jc w:val="center"/>
              <w:textAlignment w:val="center"/>
              <w:rPr>
                <w:rFonts w:hint="default" w:ascii="Times New Roman" w:hAnsi="Times New Roman" w:eastAsia="宋体" w:cs="Times New Roman"/>
                <w:i w:val="0"/>
                <w:iCs w:val="0"/>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改进措施</w:t>
            </w:r>
          </w:p>
        </w:tc>
        <w:tc>
          <w:tcPr>
            <w:tcW w:w="448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420" w:firstLineChars="200"/>
              <w:jc w:val="left"/>
              <w:textAlignment w:val="center"/>
              <w:rPr>
                <w:rFonts w:hint="default" w:ascii="Times New Roman" w:hAnsi="Times New Roman" w:eastAsia="微软雅黑" w:cs="Times New Roman"/>
                <w:i/>
                <w:iCs/>
                <w:color w:val="auto"/>
                <w:spacing w:val="0"/>
                <w:w w:val="100"/>
                <w:kern w:val="2"/>
                <w:sz w:val="21"/>
                <w:szCs w:val="21"/>
                <w:highlight w:val="none"/>
                <w:u w:val="none"/>
              </w:rPr>
            </w:pPr>
            <w:r>
              <w:rPr>
                <w:rFonts w:hint="default" w:ascii="Times New Roman" w:hAnsi="Times New Roman" w:eastAsia="宋体" w:cs="Times New Roman"/>
                <w:i w:val="0"/>
                <w:iCs w:val="0"/>
                <w:color w:val="auto"/>
                <w:spacing w:val="0"/>
                <w:w w:val="100"/>
                <w:kern w:val="2"/>
                <w:sz w:val="21"/>
                <w:szCs w:val="21"/>
                <w:highlight w:val="none"/>
                <w:u w:val="none"/>
                <w:lang w:val="en-US" w:eastAsia="zh-CN" w:bidi="ar"/>
              </w:rPr>
              <w:t>下一步将切实结合巡察工作实际，不断总结经验做法，扎实做好巡察各项工作，结合上年度目标完成情况，精准编制下年度预算绩效目标。</w:t>
            </w:r>
          </w:p>
        </w:tc>
      </w:tr>
    </w:tbl>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both"/>
        <w:textAlignment w:val="auto"/>
        <w:rPr>
          <w:rFonts w:hint="default" w:ascii="Times New Roman" w:hAnsi="Times New Roman" w:eastAsia="方正黑体简体" w:cs="Times New Roman"/>
          <w:i w:val="0"/>
          <w:iCs w:val="0"/>
          <w:color w:val="auto"/>
          <w:spacing w:val="0"/>
          <w:w w:val="100"/>
          <w:kern w:val="2"/>
          <w:sz w:val="21"/>
          <w:szCs w:val="21"/>
          <w:highlight w:val="none"/>
          <w:u w:val="none"/>
          <w:lang w:val="en-US" w:eastAsia="zh-CN" w:bidi="ar"/>
        </w:rPr>
      </w:pPr>
    </w:p>
    <w:p>
      <w:pPr>
        <w:pStyle w:val="6"/>
        <w:rPr>
          <w:rFonts w:hint="eastAsia" w:hAnsi="宋体" w:cs="宋体"/>
          <w:color w:val="FF0000"/>
          <w:kern w:val="0"/>
          <w:sz w:val="32"/>
          <w:szCs w:val="32"/>
          <w:highlight w:val="yellow"/>
          <w:shd w:val="clear" w:color="auto" w:fill="FFFFFF"/>
          <w:lang w:val="zh-CN"/>
        </w:rPr>
      </w:pPr>
    </w:p>
    <w:p>
      <w:pPr>
        <w:pStyle w:val="6"/>
        <w:pageBreakBefore w:val="0"/>
        <w:numPr>
          <w:ilvl w:val="0"/>
          <w:numId w:val="0"/>
        </w:numPr>
        <w:tabs>
          <w:tab w:val="left" w:pos="2160"/>
        </w:tabs>
        <w:kinsoku/>
        <w:wordWrap/>
        <w:overflowPunct/>
        <w:topLinePunct w:val="0"/>
        <w:autoSpaceDE/>
        <w:autoSpaceDN/>
        <w:bidi w:val="0"/>
        <w:adjustRightInd/>
        <w:spacing w:line="600" w:lineRule="exact"/>
        <w:jc w:val="center"/>
        <w:textAlignment w:val="auto"/>
        <w:rPr>
          <w:rFonts w:hint="eastAsia" w:ascii="仿宋" w:hAnsi="仿宋" w:eastAsia="仿宋"/>
          <w:b w:val="0"/>
          <w:color w:val="auto"/>
          <w:highlight w:val="none"/>
        </w:rPr>
      </w:pPr>
      <w:r>
        <w:rPr>
          <w:rFonts w:hint="eastAsia" w:ascii="黑体" w:hAnsi="黑体" w:eastAsia="黑体" w:cs="黑体"/>
          <w:color w:val="auto"/>
          <w:kern w:val="0"/>
          <w:sz w:val="32"/>
          <w:szCs w:val="32"/>
          <w:highlight w:val="none"/>
          <w:shd w:val="clear" w:color="auto" w:fill="FFFFFF"/>
          <w:lang w:val="zh-CN"/>
        </w:rPr>
        <w:br w:type="page"/>
      </w:r>
      <w:bookmarkStart w:id="0" w:name="_Toc15396618"/>
      <w:r>
        <w:rPr>
          <w:rFonts w:hint="eastAsia" w:ascii="黑体" w:hAnsi="黑体" w:eastAsia="黑体"/>
          <w:color w:val="auto"/>
          <w:sz w:val="44"/>
          <w:szCs w:val="44"/>
          <w:highlight w:val="none"/>
        </w:rPr>
        <w:t>第</w:t>
      </w:r>
      <w:r>
        <w:rPr>
          <w:rStyle w:val="11"/>
          <w:rFonts w:hint="eastAsia" w:ascii="黑体" w:hAnsi="黑体" w:eastAsia="黑体"/>
          <w:b w:val="0"/>
          <w:color w:val="auto"/>
          <w:highlight w:val="none"/>
        </w:rPr>
        <w:t>五部分 附表</w:t>
      </w:r>
      <w:bookmarkEnd w:id="0"/>
      <w:bookmarkStart w:id="1" w:name="_Toc15396619"/>
    </w:p>
    <w:p>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b w:val="0"/>
          <w:color w:val="auto"/>
          <w:highlight w:val="none"/>
        </w:rPr>
        <w:t>一、收</w:t>
      </w:r>
      <w:r>
        <w:rPr>
          <w:rStyle w:val="12"/>
          <w:rFonts w:hint="eastAsia" w:ascii="仿宋_GB2312" w:hAnsi="仿宋_GB2312" w:eastAsia="仿宋_GB2312" w:cs="仿宋_GB2312"/>
          <w:b w:val="0"/>
          <w:bCs w:val="0"/>
          <w:color w:val="auto"/>
          <w:highlight w:val="none"/>
        </w:rPr>
        <w:t>入支出决算总表</w:t>
      </w:r>
      <w:bookmarkEnd w:id="1"/>
    </w:p>
    <w:p>
      <w:pPr>
        <w:pStyle w:val="4"/>
        <w:rPr>
          <w:rFonts w:hint="eastAsia" w:ascii="仿宋_GB2312" w:hAnsi="仿宋_GB2312" w:eastAsia="仿宋_GB2312" w:cs="仿宋_GB2312"/>
          <w:color w:val="auto"/>
          <w:highlight w:val="none"/>
        </w:rPr>
      </w:pPr>
      <w:bookmarkStart w:id="2" w:name="_Toc15396620"/>
      <w:r>
        <w:rPr>
          <w:rFonts w:hint="eastAsia" w:ascii="仿宋_GB2312" w:hAnsi="仿宋_GB2312" w:eastAsia="仿宋_GB2312" w:cs="仿宋_GB2312"/>
          <w:b w:val="0"/>
          <w:color w:val="auto"/>
          <w:highlight w:val="none"/>
        </w:rPr>
        <w:t>二、收</w:t>
      </w:r>
      <w:r>
        <w:rPr>
          <w:rStyle w:val="12"/>
          <w:rFonts w:hint="eastAsia" w:ascii="仿宋_GB2312" w:hAnsi="仿宋_GB2312" w:eastAsia="仿宋_GB2312" w:cs="仿宋_GB2312"/>
          <w:b w:val="0"/>
          <w:bCs w:val="0"/>
          <w:color w:val="auto"/>
          <w:highlight w:val="none"/>
        </w:rPr>
        <w:t>入决算表</w:t>
      </w:r>
      <w:bookmarkEnd w:id="2"/>
    </w:p>
    <w:p>
      <w:pPr>
        <w:pStyle w:val="4"/>
        <w:rPr>
          <w:rFonts w:hint="eastAsia" w:ascii="仿宋_GB2312" w:hAnsi="仿宋_GB2312" w:eastAsia="仿宋_GB2312" w:cs="仿宋_GB2312"/>
          <w:color w:val="auto"/>
          <w:highlight w:val="none"/>
        </w:rPr>
      </w:pPr>
      <w:bookmarkStart w:id="3" w:name="_Toc15396621"/>
      <w:r>
        <w:rPr>
          <w:rStyle w:val="12"/>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12"/>
          <w:rFonts w:hint="eastAsia" w:ascii="仿宋_GB2312" w:hAnsi="仿宋_GB2312" w:eastAsia="仿宋_GB2312" w:cs="仿宋_GB2312"/>
          <w:b w:val="0"/>
          <w:bCs w:val="0"/>
          <w:color w:val="auto"/>
          <w:highlight w:val="none"/>
        </w:rPr>
        <w:t>出决算表</w:t>
      </w:r>
      <w:bookmarkEnd w:id="3"/>
    </w:p>
    <w:p>
      <w:pPr>
        <w:pStyle w:val="4"/>
        <w:rPr>
          <w:rFonts w:hint="eastAsia" w:ascii="仿宋_GB2312" w:hAnsi="仿宋_GB2312" w:eastAsia="仿宋_GB2312" w:cs="仿宋_GB2312"/>
          <w:b w:val="0"/>
          <w:color w:val="auto"/>
          <w:highlight w:val="none"/>
        </w:rPr>
      </w:pPr>
      <w:bookmarkStart w:id="4" w:name="_Toc15396622"/>
      <w:r>
        <w:rPr>
          <w:rStyle w:val="12"/>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12"/>
          <w:rFonts w:hint="eastAsia" w:ascii="仿宋_GB2312" w:hAnsi="仿宋_GB2312" w:eastAsia="仿宋_GB2312" w:cs="仿宋_GB2312"/>
          <w:b w:val="0"/>
          <w:bCs w:val="0"/>
          <w:color w:val="auto"/>
          <w:highlight w:val="none"/>
        </w:rPr>
        <w:t>政拨款收入支出决算总表</w:t>
      </w:r>
      <w:bookmarkEnd w:id="4"/>
    </w:p>
    <w:p>
      <w:pPr>
        <w:pStyle w:val="4"/>
        <w:rPr>
          <w:rStyle w:val="12"/>
          <w:rFonts w:hint="eastAsia" w:ascii="仿宋_GB2312" w:hAnsi="仿宋_GB2312" w:eastAsia="仿宋_GB2312" w:cs="仿宋_GB2312"/>
          <w:b w:val="0"/>
          <w:bCs w:val="0"/>
          <w:color w:val="auto"/>
          <w:highlight w:val="none"/>
        </w:rPr>
      </w:pPr>
      <w:bookmarkStart w:id="5" w:name="_Toc15396623"/>
      <w:r>
        <w:rPr>
          <w:rStyle w:val="12"/>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12"/>
          <w:rFonts w:hint="eastAsia" w:ascii="仿宋_GB2312" w:hAnsi="仿宋_GB2312" w:eastAsia="仿宋_GB2312" w:cs="仿宋_GB2312"/>
          <w:b w:val="0"/>
          <w:bCs w:val="0"/>
          <w:color w:val="auto"/>
          <w:highlight w:val="none"/>
        </w:rPr>
        <w:t>政拨款支出决算明细表</w:t>
      </w:r>
      <w:bookmarkEnd w:id="5"/>
      <w:bookmarkStart w:id="6" w:name="_Toc15396624"/>
    </w:p>
    <w:p>
      <w:pPr>
        <w:pStyle w:val="4"/>
        <w:rPr>
          <w:rFonts w:hint="eastAsia" w:ascii="仿宋_GB2312" w:hAnsi="仿宋_GB2312" w:eastAsia="仿宋_GB2312" w:cs="仿宋_GB2312"/>
          <w:color w:val="auto"/>
          <w:highlight w:val="none"/>
        </w:rPr>
      </w:pPr>
      <w:r>
        <w:rPr>
          <w:rStyle w:val="12"/>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12"/>
          <w:rFonts w:hint="eastAsia" w:ascii="仿宋_GB2312" w:hAnsi="仿宋_GB2312" w:eastAsia="仿宋_GB2312" w:cs="仿宋_GB2312"/>
          <w:b w:val="0"/>
          <w:bCs w:val="0"/>
          <w:color w:val="auto"/>
          <w:highlight w:val="none"/>
        </w:rPr>
        <w:t>般公共预算财政拨款支出决算表</w:t>
      </w:r>
      <w:bookmarkEnd w:id="6"/>
    </w:p>
    <w:p>
      <w:pPr>
        <w:pStyle w:val="4"/>
        <w:rPr>
          <w:rFonts w:hint="eastAsia" w:ascii="仿宋_GB2312" w:hAnsi="仿宋_GB2312" w:eastAsia="仿宋_GB2312" w:cs="仿宋_GB2312"/>
          <w:color w:val="auto"/>
          <w:highlight w:val="none"/>
        </w:rPr>
      </w:pPr>
      <w:bookmarkStart w:id="7" w:name="_Toc15396625"/>
      <w:r>
        <w:rPr>
          <w:rStyle w:val="12"/>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12"/>
          <w:rFonts w:hint="eastAsia" w:ascii="仿宋_GB2312" w:hAnsi="仿宋_GB2312" w:eastAsia="仿宋_GB2312" w:cs="仿宋_GB2312"/>
          <w:b w:val="0"/>
          <w:bCs w:val="0"/>
          <w:color w:val="auto"/>
          <w:highlight w:val="none"/>
        </w:rPr>
        <w:t>般公共预算财政拨款支出决算明细表</w:t>
      </w:r>
      <w:bookmarkEnd w:id="7"/>
    </w:p>
    <w:p>
      <w:pPr>
        <w:pStyle w:val="4"/>
        <w:rPr>
          <w:rFonts w:hint="eastAsia" w:ascii="仿宋_GB2312" w:hAnsi="仿宋_GB2312" w:eastAsia="仿宋_GB2312" w:cs="仿宋_GB2312"/>
          <w:color w:val="auto"/>
          <w:highlight w:val="none"/>
        </w:rPr>
      </w:pPr>
      <w:bookmarkStart w:id="8" w:name="_Toc15396626"/>
      <w:r>
        <w:rPr>
          <w:rStyle w:val="12"/>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12"/>
          <w:rFonts w:hint="eastAsia" w:ascii="仿宋_GB2312" w:hAnsi="仿宋_GB2312" w:eastAsia="仿宋_GB2312" w:cs="仿宋_GB2312"/>
          <w:b w:val="0"/>
          <w:bCs w:val="0"/>
          <w:color w:val="auto"/>
          <w:highlight w:val="none"/>
        </w:rPr>
        <w:t>般公共预算财政拨款基本支出决算表</w:t>
      </w:r>
      <w:bookmarkEnd w:id="8"/>
    </w:p>
    <w:p>
      <w:pPr>
        <w:pStyle w:val="4"/>
        <w:rPr>
          <w:rFonts w:hint="eastAsia" w:ascii="仿宋_GB2312" w:hAnsi="仿宋_GB2312" w:eastAsia="仿宋_GB2312" w:cs="仿宋_GB2312"/>
          <w:color w:val="auto"/>
          <w:highlight w:val="none"/>
        </w:rPr>
      </w:pPr>
      <w:bookmarkStart w:id="9" w:name="_Toc15396627"/>
      <w:r>
        <w:rPr>
          <w:rStyle w:val="12"/>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12"/>
          <w:rFonts w:hint="eastAsia" w:ascii="仿宋_GB2312" w:hAnsi="仿宋_GB2312" w:eastAsia="仿宋_GB2312" w:cs="仿宋_GB2312"/>
          <w:b w:val="0"/>
          <w:bCs w:val="0"/>
          <w:color w:val="auto"/>
          <w:highlight w:val="none"/>
        </w:rPr>
        <w:t>般公共预算财政拨款项目支出决算表</w:t>
      </w:r>
      <w:bookmarkEnd w:id="9"/>
    </w:p>
    <w:p>
      <w:pPr>
        <w:pStyle w:val="4"/>
        <w:rPr>
          <w:rFonts w:hint="eastAsia" w:ascii="仿宋_GB2312" w:hAnsi="仿宋_GB2312" w:eastAsia="仿宋_GB2312" w:cs="仿宋_GB2312"/>
          <w:color w:val="auto"/>
          <w:highlight w:val="none"/>
        </w:rPr>
      </w:pPr>
      <w:bookmarkStart w:id="10" w:name="_Toc15396628"/>
      <w:r>
        <w:rPr>
          <w:rStyle w:val="12"/>
          <w:rFonts w:hint="eastAsia" w:ascii="仿宋_GB2312" w:hAnsi="仿宋_GB2312" w:eastAsia="仿宋_GB2312" w:cs="仿宋_GB2312"/>
          <w:b w:val="0"/>
          <w:bCs w:val="0"/>
          <w:color w:val="auto"/>
          <w:highlight w:val="none"/>
        </w:rPr>
        <w:t>十、</w:t>
      </w:r>
      <w:bookmarkEnd w:id="10"/>
      <w:r>
        <w:rPr>
          <w:rFonts w:hint="eastAsia" w:ascii="仿宋_GB2312" w:hAnsi="仿宋_GB2312" w:eastAsia="仿宋_GB2312" w:cs="仿宋_GB2312"/>
          <w:b w:val="0"/>
          <w:color w:val="auto"/>
          <w:highlight w:val="none"/>
        </w:rPr>
        <w:t>政</w:t>
      </w:r>
      <w:r>
        <w:rPr>
          <w:rStyle w:val="12"/>
          <w:rFonts w:hint="eastAsia" w:ascii="仿宋_GB2312" w:hAnsi="仿宋_GB2312" w:eastAsia="仿宋_GB2312" w:cs="仿宋_GB2312"/>
          <w:b w:val="0"/>
          <w:bCs w:val="0"/>
          <w:color w:val="auto"/>
          <w:highlight w:val="none"/>
        </w:rPr>
        <w:t>府性基金预算财政拨款收入支出决算表</w:t>
      </w:r>
    </w:p>
    <w:p>
      <w:pPr>
        <w:pStyle w:val="4"/>
        <w:rPr>
          <w:rFonts w:hint="eastAsia" w:ascii="仿宋_GB2312" w:hAnsi="仿宋_GB2312" w:eastAsia="仿宋_GB2312" w:cs="仿宋_GB2312"/>
          <w:color w:val="auto"/>
          <w:highlight w:val="none"/>
        </w:rPr>
      </w:pPr>
      <w:bookmarkStart w:id="11" w:name="_Toc15396629"/>
      <w:r>
        <w:rPr>
          <w:rStyle w:val="12"/>
          <w:rFonts w:hint="eastAsia" w:ascii="仿宋_GB2312" w:hAnsi="仿宋_GB2312" w:eastAsia="仿宋_GB2312" w:cs="仿宋_GB2312"/>
          <w:b w:val="0"/>
          <w:bCs w:val="0"/>
          <w:color w:val="auto"/>
          <w:highlight w:val="none"/>
        </w:rPr>
        <w:t>十一、</w:t>
      </w:r>
      <w:bookmarkEnd w:id="11"/>
      <w:r>
        <w:rPr>
          <w:rFonts w:hint="eastAsia" w:ascii="仿宋_GB2312" w:hAnsi="仿宋_GB2312" w:eastAsia="仿宋_GB2312" w:cs="仿宋_GB2312"/>
          <w:b w:val="0"/>
          <w:color w:val="auto"/>
          <w:highlight w:val="none"/>
        </w:rPr>
        <w:t>国</w:t>
      </w:r>
      <w:r>
        <w:rPr>
          <w:rStyle w:val="12"/>
          <w:rFonts w:hint="eastAsia" w:ascii="仿宋_GB2312" w:hAnsi="仿宋_GB2312" w:eastAsia="仿宋_GB2312" w:cs="仿宋_GB2312"/>
          <w:b w:val="0"/>
          <w:bCs w:val="0"/>
          <w:color w:val="auto"/>
          <w:highlight w:val="none"/>
        </w:rPr>
        <w:t>有资本经营预算</w:t>
      </w:r>
      <w:r>
        <w:rPr>
          <w:rStyle w:val="12"/>
          <w:rFonts w:hint="eastAsia" w:ascii="仿宋_GB2312" w:hAnsi="仿宋_GB2312" w:eastAsia="仿宋_GB2312" w:cs="仿宋_GB2312"/>
          <w:b w:val="0"/>
          <w:bCs w:val="0"/>
          <w:color w:val="auto"/>
          <w:highlight w:val="none"/>
          <w:lang w:eastAsia="zh-CN"/>
        </w:rPr>
        <w:t>财政拨款收入</w:t>
      </w:r>
      <w:r>
        <w:rPr>
          <w:rStyle w:val="12"/>
          <w:rFonts w:hint="eastAsia" w:ascii="仿宋_GB2312" w:hAnsi="仿宋_GB2312" w:eastAsia="仿宋_GB2312" w:cs="仿宋_GB2312"/>
          <w:b w:val="0"/>
          <w:bCs w:val="0"/>
          <w:color w:val="auto"/>
          <w:highlight w:val="none"/>
        </w:rPr>
        <w:t>支出决算表</w:t>
      </w:r>
    </w:p>
    <w:p>
      <w:pPr>
        <w:pStyle w:val="4"/>
        <w:rPr>
          <w:rFonts w:hint="eastAsia" w:ascii="仿宋_GB2312" w:hAnsi="仿宋_GB2312" w:eastAsia="仿宋_GB2312" w:cs="仿宋_GB2312"/>
          <w:color w:val="auto"/>
          <w:highlight w:val="none"/>
        </w:rPr>
      </w:pPr>
      <w:bookmarkStart w:id="12" w:name="_Toc15396630"/>
      <w:r>
        <w:rPr>
          <w:rStyle w:val="12"/>
          <w:rFonts w:hint="eastAsia" w:ascii="仿宋_GB2312" w:hAnsi="仿宋_GB2312" w:eastAsia="仿宋_GB2312" w:cs="仿宋_GB2312"/>
          <w:b w:val="0"/>
          <w:bCs w:val="0"/>
          <w:color w:val="auto"/>
          <w:highlight w:val="none"/>
        </w:rPr>
        <w:t>十二、</w:t>
      </w:r>
      <w:bookmarkEnd w:id="12"/>
      <w:r>
        <w:rPr>
          <w:rStyle w:val="12"/>
          <w:rFonts w:hint="eastAsia" w:ascii="仿宋_GB2312" w:hAnsi="仿宋_GB2312" w:eastAsia="仿宋_GB2312" w:cs="仿宋_GB2312"/>
          <w:b w:val="0"/>
          <w:bCs w:val="0"/>
          <w:color w:val="auto"/>
          <w:highlight w:val="none"/>
          <w:lang w:eastAsia="zh-CN"/>
        </w:rPr>
        <w:t>国有资本经营预算财政拨款支出决算表</w:t>
      </w:r>
    </w:p>
    <w:p>
      <w:pPr>
        <w:pStyle w:val="4"/>
        <w:rPr>
          <w:rStyle w:val="12"/>
          <w:rFonts w:hint="eastAsia" w:ascii="仿宋_GB2312" w:hAnsi="仿宋_GB2312" w:eastAsia="仿宋_GB2312" w:cs="仿宋_GB2312"/>
          <w:b w:val="0"/>
          <w:bCs w:val="0"/>
          <w:color w:val="auto"/>
          <w:highlight w:val="none"/>
          <w:lang w:eastAsia="zh-CN"/>
        </w:rPr>
      </w:pPr>
      <w:bookmarkStart w:id="13" w:name="_Toc15396631"/>
      <w:r>
        <w:rPr>
          <w:rStyle w:val="12"/>
          <w:rFonts w:hint="eastAsia" w:ascii="仿宋_GB2312" w:hAnsi="仿宋_GB2312" w:eastAsia="仿宋_GB2312" w:cs="仿宋_GB2312"/>
          <w:b w:val="0"/>
          <w:bCs w:val="0"/>
          <w:color w:val="auto"/>
          <w:highlight w:val="none"/>
        </w:rPr>
        <w:t>十三、</w:t>
      </w:r>
      <w:bookmarkEnd w:id="13"/>
      <w:r>
        <w:rPr>
          <w:rStyle w:val="12"/>
          <w:rFonts w:hint="eastAsia" w:ascii="仿宋_GB2312" w:hAnsi="仿宋_GB2312" w:eastAsia="仿宋_GB2312" w:cs="仿宋_GB2312"/>
          <w:b w:val="0"/>
          <w:bCs w:val="0"/>
          <w:color w:val="auto"/>
          <w:highlight w:val="none"/>
          <w:lang w:eastAsia="zh-CN"/>
        </w:rPr>
        <w:t>财政拨款“三公”经费支出决算表</w:t>
      </w:r>
    </w:p>
    <w:p>
      <w:pPr>
        <w:rPr>
          <w:rFonts w:hint="eastAsia" w:ascii="仿宋_GB2312" w:hAnsi="仿宋_GB2312" w:eastAsia="仿宋_GB2312" w:cs="仿宋_GB2312"/>
        </w:rPr>
      </w:pPr>
    </w:p>
    <w:p>
      <w:bookmarkStart w:id="14" w:name="_GoBack"/>
      <w:bookmarkEnd w:id="14"/>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-361950</wp:posOffset>
              </wp:positionV>
              <wp:extent cx="961390" cy="508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61390" cy="508000"/>
                      </a:xfrm>
                      <a:prstGeom prst="rect">
                        <a:avLst/>
                      </a:prstGeom>
                      <a:noFill/>
                      <a:ln w="6350">
                        <a:noFill/>
                      </a:ln>
                      <a:effectLst/>
                    </wps:spPr>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5pt;height:40pt;width:75.7pt;mso-position-horizontal:outside;mso-position-horizontal-relative:margin;z-index:251659264;mso-width-relative:page;mso-height-relative:page;" filled="f" stroked="f" coordsize="21600,21600" o:gfxdata="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aM+MJtYAAAAHAQAA&#10;DwAAAAAAAAABACAAAAA4AAAAZHJzL2Rvd25yZXYueG1sUEsBAhQAFAAAAAgAh07iQJhaHXo+AgAA&#10;bwQAAA4AAAAAAAAAAQAgAAAAOwEAAGRycy9lMm9Eb2MueG1sUEsFBgAAAAAGAAYAWQEAAOsFAAAA&#10;AA==&#10;">
              <v:path/>
              <v:fill on="f" focussize="0,0"/>
              <v:stroke on="f" weight="0.5pt"/>
              <v:imagedata o:title=""/>
              <o:lock v:ext="edit" aspectratio="f"/>
              <v:textbox inset="0mm,0mm,0mm,0mm">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DA21D"/>
    <w:rsid w:val="EFFDA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unhideWhenUsed/>
    <w:qFormat/>
    <w:uiPriority w:val="0"/>
    <w:pPr>
      <w:keepNext w:val="0"/>
      <w:keepLines w:val="0"/>
      <w:spacing w:beforeLines="0" w:beforeAutospacing="0" w:afterLines="0" w:afterAutospacing="0" w:line="240" w:lineRule="exact"/>
      <w:ind w:firstLine="0" w:firstLineChars="0"/>
      <w:outlineLvl w:val="3"/>
    </w:pPr>
    <w:rPr>
      <w:rFonts w:ascii="宋体" w:hAnsi="宋体" w:eastAsia="宋体" w:cs="Times New Roman"/>
      <w:sz w:val="21"/>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200" w:firstLineChars="200"/>
    </w:pPr>
    <w:rPr>
      <w:rFonts w:ascii="Times New Roman" w:hAnsi="Times New Roman" w:eastAsia="仿宋_GB2312"/>
    </w:r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basedOn w:val="10"/>
    <w:link w:val="3"/>
    <w:qFormat/>
    <w:uiPriority w:val="9"/>
    <w:rPr>
      <w:b/>
      <w:bCs/>
      <w:kern w:val="44"/>
      <w:sz w:val="44"/>
      <w:szCs w:val="44"/>
    </w:rPr>
  </w:style>
  <w:style w:type="character" w:customStyle="1" w:styleId="12">
    <w:name w:val="标题 2 Char"/>
    <w:basedOn w:val="10"/>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2025-09-28T16:04:00Z</dcterms:created>
  <dc:creator>huawei</dc:creator>
  <cp:lastModifiedBy>huawei</cp:lastModifiedBy>
  <dcterms:modified xsi:type="dcterms:W3CDTF">2025-09-28T16:05:04Z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3EEF3C3F8EDB79791BECD86823513723</vt:lpwstr>
  </property>
</Properties>
</file>